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r>
        <w:rPr>
          <w:noProof/>
          <w:lang w:eastAsia="fr-BE"/>
        </w:rPr>
        <mc:AlternateContent>
          <mc:Choice Requires="wpg">
            <w:drawing>
              <wp:anchor distT="0" distB="0" distL="114300" distR="114300" simplePos="0" relativeHeight="252128256" behindDoc="0" locked="0" layoutInCell="1" allowOverlap="1">
                <wp:simplePos x="0" y="0"/>
                <wp:positionH relativeFrom="page">
                  <wp:posOffset>4362450</wp:posOffset>
                </wp:positionH>
                <wp:positionV relativeFrom="page">
                  <wp:posOffset>0</wp:posOffset>
                </wp:positionV>
                <wp:extent cx="3267710" cy="10058400"/>
                <wp:effectExtent l="0" t="0" r="8890" b="0"/>
                <wp:wrapNone/>
                <wp:docPr id="453" name="Groupe 453"/>
                <wp:cNvGraphicFramePr/>
                <a:graphic xmlns:a="http://schemas.openxmlformats.org/drawingml/2006/main">
                  <a:graphicData uri="http://schemas.microsoft.com/office/word/2010/wordprocessingGroup">
                    <wpg:wgp>
                      <wpg:cNvGrpSpPr/>
                      <wpg:grpSpPr>
                        <a:xfrm>
                          <a:off x="0" y="0"/>
                          <a:ext cx="3267710" cy="10058400"/>
                          <a:chOff x="-171450" y="0"/>
                          <a:chExt cx="3267941" cy="10058400"/>
                        </a:xfrm>
                      </wpg:grpSpPr>
                      <wps:wsp>
                        <wps:cNvPr id="459" name="Rectangle 459"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Rectangle 460"/>
                        <wps:cNvSpPr>
                          <a:spLocks noChangeArrowheads="1"/>
                        </wps:cNvSpPr>
                        <wps:spPr bwMode="auto">
                          <a:xfrm>
                            <a:off x="124691" y="0"/>
                            <a:ext cx="2971800" cy="10058400"/>
                          </a:xfrm>
                          <a:prstGeom prst="rect">
                            <a:avLst/>
                          </a:prstGeom>
                          <a:solidFill>
                            <a:schemeClr val="accent6">
                              <a:lumMod val="60000"/>
                              <a:lumOff val="40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Rectangle 461"/>
                        <wps:cNvSpPr>
                          <a:spLocks noChangeArrowheads="1"/>
                        </wps:cNvSpPr>
                        <wps:spPr bwMode="auto">
                          <a:xfrm>
                            <a:off x="-171450" y="0"/>
                            <a:ext cx="3195094"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rFonts w:asciiTheme="majorHAnsi" w:hAnsiTheme="majorHAnsi"/>
                                  <w:color w:val="FFFFFF" w:themeColor="background1"/>
                                  <w:sz w:val="72"/>
                                  <w:szCs w:val="72"/>
                                </w:rPr>
                                <w:alias w:val="Année"/>
                                <w:id w:val="-1505276203"/>
                                <w:showingPlcHdr/>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Content>
                                <w:p>
                                  <w:pPr>
                                    <w:pStyle w:val="Sansinterligne"/>
                                    <w:rPr>
                                      <w:color w:val="FFFFFF" w:themeColor="background1"/>
                                      <w:sz w:val="72"/>
                                      <w:szCs w:val="72"/>
                                    </w:rPr>
                                  </w:pPr>
                                  <w:r>
                                    <w:rPr>
                                      <w:rFonts w:asciiTheme="majorHAnsi" w:hAnsiTheme="majorHAnsi"/>
                                      <w:color w:val="FFFFFF" w:themeColor="background1"/>
                                      <w:sz w:val="72"/>
                                      <w:szCs w:val="72"/>
                                    </w:rPr>
                                    <w:t xml:space="preserve">     </w:t>
                                  </w:r>
                                </w:p>
                              </w:sdtContent>
                            </w:sdt>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100000</wp14:pctHeight>
                </wp14:sizeRelV>
              </wp:anchor>
            </w:drawing>
          </mc:Choice>
          <mc:Fallback>
            <w:pict>
              <v:group id="Groupe 453" o:spid="_x0000_s1026" style="position:absolute;margin-left:343.5pt;margin-top:0;width:257.3pt;height:11in;z-index:252128256;mso-height-percent:1000;mso-position-horizontal-relative:page;mso-position-vertical-relative:page;mso-height-percent:1000" coordorigin="-1714" coordsize="32679,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">
                <v:rect id="Rectangle 459" o:spid="_x0000_s1027" alt="Light vertical" style="position:absolute;width:1385;height:1005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aJ8QA&#10;AADcAAAADwAAAGRycy9kb3ducmV2LnhtbESPQWsCMRSE70L/Q3iF3jSrVNGtUVqh1ZtoK/b42Dx3&#10;F5OXNYm6/nsjFHocZuYbZjpvrREX8qF2rKDfy0AQF07XXCr4+f7sjkGEiKzROCYFNwownz11pphr&#10;d+UNXbaxFAnCIUcFVYxNLmUoKrIYeq4hTt7BeYsxSV9K7fGa4NbIQZaNpMWa00KFDS0qKo7bs1XQ&#10;LD78ZBzN+WRG6/Xvxu37u6+lUi/P7fsbiEht/A//tVdawetwAo8z6Qj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kmifEAAAA3AAAAA8AAAAAAAAAAAAAAAAAmAIAAGRycy9k&#10;b3ducmV2LnhtbFBLBQYAAAAABAAEAPUAAACJAwAAAAA=&#10;" fillcolor="#fabf8f [1945]" stroked="f" strokecolor="white" strokeweight="1pt">
                  <v:fill r:id="rId9" o:title="" opacity="52428f" color2="white [3212]" o:opacity2="52428f" type="pattern"/>
                  <v:shadow color="#d8d8d8" offset="3pt,3pt"/>
                </v:rect>
                <v:rect id="Rectangle 460" o:spid="_x0000_s1028" style="position:absolute;left:1246;width:29718;height:100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tRcIA&#10;AADcAAAADwAAAGRycy9kb3ducmV2LnhtbERP3WrCMBS+H/gO4QjezdQxSumMMh0bKkWw+gDH5qwt&#10;a05KktX69uZisMuP73+5Hk0nBnK+taxgMU9AEFdWt1wruJw/nzMQPiBr7CyTgjt5WK8mT0vMtb3x&#10;iYYy1CKGsM9RQRNCn0vpq4YM+rntiSP3bZ3BEKGrpXZ4i+Gmky9JkkqDLceGBnvaNlT9lL9GwTEr&#10;rqX+wuNhfxnqzcciu1aFV2o2Hd/fQAQaw7/4z73TCl7TOD+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OS1FwgAAANwAAAAPAAAAAAAAAAAAAAAAAJgCAABkcnMvZG93&#10;bnJldi54bWxQSwUGAAAAAAQABAD1AAAAhwMAAAAA&#10;" fillcolor="#fabf8f [1945]" stroked="f" strokecolor="#d8d8d8"/>
                <v:rect id="Rectangle 461" o:spid="_x0000_s1029" style="position:absolute;left:-1714;width:31950;height:2377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4tkcUA&#10;AADcAAAADwAAAGRycy9kb3ducmV2LnhtbESP3WoCMRSE7wXfIRyhd5pVWmm3ZkUUwRaKaO39YXPc&#10;HzcncRPX7ds3hUIvh5n5hlkse9OIjlpfWVYwnSQgiHOrKy4UnD6342cQPiBrbCyTgm/ysMyGgwWm&#10;2t75QN0xFCJC2KeooAzBpVL6vCSDfmIdcfTOtjUYomwLqVu8R7hp5CxJ5tJgxXGhREfrkvLL8WYU&#10;yI/OfW3rl+R0cJv9m3uvr0+4Ueph1K9eQQTqw3/4r73TCh7nU/g9E4+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2RxQAAANwAAAAPAAAAAAAAAAAAAAAAAJgCAABkcnMv&#10;ZG93bnJldi54bWxQSwUGAAAAAAQABAD1AAAAigMAAAAA&#10;" filled="f" stroked="f" strokecolor="white" strokeweight="1pt">
                  <v:fill opacity="52428f"/>
                  <v:shadow color="#d8d8d8" offset="3pt,3pt"/>
                  <v:textbox inset="28.8pt,14.4pt,14.4pt,14.4pt">
                    <w:txbxContent>
                      <w:sdt>
                        <w:sdtPr>
                          <w:rPr>
                            <w:rFonts w:asciiTheme="majorHAnsi" w:hAnsiTheme="majorHAnsi"/>
                            <w:color w:val="FFFFFF" w:themeColor="background1"/>
                            <w:sz w:val="72"/>
                            <w:szCs w:val="72"/>
                          </w:rPr>
                          <w:alias w:val="Année"/>
                          <w:id w:val="-1505276203"/>
                          <w:showingPlcHdr/>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Content>
                          <w:p>
                            <w:pPr>
                              <w:pStyle w:val="Sansinterligne"/>
                              <w:rPr>
                                <w:color w:val="FFFFFF" w:themeColor="background1"/>
                                <w:sz w:val="72"/>
                                <w:szCs w:val="72"/>
                              </w:rPr>
                            </w:pPr>
                            <w:r>
                              <w:rPr>
                                <w:rFonts w:asciiTheme="majorHAnsi" w:hAnsiTheme="majorHAnsi"/>
                                <w:color w:val="FFFFFF" w:themeColor="background1"/>
                                <w:sz w:val="72"/>
                                <w:szCs w:val="72"/>
                              </w:rPr>
                              <w:t xml:space="preserve">     </w:t>
                            </w:r>
                          </w:p>
                        </w:sdtContent>
                      </w:sdt>
                    </w:txbxContent>
                  </v:textbox>
                </v:rect>
                <w10:wrap anchorx="page" anchory="page"/>
              </v:group>
            </w:pict>
          </mc:Fallback>
        </mc:AlternateContent>
      </w:r>
    </w:p>
    <w:p/>
    <w:p/>
    <w:p>
      <w:r>
        <w:t xml:space="preserve"> </w:t>
      </w:r>
    </w:p>
    <w:p>
      <w:pPr>
        <w:pStyle w:val="Citation"/>
      </w:pPr>
      <w:r>
        <w:rPr>
          <w:noProof/>
          <w:lang w:eastAsia="fr-BE"/>
        </w:rPr>
        <mc:AlternateContent>
          <mc:Choice Requires="wps">
            <w:drawing>
              <wp:anchor distT="0" distB="0" distL="114300" distR="114300" simplePos="0" relativeHeight="252130304" behindDoc="0" locked="0" layoutInCell="0" allowOverlap="1">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6970395" cy="640080"/>
                <wp:effectExtent l="0" t="0" r="15875" b="15240"/>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0395" cy="640080"/>
                        </a:xfrm>
                        <a:prstGeom prst="rect">
                          <a:avLst/>
                        </a:prstGeom>
                        <a:solidFill>
                          <a:schemeClr val="accent6">
                            <a:lumMod val="75000"/>
                          </a:schemeClr>
                        </a:solidFill>
                        <a:ln w="19050">
                          <a:solidFill>
                            <a:schemeClr val="tx1"/>
                          </a:solidFill>
                          <a:miter lim="800000"/>
                          <a:headEnd/>
                          <a:tailEnd/>
                        </a:ln>
                      </wps:spPr>
                      <wps:txbx>
                        <w:txbxContent>
                          <w:p>
                            <w:pPr>
                              <w:pStyle w:val="Sansinterligne"/>
                              <w:rPr>
                                <w:rFonts w:asciiTheme="majorHAnsi" w:hAnsiTheme="majorHAnsi"/>
                                <w:color w:val="FFFFFF" w:themeColor="background1"/>
                                <w:sz w:val="44"/>
                                <w:szCs w:val="44"/>
                              </w:rPr>
                            </w:pPr>
                            <w:r>
                              <w:rPr>
                                <w:rFonts w:asciiTheme="majorHAnsi" w:hAnsiTheme="majorHAnsi"/>
                                <w:color w:val="FFFFFF" w:themeColor="background1"/>
                                <w:sz w:val="44"/>
                                <w:szCs w:val="44"/>
                              </w:rPr>
                              <w:t>Circulaire relative à l’organisation des établissements d’enseignement fondamental  spécialisé</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ctangle 16" o:spid="_x0000_s1030" style="position:absolute;left:0;text-align:left;margin-left:0;margin-top:0;width:548.85pt;height:50.4pt;z-index:252130304;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" o:allowincell="f" fillcolor="#e36c0a [2409]" strokecolor="black [3213]" strokeweight="1.5pt">
                <v:textbox style="mso-fit-shape-to-text:t" inset="14.4pt,,14.4pt">
                  <w:txbxContent>
                    <w:p>
                      <w:pPr>
                        <w:pStyle w:val="Sansinterligne"/>
                        <w:rPr>
                          <w:rFonts w:asciiTheme="majorHAnsi" w:hAnsiTheme="majorHAnsi"/>
                          <w:color w:val="FFFFFF" w:themeColor="background1"/>
                          <w:sz w:val="44"/>
                          <w:szCs w:val="44"/>
                        </w:rPr>
                      </w:pPr>
                      <w:r>
                        <w:rPr>
                          <w:rFonts w:asciiTheme="majorHAnsi" w:hAnsiTheme="majorHAnsi"/>
                          <w:color w:val="FFFFFF" w:themeColor="background1"/>
                          <w:sz w:val="44"/>
                          <w:szCs w:val="44"/>
                        </w:rPr>
                        <w:t>Circulaire relative à l’organisation des établissements d’enseignement fondamental  spécialisé</w:t>
                      </w:r>
                    </w:p>
                  </w:txbxContent>
                </v:textbox>
                <w10:wrap anchorx="page" anchory="page"/>
              </v:rect>
            </w:pict>
          </mc:Fallback>
        </mc:AlternateContent>
      </w:r>
    </w:p>
    <w:p>
      <w:pPr>
        <w:suppressAutoHyphens/>
        <w:rPr>
          <w:rFonts w:ascii="Goudy Old Style" w:eastAsia="Times New Roman" w:hAnsi="Goudy Old Style" w:cs="Times New Roman"/>
          <w:sz w:val="2"/>
          <w:szCs w:val="2"/>
          <w:lang w:eastAsia="ar-SA"/>
        </w:rPr>
      </w:pPr>
      <w:r>
        <w:rPr>
          <w:noProof/>
          <w:lang w:eastAsia="fr-BE"/>
        </w:rPr>
        <mc:AlternateContent>
          <mc:Choice Requires="wps">
            <w:drawing>
              <wp:anchor distT="0" distB="0" distL="114300" distR="114300" simplePos="0" relativeHeight="252131328" behindDoc="0" locked="0" layoutInCell="1" allowOverlap="1">
                <wp:simplePos x="0" y="0"/>
                <wp:positionH relativeFrom="column">
                  <wp:posOffset>1318895</wp:posOffset>
                </wp:positionH>
                <wp:positionV relativeFrom="paragraph">
                  <wp:posOffset>7102475</wp:posOffset>
                </wp:positionV>
                <wp:extent cx="3600450" cy="533400"/>
                <wp:effectExtent l="0" t="0" r="19050" b="19050"/>
                <wp:wrapNone/>
                <wp:docPr id="478" name="Rectangle 478"/>
                <wp:cNvGraphicFramePr/>
                <a:graphic xmlns:a="http://schemas.openxmlformats.org/drawingml/2006/main">
                  <a:graphicData uri="http://schemas.microsoft.com/office/word/2010/wordprocessingShape">
                    <wps:wsp>
                      <wps:cNvSpPr/>
                      <wps:spPr>
                        <a:xfrm>
                          <a:off x="0" y="0"/>
                          <a:ext cx="3600450" cy="533400"/>
                        </a:xfrm>
                        <a:prstGeom prst="rect">
                          <a:avLst/>
                        </a:prstGeom>
                      </wps:spPr>
                      <wps:style>
                        <a:lnRef idx="2">
                          <a:schemeClr val="accent6"/>
                        </a:lnRef>
                        <a:fillRef idx="1">
                          <a:schemeClr val="lt1"/>
                        </a:fillRef>
                        <a:effectRef idx="0">
                          <a:schemeClr val="accent6"/>
                        </a:effectRef>
                        <a:fontRef idx="minor">
                          <a:schemeClr val="dk1"/>
                        </a:fontRef>
                      </wps:style>
                      <wps:txbx>
                        <w:txbxContent>
                          <w:p>
                            <w:pPr>
                              <w:jc w:val="center"/>
                              <w:rPr>
                                <w:rFonts w:eastAsiaTheme="minorEastAsia"/>
                                <w:sz w:val="44"/>
                                <w:szCs w:val="44"/>
                                <w:lang w:eastAsia="fr-BE"/>
                              </w:rPr>
                            </w:pPr>
                            <w:r>
                              <w:rPr>
                                <w:rFonts w:eastAsiaTheme="minorEastAsia"/>
                                <w:sz w:val="44"/>
                                <w:szCs w:val="44"/>
                                <w:lang w:eastAsia="fr-BE"/>
                              </w:rPr>
                              <w:t>Année scolaire 2019-2020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78" o:spid="_x0000_s1031" style="position:absolute;margin-left:103.85pt;margin-top:559.25pt;width:283.5pt;height:42pt;z-index:252131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" fillcolor="white [3201]" strokecolor="#f79646 [3209]" strokeweight="2pt">
                <v:textbox>
                  <w:txbxContent>
                    <w:p>
                      <w:pPr>
                        <w:jc w:val="center"/>
                        <w:rPr>
                          <w:rFonts w:eastAsiaTheme="minorEastAsia"/>
                          <w:sz w:val="44"/>
                          <w:szCs w:val="44"/>
                          <w:lang w:eastAsia="fr-BE"/>
                        </w:rPr>
                      </w:pPr>
                      <w:r>
                        <w:rPr>
                          <w:rFonts w:eastAsiaTheme="minorEastAsia"/>
                          <w:sz w:val="44"/>
                          <w:szCs w:val="44"/>
                          <w:lang w:eastAsia="fr-BE"/>
                        </w:rPr>
                        <w:t>Année scolaire 2019-2020</w:t>
                      </w:r>
                    </w:p>
                  </w:txbxContent>
                </v:textbox>
              </v:rect>
            </w:pict>
          </mc:Fallback>
        </mc:AlternateContent>
      </w:r>
      <w:r>
        <w:rPr>
          <w:noProof/>
          <w:lang w:eastAsia="fr-BE"/>
        </w:rPr>
        <w:drawing>
          <wp:anchor distT="0" distB="0" distL="114300" distR="114300" simplePos="0" relativeHeight="252129280" behindDoc="0" locked="0" layoutInCell="0" allowOverlap="1">
            <wp:simplePos x="0" y="0"/>
            <wp:positionH relativeFrom="page">
              <wp:posOffset>1188720</wp:posOffset>
            </wp:positionH>
            <wp:positionV relativeFrom="page">
              <wp:posOffset>3489960</wp:posOffset>
            </wp:positionV>
            <wp:extent cx="6353083" cy="4937760"/>
            <wp:effectExtent l="0" t="0" r="0" b="0"/>
            <wp:wrapNone/>
            <wp:docPr id="4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0">
                      <a:extLst>
                        <a:ext uri="{28A0092B-C50C-407E-A947-70E740481C1C}">
                          <a14:useLocalDpi xmlns:a14="http://schemas.microsoft.com/office/drawing/2010/main" val="0"/>
                        </a:ext>
                      </a:extLst>
                    </a:blip>
                    <a:stretch>
                      <a:fillRect/>
                    </a:stretch>
                  </pic:blipFill>
                  <pic:spPr>
                    <a:xfrm>
                      <a:off x="0" y="0"/>
                      <a:ext cx="6369075" cy="495019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br w:type="page"/>
      </w:r>
    </w:p>
    <w:p>
      <w:pPr>
        <w:tabs>
          <w:tab w:val="left" w:pos="3315"/>
        </w:tabs>
      </w:pPr>
    </w:p>
    <w:p>
      <w:pPr>
        <w:tabs>
          <w:tab w:val="left" w:pos="3315"/>
        </w:tabs>
      </w:pPr>
      <w:r>
        <w:tab/>
      </w:r>
    </w:p>
    <w:sdt>
      <w:sdtPr>
        <w:rPr>
          <w:rFonts w:asciiTheme="majorHAnsi" w:eastAsiaTheme="minorHAnsi" w:hAnsiTheme="majorHAnsi"/>
          <w:lang w:eastAsia="en-US"/>
        </w:rPr>
        <w:id w:val="-956105601"/>
        <w:docPartObj>
          <w:docPartGallery w:val="Cover Pages"/>
          <w:docPartUnique/>
        </w:docPartObj>
      </w:sdtPr>
      <w:sdtContent>
        <w:p>
          <w:pPr>
            <w:pStyle w:val="Sansinterligne"/>
            <w:rPr>
              <w:rFonts w:asciiTheme="majorHAnsi" w:hAnsiTheme="majorHAnsi"/>
            </w:rPr>
          </w:pPr>
        </w:p>
        <w:p/>
        <w:p>
          <w:pPr>
            <w:pStyle w:val="Titre2"/>
            <w:rPr>
              <w:sz w:val="56"/>
              <w:szCs w:val="56"/>
            </w:rPr>
          </w:pPr>
          <w:bookmarkStart w:id="1" w:name="_Toc2608980"/>
          <w:bookmarkStart w:id="2" w:name="_Toc10801166"/>
          <w:bookmarkStart w:id="3" w:name="_Toc11420635"/>
          <w:bookmarkStart w:id="4" w:name="_Toc18914408"/>
          <w:r>
            <w:rPr>
              <w:sz w:val="56"/>
              <w:szCs w:val="56"/>
            </w:rPr>
            <w:t>Introduction d’ordre administratiF</w:t>
          </w:r>
          <w:bookmarkEnd w:id="1"/>
          <w:bookmarkEnd w:id="2"/>
          <w:bookmarkEnd w:id="3"/>
          <w:bookmarkEnd w:id="4"/>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p>
          <w:pPr>
            <w:pStyle w:val="Corpsdetexte21"/>
            <w:tabs>
              <w:tab w:val="left" w:pos="1134"/>
            </w:tabs>
            <w:rPr>
              <w:rFonts w:asciiTheme="majorHAnsi" w:hAnsiTheme="majorHAnsi"/>
              <w:sz w:val="22"/>
              <w:szCs w:val="22"/>
            </w:rPr>
          </w:pPr>
        </w:p>
        <w:p>
          <w:pPr>
            <w:pStyle w:val="Corpsdetexte21"/>
            <w:tabs>
              <w:tab w:val="left" w:pos="1134"/>
            </w:tabs>
            <w:rPr>
              <w:rFonts w:asciiTheme="majorHAnsi" w:hAnsiTheme="majorHAnsi"/>
              <w:sz w:val="22"/>
              <w:szCs w:val="22"/>
            </w:rPr>
          </w:pPr>
          <w:r>
            <w:rPr>
              <w:rFonts w:asciiTheme="majorHAnsi" w:hAnsiTheme="majorHAnsi"/>
              <w:sz w:val="22"/>
              <w:szCs w:val="22"/>
            </w:rPr>
            <w:t>Mesdames, Messieurs,</w:t>
          </w:r>
        </w:p>
        <w:p>
          <w:pPr>
            <w:pStyle w:val="Corpsdetexte21"/>
            <w:tabs>
              <w:tab w:val="left" w:pos="1134"/>
            </w:tabs>
            <w:rPr>
              <w:rFonts w:asciiTheme="majorHAnsi" w:hAnsiTheme="majorHAnsi"/>
              <w:sz w:val="22"/>
              <w:szCs w:val="22"/>
            </w:rPr>
          </w:pPr>
        </w:p>
        <w:p>
          <w:pPr>
            <w:pStyle w:val="Corpsdetexte21"/>
            <w:tabs>
              <w:tab w:val="left" w:pos="1134"/>
            </w:tabs>
            <w:rPr>
              <w:rFonts w:asciiTheme="majorHAnsi" w:hAnsiTheme="majorHAnsi"/>
              <w:sz w:val="22"/>
              <w:szCs w:val="22"/>
            </w:rPr>
          </w:pPr>
          <w:r>
            <w:rPr>
              <w:rFonts w:asciiTheme="majorHAnsi" w:hAnsiTheme="majorHAnsi"/>
              <w:sz w:val="22"/>
              <w:szCs w:val="22"/>
            </w:rPr>
            <w:t>Je vous invite à prendre connaissance de la présente circulaire qui réunit les thématiques les plus souvent abordées dans l’enseignement spécialisé.</w:t>
          </w:r>
        </w:p>
        <w:p>
          <w:pPr>
            <w:pStyle w:val="Corpsdetexte21"/>
            <w:tabs>
              <w:tab w:val="left" w:pos="1134"/>
            </w:tabs>
            <w:rPr>
              <w:rFonts w:asciiTheme="majorHAnsi" w:hAnsiTheme="majorHAnsi"/>
              <w:sz w:val="22"/>
              <w:szCs w:val="22"/>
            </w:rPr>
          </w:pPr>
        </w:p>
        <w:p>
          <w:pPr>
            <w:pStyle w:val="Corpsdetexte21"/>
            <w:tabs>
              <w:tab w:val="left" w:pos="1134"/>
            </w:tabs>
            <w:rPr>
              <w:rFonts w:asciiTheme="majorHAnsi" w:hAnsiTheme="majorHAnsi"/>
              <w:sz w:val="22"/>
              <w:szCs w:val="22"/>
            </w:rPr>
          </w:pPr>
          <w:r>
            <w:rPr>
              <w:rFonts w:asciiTheme="majorHAnsi" w:hAnsiTheme="majorHAnsi"/>
              <w:sz w:val="22"/>
              <w:szCs w:val="22"/>
            </w:rPr>
            <w:t xml:space="preserve">Cette circulaire annule et remplace la circulaire n° 6747 du 10 juillet 2018. J’attire votre attention sur le fait que dorénavant la circulaire relative à l’organisation des établissements d’enseignement spécialisé est scindé en deux parties. </w:t>
          </w:r>
        </w:p>
        <w:p>
          <w:pPr>
            <w:pStyle w:val="Corpsdetexte21"/>
            <w:tabs>
              <w:tab w:val="left" w:pos="1134"/>
            </w:tabs>
            <w:rPr>
              <w:rFonts w:asciiTheme="majorHAnsi" w:hAnsiTheme="majorHAnsi"/>
              <w:sz w:val="22"/>
              <w:szCs w:val="22"/>
            </w:rPr>
          </w:pPr>
        </w:p>
        <w:p>
          <w:pPr>
            <w:pStyle w:val="Corpsdetexte21"/>
            <w:tabs>
              <w:tab w:val="left" w:pos="1134"/>
            </w:tabs>
            <w:rPr>
              <w:rFonts w:asciiTheme="majorHAnsi" w:hAnsiTheme="majorHAnsi"/>
              <w:sz w:val="22"/>
              <w:szCs w:val="22"/>
            </w:rPr>
          </w:pPr>
          <w:r>
            <w:rPr>
              <w:rFonts w:asciiTheme="majorHAnsi" w:hAnsiTheme="majorHAnsi"/>
              <w:sz w:val="22"/>
              <w:szCs w:val="22"/>
            </w:rPr>
            <w:t xml:space="preserve">Une circulaire concernant uniquement l’enseignement fondamental spécialisé et une autre  concernant uniquement l’enseignement secondaire spécialisé. </w:t>
          </w:r>
        </w:p>
        <w:p>
          <w:pPr>
            <w:pStyle w:val="Corpsdetexte21"/>
            <w:tabs>
              <w:tab w:val="left" w:pos="1134"/>
            </w:tabs>
            <w:rPr>
              <w:rFonts w:asciiTheme="majorHAnsi" w:hAnsiTheme="majorHAnsi"/>
              <w:sz w:val="22"/>
              <w:szCs w:val="22"/>
            </w:rPr>
          </w:pPr>
        </w:p>
        <w:p>
          <w:pPr>
            <w:pStyle w:val="Corpsdetexte21"/>
            <w:tabs>
              <w:tab w:val="left" w:pos="1134"/>
            </w:tabs>
            <w:rPr>
              <w:rFonts w:asciiTheme="majorHAnsi" w:hAnsiTheme="majorHAnsi"/>
              <w:sz w:val="22"/>
              <w:szCs w:val="22"/>
            </w:rPr>
          </w:pPr>
        </w:p>
        <w:p>
          <w:pPr>
            <w:pStyle w:val="Corpsdetexte21"/>
            <w:tabs>
              <w:tab w:val="left" w:pos="1134"/>
            </w:tabs>
            <w:rPr>
              <w:rFonts w:asciiTheme="majorHAnsi" w:hAnsiTheme="majorHAnsi"/>
              <w:sz w:val="22"/>
              <w:szCs w:val="22"/>
            </w:rPr>
          </w:pPr>
          <w:r>
            <w:rPr>
              <w:rFonts w:asciiTheme="majorHAnsi" w:hAnsiTheme="majorHAnsi"/>
              <w:sz w:val="22"/>
              <w:szCs w:val="22"/>
            </w:rPr>
            <w:t>Je vous rappelle que cette circulaire peut être consultée, imprimée et téléchargée à l’adresse suivante:</w:t>
          </w:r>
        </w:p>
        <w:p>
          <w:pPr>
            <w:tabs>
              <w:tab w:val="left" w:pos="1134"/>
            </w:tabs>
            <w:jc w:val="center"/>
            <w:rPr>
              <w:b/>
              <w:u w:val="single"/>
            </w:rPr>
          </w:pPr>
          <w:hyperlink r:id="rId11" w:history="1">
            <w:r>
              <w:rPr>
                <w:rStyle w:val="Lienhypertexte"/>
                <w:rFonts w:cs="Arial"/>
              </w:rPr>
              <w:t>www.adm.cfwb.be</w:t>
            </w:r>
          </w:hyperlink>
          <w:r>
            <w:rPr>
              <w:b/>
            </w:rPr>
            <w:t xml:space="preserve"> </w:t>
          </w:r>
          <w:r>
            <w:rPr>
              <w:b/>
              <w:u w:val="single"/>
            </w:rPr>
            <w:t>(documents officiels)</w:t>
          </w:r>
        </w:p>
        <w:p>
          <w:pPr>
            <w:tabs>
              <w:tab w:val="left" w:pos="1134"/>
            </w:tabs>
            <w:rPr>
              <w:b/>
              <w:u w:val="single"/>
            </w:rPr>
          </w:pPr>
        </w:p>
        <w:p>
          <w:pPr>
            <w:pStyle w:val="Corpsdetexte21"/>
            <w:tabs>
              <w:tab w:val="left" w:pos="1134"/>
            </w:tabs>
            <w:rPr>
              <w:rFonts w:asciiTheme="majorHAnsi" w:hAnsiTheme="majorHAnsi"/>
              <w:sz w:val="22"/>
              <w:szCs w:val="22"/>
            </w:rPr>
          </w:pPr>
          <w:r>
            <w:rPr>
              <w:rFonts w:asciiTheme="majorHAnsi" w:hAnsiTheme="majorHAnsi"/>
              <w:sz w:val="22"/>
              <w:szCs w:val="22"/>
            </w:rPr>
            <w:t xml:space="preserve">De même, toute la réglementation concernant l’enseignement peut être consultée sur : </w:t>
          </w:r>
        </w:p>
        <w:p>
          <w:pPr>
            <w:pStyle w:val="Corpsdetexte21"/>
            <w:tabs>
              <w:tab w:val="left" w:pos="1134"/>
            </w:tabs>
            <w:rPr>
              <w:rFonts w:asciiTheme="majorHAnsi" w:hAnsiTheme="majorHAnsi"/>
              <w:sz w:val="22"/>
              <w:szCs w:val="22"/>
            </w:rPr>
          </w:pPr>
        </w:p>
        <w:p>
          <w:pPr>
            <w:tabs>
              <w:tab w:val="left" w:pos="1134"/>
            </w:tabs>
            <w:jc w:val="center"/>
            <w:rPr>
              <w:b/>
              <w:u w:val="single"/>
            </w:rPr>
          </w:pPr>
          <w:hyperlink r:id="rId12" w:history="1">
            <w:r>
              <w:rPr>
                <w:rStyle w:val="Lienhypertexte"/>
                <w:rFonts w:cs="Arial"/>
              </w:rPr>
              <w:t>www.gallilex.cfwb.be</w:t>
            </w:r>
          </w:hyperlink>
        </w:p>
        <w:p>
          <w:pPr>
            <w:tabs>
              <w:tab w:val="left" w:pos="1134"/>
            </w:tabs>
            <w:rPr>
              <w:b/>
              <w:u w:val="single"/>
            </w:rPr>
          </w:pPr>
        </w:p>
        <w:p>
          <w:pPr>
            <w:tabs>
              <w:tab w:val="left" w:pos="1134"/>
            </w:tabs>
          </w:pPr>
          <w:r>
            <w:t xml:space="preserve">Ces deux adresses sont accessibles en passant par </w:t>
          </w:r>
          <w:hyperlink r:id="rId13" w:history="1">
            <w:r>
              <w:rPr>
                <w:rStyle w:val="Lienhypertexte"/>
                <w:rFonts w:cs="Arial"/>
              </w:rPr>
              <w:t>www.enseignement.be</w:t>
            </w:r>
          </w:hyperlink>
          <w:r>
            <w:t xml:space="preserve">   </w:t>
          </w:r>
        </w:p>
        <w:p>
          <w:pPr>
            <w:tabs>
              <w:tab w:val="left" w:pos="1134"/>
            </w:tabs>
            <w:rPr>
              <w:b/>
            </w:rPr>
          </w:pPr>
        </w:p>
        <w:p>
          <w:pPr>
            <w:tabs>
              <w:tab w:val="left" w:pos="1134"/>
            </w:tabs>
            <w:rPr>
              <w:bCs/>
            </w:rPr>
          </w:pPr>
          <w:r>
            <w:rPr>
              <w:bCs/>
            </w:rPr>
            <w:t>Pour tout renseignement, je vous invite à contacter les personnes de référence, dont la liste est reprise en index.</w:t>
          </w:r>
        </w:p>
        <w:p>
          <w:pPr>
            <w:tabs>
              <w:tab w:val="left" w:pos="1134"/>
            </w:tabs>
            <w:rPr>
              <w:bCs/>
            </w:rPr>
          </w:pPr>
        </w:p>
        <w:p>
          <w:pPr>
            <w:tabs>
              <w:tab w:val="left" w:pos="1134"/>
            </w:tabs>
            <w:rPr>
              <w:bCs/>
            </w:rPr>
          </w:pPr>
          <w:r>
            <w:rPr>
              <w:bCs/>
            </w:rPr>
            <w:t>Je vous souhaite une bonne lecture.</w:t>
          </w:r>
        </w:p>
        <w:p>
          <w:pPr>
            <w:tabs>
              <w:tab w:val="left" w:pos="1134"/>
            </w:tabs>
            <w:rPr>
              <w:bCs/>
            </w:rPr>
          </w:pPr>
        </w:p>
        <w:p>
          <w:pPr>
            <w:tabs>
              <w:tab w:val="left" w:pos="1134"/>
            </w:tabs>
            <w:rPr>
              <w:bCs/>
            </w:rPr>
          </w:pPr>
        </w:p>
        <w:p>
          <w:pPr>
            <w:tabs>
              <w:tab w:val="left" w:pos="1134"/>
            </w:tabs>
          </w:pPr>
        </w:p>
        <w:p>
          <w:pPr>
            <w:tabs>
              <w:tab w:val="left" w:pos="1134"/>
            </w:tabs>
          </w:pPr>
        </w:p>
        <w:p>
          <w:pPr>
            <w:tabs>
              <w:tab w:val="left" w:pos="1134"/>
            </w:tabs>
            <w:ind w:left="4536"/>
            <w:rPr>
              <w:b/>
            </w:rPr>
          </w:pPr>
          <w:r>
            <w:rPr>
              <w:b/>
            </w:rPr>
            <w:t>La Ministre,</w:t>
          </w:r>
        </w:p>
        <w:p>
          <w:pPr>
            <w:tabs>
              <w:tab w:val="left" w:pos="1134"/>
            </w:tabs>
            <w:ind w:left="4536"/>
            <w:rPr>
              <w:b/>
            </w:rPr>
          </w:pPr>
        </w:p>
        <w:p>
          <w:pPr>
            <w:tabs>
              <w:tab w:val="left" w:pos="1134"/>
            </w:tabs>
            <w:ind w:left="4536"/>
            <w:rPr>
              <w:b/>
            </w:rPr>
          </w:pPr>
        </w:p>
        <w:p>
          <w:pPr>
            <w:tabs>
              <w:tab w:val="left" w:pos="1134"/>
            </w:tabs>
            <w:ind w:left="4536"/>
            <w:rPr>
              <w:b/>
            </w:rPr>
          </w:pPr>
        </w:p>
        <w:p>
          <w:pPr>
            <w:tabs>
              <w:tab w:val="left" w:pos="1134"/>
            </w:tabs>
            <w:ind w:left="4536"/>
            <w:rPr>
              <w:b/>
            </w:rPr>
          </w:pPr>
          <w:r>
            <w:rPr>
              <w:b/>
            </w:rPr>
            <w:t>Marie-Martine SCHYNS</w:t>
          </w:r>
        </w:p>
        <w:p>
          <w:pPr>
            <w:tabs>
              <w:tab w:val="left" w:pos="1134"/>
            </w:tabs>
          </w:pPr>
        </w:p>
        <w:p>
          <w:pPr>
            <w:jc w:val="both"/>
            <w:rPr>
              <w:rFonts w:eastAsiaTheme="minorEastAsia"/>
              <w:lang w:eastAsia="fr-BE"/>
            </w:rPr>
          </w:pPr>
          <w:r>
            <w:rPr>
              <w:rFonts w:eastAsiaTheme="minorEastAsia"/>
              <w:lang w:eastAsia="fr-BE"/>
            </w:rPr>
            <w:br w:type="page"/>
          </w:r>
        </w:p>
        <w:sdt>
          <w:sdtPr>
            <w:rPr>
              <w:rFonts w:asciiTheme="majorHAnsi" w:eastAsiaTheme="minorHAnsi" w:hAnsiTheme="majorHAnsi"/>
              <w:lang w:eastAsia="en-US"/>
            </w:rPr>
            <w:id w:val="75645178"/>
            <w:docPartObj>
              <w:docPartGallery w:val="Cover Pages"/>
              <w:docPartUnique/>
            </w:docPartObj>
          </w:sdtPr>
          <w:sdtContent>
            <w:p>
              <w:pPr>
                <w:pStyle w:val="Sansinterligne"/>
                <w:rPr>
                  <w:rFonts w:asciiTheme="majorHAnsi" w:hAnsiTheme="majorHAnsi"/>
                </w:rPr>
              </w:pPr>
            </w:p>
            <w:p/>
            <w:p>
              <w:pPr>
                <w:rPr>
                  <w:rFonts w:eastAsiaTheme="minorEastAsia"/>
                  <w:lang w:eastAsia="fr-BE"/>
                </w:rPr>
              </w:pPr>
            </w:p>
            <w:p>
              <w:pPr>
                <w:pStyle w:val="Titre2"/>
                <w:jc w:val="center"/>
                <w:rPr>
                  <w:sz w:val="56"/>
                  <w:szCs w:val="56"/>
                </w:rPr>
              </w:pPr>
              <w:bookmarkStart w:id="5" w:name="_Toc18914409"/>
              <w:r>
                <w:rPr>
                  <w:sz w:val="56"/>
                  <w:szCs w:val="56"/>
                </w:rPr>
                <w:t>Principales modifications</w:t>
              </w:r>
              <w:bookmarkEnd w:id="5"/>
            </w:p>
            <w:p>
              <w:pPr>
                <w:rPr>
                  <w:rFonts w:eastAsiaTheme="minorEastAsia"/>
                  <w:lang w:eastAsia="fr-BE"/>
                </w:rPr>
              </w:pPr>
            </w:p>
            <w:p/>
            <w:p/>
            <w:p>
              <w:pPr>
                <w:numPr>
                  <w:ilvl w:val="0"/>
                  <w:numId w:val="1"/>
                </w:numPr>
                <w:pBdr>
                  <w:top w:val="single" w:sz="4" w:space="1" w:color="auto"/>
                  <w:left w:val="single" w:sz="4" w:space="4" w:color="auto"/>
                  <w:bottom w:val="single" w:sz="4" w:space="12" w:color="auto"/>
                  <w:right w:val="single" w:sz="4" w:space="4" w:color="auto"/>
                </w:pBdr>
                <w:suppressAutoHyphens/>
                <w:ind w:left="567" w:hanging="567"/>
              </w:pPr>
              <w:r>
                <w:t>Les éléments nouveaux sont indiqués par un trait vertical placé à droite du texte.</w:t>
              </w:r>
            </w:p>
            <w:p>
              <w:pPr>
                <w:pBdr>
                  <w:top w:val="single" w:sz="4" w:space="1" w:color="auto"/>
                  <w:left w:val="single" w:sz="4" w:space="4" w:color="auto"/>
                  <w:bottom w:val="single" w:sz="4" w:space="12" w:color="auto"/>
                  <w:right w:val="single" w:sz="4" w:space="4" w:color="auto"/>
                </w:pBdr>
                <w:ind w:left="567" w:hanging="567"/>
              </w:pPr>
            </w:p>
            <w:p>
              <w:pPr>
                <w:numPr>
                  <w:ilvl w:val="0"/>
                  <w:numId w:val="1"/>
                </w:numPr>
                <w:pBdr>
                  <w:top w:val="single" w:sz="4" w:space="1" w:color="auto"/>
                  <w:left w:val="single" w:sz="4" w:space="4" w:color="auto"/>
                  <w:bottom w:val="single" w:sz="4" w:space="12" w:color="auto"/>
                  <w:right w:val="single" w:sz="4" w:space="4" w:color="auto"/>
                </w:pBdr>
                <w:suppressAutoHyphens/>
                <w:ind w:left="567" w:hanging="567"/>
              </w:pPr>
              <w:r>
                <w:t>La liste des personnes-ressources de la Direction générale de l’Enseignement obligatoire pour les établissements d’enseignement spécialisé (</w:t>
              </w:r>
              <w:hyperlink w:anchor="_INDEX_I_:" w:history="1">
                <w:r>
                  <w:rPr>
                    <w:rStyle w:val="Lienhypertexte"/>
                    <w:rFonts w:cstheme="minorBidi"/>
                  </w:rPr>
                  <w:t>Index</w:t>
                </w:r>
              </w:hyperlink>
              <w:r>
                <w:t xml:space="preserve"> I) et l’aide-mémoire des documents à envoyer par le chef d’établissement d’enseignement spécialisé ont été placés en fin de volume (</w:t>
              </w:r>
              <w:hyperlink w:anchor="_INDEX_II_:" w:history="1">
                <w:r>
                  <w:rPr>
                    <w:rStyle w:val="Lienhypertexte"/>
                    <w:rFonts w:cstheme="minorBidi"/>
                  </w:rPr>
                  <w:t xml:space="preserve">Index </w:t>
                </w:r>
              </w:hyperlink>
              <w:r>
                <w:t>II).</w:t>
              </w:r>
            </w:p>
            <w:p>
              <w:pPr>
                <w:pBdr>
                  <w:top w:val="single" w:sz="4" w:space="1" w:color="auto"/>
                  <w:left w:val="single" w:sz="4" w:space="4" w:color="auto"/>
                  <w:bottom w:val="single" w:sz="4" w:space="12" w:color="auto"/>
                  <w:right w:val="single" w:sz="4" w:space="4" w:color="auto"/>
                </w:pBdr>
                <w:suppressAutoHyphens/>
                <w:ind w:left="567" w:hanging="567"/>
              </w:pPr>
            </w:p>
            <w:p>
              <w:pPr>
                <w:numPr>
                  <w:ilvl w:val="0"/>
                  <w:numId w:val="1"/>
                </w:numPr>
                <w:pBdr>
                  <w:top w:val="single" w:sz="4" w:space="1" w:color="auto"/>
                  <w:left w:val="single" w:sz="4" w:space="4" w:color="auto"/>
                  <w:bottom w:val="single" w:sz="4" w:space="12" w:color="auto"/>
                  <w:right w:val="single" w:sz="4" w:space="4" w:color="auto"/>
                </w:pBdr>
                <w:suppressAutoHyphens/>
                <w:ind w:left="567" w:hanging="567"/>
              </w:pPr>
              <w:r>
                <w:t>Des liens hypertextes sont activés au sein des chapitres (</w:t>
              </w:r>
              <w:r>
                <w:rPr>
                  <w:i/>
                </w:rPr>
                <w:t>Ctrl+clic pour suivre le lien</w:t>
              </w:r>
              <w:r>
                <w:t>).</w:t>
              </w:r>
            </w:p>
            <w:p>
              <w:pPr>
                <w:pBdr>
                  <w:top w:val="single" w:sz="4" w:space="1" w:color="auto"/>
                  <w:left w:val="single" w:sz="4" w:space="4" w:color="auto"/>
                  <w:bottom w:val="single" w:sz="4" w:space="12" w:color="auto"/>
                  <w:right w:val="single" w:sz="4" w:space="4" w:color="auto"/>
                </w:pBdr>
                <w:ind w:left="567" w:hanging="567"/>
              </w:pPr>
            </w:p>
            <w:p>
              <w:pPr>
                <w:numPr>
                  <w:ilvl w:val="0"/>
                  <w:numId w:val="1"/>
                </w:numPr>
                <w:pBdr>
                  <w:top w:val="single" w:sz="4" w:space="1" w:color="auto"/>
                  <w:left w:val="single" w:sz="4" w:space="4" w:color="auto"/>
                  <w:bottom w:val="single" w:sz="4" w:space="12" w:color="auto"/>
                  <w:right w:val="single" w:sz="4" w:space="4" w:color="auto"/>
                </w:pBdr>
                <w:suppressAutoHyphens/>
                <w:ind w:left="567" w:hanging="567"/>
              </w:pPr>
              <w:r>
                <w:t xml:space="preserve">Les modifications résumées ci-dessous sont accessibles via un lien hypertexte. </w:t>
              </w:r>
            </w:p>
            <w:p>
              <w:pPr>
                <w:pBdr>
                  <w:top w:val="single" w:sz="4" w:space="1" w:color="auto"/>
                  <w:left w:val="single" w:sz="4" w:space="4" w:color="auto"/>
                  <w:bottom w:val="single" w:sz="4" w:space="12" w:color="auto"/>
                  <w:right w:val="single" w:sz="4" w:space="4" w:color="auto"/>
                </w:pBdr>
              </w:pPr>
            </w:p>
            <w:p>
              <w:pPr>
                <w:numPr>
                  <w:ilvl w:val="0"/>
                  <w:numId w:val="1"/>
                </w:numPr>
                <w:pBdr>
                  <w:top w:val="single" w:sz="4" w:space="1" w:color="auto"/>
                  <w:left w:val="single" w:sz="4" w:space="4" w:color="auto"/>
                  <w:bottom w:val="single" w:sz="4" w:space="12" w:color="auto"/>
                  <w:right w:val="single" w:sz="4" w:space="4" w:color="auto"/>
                </w:pBdr>
                <w:suppressAutoHyphens/>
                <w:ind w:left="567" w:hanging="567"/>
              </w:pPr>
              <w:r>
                <w:t>Les liens hypertextes relatifs aux différents décrets et arrêtés repris au sein des chapitres sont mis à jour dès qu’une modification est prise en compte par GALLILEX.</w:t>
              </w:r>
            </w:p>
            <w:p>
              <w:pPr>
                <w:pBdr>
                  <w:top w:val="single" w:sz="4" w:space="1" w:color="auto"/>
                  <w:left w:val="single" w:sz="4" w:space="4" w:color="auto"/>
                  <w:bottom w:val="single" w:sz="4" w:space="12" w:color="auto"/>
                  <w:right w:val="single" w:sz="4" w:space="4" w:color="auto"/>
                </w:pBdr>
                <w:ind w:left="567" w:hanging="567"/>
              </w:pPr>
            </w:p>
            <w:p>
              <w:pPr>
                <w:numPr>
                  <w:ilvl w:val="0"/>
                  <w:numId w:val="1"/>
                </w:numPr>
                <w:pBdr>
                  <w:top w:val="single" w:sz="4" w:space="1" w:color="auto"/>
                  <w:left w:val="single" w:sz="4" w:space="4" w:color="auto"/>
                  <w:bottom w:val="single" w:sz="4" w:space="12" w:color="auto"/>
                  <w:right w:val="single" w:sz="4" w:space="4" w:color="auto"/>
                </w:pBdr>
                <w:suppressAutoHyphens/>
                <w:ind w:left="567" w:hanging="567"/>
              </w:pPr>
              <w:r>
                <w:t xml:space="preserve">Les annexes sont disponibles en version Word sur le site des circulaires afin de vous permettre de </w:t>
              </w:r>
              <w:r>
                <w:rPr>
                  <w:b/>
                  <w:u w:val="single"/>
                </w:rPr>
                <w:t>compléter/modifier</w:t>
              </w:r>
              <w:r>
                <w:t xml:space="preserve"> directement le document souhaité.</w:t>
              </w:r>
            </w:p>
            <w:p>
              <w:pPr>
                <w:pBdr>
                  <w:top w:val="single" w:sz="4" w:space="1" w:color="auto"/>
                  <w:left w:val="single" w:sz="4" w:space="4" w:color="auto"/>
                  <w:bottom w:val="single" w:sz="4" w:space="12" w:color="auto"/>
                  <w:right w:val="single" w:sz="4" w:space="4" w:color="auto"/>
                </w:pBdr>
                <w:ind w:left="567" w:hanging="567"/>
              </w:pPr>
            </w:p>
            <w:p>
              <w:pPr>
                <w:numPr>
                  <w:ilvl w:val="0"/>
                  <w:numId w:val="1"/>
                </w:numPr>
                <w:pBdr>
                  <w:top w:val="single" w:sz="4" w:space="1" w:color="auto"/>
                  <w:left w:val="single" w:sz="4" w:space="4" w:color="auto"/>
                  <w:bottom w:val="single" w:sz="4" w:space="12" w:color="auto"/>
                  <w:right w:val="single" w:sz="4" w:space="4" w:color="auto"/>
                </w:pBdr>
                <w:tabs>
                  <w:tab w:val="left" w:pos="8647"/>
                </w:tabs>
                <w:suppressAutoHyphens/>
                <w:ind w:left="567" w:hanging="567"/>
              </w:pPr>
              <w:r>
                <w:t xml:space="preserve">Concernant la féminisation des  « noms de métier, fonction, grade ou titre »,  le masculin reste,  pour les fonctions mixtes, dans tous les chapitres afin d’éviter une lecture trop laborieuse et complexe. Toutefois, la féminisation est d’application au sein de </w:t>
              </w:r>
              <w:r>
                <w:rPr>
                  <w:u w:val="single"/>
                </w:rPr>
                <w:t>toutes les annexes</w:t>
              </w:r>
              <w:r>
                <w:t xml:space="preserve">. </w:t>
              </w:r>
            </w:p>
            <w:p>
              <w:pPr>
                <w:pBdr>
                  <w:top w:val="single" w:sz="4" w:space="1" w:color="auto"/>
                  <w:left w:val="single" w:sz="4" w:space="4" w:color="auto"/>
                  <w:bottom w:val="single" w:sz="4" w:space="12" w:color="auto"/>
                  <w:right w:val="single" w:sz="4" w:space="4" w:color="auto"/>
                </w:pBdr>
                <w:tabs>
                  <w:tab w:val="left" w:pos="8647"/>
                </w:tabs>
                <w:suppressAutoHyphens/>
              </w:pPr>
            </w:p>
            <w:p>
              <w:pPr>
                <w:numPr>
                  <w:ilvl w:val="0"/>
                  <w:numId w:val="1"/>
                </w:numPr>
                <w:pBdr>
                  <w:top w:val="single" w:sz="4" w:space="1" w:color="auto"/>
                  <w:left w:val="single" w:sz="4" w:space="4" w:color="auto"/>
                  <w:bottom w:val="single" w:sz="4" w:space="12" w:color="auto"/>
                  <w:right w:val="single" w:sz="4" w:space="4" w:color="auto"/>
                </w:pBdr>
                <w:tabs>
                  <w:tab w:val="left" w:pos="8647"/>
                </w:tabs>
                <w:suppressAutoHyphens/>
                <w:ind w:left="567" w:hanging="567"/>
              </w:pPr>
              <w:r>
                <w:t xml:space="preserve">Le Service du Contrôle de l’Obligation Scolaire (S.C.O.S.) est </w:t>
              </w:r>
              <w:r>
                <w:rPr>
                  <w:b/>
                </w:rPr>
                <w:t>remplacé</w:t>
              </w:r>
              <w:r>
                <w:t xml:space="preserve"> par le Service du Droit à l’Instruction (S.D.I.).</w:t>
              </w:r>
            </w:p>
            <w:p>
              <w:pPr>
                <w:pBdr>
                  <w:top w:val="single" w:sz="4" w:space="1" w:color="auto"/>
                  <w:left w:val="single" w:sz="4" w:space="4" w:color="auto"/>
                  <w:bottom w:val="single" w:sz="4" w:space="12" w:color="auto"/>
                  <w:right w:val="single" w:sz="4" w:space="4" w:color="auto"/>
                </w:pBdr>
                <w:tabs>
                  <w:tab w:val="left" w:pos="8647"/>
                </w:tabs>
                <w:suppressAutoHyphens/>
              </w:pPr>
            </w:p>
            <w:p>
              <w:pPr>
                <w:numPr>
                  <w:ilvl w:val="0"/>
                  <w:numId w:val="1"/>
                </w:numPr>
                <w:pBdr>
                  <w:top w:val="single" w:sz="4" w:space="1" w:color="auto"/>
                  <w:left w:val="single" w:sz="4" w:space="4" w:color="auto"/>
                  <w:bottom w:val="single" w:sz="4" w:space="12" w:color="auto"/>
                  <w:right w:val="single" w:sz="4" w:space="4" w:color="auto"/>
                </w:pBdr>
                <w:tabs>
                  <w:tab w:val="left" w:pos="8647"/>
                </w:tabs>
                <w:suppressAutoHyphens/>
                <w:ind w:left="567" w:hanging="567"/>
              </w:pPr>
              <w:r>
                <w:t xml:space="preserve">Le Service d’Aide en Milieu Ouvert (A.M.O.) est </w:t>
              </w:r>
              <w:r>
                <w:rPr>
                  <w:b/>
                </w:rPr>
                <w:t>remplacé</w:t>
              </w:r>
              <w:r>
                <w:t xml:space="preserve"> par le Service d’Actions en Milieu Ouvert (A.M.O.)</w:t>
              </w:r>
            </w:p>
            <w:p>
              <w:pPr>
                <w:pBdr>
                  <w:top w:val="single" w:sz="4" w:space="1" w:color="auto"/>
                  <w:left w:val="single" w:sz="4" w:space="4" w:color="auto"/>
                  <w:bottom w:val="single" w:sz="4" w:space="12" w:color="auto"/>
                  <w:right w:val="single" w:sz="4" w:space="4" w:color="auto"/>
                </w:pBdr>
                <w:tabs>
                  <w:tab w:val="left" w:pos="8647"/>
                </w:tabs>
                <w:suppressAutoHyphens/>
              </w:pPr>
            </w:p>
            <w:p>
              <w:pPr>
                <w:numPr>
                  <w:ilvl w:val="0"/>
                  <w:numId w:val="1"/>
                </w:numPr>
                <w:pBdr>
                  <w:top w:val="single" w:sz="4" w:space="1" w:color="auto"/>
                  <w:left w:val="single" w:sz="4" w:space="4" w:color="auto"/>
                  <w:bottom w:val="single" w:sz="4" w:space="12" w:color="auto"/>
                  <w:right w:val="single" w:sz="4" w:space="4" w:color="auto"/>
                </w:pBdr>
                <w:tabs>
                  <w:tab w:val="left" w:pos="8647"/>
                </w:tabs>
                <w:suppressAutoHyphens/>
                <w:ind w:left="567" w:hanging="567"/>
              </w:pPr>
              <w:r>
                <w:t xml:space="preserve">Le Conseil Général de Concertation est </w:t>
              </w:r>
              <w:r>
                <w:rPr>
                  <w:b/>
                </w:rPr>
                <w:t>remplacé</w:t>
              </w:r>
              <w:r>
                <w:t xml:space="preserve"> par le Conseil Général de l’Enseignement Fondamental. </w:t>
              </w:r>
            </w:p>
            <w:p>
              <w:pPr>
                <w:pBdr>
                  <w:top w:val="single" w:sz="4" w:space="1" w:color="auto"/>
                  <w:left w:val="single" w:sz="4" w:space="4" w:color="auto"/>
                  <w:bottom w:val="single" w:sz="4" w:space="12" w:color="auto"/>
                  <w:right w:val="single" w:sz="4" w:space="4" w:color="auto"/>
                </w:pBdr>
                <w:tabs>
                  <w:tab w:val="left" w:pos="8647"/>
                </w:tabs>
                <w:suppressAutoHyphens/>
              </w:pPr>
            </w:p>
            <w:p>
              <w:pPr>
                <w:numPr>
                  <w:ilvl w:val="0"/>
                  <w:numId w:val="1"/>
                </w:numPr>
                <w:pBdr>
                  <w:top w:val="single" w:sz="4" w:space="1" w:color="auto"/>
                  <w:left w:val="single" w:sz="4" w:space="4" w:color="auto"/>
                  <w:bottom w:val="single" w:sz="4" w:space="12" w:color="auto"/>
                  <w:right w:val="single" w:sz="4" w:space="4" w:color="auto"/>
                </w:pBdr>
                <w:tabs>
                  <w:tab w:val="left" w:pos="8647"/>
                </w:tabs>
                <w:suppressAutoHyphens/>
                <w:ind w:left="567" w:hanging="567"/>
                <w:rPr>
                  <w:b/>
                </w:rPr>
              </w:pPr>
              <w:r>
                <w:t xml:space="preserve">Les annexes ont été mises à jour et ont donc parfois changé de numéro. </w:t>
              </w:r>
              <w:r>
                <w:rPr>
                  <w:b/>
                </w:rPr>
                <w:t xml:space="preserve">Le Chapitre 13 fait exception.  </w:t>
              </w:r>
            </w:p>
            <w:p>
              <w:pPr>
                <w:rPr>
                  <w:b/>
                </w:rPr>
              </w:pPr>
            </w:p>
            <w:p>
              <w:pPr>
                <w:rPr>
                  <w:b/>
                </w:rPr>
              </w:pPr>
              <w:r>
                <w:rPr>
                  <w:b/>
                </w:rPr>
                <w:t>Chapitre 1 : Obligation scolaire, inscription des élèves, fréquentation scolaire, sanctions disciplinaires et gratuité dans l’enseignement fondamental et secondaire spécialisé organisé et subventionné par la Fédération Wallonie-Bruxelles :</w:t>
              </w:r>
            </w:p>
            <w:p>
              <w:pPr>
                <w:ind w:left="284" w:hanging="284"/>
                <w:rPr>
                  <w:rStyle w:val="Lienhypertexte"/>
                  <w:rFonts w:cstheme="minorBidi"/>
                </w:rPr>
              </w:pPr>
              <w:r>
                <w:t xml:space="preserve">1. point </w:t>
              </w:r>
              <w:r>
                <w:rPr>
                  <w:color w:val="000000"/>
                </w:rPr>
                <w:t>1.1.Règles de base</w:t>
              </w:r>
              <w:r>
                <w:rPr>
                  <w:color w:val="000000"/>
                </w:rPr>
                <w:tab/>
              </w:r>
              <w:r>
                <w:rPr>
                  <w:color w:val="000000"/>
                </w:rPr>
                <w:tab/>
              </w:r>
              <w:r>
                <w:rPr>
                  <w:color w:val="000000"/>
                </w:rPr>
                <w:tab/>
                <w:t xml:space="preserve">      </w:t>
              </w:r>
              <w:r>
                <w:rPr>
                  <w:color w:val="000000"/>
                </w:rPr>
                <w:tab/>
              </w:r>
              <w:r>
                <w:rPr>
                  <w:color w:val="000000"/>
                </w:rPr>
                <w:tab/>
              </w:r>
              <w:r>
                <w:rPr>
                  <w:color w:val="000000"/>
                </w:rPr>
                <w:tab/>
              </w:r>
              <w:r>
                <w:rPr>
                  <w:color w:val="000000"/>
                </w:rPr>
                <w:tab/>
              </w:r>
              <w:r>
                <w:rPr>
                  <w:color w:val="000000"/>
                </w:rPr>
                <w:tab/>
              </w:r>
              <w:r>
                <w:rPr>
                  <w:color w:val="000000"/>
                </w:rPr>
                <w:tab/>
              </w:r>
              <w:hyperlink w:anchor="_1.1.1._Règles_de_1" w:history="1">
                <w:r>
                  <w:rPr>
                    <w:rStyle w:val="Lienhypertexte"/>
                    <w:rFonts w:cstheme="minorBidi"/>
                  </w:rPr>
                  <w:t>Lien</w:t>
                </w:r>
              </w:hyperlink>
            </w:p>
            <w:p>
              <w:pPr>
                <w:ind w:left="284" w:hanging="284"/>
              </w:pPr>
              <w:r>
                <w:t>2. point 1.1.2. Rapport d’inscription</w:t>
              </w:r>
              <w:r>
                <w:tab/>
              </w:r>
              <w:r>
                <w:tab/>
              </w:r>
              <w:r>
                <w:tab/>
              </w:r>
              <w:r>
                <w:tab/>
              </w:r>
              <w:r>
                <w:tab/>
              </w:r>
              <w:r>
                <w:tab/>
              </w:r>
              <w:r>
                <w:tab/>
              </w:r>
              <w:r>
                <w:tab/>
              </w:r>
              <w:hyperlink w:anchor="_1.1.2._Rapport_d’inscription" w:history="1">
                <w:r>
                  <w:rPr>
                    <w:rStyle w:val="Lienhypertexte"/>
                    <w:rFonts w:cstheme="minorBidi"/>
                  </w:rPr>
                  <w:t>Lien</w:t>
                </w:r>
              </w:hyperlink>
              <w:r>
                <w:t xml:space="preserve"> </w:t>
              </w:r>
            </w:p>
            <w:p>
              <w:pPr>
                <w:ind w:left="284" w:hanging="284"/>
              </w:pPr>
              <w:r>
                <w:t>3. point 1.1.3.1. Attestation de demande d’inscription</w:t>
              </w:r>
              <w:r>
                <w:tab/>
              </w:r>
              <w:r>
                <w:tab/>
              </w:r>
              <w:r>
                <w:tab/>
              </w:r>
              <w:r>
                <w:tab/>
              </w:r>
              <w:r>
                <w:tab/>
              </w:r>
              <w:hyperlink w:anchor="_1.1.3.1._L’attestation_de" w:history="1">
                <w:r>
                  <w:rPr>
                    <w:rStyle w:val="Lienhypertexte"/>
                    <w:rFonts w:cstheme="minorBidi"/>
                  </w:rPr>
                  <w:t>Lien</w:t>
                </w:r>
              </w:hyperlink>
            </w:p>
            <w:p>
              <w:pPr>
                <w:ind w:left="284" w:hanging="284"/>
                <w:rPr>
                  <w:color w:val="0000FF"/>
                  <w:u w:val="single"/>
                </w:rPr>
              </w:pPr>
              <w:r>
                <w:t>4. point 1.1.6.1. Transfert d’un élève d’un établissement d’enseignement spécialisé vers un autre établissement d’enseignement spécialisé, sans changement de type</w:t>
              </w:r>
              <w:r>
                <w:tab/>
              </w:r>
              <w:r>
                <w:tab/>
              </w:r>
              <w:r>
                <w:tab/>
              </w:r>
              <w:hyperlink w:anchor="_1.1.6.2._Transfert_d'un" w:history="1">
                <w:r>
                  <w:rPr>
                    <w:rStyle w:val="Lienhypertexte"/>
                    <w:rFonts w:cstheme="minorBidi"/>
                  </w:rPr>
                  <w:t>Lien</w:t>
                </w:r>
              </w:hyperlink>
            </w:p>
            <w:p>
              <w:pPr>
                <w:ind w:left="284" w:hanging="284"/>
              </w:pPr>
              <w:r>
                <w:t>5. point 1.1.6.2.1. Changement d’école sans changement de type : principes</w:t>
              </w:r>
              <w:r>
                <w:tab/>
              </w:r>
              <w:r>
                <w:tab/>
              </w:r>
              <w:r>
                <w:tab/>
              </w:r>
              <w:hyperlink w:anchor="_1.1.6.2.1_Changement_d’école" w:history="1">
                <w:r>
                  <w:rPr>
                    <w:rStyle w:val="Lienhypertexte"/>
                    <w:rFonts w:cstheme="minorBidi"/>
                  </w:rPr>
                  <w:t>Lien</w:t>
                </w:r>
              </w:hyperlink>
            </w:p>
            <w:p>
              <w:pPr>
                <w:ind w:left="284" w:hanging="284"/>
              </w:pPr>
              <w:r>
                <w:t xml:space="preserve">6. point 1.2.1.2. Les absences justifiées. </w:t>
              </w:r>
              <w:r>
                <w:tab/>
              </w:r>
              <w:r>
                <w:tab/>
              </w:r>
              <w:r>
                <w:tab/>
              </w:r>
              <w:r>
                <w:tab/>
              </w:r>
              <w:r>
                <w:tab/>
              </w:r>
              <w:r>
                <w:tab/>
              </w:r>
              <w:r>
                <w:tab/>
              </w:r>
              <w:hyperlink w:anchor="_Généralités" w:history="1">
                <w:r>
                  <w:rPr>
                    <w:rStyle w:val="Lienhypertexte"/>
                    <w:rFonts w:cstheme="minorBidi"/>
                  </w:rPr>
                  <w:t>Lien</w:t>
                </w:r>
              </w:hyperlink>
            </w:p>
            <w:p>
              <w:pPr>
                <w:ind w:left="284" w:hanging="284"/>
              </w:pPr>
              <w:r>
                <w:t>7. point 1.2.1.4.  Les absences non justifiées</w:t>
              </w:r>
              <w:r>
                <w:tab/>
              </w:r>
              <w:r>
                <w:tab/>
              </w:r>
              <w:r>
                <w:tab/>
              </w:r>
              <w:r>
                <w:tab/>
              </w:r>
              <w:r>
                <w:tab/>
              </w:r>
              <w:r>
                <w:tab/>
              </w:r>
              <w:r>
                <w:tab/>
              </w:r>
              <w:hyperlink w:anchor="_1.2.1.4._Les_absences" w:history="1">
                <w:r>
                  <w:rPr>
                    <w:rStyle w:val="Lienhypertexte"/>
                    <w:rFonts w:cstheme="minorBidi"/>
                  </w:rPr>
                  <w:t>Lien</w:t>
                </w:r>
              </w:hyperlink>
            </w:p>
            <w:p>
              <w:pPr>
                <w:ind w:left="284" w:hanging="284"/>
              </w:pPr>
              <w:r>
                <w:t xml:space="preserve">8. point 1.2.2.2. Signalement de l’absentéisme d’un élève à la DGEO </w:t>
              </w:r>
              <w:r>
                <w:tab/>
              </w:r>
              <w:r>
                <w:tab/>
              </w:r>
              <w:r>
                <w:tab/>
              </w:r>
              <w:r>
                <w:tab/>
              </w:r>
              <w:hyperlink w:anchor="_1.2.2.2._Signalement_de_1" w:history="1">
                <w:r>
                  <w:rPr>
                    <w:rStyle w:val="Lienhypertexte"/>
                    <w:rFonts w:cstheme="minorBidi"/>
                  </w:rPr>
                  <w:t>Lien</w:t>
                </w:r>
              </w:hyperlink>
            </w:p>
            <w:p>
              <w:pPr>
                <w:ind w:left="284" w:hanging="284"/>
                <w:rPr>
                  <w:rStyle w:val="Lienhypertexte"/>
                  <w:rFonts w:cstheme="minorBidi"/>
                </w:rPr>
              </w:pPr>
              <w:r>
                <w:t>9. point 1.2.3.1. Les intervenants de la Direction générale de l’Enseignement obligatoire</w:t>
              </w:r>
              <w:r>
                <w:tab/>
              </w:r>
              <w:hyperlink w:anchor="_1.2.3.1._Les_intervenants" w:history="1">
                <w:r>
                  <w:rPr>
                    <w:rStyle w:val="Lienhypertexte"/>
                    <w:rFonts w:cstheme="minorBidi"/>
                  </w:rPr>
                  <w:t>Lien</w:t>
                </w:r>
              </w:hyperlink>
            </w:p>
            <w:p>
              <w:pPr>
                <w:ind w:left="284" w:hanging="284"/>
              </w:pPr>
              <w:r>
                <w:t xml:space="preserve">10. point 1.3.2. Dans les établissements organisés par ma Fédération Wallonie-Bruxelles </w:t>
              </w:r>
              <w:r>
                <w:tab/>
              </w:r>
              <w:hyperlink w:anchor="_1.3.2._Dans_les" w:history="1">
                <w:r>
                  <w:rPr>
                    <w:rStyle w:val="Lienhypertexte"/>
                    <w:rFonts w:cstheme="minorBidi"/>
                  </w:rPr>
                  <w:t>Lien</w:t>
                </w:r>
              </w:hyperlink>
            </w:p>
            <w:p>
              <w:pPr>
                <w:ind w:left="284" w:hanging="284"/>
              </w:pPr>
              <w:r>
                <w:t>11. point 1.3.3.2.2. Procédure</w:t>
              </w:r>
              <w:r>
                <w:tab/>
              </w:r>
              <w:r>
                <w:tab/>
              </w:r>
              <w:r>
                <w:tab/>
              </w:r>
              <w:r>
                <w:tab/>
              </w:r>
              <w:r>
                <w:tab/>
              </w:r>
              <w:r>
                <w:tab/>
              </w:r>
              <w:r>
                <w:tab/>
              </w:r>
              <w:r>
                <w:tab/>
              </w:r>
              <w:r>
                <w:tab/>
              </w:r>
              <w:hyperlink w:anchor="_1.3.3.2.2_Procédure" w:history="1">
                <w:r>
                  <w:rPr>
                    <w:rStyle w:val="Lienhypertexte"/>
                    <w:rFonts w:cstheme="minorBidi"/>
                  </w:rPr>
                  <w:t>Lien</w:t>
                </w:r>
              </w:hyperlink>
            </w:p>
            <w:p>
              <w:pPr>
                <w:ind w:left="284" w:hanging="284"/>
              </w:pPr>
              <w:r>
                <w:t xml:space="preserve">12. point 1.3.3.2.7. Dans l’Enseignement subventionné par la Fédération Wallonie-Bruxelles </w:t>
              </w:r>
              <w:hyperlink w:anchor="_1.3.3.2.7._Dans_l’enseignement" w:history="1">
                <w:r>
                  <w:rPr>
                    <w:rStyle w:val="Lienhypertexte"/>
                    <w:rFonts w:cstheme="minorBidi"/>
                  </w:rPr>
                  <w:t>Lien</w:t>
                </w:r>
              </w:hyperlink>
            </w:p>
            <w:p>
              <w:pPr>
                <w:ind w:left="284" w:hanging="284"/>
              </w:pPr>
              <w:r>
                <w:t>13. point 1.4. Gratuité d’accès à l’enseignement</w:t>
              </w:r>
              <w:r>
                <w:tab/>
              </w:r>
              <w:r>
                <w:tab/>
              </w:r>
              <w:r>
                <w:tab/>
              </w:r>
              <w:r>
                <w:tab/>
              </w:r>
              <w:r>
                <w:tab/>
              </w:r>
              <w:r>
                <w:tab/>
              </w:r>
              <w:hyperlink w:anchor="_Gratuité_d’accès_à" w:history="1">
                <w:r>
                  <w:rPr>
                    <w:rStyle w:val="Lienhypertexte"/>
                    <w:rFonts w:cstheme="minorBidi"/>
                  </w:rPr>
                  <w:t>Lien</w:t>
                </w:r>
              </w:hyperlink>
            </w:p>
            <w:p>
              <w:pPr>
                <w:ind w:left="284" w:hanging="284"/>
              </w:pPr>
              <w:r>
                <w:t xml:space="preserve">14. point 1.5.2.2. Qui peut bénéficier de l’assistance en justice et/ou psychologique ? </w:t>
              </w:r>
              <w:r>
                <w:tab/>
              </w:r>
              <w:hyperlink w:anchor="_1.5.2.2._Qui_peut" w:history="1">
                <w:r>
                  <w:rPr>
                    <w:rStyle w:val="Lienhypertexte"/>
                    <w:rFonts w:cstheme="minorBidi"/>
                  </w:rPr>
                  <w:t>Lien</w:t>
                </w:r>
              </w:hyperlink>
            </w:p>
            <w:p>
              <w:pPr>
                <w:ind w:left="284" w:hanging="284"/>
              </w:pPr>
              <w:r>
                <w:t xml:space="preserve">15. point 2.1.4. Qu’est-ce que l’enseignement à domicile ? </w:t>
              </w:r>
              <w:r>
                <w:tab/>
              </w:r>
              <w:r>
                <w:tab/>
              </w:r>
              <w:r>
                <w:tab/>
              </w:r>
              <w:r>
                <w:tab/>
              </w:r>
              <w:r>
                <w:tab/>
              </w:r>
              <w:hyperlink w:anchor="_2.1.4._Qu’est-ce_que_1" w:history="1">
                <w:r>
                  <w:rPr>
                    <w:rStyle w:val="Lienhypertexte"/>
                    <w:rFonts w:cstheme="minorBidi"/>
                  </w:rPr>
                  <w:t>Lien</w:t>
                </w:r>
              </w:hyperlink>
            </w:p>
            <w:p>
              <w:pPr>
                <w:ind w:left="284" w:hanging="284"/>
              </w:pPr>
              <w:r>
                <w:t xml:space="preserve">16. point iv. Quels types d’aide apporte le service d’accrochage scolaire (SAS) aux jeunes ? </w:t>
              </w:r>
              <w:r>
                <w:tab/>
              </w:r>
              <w:hyperlink w:anchor="_Quels_types_d’aide" w:history="1">
                <w:r>
                  <w:rPr>
                    <w:rStyle w:val="Lienhypertexte"/>
                    <w:rFonts w:cstheme="minorBidi"/>
                  </w:rPr>
                  <w:t>Lien</w:t>
                </w:r>
              </w:hyperlink>
            </w:p>
            <w:p>
              <w:pPr>
                <w:ind w:left="284" w:hanging="284"/>
              </w:pPr>
              <w:r>
                <w:t xml:space="preserve">17. point i. Quelles sont les bases légales ? </w:t>
              </w:r>
              <w:r>
                <w:tab/>
              </w:r>
              <w:r>
                <w:tab/>
              </w:r>
              <w:r>
                <w:tab/>
              </w:r>
              <w:r>
                <w:tab/>
              </w:r>
              <w:r>
                <w:tab/>
              </w:r>
              <w:r>
                <w:tab/>
              </w:r>
              <w:r>
                <w:tab/>
              </w:r>
              <w:hyperlink w:anchor="_Quelles_sont_les" w:history="1">
                <w:r>
                  <w:rPr>
                    <w:rStyle w:val="Lienhypertexte"/>
                    <w:rFonts w:cstheme="minorBidi"/>
                  </w:rPr>
                  <w:t>Lien</w:t>
                </w:r>
              </w:hyperlink>
            </w:p>
            <w:p>
              <w:pPr>
                <w:ind w:left="284" w:hanging="284"/>
              </w:pPr>
              <w:r>
                <w:t xml:space="preserve">18. point iii. Le numéro vert « Assistance Ecoles » : Pour qui ? Pour quoi ? </w:t>
              </w:r>
              <w:r>
                <w:tab/>
              </w:r>
              <w:r>
                <w:tab/>
              </w:r>
              <w:r>
                <w:tab/>
              </w:r>
              <w:hyperlink w:anchor="_Le_numéro_vert" w:history="1">
                <w:r>
                  <w:rPr>
                    <w:rStyle w:val="Lienhypertexte"/>
                    <w:rFonts w:cstheme="minorBidi"/>
                  </w:rPr>
                  <w:t>Lien</w:t>
                </w:r>
              </w:hyperlink>
            </w:p>
            <w:p>
              <w:pPr>
                <w:ind w:left="284" w:hanging="284"/>
              </w:pPr>
              <w:r>
                <w:t>19. Annexes 1,2,3 et 4 verso : Mise à jour des personnes de contact</w:t>
              </w:r>
              <w:r>
                <w:tab/>
              </w:r>
              <w:r>
                <w:tab/>
              </w:r>
              <w:r>
                <w:tab/>
              </w:r>
              <w:r>
                <w:tab/>
              </w:r>
              <w:hyperlink w:anchor="_Annexe_1,_2,_1" w:history="1">
                <w:r>
                  <w:rPr>
                    <w:rStyle w:val="Lienhypertexte"/>
                    <w:rFonts w:cstheme="minorBidi"/>
                  </w:rPr>
                  <w:t>Lien</w:t>
                </w:r>
              </w:hyperlink>
            </w:p>
            <w:p>
              <w:pPr>
                <w:ind w:left="284" w:hanging="284"/>
              </w:pPr>
              <w:r>
                <w:t>20. Ajout Annexes 5, 5bis et 5ter </w:t>
              </w:r>
              <w:r>
                <w:tab/>
              </w:r>
              <w:r>
                <w:tab/>
              </w:r>
              <w:r>
                <w:tab/>
              </w:r>
              <w:r>
                <w:tab/>
              </w:r>
              <w:r>
                <w:tab/>
              </w:r>
              <w:r>
                <w:tab/>
              </w:r>
              <w:r>
                <w:tab/>
              </w:r>
              <w:r>
                <w:tab/>
              </w:r>
              <w:hyperlink w:anchor="_Annexe_5_:_1" w:history="1">
                <w:r>
                  <w:rPr>
                    <w:rStyle w:val="Lienhypertexte"/>
                    <w:rFonts w:cstheme="minorBidi"/>
                  </w:rPr>
                  <w:t>Lien</w:t>
                </w:r>
              </w:hyperlink>
              <w:r>
                <w:tab/>
              </w:r>
            </w:p>
            <w:p>
              <w:pPr>
                <w:ind w:left="284" w:hanging="284"/>
              </w:pPr>
              <w:r>
                <w:t>21. Annexe 7 : Mise à jour des coordonnées des Conseillers de l’Aide à la Jeunesse</w:t>
              </w:r>
              <w:r>
                <w:tab/>
              </w:r>
              <w:r>
                <w:tab/>
              </w:r>
              <w:hyperlink w:anchor="_Annexe_10_:_1" w:history="1">
                <w:r>
                  <w:rPr>
                    <w:rStyle w:val="Lienhypertexte"/>
                    <w:rFonts w:cstheme="minorBidi"/>
                  </w:rPr>
                  <w:t>Lien</w:t>
                </w:r>
              </w:hyperlink>
            </w:p>
            <w:p>
              <w:pPr>
                <w:ind w:left="284" w:hanging="284"/>
              </w:pPr>
              <w:r>
                <w:t>22. Annexe 11 et 12 Verso : Mise à jour des personnes de contact</w:t>
              </w:r>
              <w:r>
                <w:tab/>
              </w:r>
              <w:r>
                <w:tab/>
              </w:r>
              <w:r>
                <w:tab/>
              </w:r>
              <w:r>
                <w:tab/>
              </w:r>
              <w:hyperlink w:anchor="_Annexes_11_et" w:history="1">
                <w:r>
                  <w:rPr>
                    <w:rStyle w:val="Lienhypertexte"/>
                    <w:rFonts w:cstheme="minorBidi"/>
                  </w:rPr>
                  <w:t>Lien</w:t>
                </w:r>
                <w:r>
                  <w:rPr>
                    <w:rStyle w:val="Lienhypertexte"/>
                    <w:rFonts w:cstheme="minorBidi"/>
                    <w:u w:val="none"/>
                  </w:rPr>
                  <w:tab/>
                </w:r>
              </w:hyperlink>
            </w:p>
            <w:p>
              <w:pPr>
                <w:ind w:left="284" w:hanging="284"/>
              </w:pPr>
              <w:r>
                <w:t>23. Annexe 18 : Ajout de la Circulaire 6946</w:t>
              </w:r>
              <w:r>
                <w:tab/>
              </w:r>
              <w:r>
                <w:tab/>
              </w:r>
              <w:r>
                <w:tab/>
              </w:r>
              <w:r>
                <w:tab/>
              </w:r>
              <w:r>
                <w:tab/>
              </w:r>
              <w:r>
                <w:tab/>
              </w:r>
              <w:r>
                <w:tab/>
              </w:r>
              <w:hyperlink w:anchor="_Annexe_18_:" w:history="1">
                <w:r>
                  <w:rPr>
                    <w:rStyle w:val="Lienhypertexte"/>
                    <w:rFonts w:cstheme="minorBidi"/>
                  </w:rPr>
                  <w:t>Lien</w:t>
                </w:r>
              </w:hyperlink>
            </w:p>
            <w:p/>
            <w:p>
              <w:pPr>
                <w:rPr>
                  <w:b/>
                </w:rPr>
              </w:pPr>
              <w:r>
                <w:rPr>
                  <w:b/>
                </w:rPr>
                <w:t xml:space="preserve">Chapitre 2 : Rationalisation et programmation : </w:t>
              </w:r>
            </w:p>
            <w:p>
              <w:pPr>
                <w:pStyle w:val="Paragraphedeliste"/>
                <w:numPr>
                  <w:ilvl w:val="0"/>
                  <w:numId w:val="164"/>
                </w:numPr>
                <w:ind w:left="360"/>
                <w:rPr>
                  <w:rFonts w:asciiTheme="majorHAnsi" w:hAnsiTheme="majorHAnsi"/>
                  <w:sz w:val="22"/>
                  <w:szCs w:val="22"/>
                </w:rPr>
              </w:pPr>
              <w:r>
                <w:rPr>
                  <w:rFonts w:asciiTheme="majorHAnsi" w:hAnsiTheme="majorHAnsi"/>
                  <w:sz w:val="22"/>
                  <w:szCs w:val="22"/>
                </w:rPr>
                <w:t>point 1.3. Fusion d’écoles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3._Fusion_d'écoles" w:history="1">
                <w:r>
                  <w:rPr>
                    <w:rStyle w:val="Lienhypertexte"/>
                    <w:rFonts w:asciiTheme="majorHAnsi" w:hAnsiTheme="majorHAnsi" w:cs="Arial"/>
                    <w:color w:val="0070C0"/>
                    <w:sz w:val="22"/>
                    <w:szCs w:val="22"/>
                  </w:rPr>
                  <w:t>Lien</w:t>
                </w:r>
              </w:hyperlink>
            </w:p>
            <w:p>
              <w:pPr>
                <w:pStyle w:val="Paragraphedeliste"/>
                <w:numPr>
                  <w:ilvl w:val="0"/>
                  <w:numId w:val="164"/>
                </w:numPr>
                <w:ind w:left="360"/>
                <w:rPr>
                  <w:sz w:val="22"/>
                  <w:szCs w:val="22"/>
                </w:rPr>
              </w:pPr>
              <w:r>
                <w:rPr>
                  <w:rFonts w:asciiTheme="majorHAnsi" w:hAnsiTheme="majorHAnsi"/>
                  <w:sz w:val="22"/>
                  <w:szCs w:val="22"/>
                </w:rPr>
                <w:t>point 4.3. Programmation d’une nouvelle implantation. (Article 196)</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4.3._Programmation_d'une" w:history="1">
                <w:r>
                  <w:rPr>
                    <w:rStyle w:val="Lienhypertexte"/>
                    <w:rFonts w:asciiTheme="majorHAnsi" w:hAnsiTheme="majorHAnsi" w:cs="Arial"/>
                    <w:color w:val="0070C0"/>
                    <w:sz w:val="22"/>
                    <w:szCs w:val="22"/>
                  </w:rPr>
                  <w:t>Lien</w:t>
                </w:r>
              </w:hyperlink>
            </w:p>
            <w:p/>
            <w:p>
              <w:pPr>
                <w:rPr>
                  <w:b/>
                </w:rPr>
              </w:pPr>
              <w:r>
                <w:rPr>
                  <w:b/>
                </w:rPr>
                <w:t>Chapitre 3 : Admission aux subventions :</w:t>
              </w:r>
            </w:p>
            <w:p>
              <w:pPr>
                <w:pStyle w:val="Paragraphedeliste"/>
                <w:numPr>
                  <w:ilvl w:val="0"/>
                  <w:numId w:val="165"/>
                </w:numPr>
                <w:ind w:left="360"/>
                <w:rPr>
                  <w:rFonts w:asciiTheme="majorHAnsi" w:hAnsiTheme="majorHAnsi"/>
                  <w:sz w:val="22"/>
                  <w:szCs w:val="22"/>
                </w:rPr>
              </w:pPr>
              <w:r>
                <w:rPr>
                  <w:rFonts w:asciiTheme="majorHAnsi" w:hAnsiTheme="majorHAnsi"/>
                  <w:sz w:val="22"/>
                  <w:szCs w:val="22"/>
                </w:rPr>
                <w:t>point 1.1. Introduction d’une demande de subventionnement</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1._Introduction_d’une" w:history="1">
                <w:r>
                  <w:rPr>
                    <w:rStyle w:val="Lienhypertexte"/>
                    <w:rFonts w:asciiTheme="majorHAnsi" w:hAnsiTheme="majorHAnsi" w:cs="Arial"/>
                    <w:sz w:val="22"/>
                    <w:szCs w:val="22"/>
                  </w:rPr>
                  <w:t>Lien </w:t>
                </w:r>
              </w:hyperlink>
            </w:p>
            <w:p>
              <w:pPr>
                <w:rPr>
                  <w:b/>
                </w:rPr>
              </w:pPr>
            </w:p>
            <w:p>
              <w:pPr>
                <w:rPr>
                  <w:b/>
                </w:rPr>
              </w:pPr>
              <w:r>
                <w:rPr>
                  <w:b/>
                </w:rPr>
                <w:t>Chapitre 4 : Calendrier scolaire, suspension des cours et fermetures exceptionnelle :</w:t>
              </w:r>
            </w:p>
            <w:p>
              <w:pPr>
                <w:pStyle w:val="Paragraphedeliste"/>
                <w:numPr>
                  <w:ilvl w:val="0"/>
                  <w:numId w:val="166"/>
                </w:numPr>
                <w:ind w:left="360"/>
                <w:rPr>
                  <w:rFonts w:asciiTheme="majorHAnsi" w:hAnsiTheme="majorHAnsi"/>
                  <w:sz w:val="22"/>
                  <w:szCs w:val="22"/>
                </w:rPr>
              </w:pPr>
              <w:r>
                <w:rPr>
                  <w:rFonts w:asciiTheme="majorHAnsi" w:hAnsiTheme="majorHAnsi"/>
                  <w:sz w:val="22"/>
                  <w:szCs w:val="22"/>
                </w:rPr>
                <w:t xml:space="preserve">point 1. Calendrier scolaire 2019-2020.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_Calendrier_scolaire" w:history="1">
                <w:r>
                  <w:rPr>
                    <w:rStyle w:val="Lienhypertexte"/>
                    <w:rFonts w:asciiTheme="majorHAnsi" w:hAnsiTheme="majorHAnsi" w:cs="Arial"/>
                    <w:sz w:val="22"/>
                    <w:szCs w:val="22"/>
                  </w:rPr>
                  <w:t>Lien </w:t>
                </w:r>
              </w:hyperlink>
            </w:p>
            <w:p>
              <w:pPr>
                <w:pStyle w:val="Paragraphedeliste"/>
                <w:numPr>
                  <w:ilvl w:val="0"/>
                  <w:numId w:val="166"/>
                </w:numPr>
                <w:ind w:left="360"/>
                <w:rPr>
                  <w:rFonts w:asciiTheme="majorHAnsi" w:hAnsiTheme="majorHAnsi"/>
                  <w:sz w:val="22"/>
                  <w:szCs w:val="22"/>
                </w:rPr>
              </w:pPr>
              <w:r>
                <w:rPr>
                  <w:rFonts w:asciiTheme="majorHAnsi" w:hAnsiTheme="majorHAnsi"/>
                  <w:sz w:val="22"/>
                  <w:szCs w:val="22"/>
                </w:rPr>
                <w:t xml:space="preserve">point 2. Suspension de cours.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1._Principe_général" w:history="1">
                <w:r>
                  <w:rPr>
                    <w:rStyle w:val="Lienhypertexte"/>
                    <w:rFonts w:asciiTheme="majorHAnsi" w:hAnsiTheme="majorHAnsi" w:cs="Arial"/>
                    <w:sz w:val="22"/>
                    <w:szCs w:val="22"/>
                  </w:rPr>
                  <w:t>Lien </w:t>
                </w:r>
              </w:hyperlink>
            </w:p>
            <w:p/>
            <w:p>
              <w:pPr>
                <w:rPr>
                  <w:b/>
                </w:rPr>
              </w:pPr>
              <w:r>
                <w:rPr>
                  <w:b/>
                </w:rPr>
                <w:t>Chapitre 5 : Personnel directeur et enseignant des établissements et instituts d’enseignement spécialisé :</w:t>
              </w:r>
            </w:p>
            <w:p>
              <w:pPr>
                <w:pStyle w:val="Paragraphedeliste"/>
                <w:numPr>
                  <w:ilvl w:val="0"/>
                  <w:numId w:val="169"/>
                </w:numPr>
                <w:ind w:left="360"/>
                <w:rPr>
                  <w:rStyle w:val="Lienhypertexte"/>
                  <w:rFonts w:asciiTheme="majorHAnsi" w:hAnsiTheme="majorHAnsi" w:cs="Arial"/>
                  <w:color w:val="auto"/>
                  <w:sz w:val="22"/>
                  <w:szCs w:val="22"/>
                  <w:u w:val="none"/>
                </w:rPr>
              </w:pPr>
              <w:r>
                <w:rPr>
                  <w:rFonts w:asciiTheme="majorHAnsi" w:hAnsiTheme="majorHAnsi"/>
                  <w:sz w:val="22"/>
                  <w:szCs w:val="22"/>
                </w:rPr>
                <w:t xml:space="preserve">point 1.3. Capital-périodes utilisable.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t xml:space="preserve"> </w:t>
              </w:r>
              <w:r>
                <w:rPr>
                  <w:rFonts w:asciiTheme="majorHAnsi" w:hAnsiTheme="majorHAnsi"/>
                  <w:sz w:val="22"/>
                  <w:szCs w:val="22"/>
                </w:rPr>
                <w:tab/>
                <w:t xml:space="preserve">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3._Capital-périodes_utilisable" w:history="1">
                <w:r>
                  <w:rPr>
                    <w:rStyle w:val="Lienhypertexte"/>
                    <w:rFonts w:asciiTheme="majorHAnsi" w:hAnsiTheme="majorHAnsi" w:cs="Arial"/>
                    <w:sz w:val="22"/>
                    <w:szCs w:val="22"/>
                  </w:rPr>
                  <w:t>Lien </w:t>
                </w:r>
              </w:hyperlink>
            </w:p>
            <w:p>
              <w:pPr>
                <w:pStyle w:val="Paragraphedeliste"/>
                <w:numPr>
                  <w:ilvl w:val="0"/>
                  <w:numId w:val="169"/>
                </w:numPr>
                <w:ind w:left="360"/>
                <w:rPr>
                  <w:rFonts w:asciiTheme="majorHAnsi" w:hAnsiTheme="majorHAnsi"/>
                  <w:sz w:val="22"/>
                  <w:szCs w:val="22"/>
                </w:rPr>
              </w:pPr>
              <w:r>
                <w:rPr>
                  <w:rFonts w:asciiTheme="majorHAnsi" w:hAnsiTheme="majorHAnsi"/>
                  <w:sz w:val="22"/>
                  <w:szCs w:val="22"/>
                </w:rPr>
                <w:t>point 1.5. Augmentation de la population scolaire en cours d’année</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5._Augmentation_de_1" w:history="1">
                <w:r>
                  <w:rPr>
                    <w:rStyle w:val="Lienhypertexte"/>
                    <w:rFonts w:asciiTheme="majorHAnsi" w:hAnsiTheme="majorHAnsi" w:cs="Arial"/>
                    <w:sz w:val="22"/>
                    <w:szCs w:val="22"/>
                  </w:rPr>
                  <w:t>Lien</w:t>
                </w:r>
              </w:hyperlink>
            </w:p>
            <w:p>
              <w:pPr>
                <w:pStyle w:val="Paragraphedeliste"/>
                <w:numPr>
                  <w:ilvl w:val="0"/>
                  <w:numId w:val="169"/>
                </w:numPr>
                <w:ind w:left="360"/>
                <w:rPr>
                  <w:rFonts w:asciiTheme="majorHAnsi" w:hAnsiTheme="majorHAnsi"/>
                  <w:sz w:val="22"/>
                  <w:szCs w:val="22"/>
                </w:rPr>
              </w:pPr>
              <w:r>
                <w:rPr>
                  <w:rFonts w:asciiTheme="majorHAnsi" w:hAnsiTheme="majorHAnsi"/>
                  <w:sz w:val="22"/>
                  <w:szCs w:val="22"/>
                </w:rPr>
                <w:t>point 2.1. Sont imputées au capital-périodes</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1._Sont_imputées" w:history="1">
                <w:r>
                  <w:rPr>
                    <w:rStyle w:val="Lienhypertexte"/>
                    <w:rFonts w:asciiTheme="majorHAnsi" w:hAnsiTheme="majorHAnsi" w:cs="Arial"/>
                    <w:sz w:val="22"/>
                    <w:szCs w:val="22"/>
                  </w:rPr>
                  <w:t>Lien</w:t>
                </w:r>
              </w:hyperlink>
            </w:p>
            <w:p>
              <w:pPr>
                <w:pStyle w:val="Paragraphedeliste"/>
                <w:numPr>
                  <w:ilvl w:val="0"/>
                  <w:numId w:val="169"/>
                </w:numPr>
                <w:ind w:left="360"/>
                <w:rPr>
                  <w:rFonts w:asciiTheme="majorHAnsi" w:hAnsiTheme="majorHAnsi"/>
                  <w:sz w:val="22"/>
                  <w:szCs w:val="22"/>
                </w:rPr>
              </w:pPr>
              <w:r>
                <w:rPr>
                  <w:rFonts w:asciiTheme="majorHAnsi" w:hAnsiTheme="majorHAnsi"/>
                  <w:sz w:val="22"/>
                  <w:szCs w:val="22"/>
                </w:rPr>
                <w:t>point 2.2. Ne sont pas imputées au capital-périodes</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2._Ne_sont" w:history="1">
                <w:r>
                  <w:rPr>
                    <w:rStyle w:val="Lienhypertexte"/>
                    <w:rFonts w:asciiTheme="majorHAnsi" w:hAnsiTheme="majorHAnsi" w:cs="Arial"/>
                    <w:sz w:val="22"/>
                    <w:szCs w:val="22"/>
                  </w:rPr>
                  <w:t>Lien</w:t>
                </w:r>
              </w:hyperlink>
            </w:p>
            <w:p>
              <w:pPr>
                <w:pStyle w:val="Paragraphedeliste"/>
                <w:numPr>
                  <w:ilvl w:val="0"/>
                  <w:numId w:val="169"/>
                </w:numPr>
                <w:ind w:left="360"/>
                <w:rPr>
                  <w:rFonts w:asciiTheme="majorHAnsi" w:hAnsiTheme="majorHAnsi"/>
                  <w:sz w:val="22"/>
                  <w:szCs w:val="22"/>
                </w:rPr>
              </w:pPr>
              <w:r>
                <w:rPr>
                  <w:rFonts w:asciiTheme="majorHAnsi" w:hAnsiTheme="majorHAnsi"/>
                  <w:sz w:val="22"/>
                  <w:szCs w:val="22"/>
                </w:rPr>
                <w:t>point 2.4. Fonctions de recrutement</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4._Fonctions_de" w:history="1">
                <w:r>
                  <w:rPr>
                    <w:rStyle w:val="Lienhypertexte"/>
                    <w:rFonts w:asciiTheme="majorHAnsi" w:hAnsiTheme="majorHAnsi" w:cs="Arial"/>
                    <w:sz w:val="22"/>
                    <w:szCs w:val="22"/>
                  </w:rPr>
                  <w:t>Lien</w:t>
                </w:r>
              </w:hyperlink>
            </w:p>
            <w:p>
              <w:pPr>
                <w:pStyle w:val="Paragraphedeliste"/>
                <w:numPr>
                  <w:ilvl w:val="0"/>
                  <w:numId w:val="169"/>
                </w:numPr>
                <w:ind w:left="360"/>
                <w:rPr>
                  <w:rFonts w:asciiTheme="majorHAnsi" w:hAnsiTheme="majorHAnsi"/>
                  <w:sz w:val="22"/>
                  <w:szCs w:val="22"/>
                </w:rPr>
              </w:pPr>
              <w:r>
                <w:rPr>
                  <w:rFonts w:asciiTheme="majorHAnsi" w:hAnsiTheme="majorHAnsi"/>
                  <w:sz w:val="22"/>
                  <w:szCs w:val="22"/>
                </w:rPr>
                <w:t>point 2.4.1. Niveau maternel</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4.1_Niveau_maternel" w:history="1">
                <w:r>
                  <w:rPr>
                    <w:rStyle w:val="Lienhypertexte"/>
                    <w:rFonts w:asciiTheme="majorHAnsi" w:hAnsiTheme="majorHAnsi" w:cs="Arial"/>
                    <w:sz w:val="22"/>
                    <w:szCs w:val="22"/>
                  </w:rPr>
                  <w:t>Lien</w:t>
                </w:r>
              </w:hyperlink>
            </w:p>
            <w:p>
              <w:pPr>
                <w:pStyle w:val="Paragraphedeliste"/>
                <w:numPr>
                  <w:ilvl w:val="0"/>
                  <w:numId w:val="169"/>
                </w:numPr>
                <w:ind w:left="360"/>
                <w:rPr>
                  <w:rFonts w:asciiTheme="majorHAnsi" w:hAnsiTheme="majorHAnsi"/>
                  <w:sz w:val="22"/>
                  <w:szCs w:val="22"/>
                </w:rPr>
              </w:pPr>
              <w:r>
                <w:rPr>
                  <w:rFonts w:asciiTheme="majorHAnsi" w:hAnsiTheme="majorHAnsi"/>
                  <w:sz w:val="22"/>
                  <w:szCs w:val="22"/>
                </w:rPr>
                <w:t>point 2.4.2. Niveau primaire</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4.2_Niveau_primaire" w:history="1">
                <w:r>
                  <w:rPr>
                    <w:rStyle w:val="Lienhypertexte"/>
                    <w:rFonts w:asciiTheme="majorHAnsi" w:hAnsiTheme="majorHAnsi" w:cs="Arial"/>
                    <w:sz w:val="22"/>
                    <w:szCs w:val="22"/>
                  </w:rPr>
                  <w:t>Lien</w:t>
                </w:r>
              </w:hyperlink>
            </w:p>
            <w:p>
              <w:pPr>
                <w:pStyle w:val="Paragraphedeliste"/>
                <w:numPr>
                  <w:ilvl w:val="0"/>
                  <w:numId w:val="169"/>
                </w:numPr>
                <w:ind w:left="360"/>
                <w:rPr>
                  <w:rFonts w:asciiTheme="majorHAnsi" w:hAnsiTheme="majorHAnsi"/>
                  <w:sz w:val="22"/>
                  <w:szCs w:val="22"/>
                </w:rPr>
              </w:pPr>
              <w:r>
                <w:rPr>
                  <w:rFonts w:asciiTheme="majorHAnsi" w:hAnsiTheme="majorHAnsi"/>
                  <w:sz w:val="22"/>
                  <w:szCs w:val="22"/>
                </w:rPr>
                <w:t xml:space="preserve">point 2.4.6. Prestations du personnel enseignant de l’enseignement maternel spécialisé </w:t>
              </w:r>
              <w:hyperlink w:anchor="_2.4.6._Prestations_du" w:history="1">
                <w:r>
                  <w:rPr>
                    <w:rStyle w:val="Lienhypertexte"/>
                    <w:rFonts w:asciiTheme="majorHAnsi" w:hAnsiTheme="majorHAnsi" w:cs="Arial"/>
                    <w:sz w:val="22"/>
                    <w:szCs w:val="22"/>
                  </w:rPr>
                  <w:t>Lien</w:t>
                </w:r>
              </w:hyperlink>
            </w:p>
            <w:p>
              <w:pPr>
                <w:pStyle w:val="Paragraphedeliste"/>
                <w:numPr>
                  <w:ilvl w:val="0"/>
                  <w:numId w:val="169"/>
                </w:numPr>
                <w:ind w:left="360"/>
                <w:rPr>
                  <w:rFonts w:asciiTheme="majorHAnsi" w:hAnsiTheme="majorHAnsi"/>
                  <w:sz w:val="22"/>
                  <w:szCs w:val="22"/>
                </w:rPr>
              </w:pPr>
              <w:r>
                <w:rPr>
                  <w:rFonts w:asciiTheme="majorHAnsi" w:hAnsiTheme="majorHAnsi"/>
                  <w:sz w:val="22"/>
                  <w:szCs w:val="22"/>
                </w:rPr>
                <w:t xml:space="preserve">point 2.4.7. Prestations du personnel enseignant de l’enseignement primaire spécialisé </w:t>
              </w:r>
              <w:hyperlink w:anchor="_2.4.7._Prestations_du" w:history="1">
                <w:r>
                  <w:rPr>
                    <w:rStyle w:val="Lienhypertexte"/>
                    <w:rFonts w:asciiTheme="majorHAnsi" w:hAnsiTheme="majorHAnsi" w:cs="Arial"/>
                    <w:sz w:val="22"/>
                    <w:szCs w:val="22"/>
                  </w:rPr>
                  <w:t>Lien</w:t>
                </w:r>
              </w:hyperlink>
            </w:p>
            <w:p>
              <w:pPr>
                <w:pStyle w:val="Paragraphedeliste"/>
                <w:numPr>
                  <w:ilvl w:val="0"/>
                  <w:numId w:val="169"/>
                </w:numPr>
                <w:ind w:left="360"/>
                <w:rPr>
                  <w:rFonts w:asciiTheme="majorHAnsi" w:hAnsiTheme="majorHAnsi"/>
                  <w:sz w:val="22"/>
                  <w:szCs w:val="22"/>
                </w:rPr>
              </w:pPr>
              <w:r>
                <w:rPr>
                  <w:rFonts w:asciiTheme="majorHAnsi" w:hAnsiTheme="majorHAnsi"/>
                  <w:sz w:val="22"/>
                  <w:szCs w:val="22"/>
                </w:rPr>
                <w:t>point 2.4.9. Maîtres de travaux manuels</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4.9._Maîtres_de" w:history="1">
                <w:r>
                  <w:rPr>
                    <w:rStyle w:val="Lienhypertexte"/>
                    <w:rFonts w:asciiTheme="majorHAnsi" w:hAnsiTheme="majorHAnsi" w:cs="Arial"/>
                    <w:sz w:val="22"/>
                    <w:szCs w:val="22"/>
                  </w:rPr>
                  <w:t>Lien</w:t>
                </w:r>
              </w:hyperlink>
            </w:p>
            <w:p>
              <w:pPr>
                <w:pStyle w:val="Paragraphedeliste"/>
                <w:numPr>
                  <w:ilvl w:val="0"/>
                  <w:numId w:val="169"/>
                </w:numPr>
                <w:ind w:left="360"/>
                <w:rPr>
                  <w:rFonts w:asciiTheme="majorHAnsi" w:hAnsiTheme="majorHAnsi"/>
                  <w:sz w:val="22"/>
                  <w:szCs w:val="22"/>
                </w:rPr>
              </w:pPr>
              <w:r>
                <w:rPr>
                  <w:rFonts w:asciiTheme="majorHAnsi" w:hAnsiTheme="majorHAnsi"/>
                  <w:sz w:val="22"/>
                  <w:szCs w:val="22"/>
                </w:rPr>
                <w:t>point 2.5. Fonction de sélection et de promotion à l’exception des directeurs</w:t>
              </w:r>
              <w:r>
                <w:rPr>
                  <w:rFonts w:asciiTheme="majorHAnsi" w:hAnsiTheme="majorHAnsi"/>
                  <w:sz w:val="22"/>
                  <w:szCs w:val="22"/>
                </w:rPr>
                <w:tab/>
              </w:r>
              <w:r>
                <w:rPr>
                  <w:rFonts w:asciiTheme="majorHAnsi" w:hAnsiTheme="majorHAnsi"/>
                  <w:sz w:val="22"/>
                  <w:szCs w:val="22"/>
                </w:rPr>
                <w:tab/>
              </w:r>
              <w:hyperlink w:anchor="_2.5._Fonction_de" w:history="1">
                <w:r>
                  <w:rPr>
                    <w:rStyle w:val="Lienhypertexte"/>
                    <w:rFonts w:asciiTheme="majorHAnsi" w:hAnsiTheme="majorHAnsi" w:cs="Arial"/>
                    <w:sz w:val="22"/>
                    <w:szCs w:val="22"/>
                  </w:rPr>
                  <w:t>Lien</w:t>
                </w:r>
              </w:hyperlink>
              <w:r>
                <w:rPr>
                  <w:rFonts w:asciiTheme="majorHAnsi" w:hAnsiTheme="majorHAnsi"/>
                  <w:sz w:val="22"/>
                  <w:szCs w:val="22"/>
                </w:rPr>
                <w:t xml:space="preserve"> </w:t>
              </w:r>
            </w:p>
            <w:p>
              <w:pPr>
                <w:rPr>
                  <w:b/>
                </w:rPr>
              </w:pPr>
            </w:p>
            <w:p>
              <w:pPr>
                <w:rPr>
                  <w:b/>
                </w:rPr>
              </w:pPr>
              <w:r>
                <w:rPr>
                  <w:b/>
                </w:rPr>
                <w:t>Chapitre 6 : Personnels administratif et auxiliaire d’éducation :</w:t>
              </w:r>
            </w:p>
            <w:p>
              <w:pPr>
                <w:pStyle w:val="Paragraphedeliste"/>
                <w:numPr>
                  <w:ilvl w:val="0"/>
                  <w:numId w:val="200"/>
                </w:numPr>
                <w:ind w:left="284" w:hanging="284"/>
                <w:rPr>
                  <w:rFonts w:asciiTheme="majorHAnsi" w:hAnsiTheme="majorHAnsi"/>
                  <w:sz w:val="22"/>
                  <w:szCs w:val="22"/>
                </w:rPr>
              </w:pPr>
              <w:r>
                <w:rPr>
                  <w:rFonts w:asciiTheme="majorHAnsi" w:hAnsiTheme="majorHAnsi"/>
                  <w:sz w:val="22"/>
                  <w:szCs w:val="22"/>
                </w:rPr>
                <w:t>Modification de la base légale</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t> </w:t>
              </w:r>
              <w:r>
                <w:rPr>
                  <w:rFonts w:asciiTheme="majorHAnsi" w:hAnsiTheme="majorHAnsi"/>
                  <w:sz w:val="22"/>
                  <w:szCs w:val="22"/>
                </w:rPr>
                <w:tab/>
              </w:r>
              <w:hyperlink w:anchor="_3.2.1_Comment_déterminer" w:history="1">
                <w:r>
                  <w:rPr>
                    <w:rStyle w:val="Lienhypertexte"/>
                    <w:rFonts w:asciiTheme="majorHAnsi" w:hAnsiTheme="majorHAnsi" w:cs="Arial"/>
                    <w:sz w:val="22"/>
                    <w:szCs w:val="22"/>
                  </w:rPr>
                  <w:t>Lien</w:t>
                </w:r>
              </w:hyperlink>
            </w:p>
            <w:p>
              <w:pPr>
                <w:pStyle w:val="Paragraphedeliste"/>
                <w:numPr>
                  <w:ilvl w:val="0"/>
                  <w:numId w:val="200"/>
                </w:numPr>
                <w:ind w:left="284" w:hanging="284"/>
                <w:rPr>
                  <w:rStyle w:val="Lienhypertexte"/>
                  <w:rFonts w:asciiTheme="majorHAnsi" w:hAnsiTheme="majorHAnsi" w:cs="Arial"/>
                  <w:color w:val="auto"/>
                  <w:sz w:val="22"/>
                  <w:szCs w:val="22"/>
                  <w:u w:val="none"/>
                </w:rPr>
              </w:pPr>
              <w:r>
                <w:rPr>
                  <w:rFonts w:asciiTheme="majorHAnsi" w:hAnsiTheme="majorHAnsi"/>
                  <w:sz w:val="22"/>
                  <w:szCs w:val="22"/>
                </w:rPr>
                <w:t>point 1.4. Augmentation du capital-périodes</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4._Augmentation_du" w:history="1">
                <w:r>
                  <w:rPr>
                    <w:rStyle w:val="Lienhypertexte"/>
                    <w:rFonts w:asciiTheme="majorHAnsi" w:hAnsiTheme="majorHAnsi" w:cs="Arial"/>
                    <w:sz w:val="22"/>
                    <w:szCs w:val="22"/>
                  </w:rPr>
                  <w:t>Lien</w:t>
                </w:r>
              </w:hyperlink>
            </w:p>
            <w:p>
              <w:pPr>
                <w:pStyle w:val="Paragraphedeliste"/>
                <w:numPr>
                  <w:ilvl w:val="0"/>
                  <w:numId w:val="200"/>
                </w:numPr>
                <w:ind w:left="284" w:hanging="284"/>
                <w:rPr>
                  <w:rFonts w:asciiTheme="majorHAnsi" w:hAnsiTheme="majorHAnsi"/>
                  <w:sz w:val="22"/>
                  <w:szCs w:val="22"/>
                </w:rPr>
              </w:pPr>
              <w:r>
                <w:rPr>
                  <w:rFonts w:asciiTheme="majorHAnsi" w:hAnsiTheme="majorHAnsi"/>
                  <w:sz w:val="22"/>
                  <w:szCs w:val="22"/>
                </w:rPr>
                <w:t>point 4. Détermination d’une charge complète</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4._Détermination_d’une" w:history="1">
                <w:r>
                  <w:rPr>
                    <w:rStyle w:val="Lienhypertexte"/>
                    <w:rFonts w:asciiTheme="majorHAnsi" w:hAnsiTheme="majorHAnsi" w:cs="Arial"/>
                    <w:sz w:val="22"/>
                    <w:szCs w:val="22"/>
                  </w:rPr>
                  <w:t>Lien</w:t>
                </w:r>
              </w:hyperlink>
            </w:p>
            <w:p>
              <w:pPr>
                <w:rPr>
                  <w:b/>
                </w:rPr>
              </w:pPr>
            </w:p>
            <w:p>
              <w:pPr>
                <w:rPr>
                  <w:b/>
                </w:rPr>
              </w:pPr>
              <w:r>
                <w:rPr>
                  <w:b/>
                </w:rPr>
                <w:t>Chapitre 7 : Personnel paramédical, social et psychologique fonctionnant pendant la journée scolaire :</w:t>
              </w:r>
            </w:p>
            <w:p>
              <w:pPr>
                <w:pStyle w:val="Paragraphedeliste"/>
                <w:numPr>
                  <w:ilvl w:val="0"/>
                  <w:numId w:val="235"/>
                </w:numPr>
                <w:ind w:left="426"/>
                <w:rPr>
                  <w:rStyle w:val="Lienhypertexte"/>
                  <w:rFonts w:asciiTheme="majorHAnsi" w:hAnsiTheme="majorHAnsi" w:cs="Arial"/>
                  <w:color w:val="auto"/>
                  <w:sz w:val="22"/>
                  <w:szCs w:val="22"/>
                  <w:u w:val="none"/>
                </w:rPr>
              </w:pPr>
              <w:r>
                <w:rPr>
                  <w:rFonts w:asciiTheme="majorHAnsi" w:hAnsiTheme="majorHAnsi"/>
                  <w:sz w:val="22"/>
                  <w:szCs w:val="22"/>
                </w:rPr>
                <w:t>point 2.4. Capital-périodes utilisable</w:t>
              </w:r>
              <w:r>
                <w:rPr>
                  <w:rFonts w:asciiTheme="majorHAnsi" w:hAnsiTheme="majorHAnsi"/>
                  <w:sz w:val="22"/>
                  <w:szCs w:val="22"/>
                </w:rPr>
                <w:tab/>
              </w:r>
              <w:r>
                <w:rPr>
                  <w:rFonts w:asciiTheme="majorHAnsi" w:hAnsiTheme="majorHAnsi"/>
                  <w:sz w:val="22"/>
                  <w:szCs w:val="22"/>
                </w:rPr>
                <w:tab/>
                <w:t xml:space="preserve">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3._Plages-horaire" w:history="1"/>
              <w:r>
                <w:tab/>
              </w:r>
              <w:r>
                <w:tab/>
              </w:r>
              <w:hyperlink w:anchor="_1.3._Capital-périodes_utilisable_1" w:history="1">
                <w:r>
                  <w:rPr>
                    <w:rStyle w:val="Lienhypertexte"/>
                    <w:rFonts w:asciiTheme="majorHAnsi" w:hAnsiTheme="majorHAnsi" w:cs="Arial"/>
                    <w:sz w:val="22"/>
                    <w:szCs w:val="22"/>
                  </w:rPr>
                  <w:t>Lien</w:t>
                </w:r>
              </w:hyperlink>
            </w:p>
            <w:p>
              <w:pPr>
                <w:pStyle w:val="Paragraphedeliste"/>
                <w:numPr>
                  <w:ilvl w:val="0"/>
                  <w:numId w:val="235"/>
                </w:numPr>
                <w:ind w:left="426"/>
                <w:rPr>
                  <w:rFonts w:asciiTheme="majorHAnsi" w:hAnsiTheme="majorHAnsi"/>
                  <w:sz w:val="24"/>
                  <w:szCs w:val="22"/>
                </w:rPr>
              </w:pPr>
              <w:r>
                <w:rPr>
                  <w:rFonts w:asciiTheme="majorHAnsi" w:hAnsiTheme="majorHAnsi"/>
                  <w:sz w:val="22"/>
                </w:rPr>
                <w:t xml:space="preserve">point 2.5. Augmentation du capital-périodes </w:t>
              </w:r>
              <w:r>
                <w:rPr>
                  <w:rFonts w:asciiTheme="majorHAnsi" w:hAnsiTheme="majorHAnsi"/>
                  <w:sz w:val="24"/>
                  <w:szCs w:val="22"/>
                </w:rPr>
                <w:tab/>
              </w:r>
              <w:r>
                <w:rPr>
                  <w:rFonts w:asciiTheme="majorHAnsi" w:hAnsiTheme="majorHAnsi"/>
                  <w:sz w:val="24"/>
                  <w:szCs w:val="22"/>
                </w:rPr>
                <w:tab/>
              </w:r>
              <w:r>
                <w:rPr>
                  <w:rFonts w:asciiTheme="majorHAnsi" w:hAnsiTheme="majorHAnsi"/>
                  <w:sz w:val="24"/>
                  <w:szCs w:val="22"/>
                </w:rPr>
                <w:tab/>
              </w:r>
              <w:r>
                <w:rPr>
                  <w:rFonts w:asciiTheme="majorHAnsi" w:hAnsiTheme="majorHAnsi"/>
                  <w:sz w:val="24"/>
                  <w:szCs w:val="22"/>
                </w:rPr>
                <w:tab/>
              </w:r>
              <w:r>
                <w:rPr>
                  <w:rFonts w:asciiTheme="majorHAnsi" w:hAnsiTheme="majorHAnsi"/>
                  <w:sz w:val="24"/>
                  <w:szCs w:val="22"/>
                </w:rPr>
                <w:tab/>
              </w:r>
              <w:r>
                <w:rPr>
                  <w:rFonts w:asciiTheme="majorHAnsi" w:hAnsiTheme="majorHAnsi"/>
                  <w:sz w:val="24"/>
                  <w:szCs w:val="22"/>
                </w:rPr>
                <w:tab/>
              </w:r>
              <w:hyperlink w:anchor="_2.5._Augmentation_du" w:history="1">
                <w:r>
                  <w:rPr>
                    <w:rStyle w:val="Lienhypertexte"/>
                    <w:rFonts w:asciiTheme="majorHAnsi" w:hAnsiTheme="majorHAnsi" w:cs="Arial"/>
                    <w:sz w:val="24"/>
                    <w:szCs w:val="22"/>
                  </w:rPr>
                  <w:t>Lien</w:t>
                </w:r>
              </w:hyperlink>
            </w:p>
            <w:p>
              <w:pPr>
                <w:pStyle w:val="Paragraphedeliste"/>
                <w:numPr>
                  <w:ilvl w:val="0"/>
                  <w:numId w:val="235"/>
                </w:numPr>
                <w:ind w:left="426"/>
                <w:rPr>
                  <w:rFonts w:asciiTheme="majorHAnsi" w:hAnsiTheme="majorHAnsi"/>
                  <w:sz w:val="24"/>
                  <w:szCs w:val="22"/>
                </w:rPr>
              </w:pPr>
              <w:r>
                <w:rPr>
                  <w:rFonts w:asciiTheme="majorHAnsi" w:hAnsiTheme="majorHAnsi"/>
                  <w:sz w:val="24"/>
                  <w:szCs w:val="22"/>
                </w:rPr>
                <w:t>point 3. Horaires</w:t>
              </w:r>
              <w:r>
                <w:rPr>
                  <w:rFonts w:asciiTheme="majorHAnsi" w:hAnsiTheme="majorHAnsi"/>
                  <w:sz w:val="24"/>
                  <w:szCs w:val="22"/>
                </w:rPr>
                <w:tab/>
              </w:r>
              <w:r>
                <w:rPr>
                  <w:rFonts w:asciiTheme="majorHAnsi" w:hAnsiTheme="majorHAnsi"/>
                  <w:sz w:val="24"/>
                  <w:szCs w:val="22"/>
                </w:rPr>
                <w:tab/>
              </w:r>
              <w:r>
                <w:rPr>
                  <w:rFonts w:asciiTheme="majorHAnsi" w:hAnsiTheme="majorHAnsi"/>
                  <w:sz w:val="24"/>
                  <w:szCs w:val="22"/>
                </w:rPr>
                <w:tab/>
              </w:r>
              <w:r>
                <w:rPr>
                  <w:rFonts w:asciiTheme="majorHAnsi" w:hAnsiTheme="majorHAnsi"/>
                  <w:sz w:val="24"/>
                  <w:szCs w:val="22"/>
                </w:rPr>
                <w:tab/>
              </w:r>
              <w:r>
                <w:rPr>
                  <w:rFonts w:asciiTheme="majorHAnsi" w:hAnsiTheme="majorHAnsi"/>
                  <w:sz w:val="24"/>
                  <w:szCs w:val="22"/>
                </w:rPr>
                <w:tab/>
              </w:r>
              <w:r>
                <w:rPr>
                  <w:rFonts w:asciiTheme="majorHAnsi" w:hAnsiTheme="majorHAnsi"/>
                  <w:sz w:val="24"/>
                  <w:szCs w:val="22"/>
                </w:rPr>
                <w:tab/>
              </w:r>
              <w:r>
                <w:rPr>
                  <w:rFonts w:asciiTheme="majorHAnsi" w:hAnsiTheme="majorHAnsi"/>
                  <w:sz w:val="24"/>
                  <w:szCs w:val="22"/>
                </w:rPr>
                <w:tab/>
              </w:r>
              <w:r>
                <w:rPr>
                  <w:rFonts w:asciiTheme="majorHAnsi" w:hAnsiTheme="majorHAnsi"/>
                  <w:sz w:val="24"/>
                  <w:szCs w:val="22"/>
                </w:rPr>
                <w:tab/>
              </w:r>
              <w:r>
                <w:rPr>
                  <w:rFonts w:asciiTheme="majorHAnsi" w:hAnsiTheme="majorHAnsi"/>
                  <w:sz w:val="24"/>
                  <w:szCs w:val="22"/>
                </w:rPr>
                <w:tab/>
              </w:r>
              <w:hyperlink w:anchor="_3._Horaires" w:history="1">
                <w:r>
                  <w:rPr>
                    <w:rStyle w:val="Lienhypertexte"/>
                    <w:rFonts w:asciiTheme="majorHAnsi" w:hAnsiTheme="majorHAnsi" w:cs="Arial"/>
                    <w:sz w:val="24"/>
                    <w:szCs w:val="22"/>
                  </w:rPr>
                  <w:t>Lien</w:t>
                </w:r>
              </w:hyperlink>
            </w:p>
            <w:p>
              <w:pPr>
                <w:rPr>
                  <w:b/>
                </w:rPr>
              </w:pPr>
            </w:p>
            <w:p>
              <w:pPr>
                <w:rPr>
                  <w:b/>
                </w:rPr>
              </w:pPr>
              <w:r>
                <w:rPr>
                  <w:b/>
                </w:rPr>
                <w:t>Chapitre 9 : Du Conseil de classe, du Plan Individuel d’Apprentissage (P.I.A.) et des procédures de recours :</w:t>
              </w:r>
            </w:p>
            <w:p>
              <w:pPr>
                <w:pStyle w:val="Paragraphedeliste"/>
                <w:numPr>
                  <w:ilvl w:val="0"/>
                  <w:numId w:val="236"/>
                </w:numPr>
                <w:ind w:left="426"/>
                <w:rPr>
                  <w:rFonts w:asciiTheme="majorHAnsi" w:hAnsiTheme="majorHAnsi"/>
                  <w:sz w:val="22"/>
                  <w:szCs w:val="22"/>
                </w:rPr>
              </w:pPr>
              <w:r>
                <w:rPr>
                  <w:rFonts w:asciiTheme="majorHAnsi" w:hAnsiTheme="majorHAnsi"/>
                  <w:sz w:val="22"/>
                  <w:szCs w:val="22"/>
                </w:rPr>
                <w:t xml:space="preserve">point 2. Certificat d’étude de bas (CEB) – Recours contre le refus d’octroi </w:t>
              </w:r>
              <w:r>
                <w:rPr>
                  <w:rFonts w:asciiTheme="majorHAnsi" w:hAnsiTheme="majorHAnsi"/>
                  <w:sz w:val="22"/>
                  <w:szCs w:val="22"/>
                </w:rPr>
                <w:tab/>
              </w:r>
              <w:r>
                <w:rPr>
                  <w:rFonts w:asciiTheme="majorHAnsi" w:hAnsiTheme="majorHAnsi"/>
                  <w:sz w:val="22"/>
                  <w:szCs w:val="22"/>
                </w:rPr>
                <w:tab/>
              </w:r>
              <w:hyperlink w:anchor="_2._Certificat_d’études" w:history="1">
                <w:r>
                  <w:rPr>
                    <w:rStyle w:val="Lienhypertexte"/>
                    <w:rFonts w:asciiTheme="majorHAnsi" w:hAnsiTheme="majorHAnsi" w:cs="Arial"/>
                    <w:sz w:val="22"/>
                    <w:szCs w:val="22"/>
                  </w:rPr>
                  <w:t>Lien</w:t>
                </w:r>
              </w:hyperlink>
            </w:p>
            <w:p/>
            <w:p>
              <w:pPr>
                <w:rPr>
                  <w:b/>
                </w:rPr>
              </w:pPr>
              <w:r>
                <w:rPr>
                  <w:b/>
                </w:rPr>
                <w:t>Chapitre 10 : Personnel affecté dans le cadre des internats et homes d’accueil organisés par la Fédération Wallonie-Bruxelles :</w:t>
              </w:r>
            </w:p>
            <w:p>
              <w:pPr>
                <w:pStyle w:val="Paragraphedeliste"/>
                <w:numPr>
                  <w:ilvl w:val="0"/>
                  <w:numId w:val="167"/>
                </w:numPr>
                <w:ind w:left="360"/>
                <w:rPr>
                  <w:rFonts w:asciiTheme="majorHAnsi" w:hAnsiTheme="majorHAnsi"/>
                  <w:sz w:val="22"/>
                  <w:szCs w:val="22"/>
                </w:rPr>
              </w:pPr>
              <w:r>
                <w:rPr>
                  <w:rFonts w:asciiTheme="majorHAnsi" w:hAnsiTheme="majorHAnsi"/>
                  <w:sz w:val="22"/>
                  <w:szCs w:val="22"/>
                </w:rPr>
                <w:t>Mise à jour de la base légale</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Chapitre_10_:" w:history="1">
                <w:r>
                  <w:rPr>
                    <w:rStyle w:val="Lienhypertexte"/>
                    <w:rFonts w:asciiTheme="majorHAnsi" w:hAnsiTheme="majorHAnsi" w:cs="Arial"/>
                    <w:sz w:val="22"/>
                    <w:szCs w:val="22"/>
                  </w:rPr>
                  <w:t>Lien</w:t>
                </w:r>
              </w:hyperlink>
            </w:p>
            <w:p>
              <w:pPr>
                <w:pStyle w:val="Paragraphedeliste"/>
                <w:numPr>
                  <w:ilvl w:val="0"/>
                  <w:numId w:val="167"/>
                </w:numPr>
                <w:ind w:left="360"/>
                <w:rPr>
                  <w:rFonts w:asciiTheme="majorHAnsi" w:hAnsiTheme="majorHAnsi"/>
                  <w:sz w:val="22"/>
                  <w:szCs w:val="22"/>
                </w:rPr>
              </w:pPr>
              <w:r>
                <w:rPr>
                  <w:rFonts w:asciiTheme="majorHAnsi" w:hAnsiTheme="majorHAnsi"/>
                  <w:sz w:val="22"/>
                  <w:szCs w:val="22"/>
                </w:rPr>
                <w:t xml:space="preserve">point 5. Travail collaboratif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5._Travail_collaboratif" w:history="1">
                <w:r>
                  <w:rPr>
                    <w:rStyle w:val="Lienhypertexte"/>
                    <w:rFonts w:asciiTheme="majorHAnsi" w:hAnsiTheme="majorHAnsi" w:cs="Arial"/>
                    <w:sz w:val="22"/>
                    <w:szCs w:val="22"/>
                  </w:rPr>
                  <w:t>Lien</w:t>
                </w:r>
              </w:hyperlink>
            </w:p>
            <w:p/>
            <w:p>
              <w:pPr>
                <w:rPr>
                  <w:b/>
                </w:rPr>
              </w:pPr>
              <w:r>
                <w:rPr>
                  <w:b/>
                </w:rPr>
                <w:t>Chapitre 11 : Homes d’accueil permanent organisés par la Fédération Wallonie-Bruxelles</w:t>
              </w:r>
            </w:p>
            <w:p>
              <w:pPr>
                <w:rPr>
                  <w:rStyle w:val="Lienhypertexte"/>
                  <w:rFonts w:eastAsia="Times New Roman" w:cs="Arial"/>
                  <w:color w:val="auto"/>
                  <w:u w:val="none"/>
                  <w:lang w:eastAsia="ar-SA"/>
                </w:rPr>
              </w:pPr>
              <w:r>
                <w:rPr>
                  <w:rStyle w:val="Lienhypertexte"/>
                  <w:rFonts w:eastAsia="Times New Roman" w:cs="Arial"/>
                  <w:color w:val="auto"/>
                  <w:u w:val="none"/>
                  <w:lang w:eastAsia="ar-SA"/>
                </w:rPr>
                <w:t>1. Modification de la base légale</w:t>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hyperlink w:anchor="_Chapitre_11_:" w:history="1">
                <w:r>
                  <w:rPr>
                    <w:rStyle w:val="Lienhypertexte"/>
                    <w:rFonts w:eastAsia="Times New Roman" w:cs="Arial"/>
                    <w:lang w:eastAsia="ar-SA"/>
                  </w:rPr>
                  <w:t>Lien</w:t>
                </w:r>
              </w:hyperlink>
            </w:p>
            <w:p>
              <w:pPr>
                <w:rPr>
                  <w:rStyle w:val="Lienhypertexte"/>
                  <w:rFonts w:eastAsia="Times New Roman" w:cs="Arial"/>
                  <w:color w:val="auto"/>
                  <w:u w:val="none"/>
                  <w:lang w:eastAsia="ar-SA"/>
                </w:rPr>
              </w:pPr>
              <w:r>
                <w:rPr>
                  <w:rStyle w:val="Lienhypertexte"/>
                  <w:rFonts w:eastAsia="Times New Roman" w:cs="Arial"/>
                  <w:color w:val="auto"/>
                  <w:u w:val="none"/>
                  <w:lang w:eastAsia="ar-SA"/>
                </w:rPr>
                <w:t>2. point 1. Ouverture des homes d’accueil permanent</w:t>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hyperlink w:anchor="_1._Ouverture_des" w:history="1">
                <w:r>
                  <w:rPr>
                    <w:rStyle w:val="Lienhypertexte"/>
                    <w:rFonts w:eastAsia="Times New Roman" w:cs="Arial"/>
                    <w:lang w:eastAsia="ar-SA"/>
                  </w:rPr>
                  <w:t>Lien</w:t>
                </w:r>
              </w:hyperlink>
            </w:p>
            <w:p>
              <w:pPr>
                <w:rPr>
                  <w:rStyle w:val="Lienhypertexte"/>
                  <w:rFonts w:eastAsia="Times New Roman" w:cs="Arial"/>
                  <w:color w:val="auto"/>
                  <w:u w:val="none"/>
                  <w:lang w:eastAsia="ar-SA"/>
                </w:rPr>
              </w:pPr>
              <w:r>
                <w:rPr>
                  <w:rStyle w:val="Lienhypertexte"/>
                  <w:rFonts w:eastAsia="Times New Roman" w:cs="Arial"/>
                  <w:color w:val="auto"/>
                  <w:u w:val="none"/>
                  <w:lang w:eastAsia="ar-SA"/>
                </w:rPr>
                <w:t>3. point 2. Capital-périodes complémentaire</w:t>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hyperlink w:anchor="__RefHeading__223_957262308" w:history="1">
                <w:r>
                  <w:rPr>
                    <w:rStyle w:val="Lienhypertexte"/>
                    <w:rFonts w:eastAsia="Times New Roman" w:cs="Arial"/>
                    <w:lang w:eastAsia="ar-SA"/>
                  </w:rPr>
                  <w:t>Lien</w:t>
                </w:r>
              </w:hyperlink>
            </w:p>
            <w:p>
              <w:pPr>
                <w:rPr>
                  <w:rStyle w:val="Lienhypertexte"/>
                  <w:rFonts w:eastAsia="Times New Roman" w:cs="Arial"/>
                  <w:color w:val="auto"/>
                  <w:u w:val="none"/>
                  <w:lang w:eastAsia="ar-SA"/>
                </w:rPr>
              </w:pPr>
              <w:r>
                <w:rPr>
                  <w:rStyle w:val="Lienhypertexte"/>
                  <w:rFonts w:eastAsia="Times New Roman" w:cs="Arial"/>
                  <w:color w:val="auto"/>
                  <w:u w:val="none"/>
                  <w:lang w:eastAsia="ar-SA"/>
                </w:rPr>
                <w:t>4. point 5. Travail collaboratif</w:t>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hyperlink w:anchor="_5._Travail_collaboratif_1" w:history="1">
                <w:r>
                  <w:rPr>
                    <w:rStyle w:val="Lienhypertexte"/>
                    <w:rFonts w:eastAsia="Times New Roman" w:cs="Arial"/>
                    <w:lang w:eastAsia="ar-SA"/>
                  </w:rPr>
                  <w:t>Lien</w:t>
                </w:r>
              </w:hyperlink>
            </w:p>
            <w:p>
              <w:pPr>
                <w:rPr>
                  <w:rStyle w:val="Lienhypertexte"/>
                  <w:rFonts w:eastAsia="Times New Roman" w:cs="Arial"/>
                  <w:color w:val="auto"/>
                  <w:u w:val="none"/>
                  <w:lang w:eastAsia="ar-SA"/>
                </w:rPr>
              </w:pPr>
            </w:p>
            <w:p>
              <w:pPr>
                <w:rPr>
                  <w:rStyle w:val="Lienhypertexte"/>
                  <w:rFonts w:eastAsia="Times New Roman" w:cs="Arial"/>
                  <w:b/>
                  <w:color w:val="auto"/>
                  <w:u w:val="none"/>
                  <w:lang w:eastAsia="ar-SA"/>
                </w:rPr>
              </w:pPr>
              <w:r>
                <w:rPr>
                  <w:rStyle w:val="Lienhypertexte"/>
                  <w:rFonts w:eastAsia="Times New Roman" w:cs="Arial"/>
                  <w:b/>
                  <w:color w:val="auto"/>
                  <w:u w:val="none"/>
                  <w:lang w:eastAsia="ar-SA"/>
                </w:rPr>
                <w:t xml:space="preserve">Chapitre 12 : Formalités administratives pour les élèves fréquentant l’enseignement spécialisé de type 5 </w:t>
              </w:r>
            </w:p>
            <w:p>
              <w:pPr>
                <w:rPr>
                  <w:rStyle w:val="Lienhypertexte"/>
                  <w:rFonts w:eastAsia="Times New Roman" w:cs="Arial"/>
                  <w:color w:val="auto"/>
                  <w:u w:val="none"/>
                  <w:lang w:eastAsia="ar-SA"/>
                </w:rPr>
              </w:pPr>
              <w:r>
                <w:rPr>
                  <w:rStyle w:val="Lienhypertexte"/>
                  <w:rFonts w:eastAsia="Times New Roman" w:cs="Arial"/>
                  <w:color w:val="auto"/>
                  <w:u w:val="none"/>
                  <w:lang w:eastAsia="ar-SA"/>
                </w:rPr>
                <w:t>1. point 4. Disposition afférents au calcul du capital-périodes dans les établissements scolaires organisant l’enseignement spécialisé de type 5</w:t>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r>
                <w:rPr>
                  <w:rStyle w:val="Lienhypertexte"/>
                  <w:rFonts w:eastAsia="Times New Roman" w:cs="Arial"/>
                  <w:color w:val="auto"/>
                  <w:u w:val="none"/>
                  <w:lang w:eastAsia="ar-SA"/>
                </w:rPr>
                <w:tab/>
              </w:r>
              <w:hyperlink w:anchor="_4._Dispositions_afférentes" w:history="1">
                <w:r>
                  <w:rPr>
                    <w:rStyle w:val="Lienhypertexte"/>
                    <w:rFonts w:eastAsia="Times New Roman" w:cs="Arial"/>
                    <w:lang w:eastAsia="ar-SA"/>
                  </w:rPr>
                  <w:t>Lien</w:t>
                </w:r>
              </w:hyperlink>
            </w:p>
            <w:p/>
            <w:p>
              <w:r>
                <w:rPr>
                  <w:b/>
                </w:rPr>
                <w:t>Chapitre 13 : Intégrations </w:t>
              </w:r>
            </w:p>
            <w:p>
              <w:pPr>
                <w:pStyle w:val="Paragraphedeliste"/>
                <w:numPr>
                  <w:ilvl w:val="0"/>
                  <w:numId w:val="170"/>
                </w:numPr>
                <w:ind w:left="360"/>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 xml:space="preserve">point 1. Principes généraux. </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_RefHeading__239_957262308" w:history="1">
                <w:r>
                  <w:rPr>
                    <w:rStyle w:val="Lienhypertexte"/>
                    <w:rFonts w:asciiTheme="majorHAnsi" w:hAnsiTheme="majorHAnsi" w:cs="Arial"/>
                    <w:sz w:val="22"/>
                    <w:szCs w:val="22"/>
                  </w:rPr>
                  <w:t>Lien</w:t>
                </w:r>
              </w:hyperlink>
            </w:p>
            <w:p>
              <w:pPr>
                <w:pStyle w:val="Paragraphedeliste"/>
                <w:numPr>
                  <w:ilvl w:val="0"/>
                  <w:numId w:val="170"/>
                </w:numPr>
                <w:ind w:left="360"/>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5. Quelle est la procédure à suivre pour débuter une intégration ? </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5._Quelle_est" w:history="1">
                <w:r>
                  <w:rPr>
                    <w:rStyle w:val="Lienhypertexte"/>
                    <w:rFonts w:asciiTheme="majorHAnsi" w:hAnsiTheme="majorHAnsi" w:cs="Arial"/>
                    <w:sz w:val="22"/>
                    <w:szCs w:val="22"/>
                  </w:rPr>
                  <w:t>Lien</w:t>
                </w:r>
              </w:hyperlink>
              <w:r>
                <w:rPr>
                  <w:rStyle w:val="Lienhypertexte"/>
                  <w:rFonts w:asciiTheme="majorHAnsi" w:hAnsiTheme="majorHAnsi" w:cs="Arial"/>
                  <w:color w:val="auto"/>
                  <w:sz w:val="22"/>
                  <w:szCs w:val="22"/>
                  <w:u w:val="none"/>
                </w:rPr>
                <w:tab/>
              </w:r>
            </w:p>
            <w:p>
              <w:pPr>
                <w:pStyle w:val="Paragraphedeliste"/>
                <w:numPr>
                  <w:ilvl w:val="0"/>
                  <w:numId w:val="170"/>
                </w:numPr>
                <w:ind w:left="360"/>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7. Question 5 : Qui assure l’accompagnement de l’élève ?</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7._Récapitulatif_des_1" w:history="1">
                <w:r>
                  <w:rPr>
                    <w:rStyle w:val="Lienhypertexte"/>
                    <w:rFonts w:asciiTheme="majorHAnsi" w:hAnsiTheme="majorHAnsi" w:cs="Arial"/>
                    <w:sz w:val="22"/>
                    <w:szCs w:val="22"/>
                  </w:rPr>
                  <w:t>Lien</w:t>
                </w:r>
              </w:hyperlink>
            </w:p>
            <w:p>
              <w:pPr>
                <w:pStyle w:val="Paragraphedeliste"/>
                <w:numPr>
                  <w:ilvl w:val="0"/>
                  <w:numId w:val="170"/>
                </w:numPr>
                <w:ind w:left="360"/>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 xml:space="preserve">point 7. Question 7 : Quand l’accompagnement est-il organisé ? </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7._Récapitulatif_des_1" w:history="1">
                <w:r>
                  <w:rPr>
                    <w:rStyle w:val="Lienhypertexte"/>
                    <w:rFonts w:asciiTheme="majorHAnsi" w:hAnsiTheme="majorHAnsi" w:cs="Arial"/>
                    <w:sz w:val="22"/>
                    <w:szCs w:val="22"/>
                  </w:rPr>
                  <w:t>Lien</w:t>
                </w:r>
              </w:hyperlink>
            </w:p>
            <w:p>
              <w:pPr>
                <w:pStyle w:val="Paragraphedeliste"/>
                <w:numPr>
                  <w:ilvl w:val="0"/>
                  <w:numId w:val="170"/>
                </w:numPr>
                <w:ind w:left="360"/>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7. Question 22 : Que se passe-t-il si l’intégration échoue ? Qui doit-on prévenir ? Que se passe-t-il avec les périodes octroyées ?</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7._Récapitulatif_des_1" w:history="1">
                <w:r>
                  <w:rPr>
                    <w:rStyle w:val="Lienhypertexte"/>
                    <w:rFonts w:asciiTheme="majorHAnsi" w:hAnsiTheme="majorHAnsi" w:cs="Arial"/>
                    <w:sz w:val="22"/>
                    <w:szCs w:val="22"/>
                  </w:rPr>
                  <w:t>Lien</w:t>
                </w:r>
              </w:hyperlink>
            </w:p>
            <w:p>
              <w:pPr>
                <w:pStyle w:val="Paragraphedeliste"/>
                <w:numPr>
                  <w:ilvl w:val="0"/>
                  <w:numId w:val="170"/>
                </w:numPr>
                <w:ind w:left="360"/>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8. Question 3bis : Un directeur d’un CPMS peut-il refuser une intégration ?</w:t>
              </w:r>
              <w:r>
                <w:rPr>
                  <w:rStyle w:val="Lienhypertexte"/>
                  <w:rFonts w:asciiTheme="majorHAnsi" w:hAnsiTheme="majorHAnsi" w:cs="Arial"/>
                  <w:color w:val="auto"/>
                  <w:sz w:val="22"/>
                  <w:szCs w:val="22"/>
                  <w:u w:val="none"/>
                </w:rPr>
                <w:tab/>
              </w:r>
              <w:hyperlink w:anchor="_7._Récapitulatif_des" w:history="1">
                <w:r>
                  <w:rPr>
                    <w:rStyle w:val="Lienhypertexte"/>
                    <w:rFonts w:asciiTheme="majorHAnsi" w:hAnsiTheme="majorHAnsi" w:cs="Arial"/>
                    <w:sz w:val="22"/>
                    <w:szCs w:val="22"/>
                  </w:rPr>
                  <w:t>Lien</w:t>
                </w:r>
              </w:hyperlink>
            </w:p>
            <w:p>
              <w:pPr>
                <w:pStyle w:val="Paragraphedeliste"/>
                <w:numPr>
                  <w:ilvl w:val="0"/>
                  <w:numId w:val="170"/>
                </w:numPr>
                <w:ind w:left="360"/>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 xml:space="preserve">point 8. Question 7 : Un parent d’élève de l’enseignement ordinaire sollicite l’aide de l’enseignement spécialisé pour une intégration. Peut-il se rendre dans un CPMS de son choix ou doit-il se rendre dans celui de l’école ? </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7._Récapitulatif_des" w:history="1">
                <w:r>
                  <w:rPr>
                    <w:rStyle w:val="Lienhypertexte"/>
                    <w:rFonts w:asciiTheme="majorHAnsi" w:hAnsiTheme="majorHAnsi" w:cs="Arial"/>
                    <w:sz w:val="22"/>
                    <w:szCs w:val="22"/>
                  </w:rPr>
                  <w:t>Lien</w:t>
                </w:r>
              </w:hyperlink>
            </w:p>
            <w:p>
              <w:pPr>
                <w:pStyle w:val="Paragraphedeliste"/>
                <w:numPr>
                  <w:ilvl w:val="0"/>
                  <w:numId w:val="170"/>
                </w:numPr>
                <w:ind w:left="360"/>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8. Question 10. Faut-il prévenir l’Administration si un élève en intégration retourne dans l’enseignement ordinaire ? </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7._Récapitulatif_des" w:history="1">
                <w:r>
                  <w:rPr>
                    <w:rStyle w:val="Lienhypertexte"/>
                    <w:rFonts w:asciiTheme="majorHAnsi" w:hAnsiTheme="majorHAnsi" w:cs="Arial"/>
                    <w:sz w:val="22"/>
                    <w:szCs w:val="22"/>
                  </w:rPr>
                  <w:t>Lien</w:t>
                </w:r>
              </w:hyperlink>
            </w:p>
            <w:p>
              <w:pPr>
                <w:pStyle w:val="Paragraphedeliste"/>
                <w:numPr>
                  <w:ilvl w:val="0"/>
                  <w:numId w:val="170"/>
                </w:numPr>
                <w:ind w:left="360"/>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8. Question 19. Comment interrompre une intégration en cours de processus ?</w:t>
              </w:r>
              <w:r>
                <w:rPr>
                  <w:rStyle w:val="Lienhypertexte"/>
                  <w:rFonts w:asciiTheme="majorHAnsi" w:hAnsiTheme="majorHAnsi" w:cs="Arial"/>
                  <w:color w:val="auto"/>
                  <w:sz w:val="22"/>
                  <w:szCs w:val="22"/>
                  <w:u w:val="none"/>
                </w:rPr>
                <w:tab/>
              </w:r>
              <w:r>
                <w:t xml:space="preserve"> </w:t>
              </w:r>
              <w:hyperlink w:anchor="_7._Récapitulatif_des" w:history="1">
                <w:r>
                  <w:rPr>
                    <w:rStyle w:val="Lienhypertexte"/>
                    <w:rFonts w:asciiTheme="majorHAnsi" w:hAnsiTheme="majorHAnsi" w:cs="Arial"/>
                    <w:sz w:val="22"/>
                    <w:szCs w:val="22"/>
                  </w:rPr>
                  <w:t>Lien</w:t>
                </w:r>
              </w:hyperlink>
            </w:p>
            <w:p>
              <w:pPr>
                <w:pStyle w:val="Paragraphedeliste"/>
                <w:numPr>
                  <w:ilvl w:val="0"/>
                  <w:numId w:val="170"/>
                </w:numPr>
                <w:ind w:left="360"/>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8. Question 26. Quelles sont les dispositions applicables aux élèves en IPT et aux autres types d’intégration dans l’enseignement ordinaire ?</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7._Récapitulatif_des" w:history="1">
                <w:r>
                  <w:rPr>
                    <w:rStyle w:val="Lienhypertexte"/>
                    <w:rFonts w:asciiTheme="majorHAnsi" w:hAnsiTheme="majorHAnsi" w:cs="Arial"/>
                    <w:sz w:val="22"/>
                    <w:szCs w:val="22"/>
                  </w:rPr>
                  <w:t>Lien</w:t>
                </w:r>
              </w:hyperlink>
            </w:p>
            <w:p>
              <w:pPr>
                <w:pStyle w:val="Paragraphedeliste"/>
                <w:numPr>
                  <w:ilvl w:val="0"/>
                  <w:numId w:val="170"/>
                </w:numPr>
                <w:ind w:left="360"/>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10. Certification des élèves inscrits en intégration temporaire totale.</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10._Mémo_administratif" w:history="1">
                <w:r>
                  <w:rPr>
                    <w:rStyle w:val="Lienhypertexte"/>
                    <w:rFonts w:asciiTheme="majorHAnsi" w:hAnsiTheme="majorHAnsi" w:cs="Arial"/>
                    <w:sz w:val="22"/>
                    <w:szCs w:val="22"/>
                  </w:rPr>
                  <w:t>Lien</w:t>
                </w:r>
              </w:hyperlink>
            </w:p>
            <w:p>
              <w:pPr>
                <w:pStyle w:val="Paragraphedeliste"/>
                <w:numPr>
                  <w:ilvl w:val="0"/>
                  <w:numId w:val="170"/>
                </w:numPr>
                <w:ind w:left="360"/>
                <w:rPr>
                  <w:rStyle w:val="Lienhypertexte"/>
                  <w:rFonts w:asciiTheme="majorHAnsi" w:hAnsiTheme="majorHAnsi" w:cs="Arial"/>
                  <w:color w:val="auto"/>
                  <w:sz w:val="22"/>
                  <w:szCs w:val="22"/>
                  <w:u w:val="none"/>
                </w:rPr>
              </w:pPr>
              <w:r>
                <w:rPr>
                  <w:rFonts w:asciiTheme="majorHAnsi" w:hAnsiTheme="majorHAnsi"/>
                  <w:sz w:val="22"/>
                  <w:szCs w:val="22"/>
                </w:rPr>
                <w:t xml:space="preserve">point 16. Annexe 2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Annexe_2c_:" w:history="1">
                <w:r>
                  <w:rPr>
                    <w:rStyle w:val="Lienhypertexte"/>
                    <w:rFonts w:asciiTheme="majorHAnsi" w:hAnsiTheme="majorHAnsi" w:cs="Arial"/>
                    <w:sz w:val="22"/>
                    <w:szCs w:val="22"/>
                  </w:rPr>
                  <w:t>Lien</w:t>
                </w:r>
              </w:hyperlink>
            </w:p>
            <w:p>
              <w:pPr>
                <w:pStyle w:val="Paragraphedeliste"/>
                <w:numPr>
                  <w:ilvl w:val="0"/>
                  <w:numId w:val="170"/>
                </w:numPr>
                <w:ind w:left="360"/>
                <w:rPr>
                  <w:rFonts w:asciiTheme="majorHAnsi" w:hAnsiTheme="majorHAnsi"/>
                  <w:sz w:val="22"/>
                </w:rPr>
              </w:pPr>
              <w:r>
                <w:rPr>
                  <w:rFonts w:asciiTheme="majorHAnsi" w:hAnsiTheme="majorHAnsi"/>
                  <w:sz w:val="22"/>
                </w:rPr>
                <w:t>point 16. Annexe 4</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Annexe_4_:_2" w:history="1">
                <w:r>
                  <w:rPr>
                    <w:rStyle w:val="Lienhypertexte"/>
                    <w:rFonts w:asciiTheme="majorHAnsi" w:hAnsiTheme="majorHAnsi" w:cs="Arial"/>
                    <w:sz w:val="22"/>
                  </w:rPr>
                  <w:t>Lien</w:t>
                </w:r>
              </w:hyperlink>
            </w:p>
            <w:p>
              <w:pPr>
                <w:pStyle w:val="Paragraphedeliste"/>
                <w:numPr>
                  <w:ilvl w:val="0"/>
                  <w:numId w:val="170"/>
                </w:numPr>
                <w:ind w:left="360"/>
                <w:rPr>
                  <w:rFonts w:asciiTheme="majorHAnsi" w:hAnsiTheme="majorHAnsi"/>
                  <w:sz w:val="22"/>
                </w:rPr>
              </w:pPr>
              <w:r>
                <w:rPr>
                  <w:rFonts w:asciiTheme="majorHAnsi" w:hAnsiTheme="majorHAnsi"/>
                  <w:sz w:val="22"/>
                </w:rPr>
                <w:t xml:space="preserve">point 16. Annexe 5 </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Annexe_5_:_3" w:history="1">
                <w:r>
                  <w:rPr>
                    <w:rStyle w:val="Lienhypertexte"/>
                    <w:rFonts w:asciiTheme="majorHAnsi" w:hAnsiTheme="majorHAnsi" w:cs="Arial"/>
                    <w:sz w:val="22"/>
                  </w:rPr>
                  <w:t>Lien</w:t>
                </w:r>
              </w:hyperlink>
            </w:p>
            <w:p>
              <w:pPr>
                <w:pStyle w:val="Paragraphedeliste"/>
                <w:numPr>
                  <w:ilvl w:val="0"/>
                  <w:numId w:val="170"/>
                </w:numPr>
                <w:ind w:left="360"/>
                <w:rPr>
                  <w:rFonts w:asciiTheme="majorHAnsi" w:hAnsiTheme="majorHAnsi"/>
                  <w:sz w:val="22"/>
                </w:rPr>
              </w:pPr>
              <w:r>
                <w:rPr>
                  <w:rFonts w:asciiTheme="majorHAnsi" w:hAnsiTheme="majorHAnsi"/>
                  <w:sz w:val="22"/>
                </w:rPr>
                <w:t>point 16. Annexe 10</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Annexe_10_:_3" w:history="1">
                <w:r>
                  <w:rPr>
                    <w:rStyle w:val="Lienhypertexte"/>
                    <w:rFonts w:asciiTheme="majorHAnsi" w:hAnsiTheme="majorHAnsi" w:cs="Arial"/>
                    <w:sz w:val="22"/>
                  </w:rPr>
                  <w:t>Lien</w:t>
                </w:r>
              </w:hyperlink>
            </w:p>
            <w:p>
              <w:pPr>
                <w:pStyle w:val="Paragraphedeliste"/>
                <w:numPr>
                  <w:ilvl w:val="0"/>
                  <w:numId w:val="170"/>
                </w:numPr>
                <w:ind w:left="360"/>
                <w:rPr>
                  <w:rFonts w:asciiTheme="majorHAnsi" w:hAnsiTheme="majorHAnsi"/>
                  <w:sz w:val="22"/>
                </w:rPr>
              </w:pPr>
              <w:r>
                <w:rPr>
                  <w:rFonts w:asciiTheme="majorHAnsi" w:hAnsiTheme="majorHAnsi"/>
                  <w:sz w:val="22"/>
                </w:rPr>
                <w:t>point 16. Annexes 11, 12, 13 supprimées</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Annexes_11,_12," w:history="1">
                <w:r>
                  <w:rPr>
                    <w:rStyle w:val="Lienhypertexte"/>
                    <w:rFonts w:asciiTheme="majorHAnsi" w:hAnsiTheme="majorHAnsi" w:cs="Arial"/>
                    <w:sz w:val="22"/>
                  </w:rPr>
                  <w:t>Lien</w:t>
                </w:r>
              </w:hyperlink>
            </w:p>
            <w:p/>
            <w:p>
              <w:pPr>
                <w:rPr>
                  <w:b/>
                </w:rPr>
              </w:pPr>
              <w:r>
                <w:rPr>
                  <w:b/>
                </w:rPr>
                <w:t>Chapitre 14 : Organisation d’une pédagogie adaptée </w:t>
              </w:r>
              <w:r>
                <w:rPr>
                  <w:b/>
                </w:rPr>
                <w:tab/>
              </w:r>
              <w:r>
                <w:tab/>
              </w:r>
              <w:r>
                <w:tab/>
              </w:r>
              <w:r>
                <w:tab/>
              </w:r>
              <w:r>
                <w:tab/>
              </w:r>
              <w:hyperlink w:anchor="_Chapitre_14_:" w:history="1">
                <w:r>
                  <w:rPr>
                    <w:rStyle w:val="Lienhypertexte"/>
                    <w:rFonts w:cs="Arial"/>
                  </w:rPr>
                  <w:t>Lien</w:t>
                </w:r>
              </w:hyperlink>
            </w:p>
            <w:p>
              <w:pPr>
                <w:rPr>
                  <w:highlight w:val="yellow"/>
                </w:rPr>
              </w:pPr>
            </w:p>
            <w:p>
              <w:pPr>
                <w:rPr>
                  <w:b/>
                </w:rPr>
              </w:pPr>
              <w:r>
                <w:rPr>
                  <w:b/>
                </w:rPr>
                <w:t>Chapitre 15: Rappel des conditions de maintien et de passage :</w:t>
              </w:r>
            </w:p>
            <w:p>
              <w:pPr>
                <w:pStyle w:val="Paragraphedeliste"/>
                <w:numPr>
                  <w:ilvl w:val="0"/>
                  <w:numId w:val="172"/>
                </w:numPr>
                <w:ind w:left="360"/>
                <w:rPr>
                  <w:rStyle w:val="Lienhypertexte"/>
                  <w:rFonts w:asciiTheme="majorHAnsi" w:hAnsiTheme="majorHAnsi" w:cs="Arial"/>
                  <w:color w:val="auto"/>
                  <w:sz w:val="22"/>
                  <w:szCs w:val="22"/>
                  <w:u w:val="none"/>
                </w:rPr>
              </w:pPr>
              <w:r>
                <w:rPr>
                  <w:rFonts w:asciiTheme="majorHAnsi" w:hAnsiTheme="majorHAnsi"/>
                  <w:sz w:val="22"/>
                  <w:szCs w:val="22"/>
                </w:rPr>
                <w:t>point 1.1 : Le rapport d’inscription</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1._Le_rapport" w:history="1">
                <w:r>
                  <w:rPr>
                    <w:rStyle w:val="Lienhypertexte"/>
                    <w:rFonts w:asciiTheme="majorHAnsi" w:hAnsiTheme="majorHAnsi" w:cs="Arial"/>
                    <w:sz w:val="22"/>
                    <w:szCs w:val="22"/>
                  </w:rPr>
                  <w:t>Lien</w:t>
                </w:r>
              </w:hyperlink>
            </w:p>
            <w:p>
              <w:pPr>
                <w:pStyle w:val="Paragraphedeliste"/>
                <w:numPr>
                  <w:ilvl w:val="0"/>
                  <w:numId w:val="172"/>
                </w:numPr>
                <w:ind w:left="360"/>
                <w:rPr>
                  <w:rFonts w:asciiTheme="majorHAnsi" w:hAnsiTheme="majorHAnsi"/>
                  <w:sz w:val="22"/>
                  <w:szCs w:val="22"/>
                </w:rPr>
              </w:pPr>
              <w:r>
                <w:rPr>
                  <w:rFonts w:asciiTheme="majorHAnsi" w:hAnsiTheme="majorHAnsi"/>
                  <w:sz w:val="22"/>
                  <w:szCs w:val="22"/>
                </w:rPr>
                <w:t xml:space="preserve">point 4 : Annexe 3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Annexe_4_:_1" w:history="1">
                <w:r>
                  <w:rPr>
                    <w:rStyle w:val="Lienhypertexte"/>
                    <w:rFonts w:asciiTheme="majorHAnsi" w:hAnsiTheme="majorHAnsi" w:cs="Arial"/>
                    <w:sz w:val="22"/>
                    <w:szCs w:val="22"/>
                  </w:rPr>
                  <w:t>Lien</w:t>
                </w:r>
              </w:hyperlink>
            </w:p>
            <w:p>
              <w:pPr>
                <w:rPr>
                  <w:highlight w:val="magenta"/>
                </w:rPr>
              </w:pPr>
            </w:p>
            <w:p>
              <w:pPr>
                <w:rPr>
                  <w:b/>
                </w:rPr>
              </w:pPr>
              <w:r>
                <w:rPr>
                  <w:b/>
                </w:rPr>
                <w:t>Chapitre 16 : La Vérification de la population scolaire et de la comptabilité :</w:t>
              </w:r>
            </w:p>
            <w:p>
              <w:pPr>
                <w:pStyle w:val="Paragraphedeliste"/>
                <w:numPr>
                  <w:ilvl w:val="0"/>
                  <w:numId w:val="168"/>
                </w:numPr>
                <w:ind w:left="360"/>
                <w:rPr>
                  <w:rFonts w:asciiTheme="majorHAnsi" w:hAnsiTheme="majorHAnsi"/>
                  <w:sz w:val="22"/>
                  <w:szCs w:val="22"/>
                </w:rPr>
              </w:pPr>
              <w:r>
                <w:rPr>
                  <w:rFonts w:asciiTheme="majorHAnsi" w:hAnsiTheme="majorHAnsi"/>
                  <w:sz w:val="22"/>
                  <w:szCs w:val="22"/>
                </w:rPr>
                <w:t>point 1. Les vérificateurs de la population scolaire</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_Les_vérificateurs" w:history="1">
                <w:r>
                  <w:rPr>
                    <w:rStyle w:val="Lienhypertexte"/>
                    <w:rFonts w:asciiTheme="majorHAnsi" w:hAnsiTheme="majorHAnsi" w:cs="Arial"/>
                    <w:sz w:val="22"/>
                    <w:szCs w:val="22"/>
                  </w:rPr>
                  <w:t>Lien</w:t>
                </w:r>
              </w:hyperlink>
            </w:p>
            <w:p>
              <w:pPr>
                <w:pStyle w:val="Paragraphedeliste"/>
                <w:numPr>
                  <w:ilvl w:val="0"/>
                  <w:numId w:val="168"/>
                </w:numPr>
                <w:ind w:left="360"/>
                <w:rPr>
                  <w:rStyle w:val="Lienhypertexte"/>
                  <w:rFonts w:asciiTheme="majorHAnsi" w:hAnsiTheme="majorHAnsi" w:cs="Arial"/>
                  <w:color w:val="auto"/>
                  <w:sz w:val="22"/>
                  <w:szCs w:val="22"/>
                  <w:u w:val="none"/>
                </w:rPr>
              </w:pPr>
              <w:r>
                <w:rPr>
                  <w:rFonts w:asciiTheme="majorHAnsi" w:hAnsiTheme="majorHAnsi"/>
                  <w:sz w:val="22"/>
                  <w:szCs w:val="22"/>
                </w:rPr>
                <w:t>point 1.2. La liste des documents à tenir à disposition des vérificateurs</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2._La_liste" w:history="1">
                <w:r>
                  <w:rPr>
                    <w:rStyle w:val="Lienhypertexte"/>
                    <w:rFonts w:asciiTheme="majorHAnsi" w:hAnsiTheme="majorHAnsi" w:cs="Arial"/>
                    <w:sz w:val="22"/>
                    <w:szCs w:val="22"/>
                  </w:rPr>
                  <w:t>Lien</w:t>
                </w:r>
              </w:hyperlink>
            </w:p>
            <w:p>
              <w:pPr>
                <w:rPr>
                  <w:b/>
                </w:rPr>
              </w:pPr>
            </w:p>
            <w:p>
              <w:pPr>
                <w:rPr>
                  <w:b/>
                </w:rPr>
              </w:pPr>
              <w:r>
                <w:rPr>
                  <w:b/>
                </w:rPr>
                <w:t>Chapitre 19 : Liste des organismes habilités à délivrer et/ou à modifier les documents nécessaires à l’inscription en enseignement spécialisé :</w:t>
              </w:r>
            </w:p>
            <w:p>
              <w:pPr>
                <w:pStyle w:val="Paragraphedeliste"/>
                <w:numPr>
                  <w:ilvl w:val="0"/>
                  <w:numId w:val="173"/>
                </w:numPr>
                <w:ind w:left="360"/>
                <w:rPr>
                  <w:rStyle w:val="Lienhypertexte"/>
                  <w:rFonts w:asciiTheme="majorHAnsi" w:hAnsiTheme="majorHAnsi" w:cs="Arial"/>
                  <w:color w:val="auto"/>
                  <w:sz w:val="22"/>
                  <w:szCs w:val="22"/>
                  <w:u w:val="none"/>
                </w:rPr>
              </w:pPr>
              <w:r>
                <w:rPr>
                  <w:rFonts w:asciiTheme="majorHAnsi" w:hAnsiTheme="majorHAnsi"/>
                  <w:sz w:val="22"/>
                  <w:szCs w:val="22"/>
                </w:rPr>
                <w:t>point 3. Listes</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3._Nota_Bene:" w:history="1">
                <w:r>
                  <w:rPr>
                    <w:rStyle w:val="Lienhypertexte"/>
                    <w:rFonts w:asciiTheme="majorHAnsi" w:hAnsiTheme="majorHAnsi" w:cs="Arial"/>
                    <w:sz w:val="22"/>
                    <w:szCs w:val="22"/>
                  </w:rPr>
                  <w:t>Lien</w:t>
                </w:r>
              </w:hyperlink>
            </w:p>
            <w:p>
              <w:pPr>
                <w:pStyle w:val="Paragraphedeliste"/>
                <w:numPr>
                  <w:ilvl w:val="0"/>
                  <w:numId w:val="173"/>
                </w:numPr>
                <w:ind w:left="360"/>
                <w:rPr>
                  <w:rFonts w:asciiTheme="majorHAnsi" w:hAnsiTheme="majorHAnsi"/>
                  <w:sz w:val="24"/>
                  <w:szCs w:val="22"/>
                </w:rPr>
              </w:pPr>
              <w:r>
                <w:rPr>
                  <w:rFonts w:asciiTheme="majorHAnsi" w:hAnsiTheme="majorHAnsi"/>
                  <w:sz w:val="22"/>
                </w:rPr>
                <w:t>Annexe 4 : Liste des centres psycho-médico-sociaux MIXTES</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Annexe_4_:_3" w:history="1">
                <w:r>
                  <w:rPr>
                    <w:rStyle w:val="Lienhypertexte"/>
                    <w:rFonts w:asciiTheme="majorHAnsi" w:hAnsiTheme="majorHAnsi" w:cs="Arial"/>
                    <w:sz w:val="22"/>
                  </w:rPr>
                  <w:t>Lien</w:t>
                </w:r>
              </w:hyperlink>
            </w:p>
            <w:p>
              <w:pPr>
                <w:pStyle w:val="Paragraphedeliste"/>
                <w:numPr>
                  <w:ilvl w:val="0"/>
                  <w:numId w:val="173"/>
                </w:numPr>
                <w:ind w:left="360"/>
                <w:rPr>
                  <w:rFonts w:asciiTheme="majorHAnsi" w:hAnsiTheme="majorHAnsi"/>
                  <w:sz w:val="24"/>
                  <w:szCs w:val="22"/>
                </w:rPr>
              </w:pPr>
              <w:r>
                <w:rPr>
                  <w:rFonts w:asciiTheme="majorHAnsi" w:hAnsiTheme="majorHAnsi"/>
                  <w:sz w:val="22"/>
                </w:rPr>
                <w:t>Annexe 5 : Liste des centres psycho-médico-sociaux de l’enseignement ORDINAIRE</w:t>
              </w:r>
              <w:r>
                <w:rPr>
                  <w:rFonts w:asciiTheme="majorHAnsi" w:hAnsiTheme="majorHAnsi"/>
                  <w:sz w:val="22"/>
                </w:rPr>
                <w:tab/>
              </w:r>
              <w:hyperlink w:anchor="_Annexe_5_:_4" w:history="1">
                <w:r>
                  <w:rPr>
                    <w:rStyle w:val="Lienhypertexte"/>
                    <w:rFonts w:asciiTheme="majorHAnsi" w:hAnsiTheme="majorHAnsi" w:cs="Arial"/>
                    <w:sz w:val="22"/>
                  </w:rPr>
                  <w:t>Lien</w:t>
                </w:r>
              </w:hyperlink>
            </w:p>
            <w:p>
              <w:pPr>
                <w:pStyle w:val="Paragraphedeliste"/>
                <w:numPr>
                  <w:ilvl w:val="0"/>
                  <w:numId w:val="173"/>
                </w:numPr>
                <w:ind w:left="360"/>
                <w:rPr>
                  <w:rFonts w:asciiTheme="majorHAnsi" w:hAnsiTheme="majorHAnsi"/>
                  <w:sz w:val="24"/>
                  <w:szCs w:val="22"/>
                </w:rPr>
              </w:pPr>
              <w:r>
                <w:rPr>
                  <w:rFonts w:asciiTheme="majorHAnsi" w:hAnsiTheme="majorHAnsi"/>
                  <w:sz w:val="22"/>
                </w:rPr>
                <w:t>Annexe 6 : Liste des organismes habilités</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Annexe_6_:_1" w:history="1">
                <w:r>
                  <w:rPr>
                    <w:rStyle w:val="Lienhypertexte"/>
                    <w:rFonts w:asciiTheme="majorHAnsi" w:hAnsiTheme="majorHAnsi" w:cs="Arial"/>
                    <w:sz w:val="22"/>
                  </w:rPr>
                  <w:t>Lien</w:t>
                </w:r>
              </w:hyperlink>
            </w:p>
            <w:p>
              <w:pPr>
                <w:pStyle w:val="Paragraphedeliste"/>
                <w:numPr>
                  <w:ilvl w:val="0"/>
                  <w:numId w:val="173"/>
                </w:numPr>
                <w:ind w:left="360"/>
                <w:rPr>
                  <w:rFonts w:asciiTheme="majorHAnsi" w:hAnsiTheme="majorHAnsi"/>
                  <w:sz w:val="24"/>
                  <w:szCs w:val="22"/>
                </w:rPr>
              </w:pPr>
              <w:r>
                <w:rPr>
                  <w:rFonts w:asciiTheme="majorHAnsi" w:hAnsiTheme="majorHAnsi"/>
                  <w:sz w:val="22"/>
                </w:rPr>
                <w:t xml:space="preserve">Ajout Annexe 7 : Circulaire n° 6495 </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Annexe_7_:_2" w:history="1">
                <w:r>
                  <w:rPr>
                    <w:rStyle w:val="Lienhypertexte"/>
                    <w:rFonts w:asciiTheme="majorHAnsi" w:hAnsiTheme="majorHAnsi" w:cs="Arial"/>
                    <w:sz w:val="22"/>
                  </w:rPr>
                  <w:t>Lien</w:t>
                </w:r>
              </w:hyperlink>
            </w:p>
            <w:p/>
            <w:p>
              <w:r>
                <w:rPr>
                  <w:b/>
                </w:rPr>
                <w:t>Chapitre 20 : Les Commissions consultatives :</w:t>
              </w:r>
            </w:p>
            <w:p>
              <w:pPr>
                <w:rPr>
                  <w:rStyle w:val="Lienhypertexte"/>
                  <w:rFonts w:cstheme="minorBidi"/>
                </w:rPr>
              </w:pPr>
              <w:r>
                <w:t>1. point 6 : Présidences des Commissions consultatives</w:t>
              </w:r>
              <w:r>
                <w:tab/>
              </w:r>
              <w:r>
                <w:tab/>
              </w:r>
              <w:r>
                <w:tab/>
              </w:r>
              <w:r>
                <w:tab/>
              </w:r>
              <w:r>
                <w:tab/>
              </w:r>
              <w:hyperlink w:anchor="_6._Présidences_des" w:history="1">
                <w:r>
                  <w:rPr>
                    <w:rStyle w:val="Lienhypertexte"/>
                    <w:rFonts w:cstheme="minorBidi"/>
                  </w:rPr>
                  <w:t>Lien</w:t>
                </w:r>
              </w:hyperlink>
            </w:p>
            <w:p>
              <w:r>
                <w:t>2. Annexes 3 à 6 : ajout d’une remarque</w:t>
              </w:r>
              <w:r>
                <w:tab/>
              </w:r>
              <w:r>
                <w:tab/>
              </w:r>
              <w:r>
                <w:tab/>
              </w:r>
              <w:r>
                <w:tab/>
              </w:r>
              <w:r>
                <w:tab/>
              </w:r>
              <w:r>
                <w:tab/>
              </w:r>
              <w:r>
                <w:tab/>
              </w:r>
              <w:hyperlink w:anchor="_Situation_n_3" w:history="1">
                <w:r>
                  <w:rPr>
                    <w:rStyle w:val="Lienhypertexte"/>
                    <w:rFonts w:cstheme="minorBidi"/>
                  </w:rPr>
                  <w:t>Lien</w:t>
                </w:r>
              </w:hyperlink>
            </w:p>
            <w:p/>
            <w:p>
              <w:pPr>
                <w:tabs>
                  <w:tab w:val="left" w:pos="7797"/>
                </w:tabs>
                <w:spacing w:before="120" w:after="240"/>
                <w:ind w:right="-2"/>
                <w:rPr>
                  <w:b/>
                </w:rPr>
              </w:pPr>
              <w:r>
                <w:rPr>
                  <w:b/>
                </w:rPr>
                <w:t xml:space="preserve">INDEX I : Les personnes-ressources de la Direction générale de l’Enseignement obligatoire pour les établissements d’Enseignement spécialisé : </w:t>
              </w:r>
            </w:p>
            <w:p>
              <w:pPr>
                <w:tabs>
                  <w:tab w:val="left" w:pos="7797"/>
                </w:tabs>
                <w:spacing w:before="120" w:after="240"/>
                <w:ind w:right="-2"/>
              </w:pPr>
              <w:r>
                <w:t>1.</w:t>
              </w:r>
              <w:r>
                <w:rPr>
                  <w:b/>
                </w:rPr>
                <w:t xml:space="preserve"> </w:t>
              </w:r>
              <w:r>
                <w:t xml:space="preserve">la liste des personnes de contact au sein de la D.G.E.O. a été mise à jour </w:t>
              </w:r>
              <w:r>
                <w:tab/>
              </w:r>
              <w:r>
                <w:tab/>
              </w:r>
              <w:r>
                <w:tab/>
              </w:r>
              <w:hyperlink w:anchor="_1._Direction_générale" w:history="1">
                <w:r>
                  <w:rPr>
                    <w:rStyle w:val="Lienhypertexte"/>
                    <w:rFonts w:cstheme="minorBidi"/>
                  </w:rPr>
                  <w:t>Lien</w:t>
                </w:r>
              </w:hyperlink>
            </w:p>
            <w:p/>
            <w:p>
              <w:pPr>
                <w:rPr>
                  <w:b/>
                </w:rPr>
              </w:pPr>
            </w:p>
            <w:sdt>
              <w:sdtPr>
                <w:rPr>
                  <w:rFonts w:asciiTheme="majorHAnsi" w:eastAsiaTheme="minorHAnsi" w:hAnsiTheme="majorHAnsi"/>
                  <w:lang w:eastAsia="en-US"/>
                </w:rPr>
                <w:id w:val="778380281"/>
                <w:docPartObj>
                  <w:docPartGallery w:val="Cover Pages"/>
                  <w:docPartUnique/>
                </w:docPartObj>
              </w:sdtPr>
              <w:sdtContent>
                <w:p>
                  <w:pPr>
                    <w:pStyle w:val="Sansinterligne"/>
                    <w:rPr>
                      <w:rFonts w:asciiTheme="majorHAnsi" w:hAnsiTheme="majorHAnsi"/>
                    </w:rPr>
                  </w:pPr>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imes New Roman" w:cs="Arial"/>
                      <w:noProof/>
                      <w:lang w:eastAsia="ar-SA"/>
                    </w:rPr>
                  </w:pPr>
                  <w:r>
                    <w:rPr>
                      <w:b/>
                      <w:bCs/>
                      <w:smallCaps/>
                      <w:noProof/>
                    </w:rPr>
                    <w:br w:type="page"/>
                  </w:r>
                </w:p>
                <w:p>
                  <w:pPr>
                    <w:pStyle w:val="TM1"/>
                    <w:tabs>
                      <w:tab w:val="right" w:leader="dot" w:pos="9062"/>
                    </w:tabs>
                    <w:rPr>
                      <w:b w:val="0"/>
                      <w:bCs w:val="0"/>
                      <w:smallCaps w:val="0"/>
                      <w:noProof/>
                      <w:sz w:val="22"/>
                      <w:szCs w:val="22"/>
                    </w:rPr>
                  </w:pPr>
                </w:p>
                <w:p>
                  <w:pPr>
                    <w:pStyle w:val="Titre2"/>
                    <w:jc w:val="center"/>
                    <w:rPr>
                      <w:sz w:val="56"/>
                      <w:szCs w:val="52"/>
                    </w:rPr>
                  </w:pPr>
                  <w:bookmarkStart w:id="6" w:name="_Toc18914410"/>
                  <w:r>
                    <w:rPr>
                      <w:sz w:val="56"/>
                      <w:szCs w:val="52"/>
                    </w:rPr>
                    <w:t>Table des matières</w:t>
                  </w:r>
                  <w:bookmarkEnd w:id="6"/>
                </w:p>
                <w:p>
                  <w:pPr>
                    <w:pStyle w:val="TM1"/>
                    <w:tabs>
                      <w:tab w:val="right" w:leader="dot" w:pos="9062"/>
                    </w:tabs>
                    <w:rPr>
                      <w:b w:val="0"/>
                      <w:bCs w:val="0"/>
                      <w:smallCaps w:val="0"/>
                      <w:noProof/>
                      <w:sz w:val="22"/>
                      <w:szCs w:val="22"/>
                    </w:rPr>
                  </w:pPr>
                </w:p>
                <w:p>
                  <w:pPr>
                    <w:pStyle w:val="TM1"/>
                    <w:tabs>
                      <w:tab w:val="right" w:leader="dot" w:pos="9062"/>
                    </w:tabs>
                    <w:rPr>
                      <w:b w:val="0"/>
                      <w:bCs w:val="0"/>
                      <w:smallCaps w:val="0"/>
                      <w:noProof/>
                      <w:sz w:val="22"/>
                      <w:szCs w:val="22"/>
                    </w:rPr>
                  </w:pPr>
                </w:p>
                <w:p>
                  <w:pPr>
                    <w:pStyle w:val="TM2"/>
                    <w:tabs>
                      <w:tab w:val="right" w:leader="dot" w:pos="9344"/>
                    </w:tabs>
                    <w:rPr>
                      <w:rFonts w:asciiTheme="minorHAnsi" w:eastAsiaTheme="minorEastAsia" w:hAnsiTheme="minorHAnsi" w:cstheme="minorBidi"/>
                      <w:b w:val="0"/>
                      <w:iCs w:val="0"/>
                      <w:noProof/>
                      <w:szCs w:val="22"/>
                      <w:lang w:eastAsia="fr-BE"/>
                    </w:rPr>
                  </w:pPr>
                  <w:r>
                    <w:rPr>
                      <w:bCs/>
                      <w:smallCaps/>
                      <w:noProof/>
                      <w:sz w:val="28"/>
                    </w:rPr>
                    <w:fldChar w:fldCharType="begin"/>
                  </w:r>
                  <w:r>
                    <w:rPr>
                      <w:noProof/>
                    </w:rPr>
                    <w:instrText xml:space="preserve"> TOC \o "1-3" \h \z \u </w:instrText>
                  </w:r>
                  <w:r>
                    <w:rPr>
                      <w:bCs/>
                      <w:smallCaps/>
                      <w:noProof/>
                      <w:sz w:val="28"/>
                    </w:rPr>
                    <w:fldChar w:fldCharType="separate"/>
                  </w:r>
                  <w:hyperlink w:anchor="_Toc18914408" w:history="1">
                    <w:r>
                      <w:rPr>
                        <w:rStyle w:val="Lienhypertexte"/>
                        <w:noProof/>
                      </w:rPr>
                      <w:t>Introduction d’ordre administratiF</w:t>
                    </w:r>
                    <w:r>
                      <w:rPr>
                        <w:noProof/>
                        <w:webHidden/>
                      </w:rPr>
                      <w:tab/>
                    </w:r>
                    <w:r>
                      <w:rPr>
                        <w:noProof/>
                        <w:webHidden/>
                      </w:rPr>
                      <w:fldChar w:fldCharType="begin"/>
                    </w:r>
                    <w:r>
                      <w:rPr>
                        <w:noProof/>
                        <w:webHidden/>
                      </w:rPr>
                      <w:instrText xml:space="preserve"> PAGEREF _Toc18914408 \h </w:instrText>
                    </w:r>
                    <w:r>
                      <w:rPr>
                        <w:noProof/>
                        <w:webHidden/>
                      </w:rPr>
                    </w:r>
                    <w:r>
                      <w:rPr>
                        <w:noProof/>
                        <w:webHidden/>
                      </w:rPr>
                      <w:fldChar w:fldCharType="separate"/>
                    </w:r>
                    <w:r>
                      <w:rPr>
                        <w:noProof/>
                        <w:webHidden/>
                      </w:rPr>
                      <w:t>2</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09" w:history="1">
                    <w:r>
                      <w:rPr>
                        <w:rStyle w:val="Lienhypertexte"/>
                        <w:noProof/>
                      </w:rPr>
                      <w:t>Principales modifications</w:t>
                    </w:r>
                    <w:r>
                      <w:rPr>
                        <w:noProof/>
                        <w:webHidden/>
                      </w:rPr>
                      <w:tab/>
                    </w:r>
                    <w:r>
                      <w:rPr>
                        <w:noProof/>
                        <w:webHidden/>
                      </w:rPr>
                      <w:fldChar w:fldCharType="begin"/>
                    </w:r>
                    <w:r>
                      <w:rPr>
                        <w:noProof/>
                        <w:webHidden/>
                      </w:rPr>
                      <w:instrText xml:space="preserve"> PAGEREF _Toc18914409 \h </w:instrText>
                    </w:r>
                    <w:r>
                      <w:rPr>
                        <w:noProof/>
                        <w:webHidden/>
                      </w:rPr>
                    </w:r>
                    <w:r>
                      <w:rPr>
                        <w:noProof/>
                        <w:webHidden/>
                      </w:rPr>
                      <w:fldChar w:fldCharType="separate"/>
                    </w:r>
                    <w:r>
                      <w:rPr>
                        <w:noProof/>
                        <w:webHidden/>
                      </w:rPr>
                      <w:t>3</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10" w:history="1">
                    <w:r>
                      <w:rPr>
                        <w:rStyle w:val="Lienhypertexte"/>
                        <w:noProof/>
                      </w:rPr>
                      <w:t>Table des matières</w:t>
                    </w:r>
                    <w:r>
                      <w:rPr>
                        <w:noProof/>
                        <w:webHidden/>
                      </w:rPr>
                      <w:tab/>
                    </w:r>
                    <w:r>
                      <w:rPr>
                        <w:noProof/>
                        <w:webHidden/>
                      </w:rPr>
                      <w:fldChar w:fldCharType="begin"/>
                    </w:r>
                    <w:r>
                      <w:rPr>
                        <w:noProof/>
                        <w:webHidden/>
                      </w:rPr>
                      <w:instrText xml:space="preserve"> PAGEREF _Toc18914410 \h </w:instrText>
                    </w:r>
                    <w:r>
                      <w:rPr>
                        <w:noProof/>
                        <w:webHidden/>
                      </w:rPr>
                    </w:r>
                    <w:r>
                      <w:rPr>
                        <w:noProof/>
                        <w:webHidden/>
                      </w:rPr>
                      <w:fldChar w:fldCharType="separate"/>
                    </w:r>
                    <w:r>
                      <w:rPr>
                        <w:noProof/>
                        <w:webHidden/>
                      </w:rPr>
                      <w:t>7</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11" w:history="1">
                    <w:r>
                      <w:rPr>
                        <w:rStyle w:val="Lienhypertexte"/>
                        <w:noProof/>
                      </w:rPr>
                      <w:t>Chapitre 1 : Obligation scolaire, inscription des élèves, fréquentation scolaire, sanctions disciplinaires et gratuité dans l’enseignement fondamental spécialisé organisé et subventionné par la Fédération Wallonie-Bruxelles.</w:t>
                    </w:r>
                    <w:r>
                      <w:rPr>
                        <w:noProof/>
                        <w:webHidden/>
                      </w:rPr>
                      <w:tab/>
                    </w:r>
                    <w:r>
                      <w:rPr>
                        <w:noProof/>
                        <w:webHidden/>
                      </w:rPr>
                      <w:fldChar w:fldCharType="begin"/>
                    </w:r>
                    <w:r>
                      <w:rPr>
                        <w:noProof/>
                        <w:webHidden/>
                      </w:rPr>
                      <w:instrText xml:space="preserve"> PAGEREF _Toc18914411 \h </w:instrText>
                    </w:r>
                    <w:r>
                      <w:rPr>
                        <w:noProof/>
                        <w:webHidden/>
                      </w:rPr>
                    </w:r>
                    <w:r>
                      <w:rPr>
                        <w:noProof/>
                        <w:webHidden/>
                      </w:rPr>
                      <w:fldChar w:fldCharType="separate"/>
                    </w:r>
                    <w:r>
                      <w:rPr>
                        <w:noProof/>
                        <w:webHidden/>
                      </w:rPr>
                      <w:t>11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12" w:history="1">
                    <w:r>
                      <w:rPr>
                        <w:rStyle w:val="Lienhypertexte"/>
                        <w:noProof/>
                      </w:rPr>
                      <w:t>1. Consignes</w:t>
                    </w:r>
                    <w:r>
                      <w:rPr>
                        <w:noProof/>
                        <w:webHidden/>
                      </w:rPr>
                      <w:tab/>
                    </w:r>
                    <w:r>
                      <w:rPr>
                        <w:noProof/>
                        <w:webHidden/>
                      </w:rPr>
                      <w:fldChar w:fldCharType="begin"/>
                    </w:r>
                    <w:r>
                      <w:rPr>
                        <w:noProof/>
                        <w:webHidden/>
                      </w:rPr>
                      <w:instrText xml:space="preserve"> PAGEREF _Toc18914412 \h </w:instrText>
                    </w:r>
                    <w:r>
                      <w:rPr>
                        <w:noProof/>
                        <w:webHidden/>
                      </w:rPr>
                    </w:r>
                    <w:r>
                      <w:rPr>
                        <w:noProof/>
                        <w:webHidden/>
                      </w:rPr>
                      <w:fldChar w:fldCharType="separate"/>
                    </w:r>
                    <w:r>
                      <w:rPr>
                        <w:noProof/>
                        <w:webHidden/>
                      </w:rPr>
                      <w:t>11</w:t>
                    </w:r>
                    <w:r>
                      <w:rPr>
                        <w:noProof/>
                        <w:webHidden/>
                      </w:rPr>
                      <w:fldChar w:fldCharType="end"/>
                    </w:r>
                  </w:hyperlink>
                </w:p>
                <w:p>
                  <w:pPr>
                    <w:pStyle w:val="TM3"/>
                    <w:tabs>
                      <w:tab w:val="left" w:pos="709"/>
                      <w:tab w:val="right" w:leader="dot" w:pos="9344"/>
                    </w:tabs>
                    <w:rPr>
                      <w:rFonts w:asciiTheme="minorHAnsi" w:eastAsiaTheme="minorEastAsia" w:hAnsiTheme="minorHAnsi" w:cstheme="minorBidi"/>
                      <w:noProof/>
                      <w:szCs w:val="22"/>
                      <w:lang w:eastAsia="fr-BE"/>
                    </w:rPr>
                  </w:pPr>
                  <w:hyperlink w:anchor="_Toc18914413" w:history="1">
                    <w:r>
                      <w:rPr>
                        <w:rStyle w:val="Lienhypertexte"/>
                        <w:noProof/>
                      </w:rPr>
                      <w:t>2.</w:t>
                    </w:r>
                    <w:r>
                      <w:rPr>
                        <w:rFonts w:asciiTheme="minorHAnsi" w:eastAsiaTheme="minorEastAsia" w:hAnsiTheme="minorHAnsi" w:cstheme="minorBidi"/>
                        <w:noProof/>
                        <w:szCs w:val="22"/>
                        <w:lang w:eastAsia="fr-BE"/>
                      </w:rPr>
                      <w:tab/>
                    </w:r>
                    <w:r>
                      <w:rPr>
                        <w:rStyle w:val="Lienhypertexte"/>
                        <w:noProof/>
                      </w:rPr>
                      <w:t>Questions-réponses</w:t>
                    </w:r>
                    <w:r>
                      <w:rPr>
                        <w:noProof/>
                        <w:webHidden/>
                      </w:rPr>
                      <w:tab/>
                    </w:r>
                    <w:r>
                      <w:rPr>
                        <w:noProof/>
                        <w:webHidden/>
                      </w:rPr>
                      <w:fldChar w:fldCharType="begin"/>
                    </w:r>
                    <w:r>
                      <w:rPr>
                        <w:noProof/>
                        <w:webHidden/>
                      </w:rPr>
                      <w:instrText xml:space="preserve"> PAGEREF _Toc18914413 \h </w:instrText>
                    </w:r>
                    <w:r>
                      <w:rPr>
                        <w:noProof/>
                        <w:webHidden/>
                      </w:rPr>
                    </w:r>
                    <w:r>
                      <w:rPr>
                        <w:noProof/>
                        <w:webHidden/>
                      </w:rPr>
                      <w:fldChar w:fldCharType="separate"/>
                    </w:r>
                    <w:r>
                      <w:rPr>
                        <w:noProof/>
                        <w:webHidden/>
                      </w:rPr>
                      <w:t>47</w:t>
                    </w:r>
                    <w:r>
                      <w:rPr>
                        <w:noProof/>
                        <w:webHidden/>
                      </w:rPr>
                      <w:fldChar w:fldCharType="end"/>
                    </w:r>
                  </w:hyperlink>
                </w:p>
                <w:p>
                  <w:pPr>
                    <w:pStyle w:val="TM3"/>
                    <w:tabs>
                      <w:tab w:val="left" w:pos="709"/>
                      <w:tab w:val="right" w:leader="dot" w:pos="9344"/>
                    </w:tabs>
                    <w:rPr>
                      <w:rFonts w:asciiTheme="minorHAnsi" w:eastAsiaTheme="minorEastAsia" w:hAnsiTheme="minorHAnsi" w:cstheme="minorBidi"/>
                      <w:noProof/>
                      <w:szCs w:val="22"/>
                      <w:lang w:eastAsia="fr-BE"/>
                    </w:rPr>
                  </w:pPr>
                  <w:hyperlink w:anchor="_Toc18914414" w:history="1">
                    <w:r>
                      <w:rPr>
                        <w:rStyle w:val="Lienhypertexte"/>
                        <w:noProof/>
                      </w:rPr>
                      <w:t>3.</w:t>
                    </w:r>
                    <w:r>
                      <w:rPr>
                        <w:rFonts w:asciiTheme="minorHAnsi" w:eastAsiaTheme="minorEastAsia" w:hAnsiTheme="minorHAnsi" w:cstheme="minorBidi"/>
                        <w:noProof/>
                        <w:szCs w:val="22"/>
                        <w:lang w:eastAsia="fr-BE"/>
                      </w:rPr>
                      <w:tab/>
                    </w:r>
                    <w:r>
                      <w:rPr>
                        <w:rStyle w:val="Lienhypertexte"/>
                        <w:noProof/>
                      </w:rPr>
                      <w:t>Annexes</w:t>
                    </w:r>
                    <w:r>
                      <w:rPr>
                        <w:noProof/>
                        <w:webHidden/>
                      </w:rPr>
                      <w:tab/>
                    </w:r>
                    <w:r>
                      <w:rPr>
                        <w:noProof/>
                        <w:webHidden/>
                      </w:rPr>
                      <w:fldChar w:fldCharType="begin"/>
                    </w:r>
                    <w:r>
                      <w:rPr>
                        <w:noProof/>
                        <w:webHidden/>
                      </w:rPr>
                      <w:instrText xml:space="preserve"> PAGEREF _Toc18914414 \h </w:instrText>
                    </w:r>
                    <w:r>
                      <w:rPr>
                        <w:noProof/>
                        <w:webHidden/>
                      </w:rPr>
                    </w:r>
                    <w:r>
                      <w:rPr>
                        <w:noProof/>
                        <w:webHidden/>
                      </w:rPr>
                      <w:fldChar w:fldCharType="separate"/>
                    </w:r>
                    <w:r>
                      <w:rPr>
                        <w:noProof/>
                        <w:webHidden/>
                      </w:rPr>
                      <w:t>59</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15" w:history="1">
                    <w:r>
                      <w:rPr>
                        <w:rStyle w:val="Lienhypertexte"/>
                        <w:noProof/>
                      </w:rPr>
                      <w:t>Chapitre 2 : Rationalisation et programmation</w:t>
                    </w:r>
                    <w:r>
                      <w:rPr>
                        <w:noProof/>
                        <w:webHidden/>
                      </w:rPr>
                      <w:tab/>
                    </w:r>
                    <w:r>
                      <w:rPr>
                        <w:noProof/>
                        <w:webHidden/>
                      </w:rPr>
                      <w:fldChar w:fldCharType="begin"/>
                    </w:r>
                    <w:r>
                      <w:rPr>
                        <w:noProof/>
                        <w:webHidden/>
                      </w:rPr>
                      <w:instrText xml:space="preserve"> PAGEREF _Toc18914415 \h </w:instrText>
                    </w:r>
                    <w:r>
                      <w:rPr>
                        <w:noProof/>
                        <w:webHidden/>
                      </w:rPr>
                    </w:r>
                    <w:r>
                      <w:rPr>
                        <w:noProof/>
                        <w:webHidden/>
                      </w:rPr>
                      <w:fldChar w:fldCharType="separate"/>
                    </w:r>
                    <w:r>
                      <w:rPr>
                        <w:noProof/>
                        <w:webHidden/>
                      </w:rPr>
                      <w:t>92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16" w:history="1">
                    <w:r>
                      <w:rPr>
                        <w:rStyle w:val="Lienhypertexte"/>
                        <w:noProof/>
                      </w:rPr>
                      <w:t>1. Notions essentielles</w:t>
                    </w:r>
                    <w:r>
                      <w:rPr>
                        <w:noProof/>
                        <w:webHidden/>
                      </w:rPr>
                      <w:tab/>
                    </w:r>
                    <w:r>
                      <w:rPr>
                        <w:noProof/>
                        <w:webHidden/>
                      </w:rPr>
                      <w:fldChar w:fldCharType="begin"/>
                    </w:r>
                    <w:r>
                      <w:rPr>
                        <w:noProof/>
                        <w:webHidden/>
                      </w:rPr>
                      <w:instrText xml:space="preserve"> PAGEREF _Toc18914416 \h </w:instrText>
                    </w:r>
                    <w:r>
                      <w:rPr>
                        <w:noProof/>
                        <w:webHidden/>
                      </w:rPr>
                    </w:r>
                    <w:r>
                      <w:rPr>
                        <w:noProof/>
                        <w:webHidden/>
                      </w:rPr>
                      <w:fldChar w:fldCharType="separate"/>
                    </w:r>
                    <w:r>
                      <w:rPr>
                        <w:noProof/>
                        <w:webHidden/>
                      </w:rPr>
                      <w:t>93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17" w:history="1">
                    <w:r>
                      <w:rPr>
                        <w:rStyle w:val="Lienhypertexte"/>
                        <w:noProof/>
                      </w:rPr>
                      <w:t>2. Champ d’application du plan de rationalisation et de programmation</w:t>
                    </w:r>
                    <w:r>
                      <w:rPr>
                        <w:noProof/>
                        <w:webHidden/>
                      </w:rPr>
                      <w:tab/>
                    </w:r>
                    <w:r>
                      <w:rPr>
                        <w:noProof/>
                        <w:webHidden/>
                      </w:rPr>
                      <w:fldChar w:fldCharType="begin"/>
                    </w:r>
                    <w:r>
                      <w:rPr>
                        <w:noProof/>
                        <w:webHidden/>
                      </w:rPr>
                      <w:instrText xml:space="preserve"> PAGEREF _Toc18914417 \h </w:instrText>
                    </w:r>
                    <w:r>
                      <w:rPr>
                        <w:noProof/>
                        <w:webHidden/>
                      </w:rPr>
                    </w:r>
                    <w:r>
                      <w:rPr>
                        <w:noProof/>
                        <w:webHidden/>
                      </w:rPr>
                      <w:fldChar w:fldCharType="separate"/>
                    </w:r>
                    <w:r>
                      <w:rPr>
                        <w:noProof/>
                        <w:webHidden/>
                      </w:rPr>
                      <w:t>95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18" w:history="1">
                    <w:r>
                      <w:rPr>
                        <w:rStyle w:val="Lienhypertexte"/>
                        <w:noProof/>
                      </w:rPr>
                      <w:t>3. Rationalisation de l’enseignement fondamental spécialisé « Normes de maintien »</w:t>
                    </w:r>
                    <w:r>
                      <w:rPr>
                        <w:noProof/>
                        <w:webHidden/>
                      </w:rPr>
                      <w:tab/>
                    </w:r>
                    <w:r>
                      <w:rPr>
                        <w:noProof/>
                        <w:webHidden/>
                      </w:rPr>
                      <w:fldChar w:fldCharType="begin"/>
                    </w:r>
                    <w:r>
                      <w:rPr>
                        <w:noProof/>
                        <w:webHidden/>
                      </w:rPr>
                      <w:instrText xml:space="preserve"> PAGEREF _Toc18914418 \h </w:instrText>
                    </w:r>
                    <w:r>
                      <w:rPr>
                        <w:noProof/>
                        <w:webHidden/>
                      </w:rPr>
                    </w:r>
                    <w:r>
                      <w:rPr>
                        <w:noProof/>
                        <w:webHidden/>
                      </w:rPr>
                      <w:fldChar w:fldCharType="separate"/>
                    </w:r>
                    <w:r>
                      <w:rPr>
                        <w:noProof/>
                        <w:webHidden/>
                      </w:rPr>
                      <w:t>97</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19" w:history="1">
                    <w:r>
                      <w:rPr>
                        <w:rStyle w:val="Lienhypertexte"/>
                        <w:noProof/>
                      </w:rPr>
                      <w:t>4. Programmation de l’enseignement fondamental spécialisé « Normes de création »</w:t>
                    </w:r>
                    <w:r>
                      <w:rPr>
                        <w:noProof/>
                        <w:webHidden/>
                      </w:rPr>
                      <w:tab/>
                    </w:r>
                    <w:r>
                      <w:rPr>
                        <w:noProof/>
                        <w:webHidden/>
                      </w:rPr>
                      <w:fldChar w:fldCharType="begin"/>
                    </w:r>
                    <w:r>
                      <w:rPr>
                        <w:noProof/>
                        <w:webHidden/>
                      </w:rPr>
                      <w:instrText xml:space="preserve"> PAGEREF _Toc18914419 \h </w:instrText>
                    </w:r>
                    <w:r>
                      <w:rPr>
                        <w:noProof/>
                        <w:webHidden/>
                      </w:rPr>
                    </w:r>
                    <w:r>
                      <w:rPr>
                        <w:noProof/>
                        <w:webHidden/>
                      </w:rPr>
                      <w:fldChar w:fldCharType="separate"/>
                    </w:r>
                    <w:r>
                      <w:rPr>
                        <w:noProof/>
                        <w:webHidden/>
                      </w:rPr>
                      <w:t>99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0" w:history="1">
                    <w:r>
                      <w:rPr>
                        <w:rStyle w:val="Lienhypertexte"/>
                        <w:noProof/>
                      </w:rPr>
                      <w:t>5. Régime particulier en faveur des membres du personnel mis en disponibilité par défaut d’emploi par application du plan de rationalisation</w:t>
                    </w:r>
                    <w:r>
                      <w:rPr>
                        <w:noProof/>
                        <w:webHidden/>
                      </w:rPr>
                      <w:tab/>
                    </w:r>
                    <w:r>
                      <w:rPr>
                        <w:noProof/>
                        <w:webHidden/>
                      </w:rPr>
                      <w:fldChar w:fldCharType="begin"/>
                    </w:r>
                    <w:r>
                      <w:rPr>
                        <w:noProof/>
                        <w:webHidden/>
                      </w:rPr>
                      <w:instrText xml:space="preserve"> PAGEREF _Toc18914420 \h </w:instrText>
                    </w:r>
                    <w:r>
                      <w:rPr>
                        <w:noProof/>
                        <w:webHidden/>
                      </w:rPr>
                    </w:r>
                    <w:r>
                      <w:rPr>
                        <w:noProof/>
                        <w:webHidden/>
                      </w:rPr>
                      <w:fldChar w:fldCharType="separate"/>
                    </w:r>
                    <w:r>
                      <w:rPr>
                        <w:noProof/>
                        <w:webHidden/>
                      </w:rPr>
                      <w:t>102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1" w:history="1">
                    <w:r>
                      <w:rPr>
                        <w:rStyle w:val="Lienhypertexte"/>
                        <w:noProof/>
                      </w:rPr>
                      <w:t>6. Calcul des capitaux-périodes utilisables en cas de programmation</w:t>
                    </w:r>
                    <w:r>
                      <w:rPr>
                        <w:noProof/>
                        <w:webHidden/>
                      </w:rPr>
                      <w:tab/>
                    </w:r>
                    <w:r>
                      <w:rPr>
                        <w:noProof/>
                        <w:webHidden/>
                      </w:rPr>
                      <w:fldChar w:fldCharType="begin"/>
                    </w:r>
                    <w:r>
                      <w:rPr>
                        <w:noProof/>
                        <w:webHidden/>
                      </w:rPr>
                      <w:instrText xml:space="preserve"> PAGEREF _Toc18914421 \h </w:instrText>
                    </w:r>
                    <w:r>
                      <w:rPr>
                        <w:noProof/>
                        <w:webHidden/>
                      </w:rPr>
                    </w:r>
                    <w:r>
                      <w:rPr>
                        <w:noProof/>
                        <w:webHidden/>
                      </w:rPr>
                      <w:fldChar w:fldCharType="separate"/>
                    </w:r>
                    <w:r>
                      <w:rPr>
                        <w:noProof/>
                        <w:webHidden/>
                      </w:rPr>
                      <w:t>102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2" w:history="1">
                    <w:r>
                      <w:rPr>
                        <w:rStyle w:val="Lienhypertexte"/>
                        <w:noProof/>
                      </w:rPr>
                      <w:t>7. Introduction des propositions de programmation</w:t>
                    </w:r>
                    <w:r>
                      <w:rPr>
                        <w:noProof/>
                        <w:webHidden/>
                      </w:rPr>
                      <w:tab/>
                    </w:r>
                    <w:r>
                      <w:rPr>
                        <w:noProof/>
                        <w:webHidden/>
                      </w:rPr>
                      <w:fldChar w:fldCharType="begin"/>
                    </w:r>
                    <w:r>
                      <w:rPr>
                        <w:noProof/>
                        <w:webHidden/>
                      </w:rPr>
                      <w:instrText xml:space="preserve"> PAGEREF _Toc18914422 \h </w:instrText>
                    </w:r>
                    <w:r>
                      <w:rPr>
                        <w:noProof/>
                        <w:webHidden/>
                      </w:rPr>
                    </w:r>
                    <w:r>
                      <w:rPr>
                        <w:noProof/>
                        <w:webHidden/>
                      </w:rPr>
                      <w:fldChar w:fldCharType="separate"/>
                    </w:r>
                    <w:r>
                      <w:rPr>
                        <w:noProof/>
                        <w:webHidden/>
                      </w:rPr>
                      <w:t>103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3" w:history="1">
                    <w:r>
                      <w:rPr>
                        <w:rStyle w:val="Lienhypertexte"/>
                        <w:noProof/>
                      </w:rPr>
                      <w:t>8. Annexes</w:t>
                    </w:r>
                    <w:r>
                      <w:rPr>
                        <w:noProof/>
                        <w:webHidden/>
                      </w:rPr>
                      <w:tab/>
                    </w:r>
                    <w:r>
                      <w:rPr>
                        <w:noProof/>
                        <w:webHidden/>
                      </w:rPr>
                      <w:fldChar w:fldCharType="begin"/>
                    </w:r>
                    <w:r>
                      <w:rPr>
                        <w:noProof/>
                        <w:webHidden/>
                      </w:rPr>
                      <w:instrText xml:space="preserve"> PAGEREF _Toc18914423 \h </w:instrText>
                    </w:r>
                    <w:r>
                      <w:rPr>
                        <w:noProof/>
                        <w:webHidden/>
                      </w:rPr>
                    </w:r>
                    <w:r>
                      <w:rPr>
                        <w:noProof/>
                        <w:webHidden/>
                      </w:rPr>
                      <w:fldChar w:fldCharType="separate"/>
                    </w:r>
                    <w:r>
                      <w:rPr>
                        <w:noProof/>
                        <w:webHidden/>
                      </w:rPr>
                      <w:t>104</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24" w:history="1">
                    <w:r>
                      <w:rPr>
                        <w:rStyle w:val="Lienhypertexte"/>
                        <w:noProof/>
                      </w:rPr>
                      <w:t>Chapitre 3 : Admission aux subventions</w:t>
                    </w:r>
                    <w:r>
                      <w:rPr>
                        <w:noProof/>
                        <w:webHidden/>
                      </w:rPr>
                      <w:tab/>
                    </w:r>
                    <w:r>
                      <w:rPr>
                        <w:noProof/>
                        <w:webHidden/>
                      </w:rPr>
                      <w:fldChar w:fldCharType="begin"/>
                    </w:r>
                    <w:r>
                      <w:rPr>
                        <w:noProof/>
                        <w:webHidden/>
                      </w:rPr>
                      <w:instrText xml:space="preserve"> PAGEREF _Toc18914424 \h </w:instrText>
                    </w:r>
                    <w:r>
                      <w:rPr>
                        <w:noProof/>
                        <w:webHidden/>
                      </w:rPr>
                    </w:r>
                    <w:r>
                      <w:rPr>
                        <w:noProof/>
                        <w:webHidden/>
                      </w:rPr>
                      <w:fldChar w:fldCharType="separate"/>
                    </w:r>
                    <w:r>
                      <w:rPr>
                        <w:noProof/>
                        <w:webHidden/>
                      </w:rPr>
                      <w:t>106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5" w:history="1">
                    <w:r>
                      <w:rPr>
                        <w:rStyle w:val="Lienhypertexte"/>
                        <w:noProof/>
                      </w:rPr>
                      <w:t>1. Création d’un nouvel établissement scolaire d’enseignement spécialisé</w:t>
                    </w:r>
                    <w:r>
                      <w:rPr>
                        <w:noProof/>
                        <w:webHidden/>
                      </w:rPr>
                      <w:tab/>
                    </w:r>
                    <w:r>
                      <w:rPr>
                        <w:noProof/>
                        <w:webHidden/>
                      </w:rPr>
                      <w:fldChar w:fldCharType="begin"/>
                    </w:r>
                    <w:r>
                      <w:rPr>
                        <w:noProof/>
                        <w:webHidden/>
                      </w:rPr>
                      <w:instrText xml:space="preserve"> PAGEREF _Toc18914425 \h </w:instrText>
                    </w:r>
                    <w:r>
                      <w:rPr>
                        <w:noProof/>
                        <w:webHidden/>
                      </w:rPr>
                    </w:r>
                    <w:r>
                      <w:rPr>
                        <w:noProof/>
                        <w:webHidden/>
                      </w:rPr>
                      <w:fldChar w:fldCharType="separate"/>
                    </w:r>
                    <w:r>
                      <w:rPr>
                        <w:noProof/>
                        <w:webHidden/>
                      </w:rPr>
                      <w:t>106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6" w:history="1">
                    <w:r>
                      <w:rPr>
                        <w:rStyle w:val="Lienhypertexte"/>
                        <w:noProof/>
                        <w:lang w:val="fr-FR" w:eastAsia="fr-FR"/>
                      </w:rPr>
                      <w:t>2. Admission aux subventions pour création de nouveaux types, formes et métiers</w:t>
                    </w:r>
                    <w:r>
                      <w:rPr>
                        <w:noProof/>
                        <w:webHidden/>
                      </w:rPr>
                      <w:tab/>
                    </w:r>
                    <w:r>
                      <w:rPr>
                        <w:noProof/>
                        <w:webHidden/>
                      </w:rPr>
                      <w:fldChar w:fldCharType="begin"/>
                    </w:r>
                    <w:r>
                      <w:rPr>
                        <w:noProof/>
                        <w:webHidden/>
                      </w:rPr>
                      <w:instrText xml:space="preserve"> PAGEREF _Toc18914426 \h </w:instrText>
                    </w:r>
                    <w:r>
                      <w:rPr>
                        <w:noProof/>
                        <w:webHidden/>
                      </w:rPr>
                    </w:r>
                    <w:r>
                      <w:rPr>
                        <w:noProof/>
                        <w:webHidden/>
                      </w:rPr>
                      <w:fldChar w:fldCharType="separate"/>
                    </w:r>
                    <w:r>
                      <w:rPr>
                        <w:noProof/>
                        <w:webHidden/>
                      </w:rPr>
                      <w:t>109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7" w:history="1">
                    <w:r>
                      <w:rPr>
                        <w:rStyle w:val="Lienhypertexte"/>
                        <w:noProof/>
                      </w:rPr>
                      <w:t>3. Annexes</w:t>
                    </w:r>
                    <w:r>
                      <w:rPr>
                        <w:noProof/>
                        <w:webHidden/>
                      </w:rPr>
                      <w:tab/>
                    </w:r>
                    <w:r>
                      <w:rPr>
                        <w:noProof/>
                        <w:webHidden/>
                      </w:rPr>
                      <w:fldChar w:fldCharType="begin"/>
                    </w:r>
                    <w:r>
                      <w:rPr>
                        <w:noProof/>
                        <w:webHidden/>
                      </w:rPr>
                      <w:instrText xml:space="preserve"> PAGEREF _Toc18914427 \h </w:instrText>
                    </w:r>
                    <w:r>
                      <w:rPr>
                        <w:noProof/>
                        <w:webHidden/>
                      </w:rPr>
                    </w:r>
                    <w:r>
                      <w:rPr>
                        <w:noProof/>
                        <w:webHidden/>
                      </w:rPr>
                      <w:fldChar w:fldCharType="separate"/>
                    </w:r>
                    <w:r>
                      <w:rPr>
                        <w:noProof/>
                        <w:webHidden/>
                      </w:rPr>
                      <w:t>110</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28" w:history="1">
                    <w:r>
                      <w:rPr>
                        <w:rStyle w:val="Lienhypertexte"/>
                        <w:noProof/>
                      </w:rPr>
                      <w:t>Chapitre 4 : Calendrier scolaire, suspension des cours et fermeture exceptionnelle</w:t>
                    </w:r>
                    <w:r>
                      <w:rPr>
                        <w:noProof/>
                        <w:webHidden/>
                      </w:rPr>
                      <w:tab/>
                    </w:r>
                    <w:r>
                      <w:rPr>
                        <w:noProof/>
                        <w:webHidden/>
                      </w:rPr>
                      <w:fldChar w:fldCharType="begin"/>
                    </w:r>
                    <w:r>
                      <w:rPr>
                        <w:noProof/>
                        <w:webHidden/>
                      </w:rPr>
                      <w:instrText xml:space="preserve"> PAGEREF _Toc18914428 \h </w:instrText>
                    </w:r>
                    <w:r>
                      <w:rPr>
                        <w:noProof/>
                        <w:webHidden/>
                      </w:rPr>
                    </w:r>
                    <w:r>
                      <w:rPr>
                        <w:noProof/>
                        <w:webHidden/>
                      </w:rPr>
                      <w:fldChar w:fldCharType="separate"/>
                    </w:r>
                    <w:r>
                      <w:rPr>
                        <w:noProof/>
                        <w:webHidden/>
                      </w:rPr>
                      <w:t>120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9" w:history="1">
                    <w:r>
                      <w:rPr>
                        <w:rStyle w:val="Lienhypertexte"/>
                        <w:noProof/>
                      </w:rPr>
                      <w:t>1. Calendrier scolaire 2019-2020</w:t>
                    </w:r>
                    <w:r>
                      <w:rPr>
                        <w:noProof/>
                        <w:webHidden/>
                      </w:rPr>
                      <w:tab/>
                    </w:r>
                    <w:r>
                      <w:rPr>
                        <w:noProof/>
                        <w:webHidden/>
                      </w:rPr>
                      <w:fldChar w:fldCharType="begin"/>
                    </w:r>
                    <w:r>
                      <w:rPr>
                        <w:noProof/>
                        <w:webHidden/>
                      </w:rPr>
                      <w:instrText xml:space="preserve"> PAGEREF _Toc18914429 \h </w:instrText>
                    </w:r>
                    <w:r>
                      <w:rPr>
                        <w:noProof/>
                        <w:webHidden/>
                      </w:rPr>
                    </w:r>
                    <w:r>
                      <w:rPr>
                        <w:noProof/>
                        <w:webHidden/>
                      </w:rPr>
                      <w:fldChar w:fldCharType="separate"/>
                    </w:r>
                    <w:r>
                      <w:rPr>
                        <w:noProof/>
                        <w:webHidden/>
                      </w:rPr>
                      <w:t>120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30" w:history="1">
                    <w:r>
                      <w:rPr>
                        <w:rStyle w:val="Lienhypertexte"/>
                        <w:noProof/>
                      </w:rPr>
                      <w:t>2. Suspension de cours</w:t>
                    </w:r>
                    <w:r>
                      <w:rPr>
                        <w:noProof/>
                        <w:webHidden/>
                      </w:rPr>
                      <w:tab/>
                    </w:r>
                    <w:r>
                      <w:rPr>
                        <w:noProof/>
                        <w:webHidden/>
                      </w:rPr>
                      <w:fldChar w:fldCharType="begin"/>
                    </w:r>
                    <w:r>
                      <w:rPr>
                        <w:noProof/>
                        <w:webHidden/>
                      </w:rPr>
                      <w:instrText xml:space="preserve"> PAGEREF _Toc18914430 \h </w:instrText>
                    </w:r>
                    <w:r>
                      <w:rPr>
                        <w:noProof/>
                        <w:webHidden/>
                      </w:rPr>
                    </w:r>
                    <w:r>
                      <w:rPr>
                        <w:noProof/>
                        <w:webHidden/>
                      </w:rPr>
                      <w:fldChar w:fldCharType="separate"/>
                    </w:r>
                    <w:r>
                      <w:rPr>
                        <w:noProof/>
                        <w:webHidden/>
                      </w:rPr>
                      <w:t>120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31" w:history="1">
                    <w:r>
                      <w:rPr>
                        <w:rStyle w:val="Lienhypertexte"/>
                        <w:noProof/>
                      </w:rPr>
                      <w:t>3. Annexe</w:t>
                    </w:r>
                    <w:r>
                      <w:rPr>
                        <w:noProof/>
                        <w:webHidden/>
                      </w:rPr>
                      <w:tab/>
                    </w:r>
                    <w:r>
                      <w:rPr>
                        <w:noProof/>
                        <w:webHidden/>
                      </w:rPr>
                      <w:fldChar w:fldCharType="begin"/>
                    </w:r>
                    <w:r>
                      <w:rPr>
                        <w:noProof/>
                        <w:webHidden/>
                      </w:rPr>
                      <w:instrText xml:space="preserve"> PAGEREF _Toc18914431 \h </w:instrText>
                    </w:r>
                    <w:r>
                      <w:rPr>
                        <w:noProof/>
                        <w:webHidden/>
                      </w:rPr>
                    </w:r>
                    <w:r>
                      <w:rPr>
                        <w:noProof/>
                        <w:webHidden/>
                      </w:rPr>
                      <w:fldChar w:fldCharType="separate"/>
                    </w:r>
                    <w:r>
                      <w:rPr>
                        <w:noProof/>
                        <w:webHidden/>
                      </w:rPr>
                      <w:t>122</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32" w:history="1">
                    <w:r>
                      <w:rPr>
                        <w:rStyle w:val="Lienhypertexte"/>
                        <w:noProof/>
                      </w:rPr>
                      <w:t>Chapitre 5 : Personnel directeur et enseignant des établissements et instituts d’enseignement spécialisé</w:t>
                    </w:r>
                    <w:r>
                      <w:rPr>
                        <w:noProof/>
                        <w:webHidden/>
                      </w:rPr>
                      <w:tab/>
                    </w:r>
                    <w:r>
                      <w:rPr>
                        <w:noProof/>
                        <w:webHidden/>
                      </w:rPr>
                      <w:fldChar w:fldCharType="begin"/>
                    </w:r>
                    <w:r>
                      <w:rPr>
                        <w:noProof/>
                        <w:webHidden/>
                      </w:rPr>
                      <w:instrText xml:space="preserve"> PAGEREF _Toc18914432 \h </w:instrText>
                    </w:r>
                    <w:r>
                      <w:rPr>
                        <w:noProof/>
                        <w:webHidden/>
                      </w:rPr>
                    </w:r>
                    <w:r>
                      <w:rPr>
                        <w:noProof/>
                        <w:webHidden/>
                      </w:rPr>
                      <w:fldChar w:fldCharType="separate"/>
                    </w:r>
                    <w:r>
                      <w:rPr>
                        <w:noProof/>
                        <w:webHidden/>
                      </w:rPr>
                      <w:t>124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33" w:history="1">
                    <w:r>
                      <w:rPr>
                        <w:rStyle w:val="Lienhypertexte"/>
                        <w:noProof/>
                      </w:rPr>
                      <w:t xml:space="preserve">1. </w:t>
                    </w:r>
                    <w:r>
                      <w:rPr>
                        <w:rStyle w:val="Lienhypertexte"/>
                        <w:noProof/>
                        <w:spacing w:val="1"/>
                      </w:rPr>
                      <w:t>Pr</w:t>
                    </w:r>
                    <w:r>
                      <w:rPr>
                        <w:rStyle w:val="Lienhypertexte"/>
                        <w:noProof/>
                        <w:spacing w:val="-3"/>
                      </w:rPr>
                      <w:t>i</w:t>
                    </w:r>
                    <w:r>
                      <w:rPr>
                        <w:rStyle w:val="Lienhypertexte"/>
                        <w:noProof/>
                        <w:spacing w:val="-2"/>
                      </w:rPr>
                      <w:t>n</w:t>
                    </w:r>
                    <w:r>
                      <w:rPr>
                        <w:rStyle w:val="Lienhypertexte"/>
                        <w:noProof/>
                        <w:spacing w:val="1"/>
                      </w:rPr>
                      <w:t>c</w:t>
                    </w:r>
                    <w:r>
                      <w:rPr>
                        <w:rStyle w:val="Lienhypertexte"/>
                        <w:noProof/>
                      </w:rPr>
                      <w:t xml:space="preserve">ipes </w:t>
                    </w:r>
                    <w:r>
                      <w:rPr>
                        <w:rStyle w:val="Lienhypertexte"/>
                        <w:noProof/>
                        <w:spacing w:val="1"/>
                      </w:rPr>
                      <w:t>g</w:t>
                    </w:r>
                    <w:r>
                      <w:rPr>
                        <w:rStyle w:val="Lienhypertexte"/>
                        <w:noProof/>
                        <w:spacing w:val="-3"/>
                      </w:rPr>
                      <w:t>é</w:t>
                    </w:r>
                    <w:r>
                      <w:rPr>
                        <w:rStyle w:val="Lienhypertexte"/>
                        <w:noProof/>
                        <w:spacing w:val="1"/>
                      </w:rPr>
                      <w:t>n</w:t>
                    </w:r>
                    <w:r>
                      <w:rPr>
                        <w:rStyle w:val="Lienhypertexte"/>
                        <w:noProof/>
                        <w:spacing w:val="-3"/>
                      </w:rPr>
                      <w:t>é</w:t>
                    </w:r>
                    <w:r>
                      <w:rPr>
                        <w:rStyle w:val="Lienhypertexte"/>
                        <w:noProof/>
                        <w:spacing w:val="1"/>
                      </w:rPr>
                      <w:t>r</w:t>
                    </w:r>
                    <w:r>
                      <w:rPr>
                        <w:rStyle w:val="Lienhypertexte"/>
                        <w:noProof/>
                      </w:rPr>
                      <w:t>aux</w:t>
                    </w:r>
                    <w:r>
                      <w:rPr>
                        <w:noProof/>
                        <w:webHidden/>
                      </w:rPr>
                      <w:tab/>
                    </w:r>
                    <w:r>
                      <w:rPr>
                        <w:noProof/>
                        <w:webHidden/>
                      </w:rPr>
                      <w:fldChar w:fldCharType="begin"/>
                    </w:r>
                    <w:r>
                      <w:rPr>
                        <w:noProof/>
                        <w:webHidden/>
                      </w:rPr>
                      <w:instrText xml:space="preserve"> PAGEREF _Toc18914433 \h </w:instrText>
                    </w:r>
                    <w:r>
                      <w:rPr>
                        <w:noProof/>
                        <w:webHidden/>
                      </w:rPr>
                    </w:r>
                    <w:r>
                      <w:rPr>
                        <w:noProof/>
                        <w:webHidden/>
                      </w:rPr>
                      <w:fldChar w:fldCharType="separate"/>
                    </w:r>
                    <w:r>
                      <w:rPr>
                        <w:noProof/>
                        <w:webHidden/>
                      </w:rPr>
                      <w:t>124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34" w:history="1">
                    <w:r>
                      <w:rPr>
                        <w:rStyle w:val="Lienhypertexte"/>
                        <w:noProof/>
                      </w:rPr>
                      <w:t>2. Capital-périodes</w:t>
                    </w:r>
                    <w:r>
                      <w:rPr>
                        <w:noProof/>
                        <w:webHidden/>
                      </w:rPr>
                      <w:tab/>
                    </w:r>
                    <w:r>
                      <w:rPr>
                        <w:noProof/>
                        <w:webHidden/>
                      </w:rPr>
                      <w:fldChar w:fldCharType="begin"/>
                    </w:r>
                    <w:r>
                      <w:rPr>
                        <w:noProof/>
                        <w:webHidden/>
                      </w:rPr>
                      <w:instrText xml:space="preserve"> PAGEREF _Toc18914434 \h </w:instrText>
                    </w:r>
                    <w:r>
                      <w:rPr>
                        <w:noProof/>
                        <w:webHidden/>
                      </w:rPr>
                    </w:r>
                    <w:r>
                      <w:rPr>
                        <w:noProof/>
                        <w:webHidden/>
                      </w:rPr>
                      <w:fldChar w:fldCharType="separate"/>
                    </w:r>
                    <w:r>
                      <w:rPr>
                        <w:noProof/>
                        <w:webHidden/>
                      </w:rPr>
                      <w:t>128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35" w:history="1">
                    <w:r>
                      <w:rPr>
                        <w:rStyle w:val="Lienhypertexte"/>
                        <w:noProof/>
                      </w:rPr>
                      <w:t>3. Modification du numéro de compte bancaire de l’établissement.</w:t>
                    </w:r>
                    <w:r>
                      <w:rPr>
                        <w:noProof/>
                        <w:webHidden/>
                      </w:rPr>
                      <w:tab/>
                    </w:r>
                    <w:r>
                      <w:rPr>
                        <w:noProof/>
                        <w:webHidden/>
                      </w:rPr>
                      <w:fldChar w:fldCharType="begin"/>
                    </w:r>
                    <w:r>
                      <w:rPr>
                        <w:noProof/>
                        <w:webHidden/>
                      </w:rPr>
                      <w:instrText xml:space="preserve"> PAGEREF _Toc18914435 \h </w:instrText>
                    </w:r>
                    <w:r>
                      <w:rPr>
                        <w:noProof/>
                        <w:webHidden/>
                      </w:rPr>
                    </w:r>
                    <w:r>
                      <w:rPr>
                        <w:noProof/>
                        <w:webHidden/>
                      </w:rPr>
                      <w:fldChar w:fldCharType="separate"/>
                    </w:r>
                    <w:r>
                      <w:rPr>
                        <w:noProof/>
                        <w:webHidden/>
                      </w:rPr>
                      <w:t>138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36" w:history="1">
                    <w:r>
                      <w:rPr>
                        <w:rStyle w:val="Lienhypertexte"/>
                        <w:noProof/>
                      </w:rPr>
                      <w:t>4. Annexe</w:t>
                    </w:r>
                    <w:r>
                      <w:rPr>
                        <w:noProof/>
                        <w:webHidden/>
                      </w:rPr>
                      <w:tab/>
                    </w:r>
                    <w:r>
                      <w:rPr>
                        <w:noProof/>
                        <w:webHidden/>
                      </w:rPr>
                      <w:fldChar w:fldCharType="begin"/>
                    </w:r>
                    <w:r>
                      <w:rPr>
                        <w:noProof/>
                        <w:webHidden/>
                      </w:rPr>
                      <w:instrText xml:space="preserve"> PAGEREF _Toc18914436 \h </w:instrText>
                    </w:r>
                    <w:r>
                      <w:rPr>
                        <w:noProof/>
                        <w:webHidden/>
                      </w:rPr>
                    </w:r>
                    <w:r>
                      <w:rPr>
                        <w:noProof/>
                        <w:webHidden/>
                      </w:rPr>
                      <w:fldChar w:fldCharType="separate"/>
                    </w:r>
                    <w:r>
                      <w:rPr>
                        <w:noProof/>
                        <w:webHidden/>
                      </w:rPr>
                      <w:t>138</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37" w:history="1">
                    <w:r>
                      <w:rPr>
                        <w:rStyle w:val="Lienhypertexte"/>
                        <w:noProof/>
                      </w:rPr>
                      <w:t>Chapitre 6 : Personnels administratif et auxiliaire d’éducation</w:t>
                    </w:r>
                    <w:r>
                      <w:rPr>
                        <w:noProof/>
                        <w:webHidden/>
                      </w:rPr>
                      <w:tab/>
                    </w:r>
                    <w:r>
                      <w:rPr>
                        <w:noProof/>
                        <w:webHidden/>
                      </w:rPr>
                      <w:fldChar w:fldCharType="begin"/>
                    </w:r>
                    <w:r>
                      <w:rPr>
                        <w:noProof/>
                        <w:webHidden/>
                      </w:rPr>
                      <w:instrText xml:space="preserve"> PAGEREF _Toc18914437 \h </w:instrText>
                    </w:r>
                    <w:r>
                      <w:rPr>
                        <w:noProof/>
                        <w:webHidden/>
                      </w:rPr>
                    </w:r>
                    <w:r>
                      <w:rPr>
                        <w:noProof/>
                        <w:webHidden/>
                      </w:rPr>
                      <w:fldChar w:fldCharType="separate"/>
                    </w:r>
                    <w:r>
                      <w:rPr>
                        <w:noProof/>
                        <w:webHidden/>
                      </w:rPr>
                      <w:t>141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38" w:history="1">
                    <w:r>
                      <w:rPr>
                        <w:rStyle w:val="Lienhypertexte"/>
                        <w:noProof/>
                      </w:rPr>
                      <w:t>1. Capital-périodes – Principes généraux</w:t>
                    </w:r>
                    <w:r>
                      <w:rPr>
                        <w:noProof/>
                        <w:webHidden/>
                      </w:rPr>
                      <w:tab/>
                    </w:r>
                    <w:r>
                      <w:rPr>
                        <w:noProof/>
                        <w:webHidden/>
                      </w:rPr>
                      <w:fldChar w:fldCharType="begin"/>
                    </w:r>
                    <w:r>
                      <w:rPr>
                        <w:noProof/>
                        <w:webHidden/>
                      </w:rPr>
                      <w:instrText xml:space="preserve"> PAGEREF _Toc18914438 \h </w:instrText>
                    </w:r>
                    <w:r>
                      <w:rPr>
                        <w:noProof/>
                        <w:webHidden/>
                      </w:rPr>
                    </w:r>
                    <w:r>
                      <w:rPr>
                        <w:noProof/>
                        <w:webHidden/>
                      </w:rPr>
                      <w:fldChar w:fldCharType="separate"/>
                    </w:r>
                    <w:r>
                      <w:rPr>
                        <w:noProof/>
                        <w:webHidden/>
                      </w:rPr>
                      <w:t>141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39" w:history="1">
                    <w:r>
                      <w:rPr>
                        <w:rStyle w:val="Lienhypertexte"/>
                        <w:noProof/>
                      </w:rPr>
                      <w:t>2. Enseignement fondamental spécialisé organisé par la Fédération Wallonie-Bruxelles</w:t>
                    </w:r>
                    <w:r>
                      <w:rPr>
                        <w:noProof/>
                        <w:webHidden/>
                      </w:rPr>
                      <w:tab/>
                    </w:r>
                    <w:r>
                      <w:rPr>
                        <w:noProof/>
                        <w:webHidden/>
                      </w:rPr>
                      <w:fldChar w:fldCharType="begin"/>
                    </w:r>
                    <w:r>
                      <w:rPr>
                        <w:noProof/>
                        <w:webHidden/>
                      </w:rPr>
                      <w:instrText xml:space="preserve"> PAGEREF _Toc18914439 \h </w:instrText>
                    </w:r>
                    <w:r>
                      <w:rPr>
                        <w:noProof/>
                        <w:webHidden/>
                      </w:rPr>
                    </w:r>
                    <w:r>
                      <w:rPr>
                        <w:noProof/>
                        <w:webHidden/>
                      </w:rPr>
                      <w:fldChar w:fldCharType="separate"/>
                    </w:r>
                    <w:r>
                      <w:rPr>
                        <w:noProof/>
                        <w:webHidden/>
                      </w:rPr>
                      <w:t>142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0" w:history="1">
                    <w:r>
                      <w:rPr>
                        <w:rStyle w:val="Lienhypertexte"/>
                        <w:noProof/>
                      </w:rPr>
                      <w:t>3. Enseignement fondamental spécialisé organisé et subventionné par la Fédération Wallonie-Bruxelles (article 116 bis du Décret du 3 mars 2004 organisant l'Enseignement spécialisé)</w:t>
                    </w:r>
                    <w:r>
                      <w:rPr>
                        <w:noProof/>
                        <w:webHidden/>
                      </w:rPr>
                      <w:tab/>
                    </w:r>
                    <w:r>
                      <w:rPr>
                        <w:noProof/>
                        <w:webHidden/>
                      </w:rPr>
                      <w:fldChar w:fldCharType="begin"/>
                    </w:r>
                    <w:r>
                      <w:rPr>
                        <w:noProof/>
                        <w:webHidden/>
                      </w:rPr>
                      <w:instrText xml:space="preserve"> PAGEREF _Toc18914440 \h </w:instrText>
                    </w:r>
                    <w:r>
                      <w:rPr>
                        <w:noProof/>
                        <w:webHidden/>
                      </w:rPr>
                    </w:r>
                    <w:r>
                      <w:rPr>
                        <w:noProof/>
                        <w:webHidden/>
                      </w:rPr>
                      <w:fldChar w:fldCharType="separate"/>
                    </w:r>
                    <w:r>
                      <w:rPr>
                        <w:noProof/>
                        <w:webHidden/>
                      </w:rPr>
                      <w:t>143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1" w:history="1">
                    <w:r>
                      <w:rPr>
                        <w:rStyle w:val="Lienhypertexte"/>
                        <w:noProof/>
                      </w:rPr>
                      <w:t>4. Détermination d’une charge complète</w:t>
                    </w:r>
                    <w:r>
                      <w:rPr>
                        <w:noProof/>
                        <w:webHidden/>
                      </w:rPr>
                      <w:tab/>
                    </w:r>
                    <w:r>
                      <w:rPr>
                        <w:noProof/>
                        <w:webHidden/>
                      </w:rPr>
                      <w:fldChar w:fldCharType="begin"/>
                    </w:r>
                    <w:r>
                      <w:rPr>
                        <w:noProof/>
                        <w:webHidden/>
                      </w:rPr>
                      <w:instrText xml:space="preserve"> PAGEREF _Toc18914441 \h </w:instrText>
                    </w:r>
                    <w:r>
                      <w:rPr>
                        <w:noProof/>
                        <w:webHidden/>
                      </w:rPr>
                    </w:r>
                    <w:r>
                      <w:rPr>
                        <w:noProof/>
                        <w:webHidden/>
                      </w:rPr>
                      <w:fldChar w:fldCharType="separate"/>
                    </w:r>
                    <w:r>
                      <w:rPr>
                        <w:noProof/>
                        <w:webHidden/>
                      </w:rPr>
                      <w:t>143</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42" w:history="1">
                    <w:r>
                      <w:rPr>
                        <w:rStyle w:val="Lienhypertexte"/>
                        <w:noProof/>
                      </w:rPr>
                      <w:t>Chapitre 7 : Personnel paramédical, social et psychologique fonctionnant pendant la journée scolaire</w:t>
                    </w:r>
                    <w:r>
                      <w:rPr>
                        <w:noProof/>
                        <w:webHidden/>
                      </w:rPr>
                      <w:tab/>
                    </w:r>
                    <w:r>
                      <w:rPr>
                        <w:noProof/>
                        <w:webHidden/>
                      </w:rPr>
                      <w:fldChar w:fldCharType="begin"/>
                    </w:r>
                    <w:r>
                      <w:rPr>
                        <w:noProof/>
                        <w:webHidden/>
                      </w:rPr>
                      <w:instrText xml:space="preserve"> PAGEREF _Toc18914442 \h </w:instrText>
                    </w:r>
                    <w:r>
                      <w:rPr>
                        <w:noProof/>
                        <w:webHidden/>
                      </w:rPr>
                    </w:r>
                    <w:r>
                      <w:rPr>
                        <w:noProof/>
                        <w:webHidden/>
                      </w:rPr>
                      <w:fldChar w:fldCharType="separate"/>
                    </w:r>
                    <w:r>
                      <w:rPr>
                        <w:noProof/>
                        <w:webHidden/>
                      </w:rPr>
                      <w:t>145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3" w:history="1">
                    <w:r>
                      <w:rPr>
                        <w:rStyle w:val="Lienhypertexte"/>
                        <w:noProof/>
                      </w:rPr>
                      <w:t>1. Personnel concerné</w:t>
                    </w:r>
                    <w:r>
                      <w:rPr>
                        <w:noProof/>
                        <w:webHidden/>
                      </w:rPr>
                      <w:tab/>
                    </w:r>
                    <w:r>
                      <w:rPr>
                        <w:noProof/>
                        <w:webHidden/>
                      </w:rPr>
                      <w:fldChar w:fldCharType="begin"/>
                    </w:r>
                    <w:r>
                      <w:rPr>
                        <w:noProof/>
                        <w:webHidden/>
                      </w:rPr>
                      <w:instrText xml:space="preserve"> PAGEREF _Toc18914443 \h </w:instrText>
                    </w:r>
                    <w:r>
                      <w:rPr>
                        <w:noProof/>
                        <w:webHidden/>
                      </w:rPr>
                    </w:r>
                    <w:r>
                      <w:rPr>
                        <w:noProof/>
                        <w:webHidden/>
                      </w:rPr>
                      <w:fldChar w:fldCharType="separate"/>
                    </w:r>
                    <w:r>
                      <w:rPr>
                        <w:noProof/>
                        <w:webHidden/>
                      </w:rPr>
                      <w:t>145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4" w:history="1">
                    <w:r>
                      <w:rPr>
                        <w:rStyle w:val="Lienhypertexte"/>
                        <w:noProof/>
                      </w:rPr>
                      <w:t>2. Capital-périodes</w:t>
                    </w:r>
                    <w:r>
                      <w:rPr>
                        <w:noProof/>
                        <w:webHidden/>
                      </w:rPr>
                      <w:tab/>
                    </w:r>
                    <w:r>
                      <w:rPr>
                        <w:noProof/>
                        <w:webHidden/>
                      </w:rPr>
                      <w:fldChar w:fldCharType="begin"/>
                    </w:r>
                    <w:r>
                      <w:rPr>
                        <w:noProof/>
                        <w:webHidden/>
                      </w:rPr>
                      <w:instrText xml:space="preserve"> PAGEREF _Toc18914444 \h </w:instrText>
                    </w:r>
                    <w:r>
                      <w:rPr>
                        <w:noProof/>
                        <w:webHidden/>
                      </w:rPr>
                    </w:r>
                    <w:r>
                      <w:rPr>
                        <w:noProof/>
                        <w:webHidden/>
                      </w:rPr>
                      <w:fldChar w:fldCharType="separate"/>
                    </w:r>
                    <w:r>
                      <w:rPr>
                        <w:noProof/>
                        <w:webHidden/>
                      </w:rPr>
                      <w:t>146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5" w:history="1">
                    <w:r>
                      <w:rPr>
                        <w:rStyle w:val="Lienhypertexte"/>
                        <w:noProof/>
                      </w:rPr>
                      <w:t>3. Horaires</w:t>
                    </w:r>
                    <w:r>
                      <w:rPr>
                        <w:noProof/>
                        <w:webHidden/>
                      </w:rPr>
                      <w:tab/>
                    </w:r>
                    <w:r>
                      <w:rPr>
                        <w:noProof/>
                        <w:webHidden/>
                      </w:rPr>
                      <w:fldChar w:fldCharType="begin"/>
                    </w:r>
                    <w:r>
                      <w:rPr>
                        <w:noProof/>
                        <w:webHidden/>
                      </w:rPr>
                      <w:instrText xml:space="preserve"> PAGEREF _Toc18914445 \h </w:instrText>
                    </w:r>
                    <w:r>
                      <w:rPr>
                        <w:noProof/>
                        <w:webHidden/>
                      </w:rPr>
                    </w:r>
                    <w:r>
                      <w:rPr>
                        <w:noProof/>
                        <w:webHidden/>
                      </w:rPr>
                      <w:fldChar w:fldCharType="separate"/>
                    </w:r>
                    <w:r>
                      <w:rPr>
                        <w:noProof/>
                        <w:webHidden/>
                      </w:rPr>
                      <w:t>148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6" w:history="1">
                    <w:r>
                      <w:rPr>
                        <w:rStyle w:val="Lienhypertexte"/>
                        <w:noProof/>
                      </w:rPr>
                      <w:t>4. Utilisation du capital-périodes</w:t>
                    </w:r>
                    <w:r>
                      <w:rPr>
                        <w:noProof/>
                        <w:webHidden/>
                      </w:rPr>
                      <w:tab/>
                    </w:r>
                    <w:r>
                      <w:rPr>
                        <w:noProof/>
                        <w:webHidden/>
                      </w:rPr>
                      <w:fldChar w:fldCharType="begin"/>
                    </w:r>
                    <w:r>
                      <w:rPr>
                        <w:noProof/>
                        <w:webHidden/>
                      </w:rPr>
                      <w:instrText xml:space="preserve"> PAGEREF _Toc18914446 \h </w:instrText>
                    </w:r>
                    <w:r>
                      <w:rPr>
                        <w:noProof/>
                        <w:webHidden/>
                      </w:rPr>
                    </w:r>
                    <w:r>
                      <w:rPr>
                        <w:noProof/>
                        <w:webHidden/>
                      </w:rPr>
                      <w:fldChar w:fldCharType="separate"/>
                    </w:r>
                    <w:r>
                      <w:rPr>
                        <w:noProof/>
                        <w:webHidden/>
                      </w:rPr>
                      <w:t>149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7" w:history="1">
                    <w:r>
                      <w:rPr>
                        <w:rStyle w:val="Lienhypertexte"/>
                        <w:noProof/>
                      </w:rPr>
                      <w:t>5. Répartition du capital-périodes par fonction</w:t>
                    </w:r>
                    <w:r>
                      <w:rPr>
                        <w:noProof/>
                        <w:webHidden/>
                      </w:rPr>
                      <w:tab/>
                    </w:r>
                    <w:r>
                      <w:rPr>
                        <w:noProof/>
                        <w:webHidden/>
                      </w:rPr>
                      <w:fldChar w:fldCharType="begin"/>
                    </w:r>
                    <w:r>
                      <w:rPr>
                        <w:noProof/>
                        <w:webHidden/>
                      </w:rPr>
                      <w:instrText xml:space="preserve"> PAGEREF _Toc18914447 \h </w:instrText>
                    </w:r>
                    <w:r>
                      <w:rPr>
                        <w:noProof/>
                        <w:webHidden/>
                      </w:rPr>
                    </w:r>
                    <w:r>
                      <w:rPr>
                        <w:noProof/>
                        <w:webHidden/>
                      </w:rPr>
                      <w:fldChar w:fldCharType="separate"/>
                    </w:r>
                    <w:r>
                      <w:rPr>
                        <w:noProof/>
                        <w:webHidden/>
                      </w:rPr>
                      <w:t>149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8" w:history="1">
                    <w:r>
                      <w:rPr>
                        <w:rStyle w:val="Lienhypertexte"/>
                        <w:noProof/>
                      </w:rPr>
                      <w:t>6. Encodage dans SIEL</w:t>
                    </w:r>
                    <w:r>
                      <w:rPr>
                        <w:noProof/>
                        <w:webHidden/>
                      </w:rPr>
                      <w:tab/>
                    </w:r>
                    <w:r>
                      <w:rPr>
                        <w:noProof/>
                        <w:webHidden/>
                      </w:rPr>
                      <w:fldChar w:fldCharType="begin"/>
                    </w:r>
                    <w:r>
                      <w:rPr>
                        <w:noProof/>
                        <w:webHidden/>
                      </w:rPr>
                      <w:instrText xml:space="preserve"> PAGEREF _Toc18914448 \h </w:instrText>
                    </w:r>
                    <w:r>
                      <w:rPr>
                        <w:noProof/>
                        <w:webHidden/>
                      </w:rPr>
                    </w:r>
                    <w:r>
                      <w:rPr>
                        <w:noProof/>
                        <w:webHidden/>
                      </w:rPr>
                      <w:fldChar w:fldCharType="separate"/>
                    </w:r>
                    <w:r>
                      <w:rPr>
                        <w:noProof/>
                        <w:webHidden/>
                      </w:rPr>
                      <w:t>150</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49" w:history="1">
                    <w:r>
                      <w:rPr>
                        <w:rStyle w:val="Lienhypertexte"/>
                        <w:noProof/>
                      </w:rPr>
                      <w:t>Chapitre 8 : Capitaux-périodes : Transfert et affectation particulière</w:t>
                    </w:r>
                    <w:r>
                      <w:rPr>
                        <w:noProof/>
                        <w:webHidden/>
                      </w:rPr>
                      <w:tab/>
                    </w:r>
                    <w:r>
                      <w:rPr>
                        <w:noProof/>
                        <w:webHidden/>
                      </w:rPr>
                      <w:fldChar w:fldCharType="begin"/>
                    </w:r>
                    <w:r>
                      <w:rPr>
                        <w:noProof/>
                        <w:webHidden/>
                      </w:rPr>
                      <w:instrText xml:space="preserve"> PAGEREF _Toc18914449 \h </w:instrText>
                    </w:r>
                    <w:r>
                      <w:rPr>
                        <w:noProof/>
                        <w:webHidden/>
                      </w:rPr>
                    </w:r>
                    <w:r>
                      <w:rPr>
                        <w:noProof/>
                        <w:webHidden/>
                      </w:rPr>
                      <w:fldChar w:fldCharType="separate"/>
                    </w:r>
                    <w:r>
                      <w:rPr>
                        <w:noProof/>
                        <w:webHidden/>
                      </w:rPr>
                      <w:t>151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50" w:history="1">
                    <w:r>
                      <w:rPr>
                        <w:rStyle w:val="Lienhypertexte"/>
                        <w:noProof/>
                      </w:rPr>
                      <w:t>1. Rappel de la réglementation</w:t>
                    </w:r>
                    <w:r>
                      <w:rPr>
                        <w:noProof/>
                        <w:webHidden/>
                      </w:rPr>
                      <w:tab/>
                    </w:r>
                    <w:r>
                      <w:rPr>
                        <w:noProof/>
                        <w:webHidden/>
                      </w:rPr>
                      <w:fldChar w:fldCharType="begin"/>
                    </w:r>
                    <w:r>
                      <w:rPr>
                        <w:noProof/>
                        <w:webHidden/>
                      </w:rPr>
                      <w:instrText xml:space="preserve"> PAGEREF _Toc18914450 \h </w:instrText>
                    </w:r>
                    <w:r>
                      <w:rPr>
                        <w:noProof/>
                        <w:webHidden/>
                      </w:rPr>
                    </w:r>
                    <w:r>
                      <w:rPr>
                        <w:noProof/>
                        <w:webHidden/>
                      </w:rPr>
                      <w:fldChar w:fldCharType="separate"/>
                    </w:r>
                    <w:r>
                      <w:rPr>
                        <w:noProof/>
                        <w:webHidden/>
                      </w:rPr>
                      <w:t>151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51" w:history="1">
                    <w:r>
                      <w:rPr>
                        <w:rStyle w:val="Lienhypertexte"/>
                        <w:noProof/>
                      </w:rPr>
                      <w:t>2. Transfert de périodes enseignants du fondamental. (Article 44 bis du Décret du 3 mars 2004 organisant l'Enseignement spécialisé tel que modifié).</w:t>
                    </w:r>
                    <w:r>
                      <w:rPr>
                        <w:noProof/>
                        <w:webHidden/>
                      </w:rPr>
                      <w:tab/>
                    </w:r>
                    <w:r>
                      <w:rPr>
                        <w:noProof/>
                        <w:webHidden/>
                      </w:rPr>
                      <w:fldChar w:fldCharType="begin"/>
                    </w:r>
                    <w:r>
                      <w:rPr>
                        <w:noProof/>
                        <w:webHidden/>
                      </w:rPr>
                      <w:instrText xml:space="preserve"> PAGEREF _Toc18914451 \h </w:instrText>
                    </w:r>
                    <w:r>
                      <w:rPr>
                        <w:noProof/>
                        <w:webHidden/>
                      </w:rPr>
                    </w:r>
                    <w:r>
                      <w:rPr>
                        <w:noProof/>
                        <w:webHidden/>
                      </w:rPr>
                      <w:fldChar w:fldCharType="separate"/>
                    </w:r>
                    <w:r>
                      <w:rPr>
                        <w:noProof/>
                        <w:webHidden/>
                      </w:rPr>
                      <w:t>151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52" w:history="1">
                    <w:r>
                      <w:rPr>
                        <w:rStyle w:val="Lienhypertexte"/>
                        <w:noProof/>
                      </w:rPr>
                      <w:t>3. Affectations des capitaux-périodes non utilisés</w:t>
                    </w:r>
                    <w:r>
                      <w:rPr>
                        <w:noProof/>
                        <w:webHidden/>
                      </w:rPr>
                      <w:tab/>
                    </w:r>
                    <w:r>
                      <w:rPr>
                        <w:noProof/>
                        <w:webHidden/>
                      </w:rPr>
                      <w:fldChar w:fldCharType="begin"/>
                    </w:r>
                    <w:r>
                      <w:rPr>
                        <w:noProof/>
                        <w:webHidden/>
                      </w:rPr>
                      <w:instrText xml:space="preserve"> PAGEREF _Toc18914452 \h </w:instrText>
                    </w:r>
                    <w:r>
                      <w:rPr>
                        <w:noProof/>
                        <w:webHidden/>
                      </w:rPr>
                    </w:r>
                    <w:r>
                      <w:rPr>
                        <w:noProof/>
                        <w:webHidden/>
                      </w:rPr>
                      <w:fldChar w:fldCharType="separate"/>
                    </w:r>
                    <w:r>
                      <w:rPr>
                        <w:noProof/>
                        <w:webHidden/>
                      </w:rPr>
                      <w:t>152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53" w:history="1">
                    <w:r>
                      <w:rPr>
                        <w:rStyle w:val="Lienhypertexte"/>
                        <w:noProof/>
                      </w:rPr>
                      <w:t>4. Annexe</w:t>
                    </w:r>
                    <w:r>
                      <w:rPr>
                        <w:noProof/>
                        <w:webHidden/>
                      </w:rPr>
                      <w:tab/>
                    </w:r>
                    <w:r>
                      <w:rPr>
                        <w:noProof/>
                        <w:webHidden/>
                      </w:rPr>
                      <w:fldChar w:fldCharType="begin"/>
                    </w:r>
                    <w:r>
                      <w:rPr>
                        <w:noProof/>
                        <w:webHidden/>
                      </w:rPr>
                      <w:instrText xml:space="preserve"> PAGEREF _Toc18914453 \h </w:instrText>
                    </w:r>
                    <w:r>
                      <w:rPr>
                        <w:noProof/>
                        <w:webHidden/>
                      </w:rPr>
                    </w:r>
                    <w:r>
                      <w:rPr>
                        <w:noProof/>
                        <w:webHidden/>
                      </w:rPr>
                      <w:fldChar w:fldCharType="separate"/>
                    </w:r>
                    <w:r>
                      <w:rPr>
                        <w:noProof/>
                        <w:webHidden/>
                      </w:rPr>
                      <w:t>154</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54" w:history="1">
                    <w:r>
                      <w:rPr>
                        <w:rStyle w:val="Lienhypertexte"/>
                        <w:noProof/>
                      </w:rPr>
                      <w:t>Chapitre 9 : Du conseil de classe, du Plan Individuel d’Apprentissage (P.I.A) et des procédures de recours</w:t>
                    </w:r>
                    <w:r>
                      <w:rPr>
                        <w:noProof/>
                        <w:webHidden/>
                      </w:rPr>
                      <w:tab/>
                    </w:r>
                    <w:r>
                      <w:rPr>
                        <w:noProof/>
                        <w:webHidden/>
                      </w:rPr>
                      <w:fldChar w:fldCharType="begin"/>
                    </w:r>
                    <w:r>
                      <w:rPr>
                        <w:noProof/>
                        <w:webHidden/>
                      </w:rPr>
                      <w:instrText xml:space="preserve"> PAGEREF _Toc18914454 \h </w:instrText>
                    </w:r>
                    <w:r>
                      <w:rPr>
                        <w:noProof/>
                        <w:webHidden/>
                      </w:rPr>
                    </w:r>
                    <w:r>
                      <w:rPr>
                        <w:noProof/>
                        <w:webHidden/>
                      </w:rPr>
                      <w:fldChar w:fldCharType="separate"/>
                    </w:r>
                    <w:r>
                      <w:rPr>
                        <w:noProof/>
                        <w:webHidden/>
                      </w:rPr>
                      <w:t>156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55" w:history="1">
                    <w:r>
                      <w:rPr>
                        <w:rStyle w:val="Lienhypertexte"/>
                        <w:noProof/>
                      </w:rPr>
                      <w:t>1. Le Conseil de classe</w:t>
                    </w:r>
                    <w:r>
                      <w:rPr>
                        <w:noProof/>
                        <w:webHidden/>
                      </w:rPr>
                      <w:tab/>
                    </w:r>
                    <w:r>
                      <w:rPr>
                        <w:noProof/>
                        <w:webHidden/>
                      </w:rPr>
                      <w:fldChar w:fldCharType="begin"/>
                    </w:r>
                    <w:r>
                      <w:rPr>
                        <w:noProof/>
                        <w:webHidden/>
                      </w:rPr>
                      <w:instrText xml:space="preserve"> PAGEREF _Toc18914455 \h </w:instrText>
                    </w:r>
                    <w:r>
                      <w:rPr>
                        <w:noProof/>
                        <w:webHidden/>
                      </w:rPr>
                    </w:r>
                    <w:r>
                      <w:rPr>
                        <w:noProof/>
                        <w:webHidden/>
                      </w:rPr>
                      <w:fldChar w:fldCharType="separate"/>
                    </w:r>
                    <w:r>
                      <w:rPr>
                        <w:noProof/>
                        <w:webHidden/>
                      </w:rPr>
                      <w:t>156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56" w:history="1">
                    <w:r>
                      <w:rPr>
                        <w:rStyle w:val="Lienhypertexte"/>
                        <w:noProof/>
                      </w:rPr>
                      <w:t>2. Certificat d’études de base (CEB) – Recours contre le refus d’octroi.</w:t>
                    </w:r>
                    <w:r>
                      <w:rPr>
                        <w:noProof/>
                        <w:webHidden/>
                      </w:rPr>
                      <w:tab/>
                    </w:r>
                    <w:r>
                      <w:rPr>
                        <w:noProof/>
                        <w:webHidden/>
                      </w:rPr>
                      <w:fldChar w:fldCharType="begin"/>
                    </w:r>
                    <w:r>
                      <w:rPr>
                        <w:noProof/>
                        <w:webHidden/>
                      </w:rPr>
                      <w:instrText xml:space="preserve"> PAGEREF _Toc18914456 \h </w:instrText>
                    </w:r>
                    <w:r>
                      <w:rPr>
                        <w:noProof/>
                        <w:webHidden/>
                      </w:rPr>
                    </w:r>
                    <w:r>
                      <w:rPr>
                        <w:noProof/>
                        <w:webHidden/>
                      </w:rPr>
                      <w:fldChar w:fldCharType="separate"/>
                    </w:r>
                    <w:r>
                      <w:rPr>
                        <w:noProof/>
                        <w:webHidden/>
                      </w:rPr>
                      <w:t>158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57" w:history="1">
                    <w:r>
                      <w:rPr>
                        <w:rStyle w:val="Lienhypertexte"/>
                        <w:noProof/>
                      </w:rPr>
                      <w:t>3. Le transfert du P.I.A.</w:t>
                    </w:r>
                    <w:r>
                      <w:rPr>
                        <w:noProof/>
                        <w:webHidden/>
                      </w:rPr>
                      <w:tab/>
                    </w:r>
                    <w:r>
                      <w:rPr>
                        <w:noProof/>
                        <w:webHidden/>
                      </w:rPr>
                      <w:fldChar w:fldCharType="begin"/>
                    </w:r>
                    <w:r>
                      <w:rPr>
                        <w:noProof/>
                        <w:webHidden/>
                      </w:rPr>
                      <w:instrText xml:space="preserve"> PAGEREF _Toc18914457 \h </w:instrText>
                    </w:r>
                    <w:r>
                      <w:rPr>
                        <w:noProof/>
                        <w:webHidden/>
                      </w:rPr>
                    </w:r>
                    <w:r>
                      <w:rPr>
                        <w:noProof/>
                        <w:webHidden/>
                      </w:rPr>
                      <w:fldChar w:fldCharType="separate"/>
                    </w:r>
                    <w:r>
                      <w:rPr>
                        <w:noProof/>
                        <w:webHidden/>
                      </w:rPr>
                      <w:t>158</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58" w:history="1">
                    <w:r>
                      <w:rPr>
                        <w:rStyle w:val="Lienhypertexte"/>
                        <w:noProof/>
                      </w:rPr>
                      <w:t>Chapitre 10 : Personnel affecté dans le cadre des internats et homes d’accueil organisés par la Fédération Wallonie-Bruxelles</w:t>
                    </w:r>
                    <w:r>
                      <w:rPr>
                        <w:noProof/>
                        <w:webHidden/>
                      </w:rPr>
                      <w:tab/>
                    </w:r>
                    <w:r>
                      <w:rPr>
                        <w:noProof/>
                        <w:webHidden/>
                      </w:rPr>
                      <w:fldChar w:fldCharType="begin"/>
                    </w:r>
                    <w:r>
                      <w:rPr>
                        <w:noProof/>
                        <w:webHidden/>
                      </w:rPr>
                      <w:instrText xml:space="preserve"> PAGEREF _Toc18914458 \h </w:instrText>
                    </w:r>
                    <w:r>
                      <w:rPr>
                        <w:noProof/>
                        <w:webHidden/>
                      </w:rPr>
                    </w:r>
                    <w:r>
                      <w:rPr>
                        <w:noProof/>
                        <w:webHidden/>
                      </w:rPr>
                      <w:fldChar w:fldCharType="separate"/>
                    </w:r>
                    <w:r>
                      <w:rPr>
                        <w:noProof/>
                        <w:webHidden/>
                      </w:rPr>
                      <w:t>160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59" w:history="1">
                    <w:r>
                      <w:rPr>
                        <w:rStyle w:val="Lienhypertexte"/>
                        <w:noProof/>
                      </w:rPr>
                      <w:t>1. Définitions</w:t>
                    </w:r>
                    <w:r>
                      <w:rPr>
                        <w:noProof/>
                        <w:webHidden/>
                      </w:rPr>
                      <w:tab/>
                    </w:r>
                    <w:r>
                      <w:rPr>
                        <w:noProof/>
                        <w:webHidden/>
                      </w:rPr>
                      <w:fldChar w:fldCharType="begin"/>
                    </w:r>
                    <w:r>
                      <w:rPr>
                        <w:noProof/>
                        <w:webHidden/>
                      </w:rPr>
                      <w:instrText xml:space="preserve"> PAGEREF _Toc18914459 \h </w:instrText>
                    </w:r>
                    <w:r>
                      <w:rPr>
                        <w:noProof/>
                        <w:webHidden/>
                      </w:rPr>
                    </w:r>
                    <w:r>
                      <w:rPr>
                        <w:noProof/>
                        <w:webHidden/>
                      </w:rPr>
                      <w:fldChar w:fldCharType="separate"/>
                    </w:r>
                    <w:r>
                      <w:rPr>
                        <w:noProof/>
                        <w:webHidden/>
                      </w:rPr>
                      <w:t>160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60" w:history="1">
                    <w:r>
                      <w:rPr>
                        <w:rStyle w:val="Lienhypertexte"/>
                        <w:noProof/>
                      </w:rPr>
                      <w:t>2. Capital-périodes</w:t>
                    </w:r>
                    <w:r>
                      <w:rPr>
                        <w:noProof/>
                        <w:webHidden/>
                      </w:rPr>
                      <w:tab/>
                    </w:r>
                    <w:r>
                      <w:rPr>
                        <w:noProof/>
                        <w:webHidden/>
                      </w:rPr>
                      <w:fldChar w:fldCharType="begin"/>
                    </w:r>
                    <w:r>
                      <w:rPr>
                        <w:noProof/>
                        <w:webHidden/>
                      </w:rPr>
                      <w:instrText xml:space="preserve"> PAGEREF _Toc18914460 \h </w:instrText>
                    </w:r>
                    <w:r>
                      <w:rPr>
                        <w:noProof/>
                        <w:webHidden/>
                      </w:rPr>
                    </w:r>
                    <w:r>
                      <w:rPr>
                        <w:noProof/>
                        <w:webHidden/>
                      </w:rPr>
                      <w:fldChar w:fldCharType="separate"/>
                    </w:r>
                    <w:r>
                      <w:rPr>
                        <w:noProof/>
                        <w:webHidden/>
                      </w:rPr>
                      <w:t>160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61" w:history="1">
                    <w:r>
                      <w:rPr>
                        <w:rStyle w:val="Lienhypertexte"/>
                        <w:noProof/>
                      </w:rPr>
                      <w:t>3. Fonctions</w:t>
                    </w:r>
                    <w:r>
                      <w:rPr>
                        <w:noProof/>
                        <w:webHidden/>
                      </w:rPr>
                      <w:tab/>
                    </w:r>
                    <w:r>
                      <w:rPr>
                        <w:noProof/>
                        <w:webHidden/>
                      </w:rPr>
                      <w:fldChar w:fldCharType="begin"/>
                    </w:r>
                    <w:r>
                      <w:rPr>
                        <w:noProof/>
                        <w:webHidden/>
                      </w:rPr>
                      <w:instrText xml:space="preserve"> PAGEREF _Toc18914461 \h </w:instrText>
                    </w:r>
                    <w:r>
                      <w:rPr>
                        <w:noProof/>
                        <w:webHidden/>
                      </w:rPr>
                    </w:r>
                    <w:r>
                      <w:rPr>
                        <w:noProof/>
                        <w:webHidden/>
                      </w:rPr>
                      <w:fldChar w:fldCharType="separate"/>
                    </w:r>
                    <w:r>
                      <w:rPr>
                        <w:noProof/>
                        <w:webHidden/>
                      </w:rPr>
                      <w:t>162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62" w:history="1">
                    <w:r>
                      <w:rPr>
                        <w:rStyle w:val="Lienhypertexte"/>
                        <w:noProof/>
                      </w:rPr>
                      <w:t>4. Plages-horaire</w:t>
                    </w:r>
                    <w:r>
                      <w:rPr>
                        <w:noProof/>
                        <w:webHidden/>
                      </w:rPr>
                      <w:tab/>
                    </w:r>
                    <w:r>
                      <w:rPr>
                        <w:noProof/>
                        <w:webHidden/>
                      </w:rPr>
                      <w:fldChar w:fldCharType="begin"/>
                    </w:r>
                    <w:r>
                      <w:rPr>
                        <w:noProof/>
                        <w:webHidden/>
                      </w:rPr>
                      <w:instrText xml:space="preserve"> PAGEREF _Toc18914462 \h </w:instrText>
                    </w:r>
                    <w:r>
                      <w:rPr>
                        <w:noProof/>
                        <w:webHidden/>
                      </w:rPr>
                    </w:r>
                    <w:r>
                      <w:rPr>
                        <w:noProof/>
                        <w:webHidden/>
                      </w:rPr>
                      <w:fldChar w:fldCharType="separate"/>
                    </w:r>
                    <w:r>
                      <w:rPr>
                        <w:noProof/>
                        <w:webHidden/>
                      </w:rPr>
                      <w:t>162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63" w:history="1">
                    <w:r>
                      <w:rPr>
                        <w:rStyle w:val="Lienhypertexte"/>
                        <w:noProof/>
                      </w:rPr>
                      <w:t>5. Travail collaboratif</w:t>
                    </w:r>
                    <w:r>
                      <w:rPr>
                        <w:noProof/>
                        <w:webHidden/>
                      </w:rPr>
                      <w:tab/>
                    </w:r>
                    <w:r>
                      <w:rPr>
                        <w:noProof/>
                        <w:webHidden/>
                      </w:rPr>
                      <w:fldChar w:fldCharType="begin"/>
                    </w:r>
                    <w:r>
                      <w:rPr>
                        <w:noProof/>
                        <w:webHidden/>
                      </w:rPr>
                      <w:instrText xml:space="preserve"> PAGEREF _Toc18914463 \h </w:instrText>
                    </w:r>
                    <w:r>
                      <w:rPr>
                        <w:noProof/>
                        <w:webHidden/>
                      </w:rPr>
                    </w:r>
                    <w:r>
                      <w:rPr>
                        <w:noProof/>
                        <w:webHidden/>
                      </w:rPr>
                      <w:fldChar w:fldCharType="separate"/>
                    </w:r>
                    <w:r>
                      <w:rPr>
                        <w:noProof/>
                        <w:webHidden/>
                      </w:rPr>
                      <w:t>163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64" w:history="1">
                    <w:r>
                      <w:rPr>
                        <w:rStyle w:val="Lienhypertexte"/>
                        <w:noProof/>
                      </w:rPr>
                      <w:t>6. Répartition des emplois</w:t>
                    </w:r>
                    <w:r>
                      <w:rPr>
                        <w:noProof/>
                        <w:webHidden/>
                      </w:rPr>
                      <w:tab/>
                    </w:r>
                    <w:r>
                      <w:rPr>
                        <w:noProof/>
                        <w:webHidden/>
                      </w:rPr>
                      <w:fldChar w:fldCharType="begin"/>
                    </w:r>
                    <w:r>
                      <w:rPr>
                        <w:noProof/>
                        <w:webHidden/>
                      </w:rPr>
                      <w:instrText xml:space="preserve"> PAGEREF _Toc18914464 \h </w:instrText>
                    </w:r>
                    <w:r>
                      <w:rPr>
                        <w:noProof/>
                        <w:webHidden/>
                      </w:rPr>
                    </w:r>
                    <w:r>
                      <w:rPr>
                        <w:noProof/>
                        <w:webHidden/>
                      </w:rPr>
                      <w:fldChar w:fldCharType="separate"/>
                    </w:r>
                    <w:r>
                      <w:rPr>
                        <w:noProof/>
                        <w:webHidden/>
                      </w:rPr>
                      <w:t>163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65" w:history="1">
                    <w:r>
                      <w:rPr>
                        <w:rStyle w:val="Lienhypertexte"/>
                        <w:noProof/>
                      </w:rPr>
                      <w:t>7. Tenue de la comptabilité dans les homes d’accueil</w:t>
                    </w:r>
                    <w:r>
                      <w:rPr>
                        <w:noProof/>
                        <w:webHidden/>
                      </w:rPr>
                      <w:tab/>
                    </w:r>
                    <w:r>
                      <w:rPr>
                        <w:noProof/>
                        <w:webHidden/>
                      </w:rPr>
                      <w:fldChar w:fldCharType="begin"/>
                    </w:r>
                    <w:r>
                      <w:rPr>
                        <w:noProof/>
                        <w:webHidden/>
                      </w:rPr>
                      <w:instrText xml:space="preserve"> PAGEREF _Toc18914465 \h </w:instrText>
                    </w:r>
                    <w:r>
                      <w:rPr>
                        <w:noProof/>
                        <w:webHidden/>
                      </w:rPr>
                    </w:r>
                    <w:r>
                      <w:rPr>
                        <w:noProof/>
                        <w:webHidden/>
                      </w:rPr>
                      <w:fldChar w:fldCharType="separate"/>
                    </w:r>
                    <w:r>
                      <w:rPr>
                        <w:noProof/>
                        <w:webHidden/>
                      </w:rPr>
                      <w:t>163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66" w:history="1">
                    <w:r>
                      <w:rPr>
                        <w:rStyle w:val="Lienhypertexte"/>
                        <w:noProof/>
                      </w:rPr>
                      <w:t>8. Annexes</w:t>
                    </w:r>
                    <w:r>
                      <w:rPr>
                        <w:noProof/>
                        <w:webHidden/>
                      </w:rPr>
                      <w:tab/>
                    </w:r>
                    <w:r>
                      <w:rPr>
                        <w:noProof/>
                        <w:webHidden/>
                      </w:rPr>
                      <w:fldChar w:fldCharType="begin"/>
                    </w:r>
                    <w:r>
                      <w:rPr>
                        <w:noProof/>
                        <w:webHidden/>
                      </w:rPr>
                      <w:instrText xml:space="preserve"> PAGEREF _Toc18914466 \h </w:instrText>
                    </w:r>
                    <w:r>
                      <w:rPr>
                        <w:noProof/>
                        <w:webHidden/>
                      </w:rPr>
                    </w:r>
                    <w:r>
                      <w:rPr>
                        <w:noProof/>
                        <w:webHidden/>
                      </w:rPr>
                      <w:fldChar w:fldCharType="separate"/>
                    </w:r>
                    <w:r>
                      <w:rPr>
                        <w:noProof/>
                        <w:webHidden/>
                      </w:rPr>
                      <w:t>163</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67" w:history="1">
                    <w:r>
                      <w:rPr>
                        <w:rStyle w:val="Lienhypertexte"/>
                        <w:noProof/>
                      </w:rPr>
                      <w:t>Chapitre 11 : Homes d’accueil permanent organisés par la Fédération Wallonie-Bruxelles</w:t>
                    </w:r>
                    <w:r>
                      <w:rPr>
                        <w:noProof/>
                        <w:webHidden/>
                      </w:rPr>
                      <w:tab/>
                    </w:r>
                    <w:r>
                      <w:rPr>
                        <w:noProof/>
                        <w:webHidden/>
                      </w:rPr>
                      <w:fldChar w:fldCharType="begin"/>
                    </w:r>
                    <w:r>
                      <w:rPr>
                        <w:noProof/>
                        <w:webHidden/>
                      </w:rPr>
                      <w:instrText xml:space="preserve"> PAGEREF _Toc18914467 \h </w:instrText>
                    </w:r>
                    <w:r>
                      <w:rPr>
                        <w:noProof/>
                        <w:webHidden/>
                      </w:rPr>
                    </w:r>
                    <w:r>
                      <w:rPr>
                        <w:noProof/>
                        <w:webHidden/>
                      </w:rPr>
                      <w:fldChar w:fldCharType="separate"/>
                    </w:r>
                    <w:r>
                      <w:rPr>
                        <w:noProof/>
                        <w:webHidden/>
                      </w:rPr>
                      <w:t>166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68" w:history="1">
                    <w:r>
                      <w:rPr>
                        <w:rStyle w:val="Lienhypertexte"/>
                        <w:noProof/>
                      </w:rPr>
                      <w:t>1. Ouverture des homes d’accueil permanent</w:t>
                    </w:r>
                    <w:r>
                      <w:rPr>
                        <w:noProof/>
                        <w:webHidden/>
                      </w:rPr>
                      <w:tab/>
                    </w:r>
                    <w:r>
                      <w:rPr>
                        <w:noProof/>
                        <w:webHidden/>
                      </w:rPr>
                      <w:fldChar w:fldCharType="begin"/>
                    </w:r>
                    <w:r>
                      <w:rPr>
                        <w:noProof/>
                        <w:webHidden/>
                      </w:rPr>
                      <w:instrText xml:space="preserve"> PAGEREF _Toc18914468 \h </w:instrText>
                    </w:r>
                    <w:r>
                      <w:rPr>
                        <w:noProof/>
                        <w:webHidden/>
                      </w:rPr>
                    </w:r>
                    <w:r>
                      <w:rPr>
                        <w:noProof/>
                        <w:webHidden/>
                      </w:rPr>
                      <w:fldChar w:fldCharType="separate"/>
                    </w:r>
                    <w:r>
                      <w:rPr>
                        <w:noProof/>
                        <w:webHidden/>
                      </w:rPr>
                      <w:t>166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69" w:history="1">
                    <w:r>
                      <w:rPr>
                        <w:rStyle w:val="Lienhypertexte"/>
                        <w:noProof/>
                      </w:rPr>
                      <w:t>2. Capital-périodes complémentaire</w:t>
                    </w:r>
                    <w:r>
                      <w:rPr>
                        <w:noProof/>
                        <w:webHidden/>
                      </w:rPr>
                      <w:tab/>
                    </w:r>
                    <w:r>
                      <w:rPr>
                        <w:noProof/>
                        <w:webHidden/>
                      </w:rPr>
                      <w:fldChar w:fldCharType="begin"/>
                    </w:r>
                    <w:r>
                      <w:rPr>
                        <w:noProof/>
                        <w:webHidden/>
                      </w:rPr>
                      <w:instrText xml:space="preserve"> PAGEREF _Toc18914469 \h </w:instrText>
                    </w:r>
                    <w:r>
                      <w:rPr>
                        <w:noProof/>
                        <w:webHidden/>
                      </w:rPr>
                    </w:r>
                    <w:r>
                      <w:rPr>
                        <w:noProof/>
                        <w:webHidden/>
                      </w:rPr>
                      <w:fldChar w:fldCharType="separate"/>
                    </w:r>
                    <w:r>
                      <w:rPr>
                        <w:noProof/>
                        <w:webHidden/>
                      </w:rPr>
                      <w:t>166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70" w:history="1">
                    <w:r>
                      <w:rPr>
                        <w:rStyle w:val="Lienhypertexte"/>
                        <w:noProof/>
                      </w:rPr>
                      <w:t>3. Reliquats</w:t>
                    </w:r>
                    <w:r>
                      <w:rPr>
                        <w:noProof/>
                        <w:webHidden/>
                      </w:rPr>
                      <w:tab/>
                    </w:r>
                    <w:r>
                      <w:rPr>
                        <w:noProof/>
                        <w:webHidden/>
                      </w:rPr>
                      <w:fldChar w:fldCharType="begin"/>
                    </w:r>
                    <w:r>
                      <w:rPr>
                        <w:noProof/>
                        <w:webHidden/>
                      </w:rPr>
                      <w:instrText xml:space="preserve"> PAGEREF _Toc18914470 \h </w:instrText>
                    </w:r>
                    <w:r>
                      <w:rPr>
                        <w:noProof/>
                        <w:webHidden/>
                      </w:rPr>
                    </w:r>
                    <w:r>
                      <w:rPr>
                        <w:noProof/>
                        <w:webHidden/>
                      </w:rPr>
                      <w:fldChar w:fldCharType="separate"/>
                    </w:r>
                    <w:r>
                      <w:rPr>
                        <w:noProof/>
                        <w:webHidden/>
                      </w:rPr>
                      <w:t>168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71" w:history="1">
                    <w:r>
                      <w:rPr>
                        <w:rStyle w:val="Lienhypertexte"/>
                        <w:noProof/>
                      </w:rPr>
                      <w:t>4. Personnels paramédical, psychologique, social, auxiliaire d’éducation et administratif attribués pour l’accueil permanent des élèves internes</w:t>
                    </w:r>
                    <w:r>
                      <w:rPr>
                        <w:noProof/>
                        <w:webHidden/>
                      </w:rPr>
                      <w:tab/>
                    </w:r>
                    <w:r>
                      <w:rPr>
                        <w:noProof/>
                        <w:webHidden/>
                      </w:rPr>
                      <w:fldChar w:fldCharType="begin"/>
                    </w:r>
                    <w:r>
                      <w:rPr>
                        <w:noProof/>
                        <w:webHidden/>
                      </w:rPr>
                      <w:instrText xml:space="preserve"> PAGEREF _Toc18914471 \h </w:instrText>
                    </w:r>
                    <w:r>
                      <w:rPr>
                        <w:noProof/>
                        <w:webHidden/>
                      </w:rPr>
                    </w:r>
                    <w:r>
                      <w:rPr>
                        <w:noProof/>
                        <w:webHidden/>
                      </w:rPr>
                      <w:fldChar w:fldCharType="separate"/>
                    </w:r>
                    <w:r>
                      <w:rPr>
                        <w:noProof/>
                        <w:webHidden/>
                      </w:rPr>
                      <w:t>168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72" w:history="1">
                    <w:r>
                      <w:rPr>
                        <w:rStyle w:val="Lienhypertexte"/>
                        <w:noProof/>
                      </w:rPr>
                      <w:t>5. Travail collaboratif</w:t>
                    </w:r>
                    <w:r>
                      <w:rPr>
                        <w:noProof/>
                        <w:webHidden/>
                      </w:rPr>
                      <w:tab/>
                    </w:r>
                    <w:r>
                      <w:rPr>
                        <w:noProof/>
                        <w:webHidden/>
                      </w:rPr>
                      <w:fldChar w:fldCharType="begin"/>
                    </w:r>
                    <w:r>
                      <w:rPr>
                        <w:noProof/>
                        <w:webHidden/>
                      </w:rPr>
                      <w:instrText xml:space="preserve"> PAGEREF _Toc18914472 \h </w:instrText>
                    </w:r>
                    <w:r>
                      <w:rPr>
                        <w:noProof/>
                        <w:webHidden/>
                      </w:rPr>
                    </w:r>
                    <w:r>
                      <w:rPr>
                        <w:noProof/>
                        <w:webHidden/>
                      </w:rPr>
                      <w:fldChar w:fldCharType="separate"/>
                    </w:r>
                    <w:r>
                      <w:rPr>
                        <w:noProof/>
                        <w:webHidden/>
                      </w:rPr>
                      <w:t>168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73" w:history="1">
                    <w:r>
                      <w:rPr>
                        <w:rStyle w:val="Lienhypertexte"/>
                        <w:noProof/>
                      </w:rPr>
                      <w:t>6. Annexes</w:t>
                    </w:r>
                    <w:r>
                      <w:rPr>
                        <w:noProof/>
                        <w:webHidden/>
                      </w:rPr>
                      <w:tab/>
                    </w:r>
                    <w:r>
                      <w:rPr>
                        <w:noProof/>
                        <w:webHidden/>
                      </w:rPr>
                      <w:fldChar w:fldCharType="begin"/>
                    </w:r>
                    <w:r>
                      <w:rPr>
                        <w:noProof/>
                        <w:webHidden/>
                      </w:rPr>
                      <w:instrText xml:space="preserve"> PAGEREF _Toc18914473 \h </w:instrText>
                    </w:r>
                    <w:r>
                      <w:rPr>
                        <w:noProof/>
                        <w:webHidden/>
                      </w:rPr>
                    </w:r>
                    <w:r>
                      <w:rPr>
                        <w:noProof/>
                        <w:webHidden/>
                      </w:rPr>
                      <w:fldChar w:fldCharType="separate"/>
                    </w:r>
                    <w:r>
                      <w:rPr>
                        <w:noProof/>
                        <w:webHidden/>
                      </w:rPr>
                      <w:t>168</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74" w:history="1">
                    <w:r>
                      <w:rPr>
                        <w:rStyle w:val="Lienhypertexte"/>
                        <w:noProof/>
                      </w:rPr>
                      <w:t>Chapitre 12 : Formalités administratives pour les élèves fréquentant l’enseignement spécialisé de type 5</w:t>
                    </w:r>
                    <w:r>
                      <w:rPr>
                        <w:noProof/>
                        <w:webHidden/>
                      </w:rPr>
                      <w:tab/>
                    </w:r>
                    <w:r>
                      <w:rPr>
                        <w:noProof/>
                        <w:webHidden/>
                      </w:rPr>
                      <w:fldChar w:fldCharType="begin"/>
                    </w:r>
                    <w:r>
                      <w:rPr>
                        <w:noProof/>
                        <w:webHidden/>
                      </w:rPr>
                      <w:instrText xml:space="preserve"> PAGEREF _Toc18914474 \h </w:instrText>
                    </w:r>
                    <w:r>
                      <w:rPr>
                        <w:noProof/>
                        <w:webHidden/>
                      </w:rPr>
                    </w:r>
                    <w:r>
                      <w:rPr>
                        <w:noProof/>
                        <w:webHidden/>
                      </w:rPr>
                      <w:fldChar w:fldCharType="separate"/>
                    </w:r>
                    <w:r>
                      <w:rPr>
                        <w:noProof/>
                        <w:webHidden/>
                      </w:rPr>
                      <w:t>171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75" w:history="1">
                    <w:r>
                      <w:rPr>
                        <w:rStyle w:val="Lienhypertexte"/>
                        <w:noProof/>
                      </w:rPr>
                      <w:t>1. Entrée et accueil</w:t>
                    </w:r>
                    <w:r>
                      <w:rPr>
                        <w:noProof/>
                        <w:webHidden/>
                      </w:rPr>
                      <w:tab/>
                    </w:r>
                    <w:r>
                      <w:rPr>
                        <w:noProof/>
                        <w:webHidden/>
                      </w:rPr>
                      <w:fldChar w:fldCharType="begin"/>
                    </w:r>
                    <w:r>
                      <w:rPr>
                        <w:noProof/>
                        <w:webHidden/>
                      </w:rPr>
                      <w:instrText xml:space="preserve"> PAGEREF _Toc18914475 \h </w:instrText>
                    </w:r>
                    <w:r>
                      <w:rPr>
                        <w:noProof/>
                        <w:webHidden/>
                      </w:rPr>
                    </w:r>
                    <w:r>
                      <w:rPr>
                        <w:noProof/>
                        <w:webHidden/>
                      </w:rPr>
                      <w:fldChar w:fldCharType="separate"/>
                    </w:r>
                    <w:r>
                      <w:rPr>
                        <w:noProof/>
                        <w:webHidden/>
                      </w:rPr>
                      <w:t>171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76" w:history="1">
                    <w:r>
                      <w:rPr>
                        <w:rStyle w:val="Lienhypertexte"/>
                        <w:noProof/>
                      </w:rPr>
                      <w:t>2. Séjour</w:t>
                    </w:r>
                    <w:r>
                      <w:rPr>
                        <w:noProof/>
                        <w:webHidden/>
                      </w:rPr>
                      <w:tab/>
                    </w:r>
                    <w:r>
                      <w:rPr>
                        <w:noProof/>
                        <w:webHidden/>
                      </w:rPr>
                      <w:fldChar w:fldCharType="begin"/>
                    </w:r>
                    <w:r>
                      <w:rPr>
                        <w:noProof/>
                        <w:webHidden/>
                      </w:rPr>
                      <w:instrText xml:space="preserve"> PAGEREF _Toc18914476 \h </w:instrText>
                    </w:r>
                    <w:r>
                      <w:rPr>
                        <w:noProof/>
                        <w:webHidden/>
                      </w:rPr>
                    </w:r>
                    <w:r>
                      <w:rPr>
                        <w:noProof/>
                        <w:webHidden/>
                      </w:rPr>
                      <w:fldChar w:fldCharType="separate"/>
                    </w:r>
                    <w:r>
                      <w:rPr>
                        <w:noProof/>
                        <w:webHidden/>
                      </w:rPr>
                      <w:t>172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77" w:history="1">
                    <w:r>
                      <w:rPr>
                        <w:rStyle w:val="Lienhypertexte"/>
                        <w:noProof/>
                      </w:rPr>
                      <w:t>3. Sortie</w:t>
                    </w:r>
                    <w:r>
                      <w:rPr>
                        <w:noProof/>
                        <w:webHidden/>
                      </w:rPr>
                      <w:tab/>
                    </w:r>
                    <w:r>
                      <w:rPr>
                        <w:noProof/>
                        <w:webHidden/>
                      </w:rPr>
                      <w:fldChar w:fldCharType="begin"/>
                    </w:r>
                    <w:r>
                      <w:rPr>
                        <w:noProof/>
                        <w:webHidden/>
                      </w:rPr>
                      <w:instrText xml:space="preserve"> PAGEREF _Toc18914477 \h </w:instrText>
                    </w:r>
                    <w:r>
                      <w:rPr>
                        <w:noProof/>
                        <w:webHidden/>
                      </w:rPr>
                    </w:r>
                    <w:r>
                      <w:rPr>
                        <w:noProof/>
                        <w:webHidden/>
                      </w:rPr>
                      <w:fldChar w:fldCharType="separate"/>
                    </w:r>
                    <w:r>
                      <w:rPr>
                        <w:noProof/>
                        <w:webHidden/>
                      </w:rPr>
                      <w:t>172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78" w:history="1">
                    <w:r>
                      <w:rPr>
                        <w:rStyle w:val="Lienhypertexte"/>
                        <w:noProof/>
                      </w:rPr>
                      <w:t>4. Dispositions afférentes au calcul du capital-périodes dans les établissements scolaires organisant l’enseignement spécialisé de type 5</w:t>
                    </w:r>
                    <w:r>
                      <w:rPr>
                        <w:noProof/>
                        <w:webHidden/>
                      </w:rPr>
                      <w:tab/>
                    </w:r>
                    <w:r>
                      <w:rPr>
                        <w:noProof/>
                        <w:webHidden/>
                      </w:rPr>
                      <w:fldChar w:fldCharType="begin"/>
                    </w:r>
                    <w:r>
                      <w:rPr>
                        <w:noProof/>
                        <w:webHidden/>
                      </w:rPr>
                      <w:instrText xml:space="preserve"> PAGEREF _Toc18914478 \h </w:instrText>
                    </w:r>
                    <w:r>
                      <w:rPr>
                        <w:noProof/>
                        <w:webHidden/>
                      </w:rPr>
                    </w:r>
                    <w:r>
                      <w:rPr>
                        <w:noProof/>
                        <w:webHidden/>
                      </w:rPr>
                      <w:fldChar w:fldCharType="separate"/>
                    </w:r>
                    <w:r>
                      <w:rPr>
                        <w:noProof/>
                        <w:webHidden/>
                      </w:rPr>
                      <w:t>173</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79" w:history="1">
                    <w:r>
                      <w:rPr>
                        <w:rStyle w:val="Lienhypertexte"/>
                        <w:noProof/>
                      </w:rPr>
                      <w:t>Chapitre 13 : Intégrations</w:t>
                    </w:r>
                    <w:r>
                      <w:rPr>
                        <w:noProof/>
                        <w:webHidden/>
                      </w:rPr>
                      <w:tab/>
                    </w:r>
                    <w:r>
                      <w:rPr>
                        <w:noProof/>
                        <w:webHidden/>
                      </w:rPr>
                      <w:fldChar w:fldCharType="begin"/>
                    </w:r>
                    <w:r>
                      <w:rPr>
                        <w:noProof/>
                        <w:webHidden/>
                      </w:rPr>
                      <w:instrText xml:space="preserve"> PAGEREF _Toc18914479 \h </w:instrText>
                    </w:r>
                    <w:r>
                      <w:rPr>
                        <w:noProof/>
                        <w:webHidden/>
                      </w:rPr>
                    </w:r>
                    <w:r>
                      <w:rPr>
                        <w:noProof/>
                        <w:webHidden/>
                      </w:rPr>
                      <w:fldChar w:fldCharType="separate"/>
                    </w:r>
                    <w:r>
                      <w:rPr>
                        <w:noProof/>
                        <w:webHidden/>
                      </w:rPr>
                      <w:t>176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0" w:history="1">
                    <w:r>
                      <w:rPr>
                        <w:rStyle w:val="Lienhypertexte"/>
                        <w:noProof/>
                      </w:rPr>
                      <w:t>1. Principes généraux</w:t>
                    </w:r>
                    <w:r>
                      <w:rPr>
                        <w:noProof/>
                        <w:webHidden/>
                      </w:rPr>
                      <w:tab/>
                    </w:r>
                    <w:r>
                      <w:rPr>
                        <w:noProof/>
                        <w:webHidden/>
                      </w:rPr>
                      <w:fldChar w:fldCharType="begin"/>
                    </w:r>
                    <w:r>
                      <w:rPr>
                        <w:noProof/>
                        <w:webHidden/>
                      </w:rPr>
                      <w:instrText xml:space="preserve"> PAGEREF _Toc18914480 \h </w:instrText>
                    </w:r>
                    <w:r>
                      <w:rPr>
                        <w:noProof/>
                        <w:webHidden/>
                      </w:rPr>
                    </w:r>
                    <w:r>
                      <w:rPr>
                        <w:noProof/>
                        <w:webHidden/>
                      </w:rPr>
                      <w:fldChar w:fldCharType="separate"/>
                    </w:r>
                    <w:r>
                      <w:rPr>
                        <w:noProof/>
                        <w:webHidden/>
                      </w:rPr>
                      <w:t>176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1" w:history="1">
                    <w:r>
                      <w:rPr>
                        <w:rStyle w:val="Lienhypertexte"/>
                        <w:noProof/>
                      </w:rPr>
                      <w:t>2. Quels sont les élèves concernés par l’intégration ?</w:t>
                    </w:r>
                    <w:r>
                      <w:rPr>
                        <w:noProof/>
                        <w:webHidden/>
                      </w:rPr>
                      <w:tab/>
                    </w:r>
                    <w:r>
                      <w:rPr>
                        <w:noProof/>
                        <w:webHidden/>
                      </w:rPr>
                      <w:fldChar w:fldCharType="begin"/>
                    </w:r>
                    <w:r>
                      <w:rPr>
                        <w:noProof/>
                        <w:webHidden/>
                      </w:rPr>
                      <w:instrText xml:space="preserve"> PAGEREF _Toc18914481 \h </w:instrText>
                    </w:r>
                    <w:r>
                      <w:rPr>
                        <w:noProof/>
                        <w:webHidden/>
                      </w:rPr>
                    </w:r>
                    <w:r>
                      <w:rPr>
                        <w:noProof/>
                        <w:webHidden/>
                      </w:rPr>
                      <w:fldChar w:fldCharType="separate"/>
                    </w:r>
                    <w:r>
                      <w:rPr>
                        <w:noProof/>
                        <w:webHidden/>
                      </w:rPr>
                      <w:t>176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2" w:history="1">
                    <w:r>
                      <w:rPr>
                        <w:rStyle w:val="Lienhypertexte"/>
                        <w:noProof/>
                      </w:rPr>
                      <w:t>3. Quels sont les différents types d’intégration ?</w:t>
                    </w:r>
                    <w:r>
                      <w:rPr>
                        <w:noProof/>
                        <w:webHidden/>
                      </w:rPr>
                      <w:tab/>
                    </w:r>
                    <w:r>
                      <w:rPr>
                        <w:noProof/>
                        <w:webHidden/>
                      </w:rPr>
                      <w:fldChar w:fldCharType="begin"/>
                    </w:r>
                    <w:r>
                      <w:rPr>
                        <w:noProof/>
                        <w:webHidden/>
                      </w:rPr>
                      <w:instrText xml:space="preserve"> PAGEREF _Toc18914482 \h </w:instrText>
                    </w:r>
                    <w:r>
                      <w:rPr>
                        <w:noProof/>
                        <w:webHidden/>
                      </w:rPr>
                    </w:r>
                    <w:r>
                      <w:rPr>
                        <w:noProof/>
                        <w:webHidden/>
                      </w:rPr>
                      <w:fldChar w:fldCharType="separate"/>
                    </w:r>
                    <w:r>
                      <w:rPr>
                        <w:noProof/>
                        <w:webHidden/>
                      </w:rPr>
                      <w:t>176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3" w:history="1">
                    <w:r>
                      <w:rPr>
                        <w:rStyle w:val="Lienhypertexte"/>
                        <w:noProof/>
                        <w:lang w:val="fr-FR"/>
                      </w:rPr>
                      <w:t>4. Qui peut introduire une proposition d’intégration ?</w:t>
                    </w:r>
                    <w:r>
                      <w:rPr>
                        <w:noProof/>
                        <w:webHidden/>
                      </w:rPr>
                      <w:tab/>
                    </w:r>
                    <w:r>
                      <w:rPr>
                        <w:noProof/>
                        <w:webHidden/>
                      </w:rPr>
                      <w:fldChar w:fldCharType="begin"/>
                    </w:r>
                    <w:r>
                      <w:rPr>
                        <w:noProof/>
                        <w:webHidden/>
                      </w:rPr>
                      <w:instrText xml:space="preserve"> PAGEREF _Toc18914483 \h </w:instrText>
                    </w:r>
                    <w:r>
                      <w:rPr>
                        <w:noProof/>
                        <w:webHidden/>
                      </w:rPr>
                    </w:r>
                    <w:r>
                      <w:rPr>
                        <w:noProof/>
                        <w:webHidden/>
                      </w:rPr>
                      <w:fldChar w:fldCharType="separate"/>
                    </w:r>
                    <w:r>
                      <w:rPr>
                        <w:noProof/>
                        <w:webHidden/>
                      </w:rPr>
                      <w:t>177</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4" w:history="1">
                    <w:r>
                      <w:rPr>
                        <w:rStyle w:val="Lienhypertexte"/>
                        <w:noProof/>
                      </w:rPr>
                      <w:t>5. Quelle est la procédure à suivre pour débuter une intégration?</w:t>
                    </w:r>
                    <w:r>
                      <w:rPr>
                        <w:noProof/>
                        <w:webHidden/>
                      </w:rPr>
                      <w:tab/>
                    </w:r>
                    <w:r>
                      <w:rPr>
                        <w:noProof/>
                        <w:webHidden/>
                      </w:rPr>
                      <w:fldChar w:fldCharType="begin"/>
                    </w:r>
                    <w:r>
                      <w:rPr>
                        <w:noProof/>
                        <w:webHidden/>
                      </w:rPr>
                      <w:instrText xml:space="preserve"> PAGEREF _Toc18914484 \h </w:instrText>
                    </w:r>
                    <w:r>
                      <w:rPr>
                        <w:noProof/>
                        <w:webHidden/>
                      </w:rPr>
                    </w:r>
                    <w:r>
                      <w:rPr>
                        <w:noProof/>
                        <w:webHidden/>
                      </w:rPr>
                      <w:fldChar w:fldCharType="separate"/>
                    </w:r>
                    <w:r>
                      <w:rPr>
                        <w:noProof/>
                        <w:webHidden/>
                      </w:rPr>
                      <w:t>177</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5" w:history="1">
                    <w:r>
                      <w:rPr>
                        <w:rStyle w:val="Lienhypertexte"/>
                        <w:noProof/>
                      </w:rPr>
                      <w:t>6. Que doit contenir le protocole ?</w:t>
                    </w:r>
                    <w:r>
                      <w:rPr>
                        <w:noProof/>
                        <w:webHidden/>
                      </w:rPr>
                      <w:tab/>
                    </w:r>
                    <w:r>
                      <w:rPr>
                        <w:noProof/>
                        <w:webHidden/>
                      </w:rPr>
                      <w:fldChar w:fldCharType="begin"/>
                    </w:r>
                    <w:r>
                      <w:rPr>
                        <w:noProof/>
                        <w:webHidden/>
                      </w:rPr>
                      <w:instrText xml:space="preserve"> PAGEREF _Toc18914485 \h </w:instrText>
                    </w:r>
                    <w:r>
                      <w:rPr>
                        <w:noProof/>
                        <w:webHidden/>
                      </w:rPr>
                    </w:r>
                    <w:r>
                      <w:rPr>
                        <w:noProof/>
                        <w:webHidden/>
                      </w:rPr>
                      <w:fldChar w:fldCharType="separate"/>
                    </w:r>
                    <w:r>
                      <w:rPr>
                        <w:noProof/>
                        <w:webHidden/>
                      </w:rPr>
                      <w:t>178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6" w:history="1">
                    <w:r>
                      <w:rPr>
                        <w:rStyle w:val="Lienhypertexte"/>
                        <w:noProof/>
                      </w:rPr>
                      <w:t>7. Récapitulatif des modalités de fonctionnement (suivant le type d’intégration)</w:t>
                    </w:r>
                    <w:r>
                      <w:rPr>
                        <w:noProof/>
                        <w:webHidden/>
                      </w:rPr>
                      <w:tab/>
                    </w:r>
                    <w:r>
                      <w:rPr>
                        <w:noProof/>
                        <w:webHidden/>
                      </w:rPr>
                      <w:fldChar w:fldCharType="begin"/>
                    </w:r>
                    <w:r>
                      <w:rPr>
                        <w:noProof/>
                        <w:webHidden/>
                      </w:rPr>
                      <w:instrText xml:space="preserve"> PAGEREF _Toc18914486 \h </w:instrText>
                    </w:r>
                    <w:r>
                      <w:rPr>
                        <w:noProof/>
                        <w:webHidden/>
                      </w:rPr>
                    </w:r>
                    <w:r>
                      <w:rPr>
                        <w:noProof/>
                        <w:webHidden/>
                      </w:rPr>
                      <w:fldChar w:fldCharType="separate"/>
                    </w:r>
                    <w:r>
                      <w:rPr>
                        <w:noProof/>
                        <w:webHidden/>
                      </w:rPr>
                      <w:t>178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7" w:history="1">
                    <w:r>
                      <w:rPr>
                        <w:rStyle w:val="Lienhypertexte"/>
                        <w:noProof/>
                      </w:rPr>
                      <w:t>8. Foire aux questions</w:t>
                    </w:r>
                    <w:r>
                      <w:rPr>
                        <w:noProof/>
                        <w:webHidden/>
                      </w:rPr>
                      <w:tab/>
                    </w:r>
                    <w:r>
                      <w:rPr>
                        <w:noProof/>
                        <w:webHidden/>
                      </w:rPr>
                      <w:fldChar w:fldCharType="begin"/>
                    </w:r>
                    <w:r>
                      <w:rPr>
                        <w:noProof/>
                        <w:webHidden/>
                      </w:rPr>
                      <w:instrText xml:space="preserve"> PAGEREF _Toc18914487 \h </w:instrText>
                    </w:r>
                    <w:r>
                      <w:rPr>
                        <w:noProof/>
                        <w:webHidden/>
                      </w:rPr>
                    </w:r>
                    <w:r>
                      <w:rPr>
                        <w:noProof/>
                        <w:webHidden/>
                      </w:rPr>
                      <w:fldChar w:fldCharType="separate"/>
                    </w:r>
                    <w:r>
                      <w:rPr>
                        <w:noProof/>
                        <w:webHidden/>
                      </w:rPr>
                      <w:t>184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8" w:history="1">
                    <w:r>
                      <w:rPr>
                        <w:rStyle w:val="Lienhypertexte"/>
                        <w:noProof/>
                      </w:rPr>
                      <w:t>9. Articulation entre l’accompagnement par le personnel de l’établissement d’enseignement spécialisé et les services d’accompagnement ou SAI.</w:t>
                    </w:r>
                    <w:r>
                      <w:rPr>
                        <w:noProof/>
                        <w:webHidden/>
                      </w:rPr>
                      <w:tab/>
                    </w:r>
                    <w:r>
                      <w:rPr>
                        <w:noProof/>
                        <w:webHidden/>
                      </w:rPr>
                      <w:fldChar w:fldCharType="begin"/>
                    </w:r>
                    <w:r>
                      <w:rPr>
                        <w:noProof/>
                        <w:webHidden/>
                      </w:rPr>
                      <w:instrText xml:space="preserve"> PAGEREF _Toc18914488 \h </w:instrText>
                    </w:r>
                    <w:r>
                      <w:rPr>
                        <w:noProof/>
                        <w:webHidden/>
                      </w:rPr>
                    </w:r>
                    <w:r>
                      <w:rPr>
                        <w:noProof/>
                        <w:webHidden/>
                      </w:rPr>
                      <w:fldChar w:fldCharType="separate"/>
                    </w:r>
                    <w:r>
                      <w:rPr>
                        <w:noProof/>
                        <w:webHidden/>
                      </w:rPr>
                      <w:t>190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9" w:history="1">
                    <w:r>
                      <w:rPr>
                        <w:rStyle w:val="Lienhypertexte"/>
                        <w:noProof/>
                      </w:rPr>
                      <w:t>10. Certification des élèves inscrits en intégration temporaire totale</w:t>
                    </w:r>
                    <w:r>
                      <w:rPr>
                        <w:noProof/>
                        <w:webHidden/>
                      </w:rPr>
                      <w:tab/>
                    </w:r>
                    <w:r>
                      <w:rPr>
                        <w:noProof/>
                        <w:webHidden/>
                      </w:rPr>
                      <w:fldChar w:fldCharType="begin"/>
                    </w:r>
                    <w:r>
                      <w:rPr>
                        <w:noProof/>
                        <w:webHidden/>
                      </w:rPr>
                      <w:instrText xml:space="preserve"> PAGEREF _Toc18914489 \h </w:instrText>
                    </w:r>
                    <w:r>
                      <w:rPr>
                        <w:noProof/>
                        <w:webHidden/>
                      </w:rPr>
                    </w:r>
                    <w:r>
                      <w:rPr>
                        <w:noProof/>
                        <w:webHidden/>
                      </w:rPr>
                      <w:fldChar w:fldCharType="separate"/>
                    </w:r>
                    <w:r>
                      <w:rPr>
                        <w:noProof/>
                        <w:webHidden/>
                      </w:rPr>
                      <w:t>192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0" w:history="1">
                    <w:r>
                      <w:rPr>
                        <w:rStyle w:val="Lienhypertexte"/>
                        <w:noProof/>
                      </w:rPr>
                      <w:t>11. Mémo administratif</w:t>
                    </w:r>
                    <w:r>
                      <w:rPr>
                        <w:noProof/>
                        <w:webHidden/>
                      </w:rPr>
                      <w:tab/>
                    </w:r>
                    <w:r>
                      <w:rPr>
                        <w:noProof/>
                        <w:webHidden/>
                      </w:rPr>
                      <w:fldChar w:fldCharType="begin"/>
                    </w:r>
                    <w:r>
                      <w:rPr>
                        <w:noProof/>
                        <w:webHidden/>
                      </w:rPr>
                      <w:instrText xml:space="preserve"> PAGEREF _Toc18914490 \h </w:instrText>
                    </w:r>
                    <w:r>
                      <w:rPr>
                        <w:noProof/>
                        <w:webHidden/>
                      </w:rPr>
                    </w:r>
                    <w:r>
                      <w:rPr>
                        <w:noProof/>
                        <w:webHidden/>
                      </w:rPr>
                      <w:fldChar w:fldCharType="separate"/>
                    </w:r>
                    <w:r>
                      <w:rPr>
                        <w:noProof/>
                        <w:webHidden/>
                      </w:rPr>
                      <w:t>192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1" w:history="1">
                    <w:r>
                      <w:rPr>
                        <w:rStyle w:val="Lienhypertexte"/>
                        <w:noProof/>
                      </w:rPr>
                      <w:t>12. Transmission des informations concernant des élèves en intégration permanente totale au-delà du 30 septembre de l’année scolaire pour laquelle est prévue l’intégration.</w:t>
                    </w:r>
                    <w:r>
                      <w:rPr>
                        <w:noProof/>
                        <w:webHidden/>
                      </w:rPr>
                      <w:tab/>
                    </w:r>
                    <w:r>
                      <w:rPr>
                        <w:noProof/>
                        <w:webHidden/>
                      </w:rPr>
                      <w:fldChar w:fldCharType="begin"/>
                    </w:r>
                    <w:r>
                      <w:rPr>
                        <w:noProof/>
                        <w:webHidden/>
                      </w:rPr>
                      <w:instrText xml:space="preserve"> PAGEREF _Toc18914491 \h </w:instrText>
                    </w:r>
                    <w:r>
                      <w:rPr>
                        <w:noProof/>
                        <w:webHidden/>
                      </w:rPr>
                    </w:r>
                    <w:r>
                      <w:rPr>
                        <w:noProof/>
                        <w:webHidden/>
                      </w:rPr>
                      <w:fldChar w:fldCharType="separate"/>
                    </w:r>
                    <w:r>
                      <w:rPr>
                        <w:noProof/>
                        <w:webHidden/>
                      </w:rPr>
                      <w:t>194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2" w:history="1">
                    <w:r>
                      <w:rPr>
                        <w:rStyle w:val="Lienhypertexte"/>
                        <w:noProof/>
                      </w:rPr>
                      <w:t>13. Modalités de rétrocession des périodes complémentaires (article 148) en cas de recomptage à la hausse au 30 septembre</w:t>
                    </w:r>
                    <w:r>
                      <w:rPr>
                        <w:noProof/>
                        <w:webHidden/>
                      </w:rPr>
                      <w:tab/>
                    </w:r>
                    <w:r>
                      <w:rPr>
                        <w:noProof/>
                        <w:webHidden/>
                      </w:rPr>
                      <w:fldChar w:fldCharType="begin"/>
                    </w:r>
                    <w:r>
                      <w:rPr>
                        <w:noProof/>
                        <w:webHidden/>
                      </w:rPr>
                      <w:instrText xml:space="preserve"> PAGEREF _Toc18914492 \h </w:instrText>
                    </w:r>
                    <w:r>
                      <w:rPr>
                        <w:noProof/>
                        <w:webHidden/>
                      </w:rPr>
                    </w:r>
                    <w:r>
                      <w:rPr>
                        <w:noProof/>
                        <w:webHidden/>
                      </w:rPr>
                      <w:fldChar w:fldCharType="separate"/>
                    </w:r>
                    <w:r>
                      <w:rPr>
                        <w:noProof/>
                        <w:webHidden/>
                      </w:rPr>
                      <w:t>195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3" w:history="1">
                    <w:r>
                      <w:rPr>
                        <w:rStyle w:val="Lienhypertexte"/>
                        <w:noProof/>
                      </w:rPr>
                      <w:t>14. Dérogations « autre type »</w:t>
                    </w:r>
                    <w:r>
                      <w:rPr>
                        <w:noProof/>
                        <w:webHidden/>
                      </w:rPr>
                      <w:tab/>
                    </w:r>
                    <w:r>
                      <w:rPr>
                        <w:noProof/>
                        <w:webHidden/>
                      </w:rPr>
                      <w:fldChar w:fldCharType="begin"/>
                    </w:r>
                    <w:r>
                      <w:rPr>
                        <w:noProof/>
                        <w:webHidden/>
                      </w:rPr>
                      <w:instrText xml:space="preserve"> PAGEREF _Toc18914493 \h </w:instrText>
                    </w:r>
                    <w:r>
                      <w:rPr>
                        <w:noProof/>
                        <w:webHidden/>
                      </w:rPr>
                    </w:r>
                    <w:r>
                      <w:rPr>
                        <w:noProof/>
                        <w:webHidden/>
                      </w:rPr>
                      <w:fldChar w:fldCharType="separate"/>
                    </w:r>
                    <w:r>
                      <w:rPr>
                        <w:noProof/>
                        <w:webHidden/>
                      </w:rPr>
                      <w:t>195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4" w:history="1">
                    <w:r>
                      <w:rPr>
                        <w:rStyle w:val="Lienhypertexte"/>
                        <w:noProof/>
                      </w:rPr>
                      <w:t>15. Signalement des intégrations des élèves à besoins spécifiques via le formulaire électronique.</w:t>
                    </w:r>
                    <w:r>
                      <w:rPr>
                        <w:noProof/>
                        <w:webHidden/>
                      </w:rPr>
                      <w:tab/>
                    </w:r>
                    <w:r>
                      <w:rPr>
                        <w:noProof/>
                        <w:webHidden/>
                      </w:rPr>
                      <w:fldChar w:fldCharType="begin"/>
                    </w:r>
                    <w:r>
                      <w:rPr>
                        <w:noProof/>
                        <w:webHidden/>
                      </w:rPr>
                      <w:instrText xml:space="preserve"> PAGEREF _Toc18914494 \h </w:instrText>
                    </w:r>
                    <w:r>
                      <w:rPr>
                        <w:noProof/>
                        <w:webHidden/>
                      </w:rPr>
                    </w:r>
                    <w:r>
                      <w:rPr>
                        <w:noProof/>
                        <w:webHidden/>
                      </w:rPr>
                      <w:fldChar w:fldCharType="separate"/>
                    </w:r>
                    <w:r>
                      <w:rPr>
                        <w:noProof/>
                        <w:webHidden/>
                      </w:rPr>
                      <w:t>195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5" w:history="1">
                    <w:r>
                      <w:rPr>
                        <w:rStyle w:val="Lienhypertexte"/>
                        <w:noProof/>
                      </w:rPr>
                      <w:t>16. Annexes</w:t>
                    </w:r>
                    <w:r>
                      <w:rPr>
                        <w:noProof/>
                        <w:webHidden/>
                      </w:rPr>
                      <w:tab/>
                    </w:r>
                    <w:r>
                      <w:rPr>
                        <w:noProof/>
                        <w:webHidden/>
                      </w:rPr>
                      <w:fldChar w:fldCharType="begin"/>
                    </w:r>
                    <w:r>
                      <w:rPr>
                        <w:noProof/>
                        <w:webHidden/>
                      </w:rPr>
                      <w:instrText xml:space="preserve"> PAGEREF _Toc18914495 \h </w:instrText>
                    </w:r>
                    <w:r>
                      <w:rPr>
                        <w:noProof/>
                        <w:webHidden/>
                      </w:rPr>
                    </w:r>
                    <w:r>
                      <w:rPr>
                        <w:noProof/>
                        <w:webHidden/>
                      </w:rPr>
                      <w:fldChar w:fldCharType="separate"/>
                    </w:r>
                    <w:r>
                      <w:rPr>
                        <w:noProof/>
                        <w:webHidden/>
                      </w:rPr>
                      <w:t>196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6" w:history="1">
                    <w:r>
                      <w:rPr>
                        <w:rStyle w:val="Lienhypertexte"/>
                        <w:noProof/>
                      </w:rPr>
                      <w:t>Annexe 3 : Tableau synoptique de l’évolution de l’intégration</w:t>
                    </w:r>
                    <w:r>
                      <w:rPr>
                        <w:noProof/>
                        <w:webHidden/>
                      </w:rPr>
                      <w:tab/>
                    </w:r>
                    <w:r>
                      <w:rPr>
                        <w:noProof/>
                        <w:webHidden/>
                      </w:rPr>
                      <w:fldChar w:fldCharType="begin"/>
                    </w:r>
                    <w:r>
                      <w:rPr>
                        <w:noProof/>
                        <w:webHidden/>
                      </w:rPr>
                      <w:instrText xml:space="preserve"> PAGEREF _Toc18914496 \h </w:instrText>
                    </w:r>
                    <w:r>
                      <w:rPr>
                        <w:noProof/>
                        <w:webHidden/>
                      </w:rPr>
                    </w:r>
                    <w:r>
                      <w:rPr>
                        <w:noProof/>
                        <w:webHidden/>
                      </w:rPr>
                      <w:fldChar w:fldCharType="separate"/>
                    </w:r>
                    <w:r>
                      <w:rPr>
                        <w:noProof/>
                        <w:webHidden/>
                      </w:rPr>
                      <w:t>202</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97" w:history="1">
                    <w:r>
                      <w:rPr>
                        <w:rStyle w:val="Lienhypertexte"/>
                        <w:noProof/>
                      </w:rPr>
                      <w:t>Chapitre 14 : Organisation d’une pédagogie adaptée</w:t>
                    </w:r>
                    <w:r>
                      <w:rPr>
                        <w:noProof/>
                        <w:webHidden/>
                      </w:rPr>
                      <w:tab/>
                    </w:r>
                    <w:r>
                      <w:rPr>
                        <w:noProof/>
                        <w:webHidden/>
                      </w:rPr>
                      <w:fldChar w:fldCharType="begin"/>
                    </w:r>
                    <w:r>
                      <w:rPr>
                        <w:noProof/>
                        <w:webHidden/>
                      </w:rPr>
                      <w:instrText xml:space="preserve"> PAGEREF _Toc18914497 \h </w:instrText>
                    </w:r>
                    <w:r>
                      <w:rPr>
                        <w:noProof/>
                        <w:webHidden/>
                      </w:rPr>
                    </w:r>
                    <w:r>
                      <w:rPr>
                        <w:noProof/>
                        <w:webHidden/>
                      </w:rPr>
                      <w:fldChar w:fldCharType="separate"/>
                    </w:r>
                    <w:r>
                      <w:rPr>
                        <w:noProof/>
                        <w:webHidden/>
                      </w:rPr>
                      <w:t>214</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98" w:history="1">
                    <w:r>
                      <w:rPr>
                        <w:rStyle w:val="Lienhypertexte"/>
                        <w:noProof/>
                      </w:rPr>
                      <w:t>Chapitre 15 : Rappel des conditions d’admission, de maintien et de passage</w:t>
                    </w:r>
                    <w:r>
                      <w:rPr>
                        <w:noProof/>
                        <w:webHidden/>
                      </w:rPr>
                      <w:tab/>
                    </w:r>
                    <w:r>
                      <w:rPr>
                        <w:noProof/>
                        <w:webHidden/>
                      </w:rPr>
                      <w:fldChar w:fldCharType="begin"/>
                    </w:r>
                    <w:r>
                      <w:rPr>
                        <w:noProof/>
                        <w:webHidden/>
                      </w:rPr>
                      <w:instrText xml:space="preserve"> PAGEREF _Toc18914498 \h </w:instrText>
                    </w:r>
                    <w:r>
                      <w:rPr>
                        <w:noProof/>
                        <w:webHidden/>
                      </w:rPr>
                    </w:r>
                    <w:r>
                      <w:rPr>
                        <w:noProof/>
                        <w:webHidden/>
                      </w:rPr>
                      <w:fldChar w:fldCharType="separate"/>
                    </w:r>
                    <w:r>
                      <w:rPr>
                        <w:noProof/>
                        <w:webHidden/>
                      </w:rPr>
                      <w:t>215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9" w:history="1">
                    <w:r>
                      <w:rPr>
                        <w:rStyle w:val="Lienhypertexte"/>
                        <w:noProof/>
                      </w:rPr>
                      <w:t>1. Admission dans l'enseignement spécialisé</w:t>
                    </w:r>
                    <w:r>
                      <w:rPr>
                        <w:noProof/>
                        <w:webHidden/>
                      </w:rPr>
                      <w:tab/>
                    </w:r>
                    <w:r>
                      <w:rPr>
                        <w:noProof/>
                        <w:webHidden/>
                      </w:rPr>
                      <w:fldChar w:fldCharType="begin"/>
                    </w:r>
                    <w:r>
                      <w:rPr>
                        <w:noProof/>
                        <w:webHidden/>
                      </w:rPr>
                      <w:instrText xml:space="preserve"> PAGEREF _Toc18914499 \h </w:instrText>
                    </w:r>
                    <w:r>
                      <w:rPr>
                        <w:noProof/>
                        <w:webHidden/>
                      </w:rPr>
                    </w:r>
                    <w:r>
                      <w:rPr>
                        <w:noProof/>
                        <w:webHidden/>
                      </w:rPr>
                      <w:fldChar w:fldCharType="separate"/>
                    </w:r>
                    <w:r>
                      <w:rPr>
                        <w:noProof/>
                        <w:webHidden/>
                      </w:rPr>
                      <w:t>215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00" w:history="1">
                    <w:r>
                      <w:rPr>
                        <w:rStyle w:val="Lienhypertexte"/>
                        <w:noProof/>
                      </w:rPr>
                      <w:t>2. Age d'admission et de maintien</w:t>
                    </w:r>
                    <w:r>
                      <w:rPr>
                        <w:noProof/>
                        <w:webHidden/>
                      </w:rPr>
                      <w:tab/>
                    </w:r>
                    <w:r>
                      <w:rPr>
                        <w:noProof/>
                        <w:webHidden/>
                      </w:rPr>
                      <w:fldChar w:fldCharType="begin"/>
                    </w:r>
                    <w:r>
                      <w:rPr>
                        <w:noProof/>
                        <w:webHidden/>
                      </w:rPr>
                      <w:instrText xml:space="preserve"> PAGEREF _Toc18914500 \h </w:instrText>
                    </w:r>
                    <w:r>
                      <w:rPr>
                        <w:noProof/>
                        <w:webHidden/>
                      </w:rPr>
                    </w:r>
                    <w:r>
                      <w:rPr>
                        <w:noProof/>
                        <w:webHidden/>
                      </w:rPr>
                      <w:fldChar w:fldCharType="separate"/>
                    </w:r>
                    <w:r>
                      <w:rPr>
                        <w:noProof/>
                        <w:webHidden/>
                      </w:rPr>
                      <w:t>216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01" w:history="1">
                    <w:r>
                      <w:rPr>
                        <w:rStyle w:val="Lienhypertexte"/>
                        <w:noProof/>
                      </w:rPr>
                      <w:t>3. Documents à tenir à la disposition du vérificateur</w:t>
                    </w:r>
                    <w:r>
                      <w:rPr>
                        <w:noProof/>
                        <w:webHidden/>
                      </w:rPr>
                      <w:tab/>
                    </w:r>
                    <w:r>
                      <w:rPr>
                        <w:noProof/>
                        <w:webHidden/>
                      </w:rPr>
                      <w:fldChar w:fldCharType="begin"/>
                    </w:r>
                    <w:r>
                      <w:rPr>
                        <w:noProof/>
                        <w:webHidden/>
                      </w:rPr>
                      <w:instrText xml:space="preserve"> PAGEREF _Toc18914501 \h </w:instrText>
                    </w:r>
                    <w:r>
                      <w:rPr>
                        <w:noProof/>
                        <w:webHidden/>
                      </w:rPr>
                    </w:r>
                    <w:r>
                      <w:rPr>
                        <w:noProof/>
                        <w:webHidden/>
                      </w:rPr>
                      <w:fldChar w:fldCharType="separate"/>
                    </w:r>
                    <w:r>
                      <w:rPr>
                        <w:noProof/>
                        <w:webHidden/>
                      </w:rPr>
                      <w:t>217</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02" w:history="1">
                    <w:r>
                      <w:rPr>
                        <w:rStyle w:val="Lienhypertexte"/>
                        <w:noProof/>
                      </w:rPr>
                      <w:t>4. Annexes</w:t>
                    </w:r>
                    <w:r>
                      <w:rPr>
                        <w:noProof/>
                        <w:webHidden/>
                      </w:rPr>
                      <w:tab/>
                    </w:r>
                    <w:r>
                      <w:rPr>
                        <w:noProof/>
                        <w:webHidden/>
                      </w:rPr>
                      <w:fldChar w:fldCharType="begin"/>
                    </w:r>
                    <w:r>
                      <w:rPr>
                        <w:noProof/>
                        <w:webHidden/>
                      </w:rPr>
                      <w:instrText xml:space="preserve"> PAGEREF _Toc18914502 \h </w:instrText>
                    </w:r>
                    <w:r>
                      <w:rPr>
                        <w:noProof/>
                        <w:webHidden/>
                      </w:rPr>
                    </w:r>
                    <w:r>
                      <w:rPr>
                        <w:noProof/>
                        <w:webHidden/>
                      </w:rPr>
                      <w:fldChar w:fldCharType="separate"/>
                    </w:r>
                    <w:r>
                      <w:rPr>
                        <w:noProof/>
                        <w:webHidden/>
                      </w:rPr>
                      <w:t>220</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03" w:history="1">
                    <w:r>
                      <w:rPr>
                        <w:rStyle w:val="Lienhypertexte"/>
                        <w:noProof/>
                      </w:rPr>
                      <w:t>Chapitre 16 : La Vérification de la population scolaire et de la comptabilité</w:t>
                    </w:r>
                    <w:r>
                      <w:rPr>
                        <w:noProof/>
                        <w:webHidden/>
                      </w:rPr>
                      <w:tab/>
                    </w:r>
                    <w:r>
                      <w:rPr>
                        <w:noProof/>
                        <w:webHidden/>
                      </w:rPr>
                      <w:fldChar w:fldCharType="begin"/>
                    </w:r>
                    <w:r>
                      <w:rPr>
                        <w:noProof/>
                        <w:webHidden/>
                      </w:rPr>
                      <w:instrText xml:space="preserve"> PAGEREF _Toc18914503 \h </w:instrText>
                    </w:r>
                    <w:r>
                      <w:rPr>
                        <w:noProof/>
                        <w:webHidden/>
                      </w:rPr>
                    </w:r>
                    <w:r>
                      <w:rPr>
                        <w:noProof/>
                        <w:webHidden/>
                      </w:rPr>
                      <w:fldChar w:fldCharType="separate"/>
                    </w:r>
                    <w:r>
                      <w:rPr>
                        <w:noProof/>
                        <w:webHidden/>
                      </w:rPr>
                      <w:t>226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04" w:history="1">
                    <w:r>
                      <w:rPr>
                        <w:rStyle w:val="Lienhypertexte"/>
                        <w:bCs/>
                        <w:noProof/>
                      </w:rPr>
                      <w:t xml:space="preserve">1. </w:t>
                    </w:r>
                    <w:r>
                      <w:rPr>
                        <w:rStyle w:val="Lienhypertexte"/>
                        <w:noProof/>
                      </w:rPr>
                      <w:t>Les vérificateurs de la population scolaire</w:t>
                    </w:r>
                    <w:r>
                      <w:rPr>
                        <w:noProof/>
                        <w:webHidden/>
                      </w:rPr>
                      <w:tab/>
                    </w:r>
                    <w:r>
                      <w:rPr>
                        <w:noProof/>
                        <w:webHidden/>
                      </w:rPr>
                      <w:fldChar w:fldCharType="begin"/>
                    </w:r>
                    <w:r>
                      <w:rPr>
                        <w:noProof/>
                        <w:webHidden/>
                      </w:rPr>
                      <w:instrText xml:space="preserve"> PAGEREF _Toc18914504 \h </w:instrText>
                    </w:r>
                    <w:r>
                      <w:rPr>
                        <w:noProof/>
                        <w:webHidden/>
                      </w:rPr>
                    </w:r>
                    <w:r>
                      <w:rPr>
                        <w:noProof/>
                        <w:webHidden/>
                      </w:rPr>
                      <w:fldChar w:fldCharType="separate"/>
                    </w:r>
                    <w:r>
                      <w:rPr>
                        <w:noProof/>
                        <w:webHidden/>
                      </w:rPr>
                      <w:t>226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05" w:history="1">
                    <w:r>
                      <w:rPr>
                        <w:rStyle w:val="Lienhypertexte"/>
                        <w:noProof/>
                      </w:rPr>
                      <w:t>2. Le service de la vérification comptable</w:t>
                    </w:r>
                    <w:r>
                      <w:rPr>
                        <w:noProof/>
                        <w:webHidden/>
                      </w:rPr>
                      <w:tab/>
                    </w:r>
                    <w:r>
                      <w:rPr>
                        <w:noProof/>
                        <w:webHidden/>
                      </w:rPr>
                      <w:fldChar w:fldCharType="begin"/>
                    </w:r>
                    <w:r>
                      <w:rPr>
                        <w:noProof/>
                        <w:webHidden/>
                      </w:rPr>
                      <w:instrText xml:space="preserve"> PAGEREF _Toc18914505 \h </w:instrText>
                    </w:r>
                    <w:r>
                      <w:rPr>
                        <w:noProof/>
                        <w:webHidden/>
                      </w:rPr>
                    </w:r>
                    <w:r>
                      <w:rPr>
                        <w:noProof/>
                        <w:webHidden/>
                      </w:rPr>
                      <w:fldChar w:fldCharType="separate"/>
                    </w:r>
                    <w:r>
                      <w:rPr>
                        <w:noProof/>
                        <w:webHidden/>
                      </w:rPr>
                      <w:t>228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06" w:history="1">
                    <w:r>
                      <w:rPr>
                        <w:rStyle w:val="Lienhypertexte"/>
                        <w:noProof/>
                        <w:lang w:val="fr-FR"/>
                      </w:rPr>
                      <w:t>3. Liste des zones géographique par vérificateur</w:t>
                    </w:r>
                    <w:r>
                      <w:rPr>
                        <w:noProof/>
                        <w:webHidden/>
                      </w:rPr>
                      <w:tab/>
                    </w:r>
                    <w:r>
                      <w:rPr>
                        <w:noProof/>
                        <w:webHidden/>
                      </w:rPr>
                      <w:fldChar w:fldCharType="begin"/>
                    </w:r>
                    <w:r>
                      <w:rPr>
                        <w:noProof/>
                        <w:webHidden/>
                      </w:rPr>
                      <w:instrText xml:space="preserve"> PAGEREF _Toc18914506 \h </w:instrText>
                    </w:r>
                    <w:r>
                      <w:rPr>
                        <w:noProof/>
                        <w:webHidden/>
                      </w:rPr>
                    </w:r>
                    <w:r>
                      <w:rPr>
                        <w:noProof/>
                        <w:webHidden/>
                      </w:rPr>
                      <w:fldChar w:fldCharType="separate"/>
                    </w:r>
                    <w:r>
                      <w:rPr>
                        <w:noProof/>
                        <w:webHidden/>
                      </w:rPr>
                      <w:t>228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07" w:history="1">
                    <w:r>
                      <w:rPr>
                        <w:rStyle w:val="Lienhypertexte"/>
                        <w:noProof/>
                        <w:lang w:val="fr-FR"/>
                      </w:rPr>
                      <w:t>4. Foire aux questions</w:t>
                    </w:r>
                    <w:r>
                      <w:rPr>
                        <w:noProof/>
                        <w:webHidden/>
                      </w:rPr>
                      <w:tab/>
                    </w:r>
                    <w:r>
                      <w:rPr>
                        <w:noProof/>
                        <w:webHidden/>
                      </w:rPr>
                      <w:fldChar w:fldCharType="begin"/>
                    </w:r>
                    <w:r>
                      <w:rPr>
                        <w:noProof/>
                        <w:webHidden/>
                      </w:rPr>
                      <w:instrText xml:space="preserve"> PAGEREF _Toc18914507 \h </w:instrText>
                    </w:r>
                    <w:r>
                      <w:rPr>
                        <w:noProof/>
                        <w:webHidden/>
                      </w:rPr>
                    </w:r>
                    <w:r>
                      <w:rPr>
                        <w:noProof/>
                        <w:webHidden/>
                      </w:rPr>
                      <w:fldChar w:fldCharType="separate"/>
                    </w:r>
                    <w:r>
                      <w:rPr>
                        <w:noProof/>
                        <w:webHidden/>
                      </w:rPr>
                      <w:t>238</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08" w:history="1">
                    <w:r>
                      <w:rPr>
                        <w:rStyle w:val="Lienhypertexte"/>
                        <w:noProof/>
                      </w:rPr>
                      <w:t>Chapitre 17 : Modèles des attestations de fréquentation délivrées dans l’enseignement primaire spécialisé</w:t>
                    </w:r>
                    <w:r>
                      <w:rPr>
                        <w:noProof/>
                        <w:webHidden/>
                      </w:rPr>
                      <w:tab/>
                    </w:r>
                    <w:r>
                      <w:rPr>
                        <w:noProof/>
                        <w:webHidden/>
                      </w:rPr>
                      <w:fldChar w:fldCharType="begin"/>
                    </w:r>
                    <w:r>
                      <w:rPr>
                        <w:noProof/>
                        <w:webHidden/>
                      </w:rPr>
                      <w:instrText xml:space="preserve"> PAGEREF _Toc18914508 \h </w:instrText>
                    </w:r>
                    <w:r>
                      <w:rPr>
                        <w:noProof/>
                        <w:webHidden/>
                      </w:rPr>
                    </w:r>
                    <w:r>
                      <w:rPr>
                        <w:noProof/>
                        <w:webHidden/>
                      </w:rPr>
                      <w:fldChar w:fldCharType="separate"/>
                    </w:r>
                    <w:r>
                      <w:rPr>
                        <w:noProof/>
                        <w:webHidden/>
                      </w:rPr>
                      <w:t>240</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09" w:history="1">
                    <w:r>
                      <w:rPr>
                        <w:rStyle w:val="Lienhypertexte"/>
                        <w:noProof/>
                      </w:rPr>
                      <w:t>Chapitre 18 : Introduction des demandes de dérogation d’âge</w:t>
                    </w:r>
                    <w:r>
                      <w:rPr>
                        <w:noProof/>
                        <w:webHidden/>
                      </w:rPr>
                      <w:tab/>
                    </w:r>
                    <w:r>
                      <w:rPr>
                        <w:noProof/>
                        <w:webHidden/>
                      </w:rPr>
                      <w:fldChar w:fldCharType="begin"/>
                    </w:r>
                    <w:r>
                      <w:rPr>
                        <w:noProof/>
                        <w:webHidden/>
                      </w:rPr>
                      <w:instrText xml:space="preserve"> PAGEREF _Toc18914509 \h </w:instrText>
                    </w:r>
                    <w:r>
                      <w:rPr>
                        <w:noProof/>
                        <w:webHidden/>
                      </w:rPr>
                    </w:r>
                    <w:r>
                      <w:rPr>
                        <w:noProof/>
                        <w:webHidden/>
                      </w:rPr>
                      <w:fldChar w:fldCharType="separate"/>
                    </w:r>
                    <w:r>
                      <w:rPr>
                        <w:noProof/>
                        <w:webHidden/>
                      </w:rPr>
                      <w:t>242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0" w:history="1">
                    <w:r>
                      <w:rPr>
                        <w:rStyle w:val="Lienhypertexte"/>
                        <w:noProof/>
                      </w:rPr>
                      <w:t>1. Dispositions générales</w:t>
                    </w:r>
                    <w:r>
                      <w:rPr>
                        <w:noProof/>
                        <w:webHidden/>
                      </w:rPr>
                      <w:tab/>
                    </w:r>
                    <w:r>
                      <w:rPr>
                        <w:noProof/>
                        <w:webHidden/>
                      </w:rPr>
                      <w:fldChar w:fldCharType="begin"/>
                    </w:r>
                    <w:r>
                      <w:rPr>
                        <w:noProof/>
                        <w:webHidden/>
                      </w:rPr>
                      <w:instrText xml:space="preserve"> PAGEREF _Toc18914510 \h </w:instrText>
                    </w:r>
                    <w:r>
                      <w:rPr>
                        <w:noProof/>
                        <w:webHidden/>
                      </w:rPr>
                    </w:r>
                    <w:r>
                      <w:rPr>
                        <w:noProof/>
                        <w:webHidden/>
                      </w:rPr>
                      <w:fldChar w:fldCharType="separate"/>
                    </w:r>
                    <w:r>
                      <w:rPr>
                        <w:noProof/>
                        <w:webHidden/>
                      </w:rPr>
                      <w:t>242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1" w:history="1">
                    <w:r>
                      <w:rPr>
                        <w:rStyle w:val="Lienhypertexte"/>
                        <w:noProof/>
                      </w:rPr>
                      <w:t>2. Types de dérogation</w:t>
                    </w:r>
                    <w:r>
                      <w:rPr>
                        <w:noProof/>
                        <w:webHidden/>
                      </w:rPr>
                      <w:tab/>
                    </w:r>
                    <w:r>
                      <w:rPr>
                        <w:noProof/>
                        <w:webHidden/>
                      </w:rPr>
                      <w:fldChar w:fldCharType="begin"/>
                    </w:r>
                    <w:r>
                      <w:rPr>
                        <w:noProof/>
                        <w:webHidden/>
                      </w:rPr>
                      <w:instrText xml:space="preserve"> PAGEREF _Toc18914511 \h </w:instrText>
                    </w:r>
                    <w:r>
                      <w:rPr>
                        <w:noProof/>
                        <w:webHidden/>
                      </w:rPr>
                    </w:r>
                    <w:r>
                      <w:rPr>
                        <w:noProof/>
                        <w:webHidden/>
                      </w:rPr>
                      <w:fldChar w:fldCharType="separate"/>
                    </w:r>
                    <w:r>
                      <w:rPr>
                        <w:noProof/>
                        <w:webHidden/>
                      </w:rPr>
                      <w:t>242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2" w:history="1">
                    <w:r>
                      <w:rPr>
                        <w:rStyle w:val="Lienhypertexte"/>
                        <w:noProof/>
                      </w:rPr>
                      <w:t>3. Annexes</w:t>
                    </w:r>
                    <w:r>
                      <w:rPr>
                        <w:noProof/>
                        <w:webHidden/>
                      </w:rPr>
                      <w:tab/>
                    </w:r>
                    <w:r>
                      <w:rPr>
                        <w:noProof/>
                        <w:webHidden/>
                      </w:rPr>
                      <w:fldChar w:fldCharType="begin"/>
                    </w:r>
                    <w:r>
                      <w:rPr>
                        <w:noProof/>
                        <w:webHidden/>
                      </w:rPr>
                      <w:instrText xml:space="preserve"> PAGEREF _Toc18914512 \h </w:instrText>
                    </w:r>
                    <w:r>
                      <w:rPr>
                        <w:noProof/>
                        <w:webHidden/>
                      </w:rPr>
                    </w:r>
                    <w:r>
                      <w:rPr>
                        <w:noProof/>
                        <w:webHidden/>
                      </w:rPr>
                      <w:fldChar w:fldCharType="separate"/>
                    </w:r>
                    <w:r>
                      <w:rPr>
                        <w:noProof/>
                        <w:webHidden/>
                      </w:rPr>
                      <w:t>243</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13" w:history="1">
                    <w:r>
                      <w:rPr>
                        <w:rStyle w:val="Lienhypertexte"/>
                        <w:noProof/>
                      </w:rPr>
                      <w:t>Chapitre 19 : Liste des organismes habilités à délivrer et/ou à modifier les documents nécessaires à l’inscription en enseignement spécialisé</w:t>
                    </w:r>
                    <w:r>
                      <w:rPr>
                        <w:noProof/>
                        <w:webHidden/>
                      </w:rPr>
                      <w:tab/>
                    </w:r>
                    <w:r>
                      <w:rPr>
                        <w:noProof/>
                        <w:webHidden/>
                      </w:rPr>
                      <w:fldChar w:fldCharType="begin"/>
                    </w:r>
                    <w:r>
                      <w:rPr>
                        <w:noProof/>
                        <w:webHidden/>
                      </w:rPr>
                      <w:instrText xml:space="preserve"> PAGEREF _Toc18914513 \h </w:instrText>
                    </w:r>
                    <w:r>
                      <w:rPr>
                        <w:noProof/>
                        <w:webHidden/>
                      </w:rPr>
                    </w:r>
                    <w:r>
                      <w:rPr>
                        <w:noProof/>
                        <w:webHidden/>
                      </w:rPr>
                      <w:fldChar w:fldCharType="separate"/>
                    </w:r>
                    <w:r>
                      <w:rPr>
                        <w:noProof/>
                        <w:webHidden/>
                      </w:rPr>
                      <w:t>246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4" w:history="1">
                    <w:r>
                      <w:rPr>
                        <w:rStyle w:val="Lienhypertexte"/>
                        <w:noProof/>
                      </w:rPr>
                      <w:t>1. Généralités</w:t>
                    </w:r>
                    <w:r>
                      <w:rPr>
                        <w:noProof/>
                        <w:webHidden/>
                      </w:rPr>
                      <w:tab/>
                    </w:r>
                    <w:r>
                      <w:rPr>
                        <w:noProof/>
                        <w:webHidden/>
                      </w:rPr>
                      <w:fldChar w:fldCharType="begin"/>
                    </w:r>
                    <w:r>
                      <w:rPr>
                        <w:noProof/>
                        <w:webHidden/>
                      </w:rPr>
                      <w:instrText xml:space="preserve"> PAGEREF _Toc18914514 \h </w:instrText>
                    </w:r>
                    <w:r>
                      <w:rPr>
                        <w:noProof/>
                        <w:webHidden/>
                      </w:rPr>
                    </w:r>
                    <w:r>
                      <w:rPr>
                        <w:noProof/>
                        <w:webHidden/>
                      </w:rPr>
                      <w:fldChar w:fldCharType="separate"/>
                    </w:r>
                    <w:r>
                      <w:rPr>
                        <w:noProof/>
                        <w:webHidden/>
                      </w:rPr>
                      <w:t>246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5" w:history="1">
                    <w:r>
                      <w:rPr>
                        <w:rStyle w:val="Lienhypertexte"/>
                        <w:noProof/>
                      </w:rPr>
                      <w:t>2. Rappel</w:t>
                    </w:r>
                    <w:r>
                      <w:rPr>
                        <w:noProof/>
                        <w:webHidden/>
                      </w:rPr>
                      <w:tab/>
                    </w:r>
                    <w:r>
                      <w:rPr>
                        <w:noProof/>
                        <w:webHidden/>
                      </w:rPr>
                      <w:fldChar w:fldCharType="begin"/>
                    </w:r>
                    <w:r>
                      <w:rPr>
                        <w:noProof/>
                        <w:webHidden/>
                      </w:rPr>
                      <w:instrText xml:space="preserve"> PAGEREF _Toc18914515 \h </w:instrText>
                    </w:r>
                    <w:r>
                      <w:rPr>
                        <w:noProof/>
                        <w:webHidden/>
                      </w:rPr>
                    </w:r>
                    <w:r>
                      <w:rPr>
                        <w:noProof/>
                        <w:webHidden/>
                      </w:rPr>
                      <w:fldChar w:fldCharType="separate"/>
                    </w:r>
                    <w:r>
                      <w:rPr>
                        <w:noProof/>
                        <w:webHidden/>
                      </w:rPr>
                      <w:t>246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6" w:history="1">
                    <w:r>
                      <w:rPr>
                        <w:rStyle w:val="Lienhypertexte"/>
                        <w:noProof/>
                      </w:rPr>
                      <w:t>3. Listes</w:t>
                    </w:r>
                    <w:r>
                      <w:rPr>
                        <w:noProof/>
                        <w:webHidden/>
                      </w:rPr>
                      <w:tab/>
                    </w:r>
                    <w:r>
                      <w:rPr>
                        <w:noProof/>
                        <w:webHidden/>
                      </w:rPr>
                      <w:fldChar w:fldCharType="begin"/>
                    </w:r>
                    <w:r>
                      <w:rPr>
                        <w:noProof/>
                        <w:webHidden/>
                      </w:rPr>
                      <w:instrText xml:space="preserve"> PAGEREF _Toc18914516 \h </w:instrText>
                    </w:r>
                    <w:r>
                      <w:rPr>
                        <w:noProof/>
                        <w:webHidden/>
                      </w:rPr>
                    </w:r>
                    <w:r>
                      <w:rPr>
                        <w:noProof/>
                        <w:webHidden/>
                      </w:rPr>
                      <w:fldChar w:fldCharType="separate"/>
                    </w:r>
                    <w:r>
                      <w:rPr>
                        <w:noProof/>
                        <w:webHidden/>
                      </w:rPr>
                      <w:t>247</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7" w:history="1">
                    <w:r>
                      <w:rPr>
                        <w:rStyle w:val="Lienhypertexte"/>
                        <w:noProof/>
                      </w:rPr>
                      <w:t>4. Annexes</w:t>
                    </w:r>
                    <w:r>
                      <w:rPr>
                        <w:noProof/>
                        <w:webHidden/>
                      </w:rPr>
                      <w:tab/>
                    </w:r>
                    <w:r>
                      <w:rPr>
                        <w:noProof/>
                        <w:webHidden/>
                      </w:rPr>
                      <w:fldChar w:fldCharType="begin"/>
                    </w:r>
                    <w:r>
                      <w:rPr>
                        <w:noProof/>
                        <w:webHidden/>
                      </w:rPr>
                      <w:instrText xml:space="preserve"> PAGEREF _Toc18914517 \h </w:instrText>
                    </w:r>
                    <w:r>
                      <w:rPr>
                        <w:noProof/>
                        <w:webHidden/>
                      </w:rPr>
                    </w:r>
                    <w:r>
                      <w:rPr>
                        <w:noProof/>
                        <w:webHidden/>
                      </w:rPr>
                      <w:fldChar w:fldCharType="separate"/>
                    </w:r>
                    <w:r>
                      <w:rPr>
                        <w:noProof/>
                        <w:webHidden/>
                      </w:rPr>
                      <w:t>247</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18" w:history="1">
                    <w:r>
                      <w:rPr>
                        <w:rStyle w:val="Lienhypertexte"/>
                        <w:noProof/>
                      </w:rPr>
                      <w:t>Chapitre 20 : Les Commissions consultatives</w:t>
                    </w:r>
                    <w:r>
                      <w:rPr>
                        <w:noProof/>
                        <w:webHidden/>
                      </w:rPr>
                      <w:tab/>
                    </w:r>
                    <w:r>
                      <w:rPr>
                        <w:noProof/>
                        <w:webHidden/>
                      </w:rPr>
                      <w:fldChar w:fldCharType="begin"/>
                    </w:r>
                    <w:r>
                      <w:rPr>
                        <w:noProof/>
                        <w:webHidden/>
                      </w:rPr>
                      <w:instrText xml:space="preserve"> PAGEREF _Toc18914518 \h </w:instrText>
                    </w:r>
                    <w:r>
                      <w:rPr>
                        <w:noProof/>
                        <w:webHidden/>
                      </w:rPr>
                    </w:r>
                    <w:r>
                      <w:rPr>
                        <w:noProof/>
                        <w:webHidden/>
                      </w:rPr>
                      <w:fldChar w:fldCharType="separate"/>
                    </w:r>
                    <w:r>
                      <w:rPr>
                        <w:noProof/>
                        <w:webHidden/>
                      </w:rPr>
                      <w:t>270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9" w:history="1">
                    <w:r>
                      <w:rPr>
                        <w:rStyle w:val="Lienhypertexte"/>
                        <w:noProof/>
                      </w:rPr>
                      <w:t>1. Commissions consultatives</w:t>
                    </w:r>
                    <w:r>
                      <w:rPr>
                        <w:noProof/>
                        <w:webHidden/>
                      </w:rPr>
                      <w:tab/>
                    </w:r>
                    <w:r>
                      <w:rPr>
                        <w:noProof/>
                        <w:webHidden/>
                      </w:rPr>
                      <w:fldChar w:fldCharType="begin"/>
                    </w:r>
                    <w:r>
                      <w:rPr>
                        <w:noProof/>
                        <w:webHidden/>
                      </w:rPr>
                      <w:instrText xml:space="preserve"> PAGEREF _Toc18914519 \h </w:instrText>
                    </w:r>
                    <w:r>
                      <w:rPr>
                        <w:noProof/>
                        <w:webHidden/>
                      </w:rPr>
                    </w:r>
                    <w:r>
                      <w:rPr>
                        <w:noProof/>
                        <w:webHidden/>
                      </w:rPr>
                      <w:fldChar w:fldCharType="separate"/>
                    </w:r>
                    <w:r>
                      <w:rPr>
                        <w:noProof/>
                        <w:webHidden/>
                      </w:rPr>
                      <w:t>270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20" w:history="1">
                    <w:r>
                      <w:rPr>
                        <w:rStyle w:val="Lienhypertexte"/>
                        <w:noProof/>
                      </w:rPr>
                      <w:t>2. Missions des commissions consultatives</w:t>
                    </w:r>
                    <w:r>
                      <w:rPr>
                        <w:noProof/>
                        <w:webHidden/>
                      </w:rPr>
                      <w:tab/>
                    </w:r>
                    <w:r>
                      <w:rPr>
                        <w:noProof/>
                        <w:webHidden/>
                      </w:rPr>
                      <w:fldChar w:fldCharType="begin"/>
                    </w:r>
                    <w:r>
                      <w:rPr>
                        <w:noProof/>
                        <w:webHidden/>
                      </w:rPr>
                      <w:instrText xml:space="preserve"> PAGEREF _Toc18914520 \h </w:instrText>
                    </w:r>
                    <w:r>
                      <w:rPr>
                        <w:noProof/>
                        <w:webHidden/>
                      </w:rPr>
                    </w:r>
                    <w:r>
                      <w:rPr>
                        <w:noProof/>
                        <w:webHidden/>
                      </w:rPr>
                      <w:fldChar w:fldCharType="separate"/>
                    </w:r>
                    <w:r>
                      <w:rPr>
                        <w:noProof/>
                        <w:webHidden/>
                      </w:rPr>
                      <w:t>270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21" w:history="1">
                    <w:r>
                      <w:rPr>
                        <w:rStyle w:val="Lienhypertexte"/>
                        <w:noProof/>
                      </w:rPr>
                      <w:t>3. Introduction des demandes</w:t>
                    </w:r>
                    <w:r>
                      <w:rPr>
                        <w:noProof/>
                        <w:webHidden/>
                      </w:rPr>
                      <w:tab/>
                    </w:r>
                    <w:r>
                      <w:rPr>
                        <w:noProof/>
                        <w:webHidden/>
                      </w:rPr>
                      <w:fldChar w:fldCharType="begin"/>
                    </w:r>
                    <w:r>
                      <w:rPr>
                        <w:noProof/>
                        <w:webHidden/>
                      </w:rPr>
                      <w:instrText xml:space="preserve"> PAGEREF _Toc18914521 \h </w:instrText>
                    </w:r>
                    <w:r>
                      <w:rPr>
                        <w:noProof/>
                        <w:webHidden/>
                      </w:rPr>
                    </w:r>
                    <w:r>
                      <w:rPr>
                        <w:noProof/>
                        <w:webHidden/>
                      </w:rPr>
                      <w:fldChar w:fldCharType="separate"/>
                    </w:r>
                    <w:r>
                      <w:rPr>
                        <w:noProof/>
                        <w:webHidden/>
                      </w:rPr>
                      <w:t>272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22" w:history="1">
                    <w:r>
                      <w:rPr>
                        <w:rStyle w:val="Lienhypertexte"/>
                        <w:noProof/>
                      </w:rPr>
                      <w:t>4. Modalités d’organisation des commissions consultatives</w:t>
                    </w:r>
                    <w:r>
                      <w:rPr>
                        <w:noProof/>
                        <w:webHidden/>
                      </w:rPr>
                      <w:tab/>
                    </w:r>
                    <w:r>
                      <w:rPr>
                        <w:noProof/>
                        <w:webHidden/>
                      </w:rPr>
                      <w:fldChar w:fldCharType="begin"/>
                    </w:r>
                    <w:r>
                      <w:rPr>
                        <w:noProof/>
                        <w:webHidden/>
                      </w:rPr>
                      <w:instrText xml:space="preserve"> PAGEREF _Toc18914522 \h </w:instrText>
                    </w:r>
                    <w:r>
                      <w:rPr>
                        <w:noProof/>
                        <w:webHidden/>
                      </w:rPr>
                    </w:r>
                    <w:r>
                      <w:rPr>
                        <w:noProof/>
                        <w:webHidden/>
                      </w:rPr>
                      <w:fldChar w:fldCharType="separate"/>
                    </w:r>
                    <w:r>
                      <w:rPr>
                        <w:noProof/>
                        <w:webHidden/>
                      </w:rPr>
                      <w:t>272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23" w:history="1">
                    <w:r>
                      <w:rPr>
                        <w:rStyle w:val="Lienhypertexte"/>
                        <w:noProof/>
                      </w:rPr>
                      <w:t>5. Fonctionnement des commissions consultatives</w:t>
                    </w:r>
                    <w:r>
                      <w:rPr>
                        <w:noProof/>
                        <w:webHidden/>
                      </w:rPr>
                      <w:tab/>
                    </w:r>
                    <w:r>
                      <w:rPr>
                        <w:noProof/>
                        <w:webHidden/>
                      </w:rPr>
                      <w:fldChar w:fldCharType="begin"/>
                    </w:r>
                    <w:r>
                      <w:rPr>
                        <w:noProof/>
                        <w:webHidden/>
                      </w:rPr>
                      <w:instrText xml:space="preserve"> PAGEREF _Toc18914523 \h </w:instrText>
                    </w:r>
                    <w:r>
                      <w:rPr>
                        <w:noProof/>
                        <w:webHidden/>
                      </w:rPr>
                    </w:r>
                    <w:r>
                      <w:rPr>
                        <w:noProof/>
                        <w:webHidden/>
                      </w:rPr>
                      <w:fldChar w:fldCharType="separate"/>
                    </w:r>
                    <w:r>
                      <w:rPr>
                        <w:noProof/>
                        <w:webHidden/>
                      </w:rPr>
                      <w:t>272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24" w:history="1">
                    <w:r>
                      <w:rPr>
                        <w:rStyle w:val="Lienhypertexte"/>
                        <w:noProof/>
                      </w:rPr>
                      <w:t>6. Présidences des Commissions consultatives</w:t>
                    </w:r>
                    <w:r>
                      <w:rPr>
                        <w:noProof/>
                        <w:webHidden/>
                      </w:rPr>
                      <w:tab/>
                    </w:r>
                    <w:r>
                      <w:rPr>
                        <w:noProof/>
                        <w:webHidden/>
                      </w:rPr>
                      <w:fldChar w:fldCharType="begin"/>
                    </w:r>
                    <w:r>
                      <w:rPr>
                        <w:noProof/>
                        <w:webHidden/>
                      </w:rPr>
                      <w:instrText xml:space="preserve"> PAGEREF _Toc18914524 \h </w:instrText>
                    </w:r>
                    <w:r>
                      <w:rPr>
                        <w:noProof/>
                        <w:webHidden/>
                      </w:rPr>
                    </w:r>
                    <w:r>
                      <w:rPr>
                        <w:noProof/>
                        <w:webHidden/>
                      </w:rPr>
                      <w:fldChar w:fldCharType="separate"/>
                    </w:r>
                    <w:r>
                      <w:rPr>
                        <w:noProof/>
                        <w:webHidden/>
                      </w:rPr>
                      <w:t>273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25" w:history="1">
                    <w:r>
                      <w:rPr>
                        <w:rStyle w:val="Lienhypertexte"/>
                        <w:noProof/>
                        <w:lang w:val="fr-FR"/>
                      </w:rPr>
                      <w:t>7. Documents utiles au traitement de la situation</w:t>
                    </w:r>
                    <w:r>
                      <w:rPr>
                        <w:noProof/>
                        <w:webHidden/>
                      </w:rPr>
                      <w:tab/>
                    </w:r>
                    <w:r>
                      <w:rPr>
                        <w:noProof/>
                        <w:webHidden/>
                      </w:rPr>
                      <w:fldChar w:fldCharType="begin"/>
                    </w:r>
                    <w:r>
                      <w:rPr>
                        <w:noProof/>
                        <w:webHidden/>
                      </w:rPr>
                      <w:instrText xml:space="preserve"> PAGEREF _Toc18914525 \h </w:instrText>
                    </w:r>
                    <w:r>
                      <w:rPr>
                        <w:noProof/>
                        <w:webHidden/>
                      </w:rPr>
                    </w:r>
                    <w:r>
                      <w:rPr>
                        <w:noProof/>
                        <w:webHidden/>
                      </w:rPr>
                      <w:fldChar w:fldCharType="separate"/>
                    </w:r>
                    <w:r>
                      <w:rPr>
                        <w:noProof/>
                        <w:webHidden/>
                      </w:rPr>
                      <w:t>273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26" w:history="1">
                    <w:r>
                      <w:rPr>
                        <w:rStyle w:val="Lienhypertexte"/>
                        <w:noProof/>
                        <w:lang w:val="fr-FR"/>
                      </w:rPr>
                      <w:t>8. Annexes (7 situations)</w:t>
                    </w:r>
                    <w:r>
                      <w:rPr>
                        <w:noProof/>
                        <w:webHidden/>
                      </w:rPr>
                      <w:tab/>
                    </w:r>
                    <w:r>
                      <w:rPr>
                        <w:noProof/>
                        <w:webHidden/>
                      </w:rPr>
                      <w:fldChar w:fldCharType="begin"/>
                    </w:r>
                    <w:r>
                      <w:rPr>
                        <w:noProof/>
                        <w:webHidden/>
                      </w:rPr>
                      <w:instrText xml:space="preserve"> PAGEREF _Toc18914526 \h </w:instrText>
                    </w:r>
                    <w:r>
                      <w:rPr>
                        <w:noProof/>
                        <w:webHidden/>
                      </w:rPr>
                    </w:r>
                    <w:r>
                      <w:rPr>
                        <w:noProof/>
                        <w:webHidden/>
                      </w:rPr>
                      <w:fldChar w:fldCharType="separate"/>
                    </w:r>
                    <w:r>
                      <w:rPr>
                        <w:noProof/>
                        <w:webHidden/>
                      </w:rPr>
                      <w:t>273</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27" w:history="1">
                    <w:r>
                      <w:rPr>
                        <w:rStyle w:val="Lienhypertexte"/>
                        <w:noProof/>
                      </w:rPr>
                      <w:t>Chapitre 21 : Organisation d’une Structure Scolaire d’Aide à la Socialisation (SSAS)</w:t>
                    </w:r>
                    <w:r>
                      <w:rPr>
                        <w:noProof/>
                        <w:webHidden/>
                      </w:rPr>
                      <w:tab/>
                    </w:r>
                    <w:r>
                      <w:rPr>
                        <w:noProof/>
                        <w:webHidden/>
                      </w:rPr>
                      <w:fldChar w:fldCharType="begin"/>
                    </w:r>
                    <w:r>
                      <w:rPr>
                        <w:noProof/>
                        <w:webHidden/>
                      </w:rPr>
                      <w:instrText xml:space="preserve"> PAGEREF _Toc18914527 \h </w:instrText>
                    </w:r>
                    <w:r>
                      <w:rPr>
                        <w:noProof/>
                        <w:webHidden/>
                      </w:rPr>
                    </w:r>
                    <w:r>
                      <w:rPr>
                        <w:noProof/>
                        <w:webHidden/>
                      </w:rPr>
                      <w:fldChar w:fldCharType="separate"/>
                    </w:r>
                    <w:r>
                      <w:rPr>
                        <w:noProof/>
                        <w:webHidden/>
                      </w:rPr>
                      <w:t>281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28" w:history="1">
                    <w:r>
                      <w:rPr>
                        <w:rStyle w:val="Lienhypertexte"/>
                        <w:noProof/>
                      </w:rPr>
                      <w:t>1. Dans l’enseignement primaire spécialisé</w:t>
                    </w:r>
                    <w:r>
                      <w:rPr>
                        <w:noProof/>
                        <w:webHidden/>
                      </w:rPr>
                      <w:tab/>
                    </w:r>
                    <w:r>
                      <w:rPr>
                        <w:noProof/>
                        <w:webHidden/>
                      </w:rPr>
                      <w:fldChar w:fldCharType="begin"/>
                    </w:r>
                    <w:r>
                      <w:rPr>
                        <w:noProof/>
                        <w:webHidden/>
                      </w:rPr>
                      <w:instrText xml:space="preserve"> PAGEREF _Toc18914528 \h </w:instrText>
                    </w:r>
                    <w:r>
                      <w:rPr>
                        <w:noProof/>
                        <w:webHidden/>
                      </w:rPr>
                    </w:r>
                    <w:r>
                      <w:rPr>
                        <w:noProof/>
                        <w:webHidden/>
                      </w:rPr>
                      <w:fldChar w:fldCharType="separate"/>
                    </w:r>
                    <w:r>
                      <w:rPr>
                        <w:noProof/>
                        <w:webHidden/>
                      </w:rPr>
                      <w:t>281</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29" w:history="1">
                    <w:r>
                      <w:rPr>
                        <w:rStyle w:val="Lienhypertexte"/>
                        <w:noProof/>
                      </w:rPr>
                      <w:t>Chapitre 22 : Les données et les applications métier</w:t>
                    </w:r>
                    <w:r>
                      <w:rPr>
                        <w:noProof/>
                        <w:webHidden/>
                      </w:rPr>
                      <w:tab/>
                    </w:r>
                    <w:r>
                      <w:rPr>
                        <w:noProof/>
                        <w:webHidden/>
                      </w:rPr>
                      <w:fldChar w:fldCharType="begin"/>
                    </w:r>
                    <w:r>
                      <w:rPr>
                        <w:noProof/>
                        <w:webHidden/>
                      </w:rPr>
                      <w:instrText xml:space="preserve"> PAGEREF _Toc18914529 \h </w:instrText>
                    </w:r>
                    <w:r>
                      <w:rPr>
                        <w:noProof/>
                        <w:webHidden/>
                      </w:rPr>
                    </w:r>
                    <w:r>
                      <w:rPr>
                        <w:noProof/>
                        <w:webHidden/>
                      </w:rPr>
                      <w:fldChar w:fldCharType="separate"/>
                    </w:r>
                    <w:r>
                      <w:rPr>
                        <w:noProof/>
                        <w:webHidden/>
                      </w:rPr>
                      <w:t>283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0" w:history="1">
                    <w:r>
                      <w:rPr>
                        <w:rStyle w:val="Lienhypertexte"/>
                        <w:noProof/>
                      </w:rPr>
                      <w:t>1. CERBERE</w:t>
                    </w:r>
                    <w:r>
                      <w:rPr>
                        <w:noProof/>
                        <w:webHidden/>
                      </w:rPr>
                      <w:tab/>
                    </w:r>
                    <w:r>
                      <w:rPr>
                        <w:noProof/>
                        <w:webHidden/>
                      </w:rPr>
                      <w:fldChar w:fldCharType="begin"/>
                    </w:r>
                    <w:r>
                      <w:rPr>
                        <w:noProof/>
                        <w:webHidden/>
                      </w:rPr>
                      <w:instrText xml:space="preserve"> PAGEREF _Toc18914530 \h </w:instrText>
                    </w:r>
                    <w:r>
                      <w:rPr>
                        <w:noProof/>
                        <w:webHidden/>
                      </w:rPr>
                    </w:r>
                    <w:r>
                      <w:rPr>
                        <w:noProof/>
                        <w:webHidden/>
                      </w:rPr>
                      <w:fldChar w:fldCharType="separate"/>
                    </w:r>
                    <w:r>
                      <w:rPr>
                        <w:noProof/>
                        <w:webHidden/>
                      </w:rPr>
                      <w:t>283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1" w:history="1">
                    <w:r>
                      <w:rPr>
                        <w:rStyle w:val="Lienhypertexte"/>
                        <w:noProof/>
                      </w:rPr>
                      <w:t>2. Application SIEL</w:t>
                    </w:r>
                    <w:r>
                      <w:rPr>
                        <w:noProof/>
                        <w:webHidden/>
                      </w:rPr>
                      <w:tab/>
                    </w:r>
                    <w:r>
                      <w:rPr>
                        <w:noProof/>
                        <w:webHidden/>
                      </w:rPr>
                      <w:fldChar w:fldCharType="begin"/>
                    </w:r>
                    <w:r>
                      <w:rPr>
                        <w:noProof/>
                        <w:webHidden/>
                      </w:rPr>
                      <w:instrText xml:space="preserve"> PAGEREF _Toc18914531 \h </w:instrText>
                    </w:r>
                    <w:r>
                      <w:rPr>
                        <w:noProof/>
                        <w:webHidden/>
                      </w:rPr>
                    </w:r>
                    <w:r>
                      <w:rPr>
                        <w:noProof/>
                        <w:webHidden/>
                      </w:rPr>
                      <w:fldChar w:fldCharType="separate"/>
                    </w:r>
                    <w:r>
                      <w:rPr>
                        <w:noProof/>
                        <w:webHidden/>
                      </w:rPr>
                      <w:t>284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2" w:history="1">
                    <w:r>
                      <w:rPr>
                        <w:rStyle w:val="Lienhypertexte"/>
                        <w:noProof/>
                      </w:rPr>
                      <w:t>3. L’entrée en vigueur du RGPD.</w:t>
                    </w:r>
                    <w:r>
                      <w:rPr>
                        <w:noProof/>
                        <w:webHidden/>
                      </w:rPr>
                      <w:tab/>
                    </w:r>
                    <w:r>
                      <w:rPr>
                        <w:noProof/>
                        <w:webHidden/>
                      </w:rPr>
                      <w:fldChar w:fldCharType="begin"/>
                    </w:r>
                    <w:r>
                      <w:rPr>
                        <w:noProof/>
                        <w:webHidden/>
                      </w:rPr>
                      <w:instrText xml:space="preserve"> PAGEREF _Toc18914532 \h </w:instrText>
                    </w:r>
                    <w:r>
                      <w:rPr>
                        <w:noProof/>
                        <w:webHidden/>
                      </w:rPr>
                    </w:r>
                    <w:r>
                      <w:rPr>
                        <w:noProof/>
                        <w:webHidden/>
                      </w:rPr>
                      <w:fldChar w:fldCharType="separate"/>
                    </w:r>
                    <w:r>
                      <w:rPr>
                        <w:noProof/>
                        <w:webHidden/>
                      </w:rPr>
                      <w:t>284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3" w:history="1">
                    <w:r>
                      <w:rPr>
                        <w:rStyle w:val="Lienhypertexte"/>
                        <w:noProof/>
                      </w:rPr>
                      <w:t>Sécurité physique</w:t>
                    </w:r>
                    <w:r>
                      <w:rPr>
                        <w:noProof/>
                        <w:webHidden/>
                      </w:rPr>
                      <w:tab/>
                    </w:r>
                    <w:r>
                      <w:rPr>
                        <w:noProof/>
                        <w:webHidden/>
                      </w:rPr>
                      <w:fldChar w:fldCharType="begin"/>
                    </w:r>
                    <w:r>
                      <w:rPr>
                        <w:noProof/>
                        <w:webHidden/>
                      </w:rPr>
                      <w:instrText xml:space="preserve"> PAGEREF _Toc18914533 \h </w:instrText>
                    </w:r>
                    <w:r>
                      <w:rPr>
                        <w:noProof/>
                        <w:webHidden/>
                      </w:rPr>
                    </w:r>
                    <w:r>
                      <w:rPr>
                        <w:noProof/>
                        <w:webHidden/>
                      </w:rPr>
                      <w:fldChar w:fldCharType="separate"/>
                    </w:r>
                    <w:r>
                      <w:rPr>
                        <w:noProof/>
                        <w:webHidden/>
                      </w:rPr>
                      <w:t>291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4" w:history="1">
                    <w:r>
                      <w:rPr>
                        <w:rStyle w:val="Lienhypertexte"/>
                        <w:noProof/>
                      </w:rPr>
                      <w:t>Sécurité</w:t>
                    </w:r>
                    <w:r>
                      <w:rPr>
                        <w:noProof/>
                        <w:webHidden/>
                      </w:rPr>
                      <w:tab/>
                    </w:r>
                    <w:r>
                      <w:rPr>
                        <w:noProof/>
                        <w:webHidden/>
                      </w:rPr>
                      <w:fldChar w:fldCharType="begin"/>
                    </w:r>
                    <w:r>
                      <w:rPr>
                        <w:noProof/>
                        <w:webHidden/>
                      </w:rPr>
                      <w:instrText xml:space="preserve"> PAGEREF _Toc18914534 \h </w:instrText>
                    </w:r>
                    <w:r>
                      <w:rPr>
                        <w:noProof/>
                        <w:webHidden/>
                      </w:rPr>
                    </w:r>
                    <w:r>
                      <w:rPr>
                        <w:noProof/>
                        <w:webHidden/>
                      </w:rPr>
                      <w:fldChar w:fldCharType="separate"/>
                    </w:r>
                    <w:r>
                      <w:rPr>
                        <w:noProof/>
                        <w:webHidden/>
                      </w:rPr>
                      <w:t>292</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35" w:history="1">
                    <w:r>
                      <w:rPr>
                        <w:rStyle w:val="Lienhypertexte"/>
                        <w:noProof/>
                      </w:rPr>
                      <w:t>Chapitre 23 : Organisation des séjours pédagogiques avec nuitée(s) en Belgique et à l’étranger</w:t>
                    </w:r>
                    <w:r>
                      <w:rPr>
                        <w:noProof/>
                        <w:webHidden/>
                      </w:rPr>
                      <w:tab/>
                    </w:r>
                    <w:r>
                      <w:rPr>
                        <w:noProof/>
                        <w:webHidden/>
                      </w:rPr>
                      <w:fldChar w:fldCharType="begin"/>
                    </w:r>
                    <w:r>
                      <w:rPr>
                        <w:noProof/>
                        <w:webHidden/>
                      </w:rPr>
                      <w:instrText xml:space="preserve"> PAGEREF _Toc18914535 \h </w:instrText>
                    </w:r>
                    <w:r>
                      <w:rPr>
                        <w:noProof/>
                        <w:webHidden/>
                      </w:rPr>
                    </w:r>
                    <w:r>
                      <w:rPr>
                        <w:noProof/>
                        <w:webHidden/>
                      </w:rPr>
                      <w:fldChar w:fldCharType="separate"/>
                    </w:r>
                    <w:r>
                      <w:rPr>
                        <w:noProof/>
                        <w:webHidden/>
                      </w:rPr>
                      <w:t>294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6" w:history="1">
                    <w:r>
                      <w:rPr>
                        <w:rStyle w:val="Lienhypertexte"/>
                        <w:noProof/>
                      </w:rPr>
                      <w:t>1. Philosophie</w:t>
                    </w:r>
                    <w:r>
                      <w:rPr>
                        <w:noProof/>
                        <w:webHidden/>
                      </w:rPr>
                      <w:tab/>
                    </w:r>
                    <w:r>
                      <w:rPr>
                        <w:noProof/>
                        <w:webHidden/>
                      </w:rPr>
                      <w:fldChar w:fldCharType="begin"/>
                    </w:r>
                    <w:r>
                      <w:rPr>
                        <w:noProof/>
                        <w:webHidden/>
                      </w:rPr>
                      <w:instrText xml:space="preserve"> PAGEREF _Toc18914536 \h </w:instrText>
                    </w:r>
                    <w:r>
                      <w:rPr>
                        <w:noProof/>
                        <w:webHidden/>
                      </w:rPr>
                    </w:r>
                    <w:r>
                      <w:rPr>
                        <w:noProof/>
                        <w:webHidden/>
                      </w:rPr>
                      <w:fldChar w:fldCharType="separate"/>
                    </w:r>
                    <w:r>
                      <w:rPr>
                        <w:noProof/>
                        <w:webHidden/>
                      </w:rPr>
                      <w:t>294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7" w:history="1">
                    <w:r>
                      <w:rPr>
                        <w:rStyle w:val="Lienhypertexte"/>
                        <w:noProof/>
                      </w:rPr>
                      <w:t>2. Modalités pratiques d’organisation des séjours pédagogiques avec nuitée(s)</w:t>
                    </w:r>
                    <w:r>
                      <w:rPr>
                        <w:noProof/>
                        <w:webHidden/>
                      </w:rPr>
                      <w:tab/>
                    </w:r>
                    <w:r>
                      <w:rPr>
                        <w:noProof/>
                        <w:webHidden/>
                      </w:rPr>
                      <w:fldChar w:fldCharType="begin"/>
                    </w:r>
                    <w:r>
                      <w:rPr>
                        <w:noProof/>
                        <w:webHidden/>
                      </w:rPr>
                      <w:instrText xml:space="preserve"> PAGEREF _Toc18914537 \h </w:instrText>
                    </w:r>
                    <w:r>
                      <w:rPr>
                        <w:noProof/>
                        <w:webHidden/>
                      </w:rPr>
                    </w:r>
                    <w:r>
                      <w:rPr>
                        <w:noProof/>
                        <w:webHidden/>
                      </w:rPr>
                      <w:fldChar w:fldCharType="separate"/>
                    </w:r>
                    <w:r>
                      <w:rPr>
                        <w:noProof/>
                        <w:webHidden/>
                      </w:rPr>
                      <w:t>297</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8" w:history="1">
                    <w:r>
                      <w:rPr>
                        <w:rStyle w:val="Lienhypertexte"/>
                        <w:noProof/>
                      </w:rPr>
                      <w:t>3.  Normes d’organisation</w:t>
                    </w:r>
                    <w:r>
                      <w:rPr>
                        <w:noProof/>
                        <w:webHidden/>
                      </w:rPr>
                      <w:tab/>
                    </w:r>
                    <w:r>
                      <w:rPr>
                        <w:noProof/>
                        <w:webHidden/>
                      </w:rPr>
                      <w:fldChar w:fldCharType="begin"/>
                    </w:r>
                    <w:r>
                      <w:rPr>
                        <w:noProof/>
                        <w:webHidden/>
                      </w:rPr>
                      <w:instrText xml:space="preserve"> PAGEREF _Toc18914538 \h </w:instrText>
                    </w:r>
                    <w:r>
                      <w:rPr>
                        <w:noProof/>
                        <w:webHidden/>
                      </w:rPr>
                    </w:r>
                    <w:r>
                      <w:rPr>
                        <w:noProof/>
                        <w:webHidden/>
                      </w:rPr>
                      <w:fldChar w:fldCharType="separate"/>
                    </w:r>
                    <w:r>
                      <w:rPr>
                        <w:noProof/>
                        <w:webHidden/>
                      </w:rPr>
                      <w:t>298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9" w:history="1">
                    <w:r>
                      <w:rPr>
                        <w:rStyle w:val="Lienhypertexte"/>
                        <w:noProof/>
                      </w:rPr>
                      <w:t>4. Procédure d’introduction des demandes</w:t>
                    </w:r>
                    <w:r>
                      <w:rPr>
                        <w:noProof/>
                        <w:webHidden/>
                      </w:rPr>
                      <w:tab/>
                    </w:r>
                    <w:r>
                      <w:rPr>
                        <w:noProof/>
                        <w:webHidden/>
                      </w:rPr>
                      <w:fldChar w:fldCharType="begin"/>
                    </w:r>
                    <w:r>
                      <w:rPr>
                        <w:noProof/>
                        <w:webHidden/>
                      </w:rPr>
                      <w:instrText xml:space="preserve"> PAGEREF _Toc18914539 \h </w:instrText>
                    </w:r>
                    <w:r>
                      <w:rPr>
                        <w:noProof/>
                        <w:webHidden/>
                      </w:rPr>
                    </w:r>
                    <w:r>
                      <w:rPr>
                        <w:noProof/>
                        <w:webHidden/>
                      </w:rPr>
                      <w:fldChar w:fldCharType="separate"/>
                    </w:r>
                    <w:r>
                      <w:rPr>
                        <w:noProof/>
                        <w:webHidden/>
                      </w:rPr>
                      <w:t>302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40" w:history="1">
                    <w:r>
                      <w:rPr>
                        <w:rStyle w:val="Lienhypertexte"/>
                        <w:noProof/>
                      </w:rPr>
                      <w:t>5. Dispositions diverses</w:t>
                    </w:r>
                    <w:r>
                      <w:rPr>
                        <w:noProof/>
                        <w:webHidden/>
                      </w:rPr>
                      <w:tab/>
                    </w:r>
                    <w:r>
                      <w:rPr>
                        <w:noProof/>
                        <w:webHidden/>
                      </w:rPr>
                      <w:fldChar w:fldCharType="begin"/>
                    </w:r>
                    <w:r>
                      <w:rPr>
                        <w:noProof/>
                        <w:webHidden/>
                      </w:rPr>
                      <w:instrText xml:space="preserve"> PAGEREF _Toc18914540 \h </w:instrText>
                    </w:r>
                    <w:r>
                      <w:rPr>
                        <w:noProof/>
                        <w:webHidden/>
                      </w:rPr>
                    </w:r>
                    <w:r>
                      <w:rPr>
                        <w:noProof/>
                        <w:webHidden/>
                      </w:rPr>
                      <w:fldChar w:fldCharType="separate"/>
                    </w:r>
                    <w:r>
                      <w:rPr>
                        <w:noProof/>
                        <w:webHidden/>
                      </w:rPr>
                      <w:t>303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41" w:history="1">
                    <w:r>
                      <w:rPr>
                        <w:rStyle w:val="Lienhypertexte"/>
                        <w:noProof/>
                      </w:rPr>
                      <w:t>6. Synthèse</w:t>
                    </w:r>
                    <w:r>
                      <w:rPr>
                        <w:noProof/>
                        <w:webHidden/>
                      </w:rPr>
                      <w:tab/>
                    </w:r>
                    <w:r>
                      <w:rPr>
                        <w:noProof/>
                        <w:webHidden/>
                      </w:rPr>
                      <w:fldChar w:fldCharType="begin"/>
                    </w:r>
                    <w:r>
                      <w:rPr>
                        <w:noProof/>
                        <w:webHidden/>
                      </w:rPr>
                      <w:instrText xml:space="preserve"> PAGEREF _Toc18914541 \h </w:instrText>
                    </w:r>
                    <w:r>
                      <w:rPr>
                        <w:noProof/>
                        <w:webHidden/>
                      </w:rPr>
                    </w:r>
                    <w:r>
                      <w:rPr>
                        <w:noProof/>
                        <w:webHidden/>
                      </w:rPr>
                      <w:fldChar w:fldCharType="separate"/>
                    </w:r>
                    <w:r>
                      <w:rPr>
                        <w:noProof/>
                        <w:webHidden/>
                      </w:rPr>
                      <w:t>305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42" w:history="1">
                    <w:r>
                      <w:rPr>
                        <w:rStyle w:val="Lienhypertexte"/>
                        <w:noProof/>
                      </w:rPr>
                      <w:t>7. Annexes</w:t>
                    </w:r>
                    <w:r>
                      <w:rPr>
                        <w:noProof/>
                        <w:webHidden/>
                      </w:rPr>
                      <w:tab/>
                    </w:r>
                    <w:r>
                      <w:rPr>
                        <w:noProof/>
                        <w:webHidden/>
                      </w:rPr>
                      <w:fldChar w:fldCharType="begin"/>
                    </w:r>
                    <w:r>
                      <w:rPr>
                        <w:noProof/>
                        <w:webHidden/>
                      </w:rPr>
                      <w:instrText xml:space="preserve"> PAGEREF _Toc18914542 \h </w:instrText>
                    </w:r>
                    <w:r>
                      <w:rPr>
                        <w:noProof/>
                        <w:webHidden/>
                      </w:rPr>
                    </w:r>
                    <w:r>
                      <w:rPr>
                        <w:noProof/>
                        <w:webHidden/>
                      </w:rPr>
                      <w:fldChar w:fldCharType="separate"/>
                    </w:r>
                    <w:r>
                      <w:rPr>
                        <w:noProof/>
                        <w:webHidden/>
                      </w:rPr>
                      <w:t>305</w:t>
                    </w:r>
                    <w:r>
                      <w:rPr>
                        <w:noProof/>
                        <w:webHidden/>
                      </w:rPr>
                      <w:fldChar w:fldCharType="end"/>
                    </w:r>
                  </w:hyperlink>
                </w:p>
                <w:p>
                  <w:pPr>
                    <w:pStyle w:val="TM1"/>
                    <w:tabs>
                      <w:tab w:val="right" w:leader="dot" w:pos="9344"/>
                    </w:tabs>
                    <w:rPr>
                      <w:rFonts w:asciiTheme="minorHAnsi" w:eastAsiaTheme="minorEastAsia" w:hAnsiTheme="minorHAnsi" w:cstheme="minorBidi"/>
                      <w:b w:val="0"/>
                      <w:bCs w:val="0"/>
                      <w:smallCaps w:val="0"/>
                      <w:noProof/>
                      <w:sz w:val="22"/>
                      <w:szCs w:val="22"/>
                      <w:lang w:eastAsia="fr-BE"/>
                    </w:rPr>
                  </w:pPr>
                  <w:hyperlink w:anchor="_Toc18914543" w:history="1">
                    <w:r>
                      <w:rPr>
                        <w:rStyle w:val="Lienhypertexte"/>
                        <w:noProof/>
                      </w:rPr>
                      <w:t>INDEX</w:t>
                    </w:r>
                    <w:r>
                      <w:rPr>
                        <w:noProof/>
                        <w:webHidden/>
                      </w:rPr>
                      <w:tab/>
                    </w:r>
                    <w:r>
                      <w:rPr>
                        <w:noProof/>
                        <w:webHidden/>
                      </w:rPr>
                      <w:fldChar w:fldCharType="begin"/>
                    </w:r>
                    <w:r>
                      <w:rPr>
                        <w:noProof/>
                        <w:webHidden/>
                      </w:rPr>
                      <w:instrText xml:space="preserve"> PAGEREF _Toc18914543 \h </w:instrText>
                    </w:r>
                    <w:r>
                      <w:rPr>
                        <w:noProof/>
                        <w:webHidden/>
                      </w:rPr>
                    </w:r>
                    <w:r>
                      <w:rPr>
                        <w:noProof/>
                        <w:webHidden/>
                      </w:rPr>
                      <w:fldChar w:fldCharType="separate"/>
                    </w:r>
                    <w:r>
                      <w:rPr>
                        <w:noProof/>
                        <w:webHidden/>
                      </w:rPr>
                      <w:t>310</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44" w:history="1">
                    <w:r>
                      <w:rPr>
                        <w:rStyle w:val="Lienhypertexte"/>
                        <w:noProof/>
                      </w:rPr>
                      <w:t>INDEX I : Les personnes-ressources de la Direction générale de l’Enseignement obligatoire pour les établissements d’Enseignement spécialisé</w:t>
                    </w:r>
                    <w:r>
                      <w:rPr>
                        <w:noProof/>
                        <w:webHidden/>
                      </w:rPr>
                      <w:tab/>
                    </w:r>
                    <w:r>
                      <w:rPr>
                        <w:noProof/>
                        <w:webHidden/>
                      </w:rPr>
                      <w:fldChar w:fldCharType="begin"/>
                    </w:r>
                    <w:r>
                      <w:rPr>
                        <w:noProof/>
                        <w:webHidden/>
                      </w:rPr>
                      <w:instrText xml:space="preserve"> PAGEREF _Toc18914544 \h </w:instrText>
                    </w:r>
                    <w:r>
                      <w:rPr>
                        <w:noProof/>
                        <w:webHidden/>
                      </w:rPr>
                    </w:r>
                    <w:r>
                      <w:rPr>
                        <w:noProof/>
                        <w:webHidden/>
                      </w:rPr>
                      <w:fldChar w:fldCharType="separate"/>
                    </w:r>
                    <w:r>
                      <w:rPr>
                        <w:noProof/>
                        <w:webHidden/>
                      </w:rPr>
                      <w:t>310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45" w:history="1">
                    <w:r>
                      <w:rPr>
                        <w:rStyle w:val="Lienhypertexte"/>
                        <w:noProof/>
                      </w:rPr>
                      <w:t>1. Direction générale de l’enseignement obligatoire</w:t>
                    </w:r>
                    <w:r>
                      <w:rPr>
                        <w:noProof/>
                        <w:webHidden/>
                      </w:rPr>
                      <w:tab/>
                    </w:r>
                    <w:r>
                      <w:rPr>
                        <w:noProof/>
                        <w:webHidden/>
                      </w:rPr>
                      <w:fldChar w:fldCharType="begin"/>
                    </w:r>
                    <w:r>
                      <w:rPr>
                        <w:noProof/>
                        <w:webHidden/>
                      </w:rPr>
                      <w:instrText xml:space="preserve"> PAGEREF _Toc18914545 \h </w:instrText>
                    </w:r>
                    <w:r>
                      <w:rPr>
                        <w:noProof/>
                        <w:webHidden/>
                      </w:rPr>
                    </w:r>
                    <w:r>
                      <w:rPr>
                        <w:noProof/>
                        <w:webHidden/>
                      </w:rPr>
                      <w:fldChar w:fldCharType="separate"/>
                    </w:r>
                    <w:r>
                      <w:rPr>
                        <w:noProof/>
                        <w:webHidden/>
                      </w:rPr>
                      <w:t>310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46" w:history="1">
                    <w:r>
                      <w:rPr>
                        <w:rStyle w:val="Lienhypertexte"/>
                        <w:noProof/>
                      </w:rPr>
                      <w:t>2. Service général de l’enseignement fondamental ordinaire et de l’enseignement spécialisé</w:t>
                    </w:r>
                    <w:r>
                      <w:rPr>
                        <w:noProof/>
                        <w:webHidden/>
                      </w:rPr>
                      <w:tab/>
                    </w:r>
                    <w:r>
                      <w:rPr>
                        <w:noProof/>
                        <w:webHidden/>
                      </w:rPr>
                      <w:fldChar w:fldCharType="begin"/>
                    </w:r>
                    <w:r>
                      <w:rPr>
                        <w:noProof/>
                        <w:webHidden/>
                      </w:rPr>
                      <w:instrText xml:space="preserve"> PAGEREF _Toc18914546 \h </w:instrText>
                    </w:r>
                    <w:r>
                      <w:rPr>
                        <w:noProof/>
                        <w:webHidden/>
                      </w:rPr>
                    </w:r>
                    <w:r>
                      <w:rPr>
                        <w:noProof/>
                        <w:webHidden/>
                      </w:rPr>
                      <w:fldChar w:fldCharType="separate"/>
                    </w:r>
                    <w:r>
                      <w:rPr>
                        <w:noProof/>
                        <w:webHidden/>
                      </w:rPr>
                      <w:t>310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47" w:history="1">
                    <w:r>
                      <w:rPr>
                        <w:rStyle w:val="Lienhypertexte"/>
                        <w:noProof/>
                      </w:rPr>
                      <w:t>3. Direction des Affaires générales et de l’Enseignement spécialisé</w:t>
                    </w:r>
                    <w:r>
                      <w:rPr>
                        <w:noProof/>
                        <w:webHidden/>
                      </w:rPr>
                      <w:tab/>
                    </w:r>
                    <w:r>
                      <w:rPr>
                        <w:noProof/>
                        <w:webHidden/>
                      </w:rPr>
                      <w:fldChar w:fldCharType="begin"/>
                    </w:r>
                    <w:r>
                      <w:rPr>
                        <w:noProof/>
                        <w:webHidden/>
                      </w:rPr>
                      <w:instrText xml:space="preserve"> PAGEREF _Toc18914547 \h </w:instrText>
                    </w:r>
                    <w:r>
                      <w:rPr>
                        <w:noProof/>
                        <w:webHidden/>
                      </w:rPr>
                    </w:r>
                    <w:r>
                      <w:rPr>
                        <w:noProof/>
                        <w:webHidden/>
                      </w:rPr>
                      <w:fldChar w:fldCharType="separate"/>
                    </w:r>
                    <w:r>
                      <w:rPr>
                        <w:noProof/>
                        <w:webHidden/>
                      </w:rPr>
                      <w:t>310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48" w:history="1">
                    <w:r>
                      <w:rPr>
                        <w:rStyle w:val="Lienhypertexte"/>
                        <w:noProof/>
                      </w:rPr>
                      <w:t>4. Matières traitées par les agent(e)s de la Direction des Affaires générales et de l’Enseignement spécialisé</w:t>
                    </w:r>
                    <w:r>
                      <w:rPr>
                        <w:noProof/>
                        <w:webHidden/>
                      </w:rPr>
                      <w:tab/>
                    </w:r>
                    <w:r>
                      <w:rPr>
                        <w:noProof/>
                        <w:webHidden/>
                      </w:rPr>
                      <w:fldChar w:fldCharType="begin"/>
                    </w:r>
                    <w:r>
                      <w:rPr>
                        <w:noProof/>
                        <w:webHidden/>
                      </w:rPr>
                      <w:instrText xml:space="preserve"> PAGEREF _Toc18914548 \h </w:instrText>
                    </w:r>
                    <w:r>
                      <w:rPr>
                        <w:noProof/>
                        <w:webHidden/>
                      </w:rPr>
                    </w:r>
                    <w:r>
                      <w:rPr>
                        <w:noProof/>
                        <w:webHidden/>
                      </w:rPr>
                      <w:fldChar w:fldCharType="separate"/>
                    </w:r>
                    <w:r>
                      <w:rPr>
                        <w:noProof/>
                        <w:webHidden/>
                      </w:rPr>
                      <w:t>311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49" w:history="1">
                    <w:r>
                      <w:rPr>
                        <w:rStyle w:val="Lienhypertexte"/>
                        <w:noProof/>
                      </w:rPr>
                      <w:t>5. Budget</w:t>
                    </w:r>
                    <w:r>
                      <w:rPr>
                        <w:noProof/>
                        <w:webHidden/>
                      </w:rPr>
                      <w:tab/>
                    </w:r>
                    <w:r>
                      <w:rPr>
                        <w:noProof/>
                        <w:webHidden/>
                      </w:rPr>
                      <w:fldChar w:fldCharType="begin"/>
                    </w:r>
                    <w:r>
                      <w:rPr>
                        <w:noProof/>
                        <w:webHidden/>
                      </w:rPr>
                      <w:instrText xml:space="preserve"> PAGEREF _Toc18914549 \h </w:instrText>
                    </w:r>
                    <w:r>
                      <w:rPr>
                        <w:noProof/>
                        <w:webHidden/>
                      </w:rPr>
                    </w:r>
                    <w:r>
                      <w:rPr>
                        <w:noProof/>
                        <w:webHidden/>
                      </w:rPr>
                      <w:fldChar w:fldCharType="separate"/>
                    </w:r>
                    <w:r>
                      <w:rPr>
                        <w:noProof/>
                        <w:webHidden/>
                      </w:rPr>
                      <w:t>312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50" w:history="1">
                    <w:r>
                      <w:rPr>
                        <w:rStyle w:val="Lienhypertexte"/>
                        <w:noProof/>
                      </w:rPr>
                      <w:t>6. Demandes de dérogation</w:t>
                    </w:r>
                    <w:r>
                      <w:rPr>
                        <w:noProof/>
                        <w:webHidden/>
                      </w:rPr>
                      <w:tab/>
                    </w:r>
                    <w:r>
                      <w:rPr>
                        <w:noProof/>
                        <w:webHidden/>
                      </w:rPr>
                      <w:fldChar w:fldCharType="begin"/>
                    </w:r>
                    <w:r>
                      <w:rPr>
                        <w:noProof/>
                        <w:webHidden/>
                      </w:rPr>
                      <w:instrText xml:space="preserve"> PAGEREF _Toc18914550 \h </w:instrText>
                    </w:r>
                    <w:r>
                      <w:rPr>
                        <w:noProof/>
                        <w:webHidden/>
                      </w:rPr>
                    </w:r>
                    <w:r>
                      <w:rPr>
                        <w:noProof/>
                        <w:webHidden/>
                      </w:rPr>
                      <w:fldChar w:fldCharType="separate"/>
                    </w:r>
                    <w:r>
                      <w:rPr>
                        <w:noProof/>
                        <w:webHidden/>
                      </w:rPr>
                      <w:t>312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51" w:history="1">
                    <w:r>
                      <w:rPr>
                        <w:rStyle w:val="Lienhypertexte"/>
                        <w:noProof/>
                      </w:rPr>
                      <w:t>7. Enseignement secondaire spécialisé</w:t>
                    </w:r>
                    <w:r>
                      <w:rPr>
                        <w:noProof/>
                        <w:webHidden/>
                      </w:rPr>
                      <w:tab/>
                    </w:r>
                    <w:r>
                      <w:rPr>
                        <w:noProof/>
                        <w:webHidden/>
                      </w:rPr>
                      <w:fldChar w:fldCharType="begin"/>
                    </w:r>
                    <w:r>
                      <w:rPr>
                        <w:noProof/>
                        <w:webHidden/>
                      </w:rPr>
                      <w:instrText xml:space="preserve"> PAGEREF _Toc18914551 \h </w:instrText>
                    </w:r>
                    <w:r>
                      <w:rPr>
                        <w:noProof/>
                        <w:webHidden/>
                      </w:rPr>
                    </w:r>
                    <w:r>
                      <w:rPr>
                        <w:noProof/>
                        <w:webHidden/>
                      </w:rPr>
                      <w:fldChar w:fldCharType="separate"/>
                    </w:r>
                    <w:r>
                      <w:rPr>
                        <w:noProof/>
                        <w:webHidden/>
                      </w:rPr>
                      <w:t>312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52" w:history="1">
                    <w:r>
                      <w:rPr>
                        <w:rStyle w:val="Lienhypertexte"/>
                        <w:noProof/>
                      </w:rPr>
                      <w:t>8. Gestion des écoles</w:t>
                    </w:r>
                    <w:r>
                      <w:rPr>
                        <w:noProof/>
                        <w:webHidden/>
                      </w:rPr>
                      <w:tab/>
                    </w:r>
                    <w:r>
                      <w:rPr>
                        <w:noProof/>
                        <w:webHidden/>
                      </w:rPr>
                      <w:fldChar w:fldCharType="begin"/>
                    </w:r>
                    <w:r>
                      <w:rPr>
                        <w:noProof/>
                        <w:webHidden/>
                      </w:rPr>
                      <w:instrText xml:space="preserve"> PAGEREF _Toc18914552 \h </w:instrText>
                    </w:r>
                    <w:r>
                      <w:rPr>
                        <w:noProof/>
                        <w:webHidden/>
                      </w:rPr>
                    </w:r>
                    <w:r>
                      <w:rPr>
                        <w:noProof/>
                        <w:webHidden/>
                      </w:rPr>
                      <w:fldChar w:fldCharType="separate"/>
                    </w:r>
                    <w:r>
                      <w:rPr>
                        <w:noProof/>
                        <w:webHidden/>
                      </w:rPr>
                      <w:t>313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53" w:history="1">
                    <w:r>
                      <w:rPr>
                        <w:rStyle w:val="Lienhypertexte"/>
                        <w:noProof/>
                      </w:rPr>
                      <w:t>9. Matières traitées par les directions transversales à la Direction générale de l’Enseignement obligatoire</w:t>
                    </w:r>
                    <w:r>
                      <w:rPr>
                        <w:noProof/>
                        <w:webHidden/>
                      </w:rPr>
                      <w:tab/>
                    </w:r>
                    <w:r>
                      <w:rPr>
                        <w:noProof/>
                        <w:webHidden/>
                      </w:rPr>
                      <w:fldChar w:fldCharType="begin"/>
                    </w:r>
                    <w:r>
                      <w:rPr>
                        <w:noProof/>
                        <w:webHidden/>
                      </w:rPr>
                      <w:instrText xml:space="preserve"> PAGEREF _Toc18914553 \h </w:instrText>
                    </w:r>
                    <w:r>
                      <w:rPr>
                        <w:noProof/>
                        <w:webHidden/>
                      </w:rPr>
                    </w:r>
                    <w:r>
                      <w:rPr>
                        <w:noProof/>
                        <w:webHidden/>
                      </w:rPr>
                      <w:fldChar w:fldCharType="separate"/>
                    </w:r>
                    <w:r>
                      <w:rPr>
                        <w:noProof/>
                        <w:webHidden/>
                      </w:rPr>
                      <w:t>313</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54" w:history="1">
                    <w:r>
                      <w:rPr>
                        <w:rStyle w:val="Lienhypertexte"/>
                        <w:noProof/>
                      </w:rPr>
                      <w:t>INDEX II : Aide-mémoire des documents à envoyer par le chef d’établissement d’Enseignement spécialisé</w:t>
                    </w:r>
                    <w:r>
                      <w:rPr>
                        <w:noProof/>
                        <w:webHidden/>
                      </w:rPr>
                      <w:tab/>
                    </w:r>
                    <w:r>
                      <w:rPr>
                        <w:noProof/>
                        <w:webHidden/>
                      </w:rPr>
                      <w:fldChar w:fldCharType="begin"/>
                    </w:r>
                    <w:r>
                      <w:rPr>
                        <w:noProof/>
                        <w:webHidden/>
                      </w:rPr>
                      <w:instrText xml:space="preserve"> PAGEREF _Toc18914554 \h </w:instrText>
                    </w:r>
                    <w:r>
                      <w:rPr>
                        <w:noProof/>
                        <w:webHidden/>
                      </w:rPr>
                    </w:r>
                    <w:r>
                      <w:rPr>
                        <w:noProof/>
                        <w:webHidden/>
                      </w:rPr>
                      <w:fldChar w:fldCharType="separate"/>
                    </w:r>
                    <w:r>
                      <w:rPr>
                        <w:noProof/>
                        <w:webHidden/>
                      </w:rPr>
                      <w:t>315</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55" w:history="1">
                    <w:r>
                      <w:rPr>
                        <w:rStyle w:val="Lienhypertexte"/>
                        <w:noProof/>
                      </w:rPr>
                      <w:t>INDEX III : Lien avec d’autres circulaires</w:t>
                    </w:r>
                    <w:r>
                      <w:rPr>
                        <w:noProof/>
                        <w:webHidden/>
                      </w:rPr>
                      <w:tab/>
                    </w:r>
                    <w:r>
                      <w:rPr>
                        <w:noProof/>
                        <w:webHidden/>
                      </w:rPr>
                      <w:fldChar w:fldCharType="begin"/>
                    </w:r>
                    <w:r>
                      <w:rPr>
                        <w:noProof/>
                        <w:webHidden/>
                      </w:rPr>
                      <w:instrText xml:space="preserve"> PAGEREF _Toc18914555 \h </w:instrText>
                    </w:r>
                    <w:r>
                      <w:rPr>
                        <w:noProof/>
                        <w:webHidden/>
                      </w:rPr>
                    </w:r>
                    <w:r>
                      <w:rPr>
                        <w:noProof/>
                        <w:webHidden/>
                      </w:rPr>
                      <w:fldChar w:fldCharType="separate"/>
                    </w:r>
                    <w:r>
                      <w:rPr>
                        <w:noProof/>
                        <w:webHidden/>
                      </w:rPr>
                      <w:t>317</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56" w:history="1">
                    <w:r>
                      <w:rPr>
                        <w:rStyle w:val="Lienhypertexte"/>
                        <w:noProof/>
                      </w:rPr>
                      <w:t>INDEX IV : Schéma de principe du processus administratif</w:t>
                    </w:r>
                    <w:r>
                      <w:rPr>
                        <w:noProof/>
                        <w:webHidden/>
                      </w:rPr>
                      <w:tab/>
                    </w:r>
                    <w:r>
                      <w:rPr>
                        <w:noProof/>
                        <w:webHidden/>
                      </w:rPr>
                      <w:fldChar w:fldCharType="begin"/>
                    </w:r>
                    <w:r>
                      <w:rPr>
                        <w:noProof/>
                        <w:webHidden/>
                      </w:rPr>
                      <w:instrText xml:space="preserve"> PAGEREF _Toc18914556 \h </w:instrText>
                    </w:r>
                    <w:r>
                      <w:rPr>
                        <w:noProof/>
                        <w:webHidden/>
                      </w:rPr>
                    </w:r>
                    <w:r>
                      <w:rPr>
                        <w:noProof/>
                        <w:webHidden/>
                      </w:rPr>
                      <w:fldChar w:fldCharType="separate"/>
                    </w:r>
                    <w:r>
                      <w:rPr>
                        <w:noProof/>
                        <w:webHidden/>
                      </w:rPr>
                      <w:t>319</w:t>
                    </w:r>
                    <w:r>
                      <w:rPr>
                        <w:noProof/>
                        <w:webHidden/>
                      </w:rPr>
                      <w:fldChar w:fldCharType="end"/>
                    </w:r>
                  </w:hyperlink>
                </w:p>
                <w:p>
                  <w:pPr>
                    <w:rPr>
                      <w:lang w:eastAsia="fr-BE"/>
                    </w:rPr>
                  </w:pPr>
                  <w:r>
                    <w:rPr>
                      <w:noProof/>
                    </w:rPr>
                    <w:fldChar w:fldCharType="end"/>
                  </w:r>
                  <w:r>
                    <w:rPr>
                      <w:noProof/>
                    </w:rPr>
                    <w:t xml:space="preserve"> </w:t>
                  </w:r>
                  <w:bookmarkStart w:id="7" w:name="_Toc477623557"/>
                  <w:bookmarkStart w:id="8" w:name="_Toc477767238"/>
                </w:p>
                <w:p>
                  <w:pPr>
                    <w:rPr>
                      <w:rFonts w:eastAsiaTheme="minorEastAsia"/>
                      <w:b/>
                      <w:smallCaps/>
                      <w:sz w:val="44"/>
                      <w:lang w:eastAsia="fr-BE"/>
                    </w:rPr>
                  </w:pPr>
                  <w:bookmarkStart w:id="9" w:name="_Chapitre_1_:"/>
                  <w:bookmarkEnd w:id="9"/>
                  <w:r>
                    <w:br w:type="page"/>
                  </w:r>
                </w:p>
                <w:p>
                  <w:pPr>
                    <w:pStyle w:val="Titre2"/>
                  </w:pPr>
                  <w:bookmarkStart w:id="10" w:name="_Toc18914411"/>
                  <w:r>
                    <w:t>Chapitre</w:t>
                  </w:r>
                  <w:bookmarkEnd w:id="7"/>
                  <w:bookmarkEnd w:id="8"/>
                  <w:r>
                    <w:t xml:space="preserve"> 1 :</w:t>
                  </w:r>
                  <w:bookmarkStart w:id="11" w:name="_Toc477623558"/>
                  <w:bookmarkStart w:id="12" w:name="_Toc477767239"/>
                  <w:r>
                    <w:t xml:space="preserve"> Obligation scolaire, inscription des élèves, fréquentation scolaire, sanctions disciplinaires et gratuité dans l’enseignement fondamental spécialisé organisé et subventionné par la Fédération Wallonie-Bruxelles.</w:t>
                  </w:r>
                  <w:bookmarkEnd w:id="11"/>
                  <w:bookmarkEnd w:id="12"/>
                  <w:bookmarkEnd w:id="10"/>
                </w:p>
                <w:p>
                  <w:pPr>
                    <w:rPr>
                      <w:rFonts w:eastAsiaTheme="minorEastAsia"/>
                      <w:lang w:eastAsia="fr-BE"/>
                    </w:rPr>
                  </w:pPr>
                </w:p>
                <w:p>
                  <w:pPr>
                    <w:rPr>
                      <w:rFonts w:eastAsiaTheme="minorEastAsia"/>
                      <w:lang w:eastAsia="fr-BE"/>
                    </w:rPr>
                  </w:pPr>
                </w:p>
                <w:p>
                  <w:pPr>
                    <w:rPr>
                      <w:rFonts w:eastAsiaTheme="minorEastAsia"/>
                      <w:lang w:eastAsia="fr-BE"/>
                    </w:rPr>
                  </w:pPr>
                </w:p>
                <w:p>
                  <w:pPr>
                    <w:pStyle w:val="Titre3"/>
                  </w:pPr>
                  <w:bookmarkStart w:id="13" w:name="__RefHeading__319_957262308"/>
                  <w:bookmarkStart w:id="14" w:name="_Toc291075468"/>
                  <w:bookmarkStart w:id="15" w:name="_Toc291075892"/>
                  <w:bookmarkStart w:id="16" w:name="_Toc291076316"/>
                  <w:bookmarkStart w:id="17" w:name="_Toc291076740"/>
                  <w:bookmarkStart w:id="18" w:name="_Toc291077164"/>
                  <w:bookmarkStart w:id="19" w:name="_Toc293652007"/>
                  <w:bookmarkStart w:id="20" w:name="_Toc293653589"/>
                  <w:bookmarkStart w:id="21" w:name="_Toc293654200"/>
                  <w:bookmarkStart w:id="22" w:name="_Toc294004780"/>
                  <w:bookmarkStart w:id="23" w:name="_Toc294185276"/>
                  <w:bookmarkStart w:id="24" w:name="_Toc324767142"/>
                  <w:bookmarkStart w:id="25" w:name="_Toc414352884"/>
                  <w:bookmarkStart w:id="26" w:name="_Toc453836907"/>
                  <w:bookmarkStart w:id="27" w:name="_Toc18914412"/>
                  <w:bookmarkEnd w:id="13"/>
                  <w:r>
                    <w:t>1. Consignes</w:t>
                  </w:r>
                  <w:bookmarkEnd w:id="14"/>
                  <w:bookmarkEnd w:id="15"/>
                  <w:bookmarkEnd w:id="16"/>
                  <w:bookmarkEnd w:id="17"/>
                  <w:bookmarkEnd w:id="18"/>
                  <w:bookmarkEnd w:id="19"/>
                  <w:bookmarkEnd w:id="20"/>
                  <w:bookmarkEnd w:id="21"/>
                  <w:bookmarkEnd w:id="22"/>
                  <w:bookmarkEnd w:id="23"/>
                  <w:bookmarkEnd w:id="24"/>
                  <w:bookmarkEnd w:id="25"/>
                  <w:bookmarkEnd w:id="26"/>
                  <w:bookmarkEnd w:id="27"/>
                </w:p>
                <w:p>
                  <w:bookmarkStart w:id="28" w:name="_Toc291075469"/>
                  <w:bookmarkStart w:id="29" w:name="_Toc291075893"/>
                  <w:bookmarkStart w:id="30" w:name="_Toc291076317"/>
                  <w:bookmarkStart w:id="31" w:name="_Toc291076741"/>
                  <w:bookmarkStart w:id="32" w:name="_Toc291077165"/>
                  <w:bookmarkStart w:id="33" w:name="_Toc293652008"/>
                  <w:bookmarkStart w:id="34" w:name="_Toc293653590"/>
                  <w:bookmarkStart w:id="35" w:name="_Toc293654201"/>
                  <w:bookmarkStart w:id="36" w:name="_Toc294004781"/>
                  <w:bookmarkStart w:id="37" w:name="_Toc294185277"/>
                  <w:bookmarkStart w:id="38" w:name="_Toc324767143"/>
                  <w:bookmarkStart w:id="39" w:name="_Toc414352885"/>
                  <w:bookmarkStart w:id="40" w:name="_Toc453836908"/>
                </w:p>
                <w:p>
                  <w:pPr>
                    <w:pStyle w:val="Titre4"/>
                  </w:pPr>
                  <w:r>
                    <w:t>1.1. Inscriptions</w:t>
                  </w:r>
                  <w:bookmarkEnd w:id="28"/>
                  <w:bookmarkEnd w:id="29"/>
                  <w:bookmarkEnd w:id="30"/>
                  <w:bookmarkEnd w:id="31"/>
                  <w:bookmarkEnd w:id="32"/>
                  <w:bookmarkEnd w:id="33"/>
                  <w:bookmarkEnd w:id="34"/>
                  <w:bookmarkEnd w:id="35"/>
                  <w:bookmarkEnd w:id="36"/>
                  <w:bookmarkEnd w:id="37"/>
                  <w:bookmarkEnd w:id="38"/>
                  <w:bookmarkEnd w:id="39"/>
                  <w:bookmarkEnd w:id="40"/>
                </w:p>
                <w:p>
                  <w:pPr>
                    <w:rPr>
                      <w:b/>
                      <w:u w:val="single"/>
                    </w:rPr>
                  </w:pPr>
                  <w:bookmarkStart w:id="41" w:name="_1.1.1._Règles_de"/>
                  <w:bookmarkStart w:id="42" w:name="_Toc291075470"/>
                  <w:bookmarkStart w:id="43" w:name="_Toc291075894"/>
                  <w:bookmarkStart w:id="44" w:name="_Toc291076318"/>
                  <w:bookmarkStart w:id="45" w:name="_Toc291076742"/>
                  <w:bookmarkStart w:id="46" w:name="_Toc291077166"/>
                  <w:bookmarkStart w:id="47" w:name="_Toc293652009"/>
                  <w:bookmarkStart w:id="48" w:name="_Toc293653591"/>
                  <w:bookmarkStart w:id="49" w:name="_Toc293654202"/>
                  <w:bookmarkStart w:id="50" w:name="_Toc294004782"/>
                  <w:bookmarkStart w:id="51" w:name="_Toc294185278"/>
                  <w:bookmarkStart w:id="52" w:name="_Toc324767144"/>
                  <w:bookmarkStart w:id="53" w:name="_Toc324768002"/>
                  <w:bookmarkEnd w:id="41"/>
                </w:p>
                <w:p>
                  <w:pPr>
                    <w:pStyle w:val="Titre5"/>
                  </w:pPr>
                  <w:bookmarkStart w:id="54" w:name="_1.1.1._Règles_de_1"/>
                  <w:bookmarkEnd w:id="54"/>
                  <w:r>
                    <w:t>1.1.1. Règles de base</w:t>
                  </w:r>
                  <w:bookmarkEnd w:id="42"/>
                  <w:bookmarkEnd w:id="43"/>
                  <w:bookmarkEnd w:id="44"/>
                  <w:bookmarkEnd w:id="45"/>
                  <w:bookmarkEnd w:id="46"/>
                  <w:bookmarkEnd w:id="47"/>
                  <w:bookmarkEnd w:id="48"/>
                  <w:bookmarkEnd w:id="49"/>
                  <w:bookmarkEnd w:id="50"/>
                  <w:bookmarkEnd w:id="51"/>
                  <w:bookmarkEnd w:id="52"/>
                  <w:bookmarkEnd w:id="53"/>
                </w:p>
                <w:p>
                  <w:pPr>
                    <w:rPr>
                      <w:rFonts w:cs="Arial"/>
                    </w:rPr>
                  </w:pPr>
                </w:p>
                <w:p>
                  <w:pPr>
                    <w:jc w:val="both"/>
                    <w:rPr>
                      <w:rFonts w:cs="Arial"/>
                    </w:rPr>
                  </w:pPr>
                  <w:r>
                    <w:rPr>
                      <w:rFonts w:cs="Arial"/>
                    </w:rPr>
                    <w:t>Les parents ou la personne investie de l'autorité parentale ont la liberté d'envoyer leurs enfants dans l'école qu'ils choisissent et il est interdit d'user à leur égard d'aucun moyen de pression pour leur imposer une école qui ne serait pas celle de leur choix</w:t>
                  </w:r>
                  <w:r>
                    <w:rPr>
                      <w:rStyle w:val="Appelnotedebasdep1"/>
                    </w:rPr>
                    <w:footnoteReference w:id="1"/>
                  </w:r>
                  <w:r>
                    <w:rPr>
                      <w:rFonts w:cs="Arial"/>
                    </w:rPr>
                    <w:t>.</w:t>
                  </w:r>
                </w:p>
                <w:p>
                  <w:pPr>
                    <w:rPr>
                      <w:rFonts w:cs="Arial"/>
                    </w:rPr>
                  </w:pPr>
                </w:p>
                <w:p>
                  <w:pPr>
                    <w:jc w:val="both"/>
                    <w:rPr>
                      <w:rFonts w:cs="Arial"/>
                    </w:rPr>
                  </w:pPr>
                  <w:r>
                    <w:rPr>
                      <w:rFonts w:cs="Arial"/>
                    </w:rPr>
                    <w:t>Par l’inscription dans une école, l’élève et ses parents ou la personne investie de l’autorité parentale en acceptent le projet éducatif, le projet pédagogique, le projet d’établissement, le règlement des études et le règlement d’ordre intérieur. Préalablement à l'inscription, le chef d'établissement communique ces documents aux parents ou à la personne investie de l'autorité parentale.</w:t>
                  </w:r>
                </w:p>
                <w:p>
                  <w:pPr>
                    <w:rPr>
                      <w:rFonts w:cs="Arial"/>
                    </w:rPr>
                  </w:pPr>
                </w:p>
                <w:p>
                  <w:pPr>
                    <w:jc w:val="both"/>
                    <w:rPr>
                      <w:rFonts w:cs="Arial"/>
                    </w:rPr>
                  </w:pPr>
                  <w:r>
                    <w:rPr>
                      <w:rFonts w:cs="Arial"/>
                    </w:rPr>
                    <w:t>Tout élève mineur est réputé être réinscrit d’année en année dans le même établissement tant que ses parents ou la personne investie de l’autorité parentale ne notifient pas par écrit leur décision de le désinscrire</w:t>
                  </w:r>
                  <w:r>
                    <w:rPr>
                      <w:rStyle w:val="Appelnotedebasdep"/>
                    </w:rPr>
                    <w:footnoteReference w:id="2"/>
                  </w:r>
                  <w:r>
                    <w:rPr>
                      <w:rFonts w:cs="Arial"/>
                    </w:rPr>
                    <w:t>.</w:t>
                  </w:r>
                </w:p>
                <w:p>
                  <w:pPr>
                    <w:rPr>
                      <w:rFonts w:cs="Arial"/>
                    </w:rPr>
                  </w:pPr>
                </w:p>
                <w:p>
                  <w:pPr>
                    <w:pStyle w:val="Corpsdetexte21"/>
                    <w:pBdr>
                      <w:top w:val="single" w:sz="4" w:space="1" w:color="000000"/>
                      <w:left w:val="single" w:sz="4" w:space="4" w:color="000000"/>
                      <w:bottom w:val="single" w:sz="4" w:space="1" w:color="000000"/>
                      <w:right w:val="single" w:sz="4" w:space="4" w:color="000000"/>
                    </w:pBdr>
                    <w:rPr>
                      <w:rFonts w:asciiTheme="majorHAnsi" w:hAnsiTheme="majorHAnsi"/>
                      <w:b/>
                      <w:sz w:val="22"/>
                      <w:szCs w:val="22"/>
                    </w:rPr>
                  </w:pPr>
                  <w:r>
                    <w:rPr>
                      <w:rFonts w:asciiTheme="majorHAnsi" w:hAnsiTheme="majorHAnsi"/>
                      <w:b/>
                      <w:sz w:val="22"/>
                      <w:szCs w:val="22"/>
                      <w:u w:val="single"/>
                    </w:rPr>
                    <w:t>Remarque</w:t>
                  </w:r>
                  <w:r>
                    <w:rPr>
                      <w:rFonts w:asciiTheme="majorHAnsi" w:hAnsiTheme="majorHAnsi"/>
                      <w:b/>
                      <w:sz w:val="22"/>
                      <w:szCs w:val="22"/>
                    </w:rPr>
                    <w:t xml:space="preserve"> : </w:t>
                  </w:r>
                  <w:r>
                    <w:rPr>
                      <w:rFonts w:asciiTheme="majorHAnsi" w:hAnsiTheme="majorHAnsi"/>
                      <w:sz w:val="22"/>
                      <w:szCs w:val="22"/>
                    </w:rPr>
                    <w:t>en application des règles du code civil, un parent peut inscrire seul un mineur dans un établissement scolaire car chaque parent agissant seul est réputé agir avec l’accord de l’autre à l’égard des tiers de bonne foi</w:t>
                  </w:r>
                  <w:r>
                    <w:rPr>
                      <w:rStyle w:val="Appelnotedebasdep"/>
                      <w:rFonts w:asciiTheme="majorHAnsi" w:hAnsiTheme="majorHAnsi"/>
                      <w:sz w:val="22"/>
                      <w:szCs w:val="22"/>
                    </w:rPr>
                    <w:footnoteReference w:id="3"/>
                  </w:r>
                  <w:r>
                    <w:rPr>
                      <w:rFonts w:asciiTheme="majorHAnsi" w:hAnsiTheme="majorHAnsi"/>
                      <w:sz w:val="22"/>
                      <w:szCs w:val="22"/>
                    </w:rPr>
                    <w:t>. (En l’occurrence, le chef d’établissement qui ignore qu’il existe un désaccord entre les parents quant au choix de l’établissement scolaire).</w:t>
                  </w:r>
                </w:p>
                <w:p>
                  <w:pPr>
                    <w:rPr>
                      <w:rFonts w:cs="Arial"/>
                    </w:rPr>
                  </w:pPr>
                </w:p>
                <w:p>
                  <w:pPr>
                    <w:pBdr>
                      <w:right w:val="single" w:sz="4" w:space="4" w:color="auto"/>
                    </w:pBdr>
                    <w:rPr>
                      <w:rFonts w:cs="Arial"/>
                      <w:b/>
                    </w:rPr>
                  </w:pPr>
                  <w:r>
                    <w:rPr>
                      <w:rFonts w:cs="Arial"/>
                      <w:b/>
                    </w:rPr>
                    <w:t>Dans l’enseignement spécialisé, l’inscription est reçue toute l’année</w:t>
                  </w:r>
                  <w:r>
                    <w:rPr>
                      <w:rStyle w:val="Appelnotedebasdep"/>
                      <w:b/>
                    </w:rPr>
                    <w:footnoteReference w:id="4"/>
                  </w:r>
                  <w:r>
                    <w:rPr>
                      <w:rFonts w:cs="Arial"/>
                      <w:b/>
                    </w:rPr>
                    <w:t>.</w:t>
                  </w:r>
                </w:p>
                <w:p>
                  <w:pPr>
                    <w:pBdr>
                      <w:right w:val="single" w:sz="4" w:space="4" w:color="auto"/>
                    </w:pBdr>
                    <w:rPr>
                      <w:rFonts w:cs="Arial"/>
                      <w:b/>
                    </w:rPr>
                  </w:pPr>
                </w:p>
                <w:p>
                  <w:pPr>
                    <w:pStyle w:val="Notedebasdepage"/>
                    <w:framePr w:wrap="around"/>
                  </w:pPr>
                </w:p>
                <w:p>
                  <w:pPr>
                    <w:pStyle w:val="Titre5"/>
                  </w:pPr>
                  <w:bookmarkStart w:id="55" w:name="_1.1.2._Rapport_d’inscription"/>
                  <w:bookmarkStart w:id="56" w:name="_Toc291075471"/>
                  <w:bookmarkStart w:id="57" w:name="_Toc291075895"/>
                  <w:bookmarkStart w:id="58" w:name="_Toc291076319"/>
                  <w:bookmarkStart w:id="59" w:name="_Toc291076743"/>
                  <w:bookmarkStart w:id="60" w:name="_Toc291077167"/>
                  <w:bookmarkStart w:id="61" w:name="_Toc293652010"/>
                  <w:bookmarkStart w:id="62" w:name="_Toc293653592"/>
                  <w:bookmarkStart w:id="63" w:name="_Toc293654203"/>
                  <w:bookmarkStart w:id="64" w:name="_Toc294004783"/>
                  <w:bookmarkStart w:id="65" w:name="_Toc294185279"/>
                  <w:bookmarkStart w:id="66" w:name="_Toc324767145"/>
                  <w:bookmarkStart w:id="67" w:name="_Toc324768003"/>
                  <w:bookmarkEnd w:id="55"/>
                  <w:r>
                    <w:t>1.1.2. Rapport d’inscription</w:t>
                  </w:r>
                  <w:bookmarkEnd w:id="56"/>
                  <w:bookmarkEnd w:id="57"/>
                  <w:bookmarkEnd w:id="58"/>
                  <w:bookmarkEnd w:id="59"/>
                  <w:bookmarkEnd w:id="60"/>
                  <w:bookmarkEnd w:id="61"/>
                  <w:bookmarkEnd w:id="62"/>
                  <w:bookmarkEnd w:id="63"/>
                  <w:bookmarkEnd w:id="64"/>
                  <w:bookmarkEnd w:id="65"/>
                  <w:bookmarkEnd w:id="66"/>
                  <w:bookmarkEnd w:id="67"/>
                </w:p>
                <w:p>
                  <w:pPr>
                    <w:rPr>
                      <w:rFonts w:cs="Arial"/>
                    </w:rPr>
                  </w:pPr>
                </w:p>
                <w:p>
                  <w:pPr>
                    <w:pStyle w:val="Corpsdetexte31"/>
                    <w:spacing w:line="240" w:lineRule="auto"/>
                    <w:jc w:val="both"/>
                    <w:rPr>
                      <w:rFonts w:asciiTheme="majorHAnsi" w:hAnsiTheme="majorHAnsi"/>
                      <w:szCs w:val="22"/>
                    </w:rPr>
                  </w:pPr>
                  <w:r>
                    <w:rPr>
                      <w:rFonts w:asciiTheme="majorHAnsi" w:hAnsiTheme="majorHAnsi"/>
                      <w:szCs w:val="22"/>
                    </w:rPr>
                    <w:t>L'inscription des enfants et des adolescents dans un établissement d’enseignement, une école ou un institut d'enseignement spécialisé est subordonnée à la production d'un rapport précisant le niveau et le type d'enseignement spécialisé qui correspond aux besoins de l'élève et qui est dispensé dans cet établissement.</w:t>
                  </w:r>
                </w:p>
                <w:p>
                  <w:pPr>
                    <w:pStyle w:val="Corpsdetexte31"/>
                    <w:spacing w:line="240" w:lineRule="auto"/>
                    <w:jc w:val="both"/>
                    <w:rPr>
                      <w:rFonts w:asciiTheme="majorHAnsi" w:hAnsiTheme="majorHAnsi"/>
                      <w:szCs w:val="22"/>
                    </w:rPr>
                  </w:pPr>
                </w:p>
                <w:p>
                  <w:pPr>
                    <w:pStyle w:val="Corpsdetexte31"/>
                    <w:spacing w:line="240" w:lineRule="auto"/>
                    <w:jc w:val="both"/>
                    <w:rPr>
                      <w:rFonts w:asciiTheme="majorHAnsi" w:hAnsiTheme="majorHAnsi"/>
                      <w:b w:val="0"/>
                      <w:szCs w:val="22"/>
                      <w:u w:val="none"/>
                    </w:rPr>
                  </w:pPr>
                  <w:r>
                    <w:rPr>
                      <w:rFonts w:asciiTheme="majorHAnsi" w:hAnsiTheme="majorHAnsi"/>
                      <w:b w:val="0"/>
                      <w:szCs w:val="22"/>
                      <w:u w:val="none"/>
                    </w:rPr>
                    <w:t xml:space="preserve">Toutefois, le gouvernement, sur proposition du Conseil Général de l’Enseignement Fondamental, peut autoriser dans le cadre d’une intégration, l’inscription d’un élève relevant de l’enseignement spécialisé dans une école organisant un autre type d’enseignement spécialisé que celui mentionné sur l’attestation d’orientation de l’élève lorsqu’une offre d’enseignement spécialisé est disponible à une distance raisonnable et qu’un ou plusieurs partenaires de l’intégration refuse de participer à l’intégration. </w:t>
                  </w:r>
                </w:p>
                <w:p>
                  <w:pPr>
                    <w:pStyle w:val="Corpsdetexte31"/>
                    <w:spacing w:line="240" w:lineRule="auto"/>
                    <w:jc w:val="both"/>
                    <w:rPr>
                      <w:rFonts w:asciiTheme="majorHAnsi" w:hAnsiTheme="majorHAnsi"/>
                      <w:b w:val="0"/>
                      <w:szCs w:val="22"/>
                      <w:u w:val="none"/>
                    </w:rPr>
                  </w:pPr>
                  <w:r>
                    <w:rPr>
                      <w:rFonts w:asciiTheme="majorHAnsi" w:hAnsiTheme="majorHAnsi"/>
                      <w:b w:val="0"/>
                      <w:szCs w:val="22"/>
                      <w:u w:val="none"/>
                    </w:rPr>
                    <w:t>De même, le gouvernement, sur proposition du conseil général, peut accorder une même dérogation lorsqu’aucune offre d’enseignement spécialisé n’est disponible à une distance raisonnable.</w:t>
                  </w:r>
                </w:p>
                <w:p>
                  <w:pPr>
                    <w:rPr>
                      <w:rFonts w:cs="Arial"/>
                    </w:rPr>
                  </w:pPr>
                </w:p>
                <w:p>
                  <w:pPr>
                    <w:jc w:val="both"/>
                    <w:rPr>
                      <w:rFonts w:cs="Arial"/>
                    </w:rPr>
                  </w:pPr>
                  <w:r>
                    <w:rPr>
                      <w:rFonts w:cs="Arial"/>
                    </w:rPr>
                    <w:t>Ce rapport est réalisé par un CPMS ou un autre organisme agréé ou, pour les types 6 et 7, par un médecin spécialiste. Pour le type 5, le rapport est effectué par un pédiatre ou par un médecin référent du service pédiatrie de l’établissement de soins ou de l’institution médico-social reconnue par les pouvoirs publics.</w:t>
                  </w:r>
                </w:p>
                <w:p>
                  <w:pPr>
                    <w:rPr>
                      <w:rFonts w:cs="Arial"/>
                    </w:rPr>
                  </w:pPr>
                </w:p>
                <w:p>
                  <w:pPr>
                    <w:rPr>
                      <w:rFonts w:cs="Arial"/>
                    </w:rPr>
                  </w:pPr>
                  <w:r>
                    <w:rPr>
                      <w:rFonts w:cs="Arial"/>
                    </w:rPr>
                    <w:t>Le rapport comprend :</w:t>
                  </w:r>
                </w:p>
                <w:p>
                  <w:pPr>
                    <w:rPr>
                      <w:rFonts w:cs="Arial"/>
                    </w:rPr>
                  </w:pPr>
                </w:p>
                <w:p>
                  <w:pPr>
                    <w:numPr>
                      <w:ilvl w:val="0"/>
                      <w:numId w:val="83"/>
                    </w:numPr>
                    <w:suppressAutoHyphens/>
                    <w:ind w:left="0" w:firstLine="0"/>
                    <w:rPr>
                      <w:rFonts w:cs="Arial"/>
                    </w:rPr>
                  </w:pPr>
                  <w:r>
                    <w:rPr>
                      <w:rFonts w:cs="Arial"/>
                    </w:rPr>
                    <w:t>l’attestation précisant le type d’enseignement,</w:t>
                  </w:r>
                </w:p>
                <w:p>
                  <w:pPr>
                    <w:numPr>
                      <w:ilvl w:val="0"/>
                      <w:numId w:val="83"/>
                    </w:numPr>
                    <w:suppressAutoHyphens/>
                    <w:ind w:left="0" w:firstLine="0"/>
                    <w:rPr>
                      <w:rFonts w:cs="Arial"/>
                    </w:rPr>
                  </w:pPr>
                  <w:r>
                    <w:rPr>
                      <w:rFonts w:cs="Arial"/>
                    </w:rPr>
                    <w:t>le protocole justificatif</w:t>
                  </w:r>
                  <w:r>
                    <w:rPr>
                      <w:rStyle w:val="Caractresdenotedebasdepage"/>
                      <w:rFonts w:cs="Arial"/>
                    </w:rPr>
                    <w:footnoteReference w:id="5"/>
                  </w:r>
                  <w:r>
                    <w:rPr>
                      <w:rFonts w:cs="Arial"/>
                    </w:rPr>
                    <w:t>.</w:t>
                  </w:r>
                </w:p>
                <w:p>
                  <w:pPr>
                    <w:suppressAutoHyphens/>
                    <w:rPr>
                      <w:rFonts w:cs="Arial"/>
                    </w:rPr>
                  </w:pPr>
                </w:p>
                <w:p>
                  <w:pPr>
                    <w:jc w:val="both"/>
                    <w:rPr>
                      <w:rFonts w:cs="Arial"/>
                    </w:rPr>
                  </w:pPr>
                  <w:r>
                    <w:rPr>
                      <w:rFonts w:cs="Arial"/>
                    </w:rPr>
                    <w:t>Au moment où l'élève quitte l'établissement d'enseignement spécialisé, l'attestation est restituée au chef de famille à sa demande.</w:t>
                  </w:r>
                </w:p>
                <w:p>
                  <w:pPr>
                    <w:jc w:val="both"/>
                    <w:rPr>
                      <w:rFonts w:cs="Arial"/>
                    </w:rPr>
                  </w:pPr>
                </w:p>
                <w:p>
                  <w:pPr>
                    <w:jc w:val="both"/>
                    <w:rPr>
                      <w:rFonts w:cs="Arial"/>
                    </w:rPr>
                  </w:pPr>
                  <w:r>
                    <w:rPr>
                      <w:rFonts w:cs="Arial"/>
                    </w:rPr>
                    <w:t>Sinon, elle est transmise au chef du nouvel établissement d'enseignement spécialisé fréquenté par l'élève, sans attendre le passage du vérificateur.</w:t>
                  </w:r>
                </w:p>
                <w:p>
                  <w:pPr>
                    <w:jc w:val="both"/>
                    <w:rPr>
                      <w:rFonts w:cs="Arial"/>
                    </w:rPr>
                  </w:pPr>
                </w:p>
                <w:p>
                  <w:pPr>
                    <w:jc w:val="both"/>
                    <w:rPr>
                      <w:rFonts w:cs="Arial"/>
                    </w:rPr>
                  </w:pPr>
                  <w:r>
                    <w:rPr>
                      <w:rFonts w:cs="Arial"/>
                    </w:rPr>
                    <w:t xml:space="preserve">Les élèves ne peuvent s’inscrire que dans des écoles organisant le type d’enseignement repris sur leur attestation d’orientation. Une dérogation à cette règle existe, elle est exposée au </w:t>
                  </w:r>
                  <w:hyperlink w:anchor="_Chapitre_15_:" w:history="1">
                    <w:r>
                      <w:rPr>
                        <w:rStyle w:val="Lienhypertexte"/>
                        <w:rFonts w:cs="Arial"/>
                      </w:rPr>
                      <w:t>chapitre 15,</w:t>
                    </w:r>
                  </w:hyperlink>
                  <w:r>
                    <w:rPr>
                      <w:rFonts w:cs="Arial"/>
                      <w:color w:val="FF0000"/>
                    </w:rPr>
                    <w:t xml:space="preserve"> </w:t>
                  </w:r>
                  <w:hyperlink w:anchor="_1.1._Le_rapport" w:history="1">
                    <w:r>
                      <w:rPr>
                        <w:rStyle w:val="Lienhypertexte"/>
                        <w:rFonts w:cs="Arial"/>
                      </w:rPr>
                      <w:t>point 1.1</w:t>
                    </w:r>
                  </w:hyperlink>
                  <w:r>
                    <w:rPr>
                      <w:rFonts w:cs="Arial"/>
                      <w:color w:val="FF0000"/>
                    </w:rPr>
                    <w:t xml:space="preserve"> </w:t>
                  </w:r>
                  <w:r>
                    <w:rPr>
                      <w:rFonts w:cs="Arial"/>
                    </w:rPr>
                    <w:t>de la présente circulaire.</w:t>
                  </w:r>
                </w:p>
                <w:p>
                  <w:pPr>
                    <w:rPr>
                      <w:rFonts w:cs="Arial"/>
                    </w:rPr>
                  </w:pPr>
                </w:p>
                <w:p>
                  <w:pPr>
                    <w:pBdr>
                      <w:top w:val="single" w:sz="4" w:space="1" w:color="000000"/>
                      <w:left w:val="single" w:sz="4" w:space="4" w:color="000000"/>
                      <w:bottom w:val="single" w:sz="4" w:space="1" w:color="auto"/>
                      <w:right w:val="single" w:sz="4" w:space="4" w:color="000000"/>
                    </w:pBdr>
                    <w:jc w:val="center"/>
                    <w:rPr>
                      <w:rFonts w:cs="Arial"/>
                      <w:b/>
                      <w:u w:val="single"/>
                    </w:rPr>
                  </w:pPr>
                  <w:r>
                    <w:rPr>
                      <w:rFonts w:cs="Arial"/>
                      <w:b/>
                      <w:u w:val="single"/>
                    </w:rPr>
                    <w:t>Attention</w:t>
                  </w:r>
                </w:p>
                <w:p>
                  <w:pPr>
                    <w:pBdr>
                      <w:top w:val="single" w:sz="4" w:space="1" w:color="000000"/>
                      <w:left w:val="single" w:sz="4" w:space="4" w:color="000000"/>
                      <w:bottom w:val="single" w:sz="4" w:space="1" w:color="auto"/>
                      <w:right w:val="single" w:sz="4" w:space="4" w:color="000000"/>
                    </w:pBdr>
                    <w:jc w:val="both"/>
                    <w:rPr>
                      <w:rFonts w:cs="Arial"/>
                    </w:rPr>
                  </w:pPr>
                  <w:r>
                    <w:rPr>
                      <w:rFonts w:cs="Arial"/>
                    </w:rPr>
                    <w:t xml:space="preserve">L’article 12, § 3 du </w:t>
                  </w:r>
                  <w:hyperlink r:id="rId14" w:history="1">
                    <w:r>
                      <w:rPr>
                        <w:rStyle w:val="Lienhypertexte"/>
                        <w:rFonts w:cs="Arial"/>
                      </w:rPr>
                      <w:t>Décret du 3 mars 2004 organisant l'Enseignement spécialisé</w:t>
                    </w:r>
                  </w:hyperlink>
                  <w:r>
                    <w:t xml:space="preserve">, </w:t>
                  </w:r>
                  <w:r>
                    <w:rPr>
                      <w:rFonts w:cs="Arial"/>
                    </w:rPr>
                    <w:t xml:space="preserve">stipule qu’un nouveau rapport d’inscription </w:t>
                  </w:r>
                  <w:r>
                    <w:rPr>
                      <w:rFonts w:cs="Arial"/>
                      <w:u w:val="single"/>
                    </w:rPr>
                    <w:t>ne doit pas nécessairement</w:t>
                  </w:r>
                  <w:r>
                    <w:rPr>
                      <w:rFonts w:cs="Arial"/>
                    </w:rPr>
                    <w:t xml:space="preserve"> être établi pour un élève qui sollicite sa réinscription dans l’enseignement spécialisé dans un délai de moins de deux ans sauf si l’élève est orienté vers un type différent de celui figurant sur l’attestation initiale. </w:t>
                  </w:r>
                </w:p>
                <w:p>
                  <w:pPr>
                    <w:pBdr>
                      <w:top w:val="single" w:sz="4" w:space="1" w:color="000000"/>
                      <w:left w:val="single" w:sz="4" w:space="4" w:color="000000"/>
                      <w:bottom w:val="single" w:sz="4" w:space="1" w:color="auto"/>
                      <w:right w:val="single" w:sz="4" w:space="4" w:color="000000"/>
                    </w:pBdr>
                    <w:jc w:val="both"/>
                    <w:rPr>
                      <w:rFonts w:cs="Arial"/>
                    </w:rPr>
                  </w:pPr>
                  <w:r>
                    <w:rPr>
                      <w:rFonts w:cs="Arial"/>
                      <w:noProof/>
                      <w:lang w:eastAsia="fr-BE"/>
                    </w:rPr>
                    <mc:AlternateContent>
                      <mc:Choice Requires="wps">
                        <w:drawing>
                          <wp:anchor distT="0" distB="0" distL="114300" distR="114300" simplePos="0" relativeHeight="252075008" behindDoc="0" locked="0" layoutInCell="1" allowOverlap="1">
                            <wp:simplePos x="0" y="0"/>
                            <wp:positionH relativeFrom="column">
                              <wp:posOffset>6107430</wp:posOffset>
                            </wp:positionH>
                            <wp:positionV relativeFrom="paragraph">
                              <wp:posOffset>176530</wp:posOffset>
                            </wp:positionV>
                            <wp:extent cx="0" cy="829340"/>
                            <wp:effectExtent l="0" t="0" r="19050" b="27940"/>
                            <wp:wrapNone/>
                            <wp:docPr id="4956" name="Connecteur droit 4956"/>
                            <wp:cNvGraphicFramePr/>
                            <a:graphic xmlns:a="http://schemas.openxmlformats.org/drawingml/2006/main">
                              <a:graphicData uri="http://schemas.microsoft.com/office/word/2010/wordprocessingShape">
                                <wps:wsp>
                                  <wps:cNvCnPr/>
                                  <wps:spPr>
                                    <a:xfrm>
                                      <a:off x="0" y="0"/>
                                      <a:ext cx="0" cy="82934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9BFED3" id="Connecteur droit 4956" o:spid="_x0000_s1026" style="position:absolute;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0.9pt,13.9pt" to="480.9pt,7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" strokecolor="black [3040]"/>
                        </w:pict>
                      </mc:Fallback>
                    </mc:AlternateContent>
                  </w:r>
                </w:p>
                <w:p>
                  <w:pPr>
                    <w:pBdr>
                      <w:top w:val="single" w:sz="4" w:space="1" w:color="000000"/>
                      <w:left w:val="single" w:sz="4" w:space="4" w:color="000000"/>
                      <w:bottom w:val="single" w:sz="4" w:space="1" w:color="auto"/>
                      <w:right w:val="single" w:sz="4" w:space="4" w:color="000000"/>
                    </w:pBdr>
                    <w:jc w:val="both"/>
                    <w:rPr>
                      <w:rFonts w:cs="Arial"/>
                    </w:rPr>
                  </w:pPr>
                  <w:r>
                    <w:rPr>
                      <w:rFonts w:cs="Arial"/>
                    </w:rPr>
                    <w:t xml:space="preserve">Si un élève, en possession d’une attestation d’orientation vers l’enseignement spécialisé, mais qui n’a jamais été inscrit dans l’enseignement spécialisé, sollicite son inscription dans cet enseignement dans un délai de moins de deux ans à compter de la date de la signature de cette attestation d’orientation, un nouveau rapport d’inscription ne doit pas être nécessairement établi sauf si l’élève est réorienté dans un type différent de celui figurant sur l’attestation initiale. </w:t>
                  </w:r>
                </w:p>
                <w:p>
                  <w:pPr>
                    <w:pBdr>
                      <w:top w:val="single" w:sz="4" w:space="1" w:color="000000"/>
                      <w:left w:val="single" w:sz="4" w:space="4" w:color="000000"/>
                      <w:bottom w:val="single" w:sz="4" w:space="1" w:color="auto"/>
                      <w:right w:val="single" w:sz="4" w:space="4" w:color="000000"/>
                    </w:pBdr>
                    <w:jc w:val="both"/>
                    <w:rPr>
                      <w:rFonts w:cs="Arial"/>
                    </w:rPr>
                  </w:pPr>
                </w:p>
                <w:p>
                  <w:pPr>
                    <w:pBdr>
                      <w:top w:val="single" w:sz="4" w:space="1" w:color="000000"/>
                      <w:left w:val="single" w:sz="4" w:space="4" w:color="000000"/>
                      <w:bottom w:val="single" w:sz="4" w:space="1" w:color="auto"/>
                      <w:right w:val="single" w:sz="4" w:space="4" w:color="000000"/>
                    </w:pBdr>
                    <w:jc w:val="both"/>
                    <w:rPr>
                      <w:rFonts w:cs="Arial"/>
                    </w:rPr>
                  </w:pPr>
                  <w:r>
                    <w:rPr>
                      <w:rFonts w:cs="Arial"/>
                    </w:rPr>
                    <w:t xml:space="preserve">Néanmoins, </w:t>
                  </w:r>
                  <w:r>
                    <w:rPr>
                      <w:rFonts w:cs="Arial"/>
                      <w:u w:val="single"/>
                    </w:rPr>
                    <w:t>à la demande</w:t>
                  </w:r>
                  <w:r>
                    <w:rPr>
                      <w:rFonts w:cs="Arial"/>
                    </w:rPr>
                    <w:t xml:space="preserve"> du directeur de l’établissement d’enseignement spécialisé, un rapport succinct sera fourni par le centre PMS de la dernière école fréquentée par l’élève.</w:t>
                  </w:r>
                  <w:bookmarkStart w:id="68" w:name="_1.1.3._Refus_d’inscription"/>
                  <w:bookmarkStart w:id="69" w:name="_Toc291075472"/>
                  <w:bookmarkStart w:id="70" w:name="_Toc291075896"/>
                  <w:bookmarkStart w:id="71" w:name="_Toc291076320"/>
                  <w:bookmarkStart w:id="72" w:name="_Toc291076744"/>
                  <w:bookmarkStart w:id="73" w:name="_Toc291077168"/>
                  <w:bookmarkStart w:id="74" w:name="_Toc293652011"/>
                  <w:bookmarkStart w:id="75" w:name="_Toc293653593"/>
                  <w:bookmarkStart w:id="76" w:name="_Toc293654204"/>
                  <w:bookmarkStart w:id="77" w:name="_Toc294004784"/>
                  <w:bookmarkStart w:id="78" w:name="_Toc294185280"/>
                  <w:bookmarkStart w:id="79" w:name="_Toc324767146"/>
                  <w:bookmarkStart w:id="80" w:name="_Toc324768004"/>
                  <w:bookmarkEnd w:id="68"/>
                </w:p>
                <w:p>
                  <w:bookmarkStart w:id="81" w:name="_1.1.3._Refus_d’inscription_1"/>
                  <w:bookmarkEnd w:id="81"/>
                </w:p>
                <w:p>
                  <w:pPr>
                    <w:rPr>
                      <w:rFonts w:eastAsia="Times New Roman" w:cs="Arial"/>
                      <w:b/>
                      <w:u w:val="single"/>
                      <w:lang w:eastAsia="ar-SA"/>
                    </w:rPr>
                  </w:pPr>
                </w:p>
                <w:p>
                  <w:pPr>
                    <w:pStyle w:val="Titre5"/>
                  </w:pPr>
                  <w:r>
                    <w:t>1.1.3. Refus d’inscription</w:t>
                  </w:r>
                  <w:bookmarkEnd w:id="69"/>
                  <w:bookmarkEnd w:id="70"/>
                  <w:bookmarkEnd w:id="71"/>
                  <w:bookmarkEnd w:id="72"/>
                  <w:bookmarkEnd w:id="73"/>
                  <w:bookmarkEnd w:id="74"/>
                  <w:bookmarkEnd w:id="75"/>
                  <w:bookmarkEnd w:id="76"/>
                  <w:bookmarkEnd w:id="77"/>
                  <w:bookmarkEnd w:id="78"/>
                  <w:bookmarkEnd w:id="79"/>
                  <w:bookmarkEnd w:id="80"/>
                </w:p>
                <w:p>
                  <w:pPr>
                    <w:rPr>
                      <w:rFonts w:cs="Arial"/>
                      <w:b/>
                      <w:color w:val="008000"/>
                      <w:u w:val="single"/>
                    </w:rPr>
                  </w:pPr>
                </w:p>
                <w:p>
                  <w:pPr>
                    <w:pStyle w:val="Titre6"/>
                  </w:pPr>
                  <w:bookmarkStart w:id="82" w:name="_1.1.3.1._L’attestation_de"/>
                  <w:bookmarkStart w:id="83" w:name="_Toc291075473"/>
                  <w:bookmarkStart w:id="84" w:name="_Toc291075897"/>
                  <w:bookmarkStart w:id="85" w:name="_Toc291076321"/>
                  <w:bookmarkStart w:id="86" w:name="_Toc291076745"/>
                  <w:bookmarkStart w:id="87" w:name="_Toc291077169"/>
                  <w:bookmarkStart w:id="88" w:name="_Toc293652012"/>
                  <w:bookmarkStart w:id="89" w:name="_Toc293653594"/>
                  <w:bookmarkStart w:id="90" w:name="_Toc293654205"/>
                  <w:bookmarkStart w:id="91" w:name="_Toc294004785"/>
                  <w:bookmarkStart w:id="92" w:name="_Toc294185281"/>
                  <w:bookmarkStart w:id="93" w:name="_Toc324767147"/>
                  <w:bookmarkStart w:id="94" w:name="_Toc324768005"/>
                  <w:bookmarkEnd w:id="82"/>
                  <w:r>
                    <w:t>1.1.3.1. L’attestation de demande d’inscription</w:t>
                  </w:r>
                  <w:bookmarkEnd w:id="83"/>
                  <w:bookmarkEnd w:id="84"/>
                  <w:bookmarkEnd w:id="85"/>
                  <w:bookmarkEnd w:id="86"/>
                  <w:bookmarkEnd w:id="87"/>
                  <w:bookmarkEnd w:id="88"/>
                  <w:bookmarkEnd w:id="89"/>
                  <w:bookmarkEnd w:id="90"/>
                  <w:bookmarkEnd w:id="91"/>
                  <w:bookmarkEnd w:id="92"/>
                  <w:bookmarkEnd w:id="93"/>
                  <w:bookmarkEnd w:id="94"/>
                </w:p>
                <w:p>
                  <w:pPr>
                    <w:rPr>
                      <w:rFonts w:cs="Arial"/>
                      <w:b/>
                    </w:rPr>
                  </w:pPr>
                </w:p>
                <w:p>
                  <w:pPr>
                    <w:jc w:val="both"/>
                    <w:rPr>
                      <w:rFonts w:cs="Arial"/>
                      <w:b/>
                    </w:rPr>
                  </w:pPr>
                  <w:r>
                    <w:rPr>
                      <w:rFonts w:cs="Arial"/>
                      <w:b/>
                    </w:rPr>
                    <w:t>Quel que soit le moment de l’année, le chef d’établissement qui ne peut inscrire un élève qui en fait la demande est tenu de lui remettre une attestation de demande d’inscription</w:t>
                  </w:r>
                  <w:r>
                    <w:rPr>
                      <w:rStyle w:val="Appelnotedebasdep"/>
                      <w:b/>
                    </w:rPr>
                    <w:footnoteReference w:id="6"/>
                  </w:r>
                  <w:r>
                    <w:rPr>
                      <w:rFonts w:cs="Arial"/>
                      <w:b/>
                    </w:rPr>
                    <w:t xml:space="preserve">. </w:t>
                  </w:r>
                </w:p>
                <w:p>
                  <w:pPr>
                    <w:pStyle w:val="Corpsdetexte21"/>
                    <w:rPr>
                      <w:rFonts w:asciiTheme="majorHAnsi" w:hAnsiTheme="majorHAnsi"/>
                      <w:sz w:val="22"/>
                      <w:szCs w:val="22"/>
                    </w:rPr>
                  </w:pPr>
                </w:p>
                <w:p>
                  <w:pPr>
                    <w:pStyle w:val="Corpsdetexte21"/>
                    <w:rPr>
                      <w:rFonts w:asciiTheme="majorHAnsi" w:hAnsiTheme="majorHAnsi"/>
                      <w:sz w:val="22"/>
                      <w:szCs w:val="22"/>
                    </w:rPr>
                  </w:pPr>
                </w:p>
                <w:p>
                  <w:pPr>
                    <w:pStyle w:val="Corpsdetexte21"/>
                    <w:rPr>
                      <w:rFonts w:asciiTheme="majorHAnsi" w:hAnsiTheme="majorHAnsi"/>
                      <w:sz w:val="22"/>
                      <w:szCs w:val="22"/>
                    </w:rPr>
                  </w:pPr>
                </w:p>
                <w:p>
                  <w:pPr>
                    <w:pStyle w:val="Corpsdetexte21"/>
                    <w:rPr>
                      <w:rFonts w:asciiTheme="majorHAnsi" w:hAnsiTheme="majorHAnsi"/>
                      <w:sz w:val="22"/>
                      <w:szCs w:val="22"/>
                    </w:rPr>
                  </w:pPr>
                </w:p>
                <w:p>
                  <w:pPr>
                    <w:pStyle w:val="Corpsdetexte21"/>
                    <w:rPr>
                      <w:rFonts w:asciiTheme="majorHAnsi" w:hAnsiTheme="majorHAnsi"/>
                      <w:sz w:val="22"/>
                      <w:szCs w:val="22"/>
                    </w:rPr>
                  </w:pPr>
                </w:p>
                <w:p>
                  <w:pPr>
                    <w:rPr>
                      <w:rFonts w:cs="Arial"/>
                      <w:u w:val="single"/>
                    </w:rPr>
                  </w:pPr>
                  <w:r>
                    <w:rPr>
                      <w:rFonts w:cs="Arial"/>
                      <w:u w:val="single"/>
                    </w:rPr>
                    <w:t>L’attestation de demande d’inscription comprend :</w:t>
                  </w:r>
                </w:p>
                <w:p>
                  <w:pPr>
                    <w:rPr>
                      <w:rFonts w:cs="Arial"/>
                      <w:u w:val="single"/>
                    </w:rPr>
                  </w:pPr>
                </w:p>
                <w:p>
                  <w:pPr>
                    <w:numPr>
                      <w:ilvl w:val="0"/>
                      <w:numId w:val="97"/>
                    </w:numPr>
                    <w:tabs>
                      <w:tab w:val="clear" w:pos="360"/>
                      <w:tab w:val="num" w:pos="851"/>
                    </w:tabs>
                    <w:suppressAutoHyphens/>
                    <w:ind w:left="851" w:hanging="284"/>
                    <w:jc w:val="both"/>
                    <w:rPr>
                      <w:rFonts w:cs="Arial"/>
                    </w:rPr>
                  </w:pPr>
                  <w:r>
                    <w:rPr>
                      <w:rFonts w:cs="Arial"/>
                      <w:b/>
                    </w:rPr>
                    <w:t>les motifs du refus</w:t>
                  </w:r>
                  <w:r>
                    <w:rPr>
                      <w:rFonts w:cs="Arial"/>
                    </w:rPr>
                    <w:t>,</w:t>
                  </w:r>
                </w:p>
                <w:p>
                  <w:pPr>
                    <w:numPr>
                      <w:ilvl w:val="0"/>
                      <w:numId w:val="97"/>
                    </w:numPr>
                    <w:tabs>
                      <w:tab w:val="clear" w:pos="360"/>
                      <w:tab w:val="num" w:pos="851"/>
                    </w:tabs>
                    <w:suppressAutoHyphens/>
                    <w:ind w:left="851" w:hanging="284"/>
                    <w:jc w:val="both"/>
                    <w:rPr>
                      <w:rFonts w:cs="Arial"/>
                    </w:rPr>
                  </w:pPr>
                  <w:r>
                    <w:rPr>
                      <w:rFonts w:cs="Arial"/>
                      <w:b/>
                    </w:rPr>
                    <w:t>l’indication des services</w:t>
                  </w:r>
                  <w:r>
                    <w:rPr>
                      <w:rFonts w:cs="Arial"/>
                    </w:rPr>
                    <w:t xml:space="preserve"> (les Commissions d’inscription) où les parents de l’élève ou la personne investie de l’autorité parentale peuvent obtenir une assistance en vue d’une inscription dans un établissement organisé ou subventionné par la Fédération Wallonie-Bruxelles.</w:t>
                  </w:r>
                </w:p>
                <w:p>
                  <w:pPr>
                    <w:rPr>
                      <w:rFonts w:cs="Arial"/>
                      <w:u w:val="single"/>
                    </w:rPr>
                  </w:pPr>
                </w:p>
                <w:p>
                  <w:pPr>
                    <w:rPr>
                      <w:rFonts w:cs="Arial"/>
                      <w:u w:val="single"/>
                    </w:rPr>
                  </w:pPr>
                  <w:r>
                    <w:rPr>
                      <w:rFonts w:cs="Arial"/>
                      <w:u w:val="single"/>
                    </w:rPr>
                    <w:t>Il existe 3 cas de figure :</w:t>
                  </w:r>
                </w:p>
                <w:p>
                  <w:pPr>
                    <w:rPr>
                      <w:rFonts w:cs="Arial"/>
                      <w:u w:val="single"/>
                    </w:rPr>
                  </w:pPr>
                </w:p>
                <w:p>
                  <w:pPr>
                    <w:ind w:left="993" w:hanging="426"/>
                    <w:jc w:val="both"/>
                    <w:rPr>
                      <w:rFonts w:cs="Arial"/>
                    </w:rPr>
                  </w:pPr>
                  <w:r>
                    <w:rPr>
                      <w:rFonts w:cs="Arial"/>
                      <w:b/>
                    </w:rPr>
                    <w:t>a)</w:t>
                  </w:r>
                  <w:r>
                    <w:rPr>
                      <w:rFonts w:cs="Arial"/>
                    </w:rPr>
                    <w:t xml:space="preserve">  Le chef d’un établissement organisé par la Fédération Wallonie-Bruxelles transmet immédiatement copie de l’attestation à l’une des commissions zonales des inscriptions.</w:t>
                  </w:r>
                </w:p>
                <w:p>
                  <w:pPr>
                    <w:ind w:left="993" w:hanging="426"/>
                    <w:jc w:val="both"/>
                    <w:rPr>
                      <w:rFonts w:cs="Arial"/>
                    </w:rPr>
                  </w:pPr>
                  <w:r>
                    <w:rPr>
                      <w:rFonts w:cs="Arial"/>
                      <w:b/>
                    </w:rPr>
                    <w:t>b)</w:t>
                  </w:r>
                  <w:r>
                    <w:rPr>
                      <w:rFonts w:cs="Arial"/>
                    </w:rPr>
                    <w:t xml:space="preserve"> Le pouvoir organisateur d’une école subventionnée ou son délégué transmet immédiatement copie de l’attestation à l’organe de représentation et de coordination ou à la commission décentralisée qui en informe la Direction générale de l’enseignement obligatoire. </w:t>
                  </w:r>
                </w:p>
                <w:p>
                  <w:pPr>
                    <w:ind w:left="993" w:hanging="426"/>
                    <w:jc w:val="both"/>
                    <w:rPr>
                      <w:rFonts w:cs="Arial"/>
                    </w:rPr>
                  </w:pPr>
                  <w:r>
                    <w:rPr>
                      <w:rFonts w:cs="Arial"/>
                      <w:b/>
                    </w:rPr>
                    <w:t xml:space="preserve">c)  </w:t>
                  </w:r>
                  <w:r>
                    <w:rPr>
                      <w:rFonts w:cs="Arial"/>
                    </w:rPr>
                    <w:t xml:space="preserve"> Dans l’enseignement subventionné, lorsque le pouvoir organisateur n’a pas adhéré à un organe de représentation et de coordination, il (ou son délégué) transmet l’attestation à la Direction générale de l’enseignement obligatoire.</w:t>
                  </w:r>
                </w:p>
                <w:p>
                  <w:pPr>
                    <w:rPr>
                      <w:rFonts w:cs="Arial"/>
                      <w:b/>
                      <w:u w:val="single"/>
                    </w:rPr>
                  </w:pPr>
                </w:p>
                <w:p>
                  <w:pPr>
                    <w:rPr>
                      <w:rFonts w:cs="Arial"/>
                      <w:b/>
                      <w:u w:val="single"/>
                    </w:rPr>
                  </w:pPr>
                  <w:r>
                    <w:rPr>
                      <w:rFonts w:cs="Arial"/>
                      <w:b/>
                      <w:u w:val="single"/>
                    </w:rPr>
                    <w:t>Motifs de refus</w:t>
                  </w:r>
                </w:p>
                <w:p>
                  <w:pPr>
                    <w:rPr>
                      <w:rFonts w:cs="Arial"/>
                    </w:rPr>
                  </w:pPr>
                </w:p>
                <w:p>
                  <w:pPr>
                    <w:rPr>
                      <w:rFonts w:cs="Arial"/>
                    </w:rPr>
                  </w:pPr>
                  <w:r>
                    <w:rPr>
                      <w:rFonts w:cs="Arial"/>
                    </w:rPr>
                    <w:t>Un chef d’établissement ou un pouvoir organisateur n’est pas tenu d’inscrire :</w:t>
                  </w:r>
                </w:p>
                <w:p>
                  <w:pPr>
                    <w:rPr>
                      <w:rFonts w:cs="Arial"/>
                    </w:rPr>
                  </w:pPr>
                </w:p>
                <w:p>
                  <w:pPr>
                    <w:numPr>
                      <w:ilvl w:val="0"/>
                      <w:numId w:val="78"/>
                    </w:numPr>
                    <w:suppressAutoHyphens/>
                    <w:ind w:left="624" w:firstLine="0"/>
                    <w:jc w:val="both"/>
                    <w:rPr>
                      <w:rFonts w:cs="Arial"/>
                    </w:rPr>
                  </w:pPr>
                  <w:r>
                    <w:rPr>
                      <w:rFonts w:cs="Arial"/>
                    </w:rPr>
                    <w:t>l’élève qui ne répond pas aux conditions d’admission ;</w:t>
                  </w:r>
                </w:p>
                <w:p>
                  <w:pPr>
                    <w:pStyle w:val="Corpsdetexte21"/>
                    <w:numPr>
                      <w:ilvl w:val="0"/>
                      <w:numId w:val="78"/>
                    </w:numPr>
                    <w:ind w:left="624" w:firstLine="0"/>
                    <w:rPr>
                      <w:rFonts w:asciiTheme="majorHAnsi" w:hAnsiTheme="majorHAnsi"/>
                      <w:b/>
                      <w:sz w:val="22"/>
                      <w:szCs w:val="22"/>
                    </w:rPr>
                  </w:pPr>
                  <w:r>
                    <w:rPr>
                      <w:rFonts w:asciiTheme="majorHAnsi" w:hAnsiTheme="majorHAnsi"/>
                      <w:sz w:val="22"/>
                      <w:szCs w:val="22"/>
                    </w:rPr>
                    <w:t>en cas d’insuffisance de locaux disponibles ;</w:t>
                  </w:r>
                </w:p>
                <w:p>
                  <w:pPr>
                    <w:pStyle w:val="Corpsdetexte21"/>
                    <w:numPr>
                      <w:ilvl w:val="0"/>
                      <w:numId w:val="111"/>
                    </w:numPr>
                    <w:tabs>
                      <w:tab w:val="clear" w:pos="357"/>
                      <w:tab w:val="num" w:pos="1260"/>
                    </w:tabs>
                    <w:ind w:left="2337" w:hanging="409"/>
                    <w:jc w:val="both"/>
                    <w:rPr>
                      <w:rFonts w:asciiTheme="majorHAnsi" w:hAnsiTheme="majorHAnsi"/>
                      <w:b/>
                      <w:sz w:val="22"/>
                      <w:szCs w:val="22"/>
                    </w:rPr>
                  </w:pPr>
                  <w:r>
                    <w:rPr>
                      <w:rFonts w:asciiTheme="majorHAnsi" w:hAnsiTheme="majorHAnsi"/>
                      <w:sz w:val="22"/>
                      <w:szCs w:val="22"/>
                    </w:rPr>
                    <w:t xml:space="preserve">Lorsqu’une école doit, </w:t>
                  </w:r>
                  <w:r>
                    <w:rPr>
                      <w:rFonts w:asciiTheme="majorHAnsi" w:hAnsiTheme="majorHAnsi"/>
                      <w:b/>
                      <w:sz w:val="22"/>
                      <w:szCs w:val="22"/>
                      <w:u w:val="single"/>
                    </w:rPr>
                    <w:t>pour des raisons d’insuffisance de locaux disponibles uniquement</w:t>
                  </w:r>
                  <w:r>
                    <w:rPr>
                      <w:rFonts w:asciiTheme="majorHAnsi" w:hAnsiTheme="majorHAnsi"/>
                      <w:sz w:val="22"/>
                      <w:szCs w:val="22"/>
                    </w:rPr>
                    <w:t>, limiter le nombre d’élèves qu’elle accueille, le chef d’établissement dans l’enseignement organisé par la Fédération Wallonie-Bruxelles, le pouvoir organisateur dans l’enseignement subventionné, en informe immédiatement la Direction générale de l’enseignement obligatoire.</w:t>
                  </w:r>
                </w:p>
                <w:p>
                  <w:pPr>
                    <w:pStyle w:val="Corpsdetexte21"/>
                    <w:pBdr>
                      <w:right w:val="single" w:sz="4" w:space="4" w:color="auto"/>
                    </w:pBdr>
                    <w:ind w:left="2337"/>
                    <w:rPr>
                      <w:rFonts w:asciiTheme="majorHAnsi" w:hAnsiTheme="majorHAnsi"/>
                      <w:b/>
                      <w:sz w:val="22"/>
                      <w:szCs w:val="22"/>
                    </w:rPr>
                  </w:pPr>
                  <w:r>
                    <w:rPr>
                      <w:rFonts w:asciiTheme="majorHAnsi" w:hAnsiTheme="majorHAnsi"/>
                      <w:b/>
                      <w:sz w:val="22"/>
                      <w:szCs w:val="22"/>
                    </w:rPr>
                    <w:t>Ce signalement doit s’effectuer  via l’application PLAF (V. pt 1.1.4.)</w:t>
                  </w:r>
                  <w:r>
                    <w:rPr>
                      <w:rStyle w:val="Appelnotedebasdep"/>
                      <w:rFonts w:asciiTheme="majorHAnsi" w:hAnsiTheme="majorHAnsi"/>
                      <w:b/>
                      <w:sz w:val="22"/>
                      <w:szCs w:val="22"/>
                    </w:rPr>
                    <w:footnoteReference w:id="7"/>
                  </w:r>
                  <w:r>
                    <w:rPr>
                      <w:rFonts w:asciiTheme="majorHAnsi" w:hAnsiTheme="majorHAnsi"/>
                      <w:b/>
                      <w:sz w:val="22"/>
                      <w:szCs w:val="22"/>
                    </w:rPr>
                    <w:t>. </w:t>
                  </w:r>
                </w:p>
                <w:p>
                  <w:pPr>
                    <w:rPr>
                      <w:rFonts w:cs="Arial"/>
                    </w:rPr>
                  </w:pPr>
                </w:p>
                <w:p>
                  <w:pPr>
                    <w:pBdr>
                      <w:right w:val="single" w:sz="4" w:space="4" w:color="auto"/>
                    </w:pBdr>
                    <w:jc w:val="both"/>
                    <w:rPr>
                      <w:rFonts w:cs="Arial"/>
                    </w:rPr>
                  </w:pPr>
                  <w:r>
                    <w:rPr>
                      <w:rFonts w:cs="Arial"/>
                    </w:rPr>
                    <w:t xml:space="preserve">L’Administration </w:t>
                  </w:r>
                  <w:r>
                    <w:rPr>
                      <w:rFonts w:cs="Arial"/>
                      <w:b/>
                    </w:rPr>
                    <w:t>n’est tenue</w:t>
                  </w:r>
                  <w:r>
                    <w:rPr>
                      <w:rFonts w:cs="Arial"/>
                    </w:rPr>
                    <w:t xml:space="preserve"> de faire inscrire dans un établissement organisé par la Fédération Wallonie-Bruxelles l'élève exclu d'un établissement d'enseignement subventionné qui sollicite son inscription</w:t>
                  </w:r>
                  <w:r>
                    <w:t xml:space="preserve"> après </w:t>
                  </w:r>
                  <w:r>
                    <w:rPr>
                      <w:b/>
                    </w:rPr>
                    <w:t>le 1er jour ouvrable scolaire</w:t>
                  </w:r>
                  <w:r>
                    <w:t xml:space="preserve"> de septembre</w:t>
                  </w:r>
                  <w:r>
                    <w:rPr>
                      <w:rFonts w:cs="Arial"/>
                    </w:rPr>
                    <w:t xml:space="preserve">, </w:t>
                  </w:r>
                  <w:r>
                    <w:rPr>
                      <w:rFonts w:cs="Arial"/>
                      <w:b/>
                    </w:rPr>
                    <w:t xml:space="preserve">que s'il </w:t>
                  </w:r>
                  <w:r>
                    <w:rPr>
                      <w:rFonts w:cs="Arial"/>
                    </w:rPr>
                    <w:t xml:space="preserve">a épuisé les procédures prévues aux articles 89 et 90 du décret « missions ».  </w:t>
                  </w:r>
                </w:p>
                <w:p>
                  <w:pPr>
                    <w:rPr>
                      <w:rFonts w:cs="Arial"/>
                    </w:rPr>
                  </w:pPr>
                </w:p>
                <w:p>
                  <w:pPr>
                    <w:pBdr>
                      <w:top w:val="single" w:sz="4" w:space="1" w:color="000000"/>
                      <w:left w:val="single" w:sz="4" w:space="4" w:color="000000"/>
                      <w:bottom w:val="single" w:sz="4" w:space="0" w:color="000000"/>
                      <w:right w:val="single" w:sz="4" w:space="4" w:color="000000"/>
                    </w:pBdr>
                    <w:rPr>
                      <w:rFonts w:cs="Arial"/>
                      <w:b/>
                      <w:u w:val="single"/>
                    </w:rPr>
                  </w:pPr>
                  <w:r>
                    <w:rPr>
                      <w:rFonts w:cs="Arial"/>
                      <w:b/>
                      <w:u w:val="single"/>
                    </w:rPr>
                    <w:t>Remarques :</w:t>
                  </w:r>
                </w:p>
                <w:p>
                  <w:pPr>
                    <w:pBdr>
                      <w:top w:val="single" w:sz="4" w:space="1" w:color="000000"/>
                      <w:left w:val="single" w:sz="4" w:space="4" w:color="000000"/>
                      <w:bottom w:val="single" w:sz="4" w:space="0" w:color="000000"/>
                      <w:right w:val="single" w:sz="4" w:space="4" w:color="000000"/>
                    </w:pBdr>
                    <w:rPr>
                      <w:rFonts w:cs="Arial"/>
                      <w:b/>
                      <w:u w:val="single"/>
                    </w:rPr>
                  </w:pPr>
                </w:p>
                <w:p>
                  <w:pPr>
                    <w:pBdr>
                      <w:top w:val="single" w:sz="4" w:space="1" w:color="000000"/>
                      <w:left w:val="single" w:sz="4" w:space="4" w:color="000000"/>
                      <w:bottom w:val="single" w:sz="4" w:space="0" w:color="000000"/>
                      <w:right w:val="single" w:sz="4" w:space="4" w:color="000000"/>
                    </w:pBdr>
                    <w:jc w:val="both"/>
                    <w:rPr>
                      <w:rFonts w:cs="Arial"/>
                      <w:b/>
                      <w:u w:val="single"/>
                    </w:rPr>
                  </w:pPr>
                  <w:r>
                    <w:rPr>
                      <w:rFonts w:cs="Arial"/>
                    </w:rPr>
                    <w:t>L'introduction d'un recours contre une décision d'exclusion communiquée au début du mois de septembre ne dispense pas les parents ou la personne investie de l'autorité parentale de l'inscrire dans un autre établissement ;</w:t>
                  </w:r>
                </w:p>
                <w:p>
                  <w:pPr>
                    <w:pBdr>
                      <w:top w:val="single" w:sz="4" w:space="1" w:color="000000"/>
                      <w:left w:val="single" w:sz="4" w:space="4" w:color="000000"/>
                      <w:bottom w:val="single" w:sz="4" w:space="0" w:color="000000"/>
                      <w:right w:val="single" w:sz="4" w:space="4" w:color="000000"/>
                    </w:pBdr>
                    <w:rPr>
                      <w:rFonts w:cs="Arial"/>
                      <w:b/>
                      <w:u w:val="single"/>
                    </w:rPr>
                  </w:pPr>
                </w:p>
                <w:p>
                  <w:pPr>
                    <w:pBdr>
                      <w:top w:val="single" w:sz="4" w:space="1" w:color="000000"/>
                      <w:left w:val="single" w:sz="4" w:space="4" w:color="000000"/>
                      <w:bottom w:val="single" w:sz="4" w:space="0" w:color="000000"/>
                      <w:right w:val="single" w:sz="4" w:space="4" w:color="000000"/>
                    </w:pBdr>
                    <w:jc w:val="both"/>
                    <w:rPr>
                      <w:rFonts w:cs="Arial"/>
                      <w:b/>
                      <w:u w:val="single"/>
                    </w:rPr>
                  </w:pPr>
                  <w:r>
                    <w:t>A défaut d’avoir respecté la procédure d’exclusion, un établissement ne peut procéder à un refus de réinscription.</w:t>
                  </w:r>
                </w:p>
                <w:p>
                  <w:pPr>
                    <w:rPr>
                      <w:rFonts w:cs="Arial"/>
                    </w:rPr>
                  </w:pPr>
                </w:p>
                <w:p>
                  <w:pPr>
                    <w:pStyle w:val="Titre5"/>
                  </w:pPr>
                  <w:bookmarkStart w:id="95" w:name="_2.1.2.5._Inscription_des"/>
                  <w:bookmarkStart w:id="96" w:name="_1.1.4._Transmission_des"/>
                  <w:bookmarkStart w:id="97" w:name="_Toc291075474"/>
                  <w:bookmarkStart w:id="98" w:name="_Toc291075898"/>
                  <w:bookmarkStart w:id="99" w:name="_Toc291076322"/>
                  <w:bookmarkStart w:id="100" w:name="_Toc291076746"/>
                  <w:bookmarkStart w:id="101" w:name="_Toc291077170"/>
                  <w:bookmarkStart w:id="102" w:name="_Toc293652013"/>
                  <w:bookmarkStart w:id="103" w:name="_Toc293653595"/>
                  <w:bookmarkStart w:id="104" w:name="_Toc293654206"/>
                  <w:bookmarkStart w:id="105" w:name="_Toc294004786"/>
                  <w:bookmarkStart w:id="106" w:name="_Toc294185282"/>
                  <w:bookmarkStart w:id="107" w:name="_Toc324767148"/>
                  <w:bookmarkStart w:id="108" w:name="_Toc324768006"/>
                  <w:bookmarkEnd w:id="95"/>
                  <w:bookmarkEnd w:id="96"/>
                  <w:r>
                    <w:t>1.1.4. Transmission des places disponibles dans l’enseignement fondamental : application PLAF</w:t>
                  </w:r>
                </w:p>
                <w:p>
                  <w:pPr>
                    <w:pStyle w:val="2"/>
                    <w:rPr>
                      <w:sz w:val="22"/>
                      <w:szCs w:val="22"/>
                      <w:lang w:val="fr-BE"/>
                    </w:rPr>
                  </w:pPr>
                </w:p>
                <w:p>
                  <w:pPr>
                    <w:jc w:val="both"/>
                    <w:rPr>
                      <w:rFonts w:cs="Arial"/>
                    </w:rPr>
                  </w:pPr>
                  <w:r>
                    <w:rPr>
                      <w:rFonts w:cs="Arial"/>
                    </w:rPr>
                    <w:t>Tout établissement d'enseignement maternel et/ou primaire doit informer les services du Gouvernement du nombre de places disponibles pour chacune de ses implantations (articles 80 et 88 du décret du 24 juillet 1997).</w:t>
                  </w:r>
                </w:p>
                <w:p>
                  <w:pPr>
                    <w:jc w:val="both"/>
                    <w:rPr>
                      <w:rFonts w:cs="Arial"/>
                    </w:rPr>
                  </w:pPr>
                </w:p>
                <w:p>
                  <w:pPr>
                    <w:jc w:val="both"/>
                    <w:rPr>
                      <w:rFonts w:cs="Arial"/>
                    </w:rPr>
                  </w:pPr>
                  <w:r>
                    <w:rPr>
                      <w:rFonts w:cs="Arial"/>
                    </w:rPr>
                    <w:t xml:space="preserve">Cette information doit être transmise à tout moment de l’année pour l’année scolaire en cours et à partir du mois de janvier pour l’année scolaire suivante. </w:t>
                  </w:r>
                </w:p>
                <w:p>
                  <w:pPr>
                    <w:jc w:val="both"/>
                    <w:rPr>
                      <w:rFonts w:cs="Arial"/>
                    </w:rPr>
                  </w:pPr>
                </w:p>
                <w:p>
                  <w:pPr>
                    <w:autoSpaceDE w:val="0"/>
                    <w:autoSpaceDN w:val="0"/>
                    <w:adjustRightInd w:val="0"/>
                    <w:spacing w:after="185"/>
                    <w:jc w:val="both"/>
                    <w:rPr>
                      <w:rFonts w:cs="Arial"/>
                    </w:rPr>
                  </w:pPr>
                  <w:r>
                    <w:rPr>
                      <w:rFonts w:cs="Arial"/>
                    </w:rPr>
                    <w:t xml:space="preserve">Cette obligation est d’application pour TOUTES les implantations, qu’elles possèdent des places disponibles ou pas. </w:t>
                  </w:r>
                </w:p>
                <w:p>
                  <w:pPr>
                    <w:autoSpaceDE w:val="0"/>
                    <w:autoSpaceDN w:val="0"/>
                    <w:adjustRightInd w:val="0"/>
                    <w:spacing w:after="185"/>
                    <w:jc w:val="both"/>
                    <w:rPr>
                      <w:rFonts w:cs="Arial"/>
                    </w:rPr>
                  </w:pPr>
                  <w:r>
                    <w:rPr>
                      <w:rFonts w:cs="Arial"/>
                    </w:rPr>
                    <w:t xml:space="preserve">Cette obligation concerne aussi les écoles qui ne refusent jamais d’élèves et/ou seraient en capacité d’ouvrir de nouvelles places. </w:t>
                  </w:r>
                </w:p>
                <w:p>
                  <w:pPr>
                    <w:autoSpaceDE w:val="0"/>
                    <w:autoSpaceDN w:val="0"/>
                    <w:adjustRightInd w:val="0"/>
                    <w:jc w:val="both"/>
                    <w:rPr>
                      <w:rFonts w:cs="Arial"/>
                    </w:rPr>
                  </w:pPr>
                  <w:r>
                    <w:rPr>
                      <w:rFonts w:cs="Arial"/>
                    </w:rPr>
                    <w:t xml:space="preserve">L’information transmise doit être modifiée si un changement survient qui modifie le nombre de places disponibles déclaré préalablement. </w:t>
                  </w:r>
                </w:p>
                <w:p>
                  <w:pPr>
                    <w:pStyle w:val="Default"/>
                    <w:spacing w:before="240"/>
                    <w:jc w:val="both"/>
                    <w:rPr>
                      <w:rFonts w:asciiTheme="majorHAnsi" w:hAnsiTheme="majorHAnsi"/>
                      <w:color w:val="auto"/>
                      <w:sz w:val="22"/>
                      <w:szCs w:val="22"/>
                    </w:rPr>
                  </w:pPr>
                  <w:r>
                    <w:rPr>
                      <w:rFonts w:asciiTheme="majorHAnsi" w:hAnsiTheme="majorHAnsi"/>
                      <w:color w:val="auto"/>
                      <w:sz w:val="22"/>
                      <w:szCs w:val="22"/>
                    </w:rPr>
                    <w:t xml:space="preserve">Afin de faciliter cette collecte d’informations, l’administration,  a mis en place une application informatique « PLAF ». Le manuel d’utilisation de cette application est présenté dans la </w:t>
                  </w:r>
                  <w:hyperlink r:id="rId15" w:history="1">
                    <w:r>
                      <w:rPr>
                        <w:rStyle w:val="Lienhypertexte"/>
                        <w:rFonts w:asciiTheme="majorHAnsi" w:hAnsiTheme="majorHAnsi"/>
                        <w:color w:val="auto"/>
                        <w:sz w:val="22"/>
                        <w:szCs w:val="22"/>
                      </w:rPr>
                      <w:t>circulaire 4981 du 05 septembre 2014</w:t>
                    </w:r>
                    <w:r>
                      <w:rPr>
                        <w:rStyle w:val="Lienhypertexte"/>
                        <w:rFonts w:asciiTheme="majorHAnsi" w:hAnsiTheme="majorHAnsi" w:cs="Verdana"/>
                        <w:color w:val="auto"/>
                        <w:sz w:val="22"/>
                        <w:szCs w:val="22"/>
                        <w:lang w:eastAsia="fr-BE"/>
                      </w:rPr>
                      <w:t>.</w:t>
                    </w:r>
                  </w:hyperlink>
                </w:p>
                <w:p/>
                <w:p>
                  <w:pPr>
                    <w:pStyle w:val="Titre5"/>
                    <w:rPr>
                      <w:rFonts w:eastAsiaTheme="minorHAnsi"/>
                    </w:rPr>
                  </w:pPr>
                  <w:r>
                    <w:rPr>
                      <w:rFonts w:eastAsiaTheme="minorHAnsi"/>
                    </w:rPr>
                    <w:t>1.1.5. Inscription des enfants malades</w:t>
                  </w:r>
                  <w:bookmarkEnd w:id="97"/>
                  <w:bookmarkEnd w:id="98"/>
                  <w:bookmarkEnd w:id="99"/>
                  <w:bookmarkEnd w:id="100"/>
                  <w:bookmarkEnd w:id="101"/>
                  <w:bookmarkEnd w:id="102"/>
                  <w:bookmarkEnd w:id="103"/>
                  <w:bookmarkEnd w:id="104"/>
                  <w:bookmarkEnd w:id="105"/>
                  <w:bookmarkEnd w:id="106"/>
                  <w:bookmarkEnd w:id="107"/>
                  <w:bookmarkEnd w:id="108"/>
                  <w:r>
                    <w:rPr>
                      <w:rFonts w:eastAsiaTheme="minorHAnsi"/>
                    </w:rPr>
                    <w:t xml:space="preserve"> </w:t>
                  </w:r>
                </w:p>
                <w:p>
                  <w:pPr>
                    <w:rPr>
                      <w:rFonts w:cs="Arial"/>
                      <w:color w:val="000000"/>
                    </w:rPr>
                  </w:pPr>
                </w:p>
                <w:p>
                  <w:pPr>
                    <w:jc w:val="both"/>
                    <w:rPr>
                      <w:rFonts w:cs="Arial"/>
                      <w:b/>
                      <w:u w:val="single"/>
                    </w:rPr>
                  </w:pPr>
                  <w:r>
                    <w:rPr>
                      <w:rFonts w:cs="Arial"/>
                    </w:rPr>
                    <w:t xml:space="preserve">Un élève fréquentant une école à l’hôpital bénéficie d’une double inscription scolaire : celle dans son école d’origine et celle de l’école à l’hôpital, c'est-à-dire dans l’enseignement spécialisé de type 5. L’élève reste administrativement attaché à son école d’origine durant tout le temps de son hospitalisation (et parfois aussi durant sa convalescence à domicile). </w:t>
                  </w:r>
                  <w:r>
                    <w:rPr>
                      <w:rFonts w:cs="Arial"/>
                      <w:b/>
                      <w:u w:val="single"/>
                    </w:rPr>
                    <w:t>Dans cette optique, tout passage dans l’année supérieure reste de la compétence de l’école d’origine.</w:t>
                  </w:r>
                </w:p>
                <w:p>
                  <w:pPr>
                    <w:jc w:val="both"/>
                    <w:rPr>
                      <w:rFonts w:cs="Arial"/>
                    </w:rPr>
                  </w:pPr>
                  <w:r>
                    <w:rPr>
                      <w:rFonts w:cs="Arial"/>
                    </w:rPr>
                    <w:t>Lors de sa sortie d’hôpital, aucune formalité particulière n’est à entreprendre si l’enfant retourne vers son école d’origine.</w:t>
                  </w:r>
                </w:p>
                <w:p>
                  <w:bookmarkStart w:id="109" w:name="_1.1.8._Transferts_entre"/>
                  <w:bookmarkStart w:id="110" w:name="_Toc291075476"/>
                  <w:bookmarkStart w:id="111" w:name="_Toc291075900"/>
                  <w:bookmarkStart w:id="112" w:name="_Toc291076324"/>
                  <w:bookmarkStart w:id="113" w:name="_Toc291076748"/>
                  <w:bookmarkStart w:id="114" w:name="_Toc291077172"/>
                  <w:bookmarkStart w:id="115" w:name="_Toc293652015"/>
                  <w:bookmarkStart w:id="116" w:name="_Toc293653597"/>
                  <w:bookmarkStart w:id="117" w:name="_Toc293654208"/>
                  <w:bookmarkStart w:id="118" w:name="_Toc294004788"/>
                  <w:bookmarkStart w:id="119" w:name="_Toc294185284"/>
                  <w:bookmarkStart w:id="120" w:name="_Toc324767150"/>
                  <w:bookmarkStart w:id="121" w:name="_Toc324768008"/>
                  <w:bookmarkEnd w:id="109"/>
                </w:p>
                <w:p>
                  <w:pPr>
                    <w:pStyle w:val="Titre5"/>
                    <w:rPr>
                      <w:rFonts w:eastAsiaTheme="minorHAnsi"/>
                    </w:rPr>
                  </w:pPr>
                  <w:bookmarkStart w:id="122" w:name="_1.1.8._Transferts_entre_1"/>
                  <w:bookmarkEnd w:id="122"/>
                  <w:r>
                    <w:rPr>
                      <w:rFonts w:eastAsiaTheme="minorHAnsi"/>
                    </w:rPr>
                    <w:t>1.1.6. Transferts entre établissements scolaires</w:t>
                  </w:r>
                </w:p>
                <w:p>
                  <w:pPr>
                    <w:rPr>
                      <w:bCs/>
                      <w:color w:val="000000"/>
                    </w:rPr>
                  </w:pPr>
                </w:p>
                <w:p>
                  <w:pPr>
                    <w:pBdr>
                      <w:top w:val="double" w:sz="4" w:space="1" w:color="auto"/>
                      <w:left w:val="double" w:sz="4" w:space="4" w:color="auto"/>
                      <w:bottom w:val="double" w:sz="4" w:space="7" w:color="auto"/>
                      <w:right w:val="double" w:sz="4" w:space="2" w:color="auto"/>
                    </w:pBdr>
                    <w:jc w:val="center"/>
                    <w:rPr>
                      <w:rFonts w:cs="Arial"/>
                      <w:b/>
                    </w:rPr>
                  </w:pPr>
                  <w:r>
                    <w:rPr>
                      <w:rFonts w:cs="Arial"/>
                      <w:b/>
                      <w:u w:val="single"/>
                    </w:rPr>
                    <w:t>Remarque </w:t>
                  </w:r>
                  <w:r>
                    <w:rPr>
                      <w:rFonts w:cs="Arial"/>
                      <w:b/>
                    </w:rPr>
                    <w:t>:</w:t>
                  </w:r>
                </w:p>
                <w:p>
                  <w:pPr>
                    <w:pBdr>
                      <w:top w:val="double" w:sz="4" w:space="1" w:color="auto"/>
                      <w:left w:val="double" w:sz="4" w:space="4" w:color="auto"/>
                      <w:bottom w:val="double" w:sz="4" w:space="7" w:color="auto"/>
                      <w:right w:val="double" w:sz="4" w:space="2" w:color="auto"/>
                    </w:pBdr>
                    <w:jc w:val="both"/>
                    <w:rPr>
                      <w:rFonts w:cs="Arial"/>
                    </w:rPr>
                  </w:pPr>
                  <w:r>
                    <w:rPr>
                      <w:rFonts w:cs="Arial"/>
                      <w:b/>
                    </w:rPr>
                    <w:t>Dans tous les cas</w:t>
                  </w:r>
                  <w:r>
                    <w:rPr>
                      <w:rFonts w:cs="Arial"/>
                    </w:rPr>
                    <w:t xml:space="preserve">, qu’il s’agisse d’un </w:t>
                  </w:r>
                  <w:r>
                    <w:rPr>
                      <w:rFonts w:cs="Arial"/>
                      <w:b/>
                    </w:rPr>
                    <w:t>transfert d’un établissement</w:t>
                  </w:r>
                  <w:r>
                    <w:rPr>
                      <w:rFonts w:cs="Arial"/>
                    </w:rPr>
                    <w:t xml:space="preserve"> d’enseignement </w:t>
                  </w:r>
                  <w:r>
                    <w:rPr>
                      <w:rFonts w:cs="Arial"/>
                      <w:u w:val="single"/>
                    </w:rPr>
                    <w:t>spécialisé</w:t>
                  </w:r>
                  <w:r>
                    <w:rPr>
                      <w:rFonts w:cs="Arial"/>
                    </w:rPr>
                    <w:t xml:space="preserve"> vers un autre établissement d’enseignement </w:t>
                  </w:r>
                  <w:r>
                    <w:rPr>
                      <w:rFonts w:cs="Arial"/>
                      <w:u w:val="single"/>
                    </w:rPr>
                    <w:t>spécialisé</w:t>
                  </w:r>
                  <w:r>
                    <w:rPr>
                      <w:rFonts w:cs="Arial"/>
                    </w:rPr>
                    <w:t xml:space="preserve"> ou d’un transfert d’un établissement d’enseignement </w:t>
                  </w:r>
                  <w:r>
                    <w:rPr>
                      <w:rFonts w:cs="Arial"/>
                      <w:u w:val="single"/>
                    </w:rPr>
                    <w:t>ordinaire</w:t>
                  </w:r>
                  <w:r>
                    <w:rPr>
                      <w:rFonts w:cs="Arial"/>
                    </w:rPr>
                    <w:t xml:space="preserve"> vers un établissement d’enseignement </w:t>
                  </w:r>
                  <w:r>
                    <w:rPr>
                      <w:rFonts w:cs="Arial"/>
                      <w:u w:val="single"/>
                    </w:rPr>
                    <w:t>spécialisé</w:t>
                  </w:r>
                  <w:r>
                    <w:rPr>
                      <w:rFonts w:cs="Arial"/>
                    </w:rPr>
                    <w:t xml:space="preserve">, </w:t>
                  </w:r>
                  <w:r>
                    <w:rPr>
                      <w:rFonts w:cs="Arial"/>
                    </w:rPr>
                    <w:br/>
                  </w:r>
                  <w:r>
                    <w:rPr>
                      <w:rFonts w:cs="Arial"/>
                      <w:b/>
                    </w:rPr>
                    <w:t>la Direction de l’école</w:t>
                  </w:r>
                  <w:r>
                    <w:rPr>
                      <w:rFonts w:cs="Arial"/>
                    </w:rPr>
                    <w:t xml:space="preserve"> </w:t>
                  </w:r>
                  <w:r>
                    <w:rPr>
                      <w:rFonts w:cs="Arial"/>
                      <w:b/>
                    </w:rPr>
                    <w:t xml:space="preserve">d’arrivée </w:t>
                  </w:r>
                  <w:r>
                    <w:rPr>
                      <w:rFonts w:cs="Arial"/>
                    </w:rPr>
                    <w:t>spécialisée</w:t>
                  </w:r>
                  <w:r>
                    <w:rPr>
                      <w:rFonts w:cs="Arial"/>
                      <w:b/>
                    </w:rPr>
                    <w:t xml:space="preserve"> (nouvelle école) </w:t>
                  </w:r>
                  <w:r>
                    <w:rPr>
                      <w:rFonts w:cs="Arial"/>
                      <w:b/>
                      <w:u w:val="single"/>
                    </w:rPr>
                    <w:t>informe le chef de</w:t>
                  </w:r>
                  <w:r>
                    <w:rPr>
                      <w:rFonts w:cs="Arial"/>
                    </w:rPr>
                    <w:t xml:space="preserve"> </w:t>
                  </w:r>
                  <w:r>
                    <w:rPr>
                      <w:rFonts w:cs="Arial"/>
                      <w:b/>
                      <w:u w:val="single"/>
                    </w:rPr>
                    <w:t>l’établissement de départ</w:t>
                  </w:r>
                  <w:r>
                    <w:rPr>
                      <w:rFonts w:cs="Arial"/>
                      <w:b/>
                    </w:rPr>
                    <w:t xml:space="preserve"> (ancienne école) </w:t>
                  </w:r>
                  <w:r>
                    <w:rPr>
                      <w:rFonts w:cs="Arial"/>
                    </w:rPr>
                    <w:t xml:space="preserve">de l’inscription de l’élève. </w:t>
                  </w:r>
                </w:p>
                <w:p>
                  <w:pPr>
                    <w:rPr>
                      <w:bCs/>
                    </w:rPr>
                  </w:pPr>
                </w:p>
                <w:p>
                  <w:pPr>
                    <w:pStyle w:val="Titre6"/>
                  </w:pPr>
                  <w:r>
                    <w:t>1.1.6.1. Transfert d'un élève d'un établissement d'enseignement spécialisé vers un autre établissement d'enseignement spécialisé, nécessité par un changement de type.</w:t>
                  </w:r>
                </w:p>
                <w:p>
                  <w:pPr>
                    <w:pStyle w:val="Pieddepage"/>
                    <w:tabs>
                      <w:tab w:val="clear" w:pos="4819"/>
                      <w:tab w:val="clear" w:pos="9071"/>
                    </w:tabs>
                    <w:rPr>
                      <w:rFonts w:asciiTheme="majorHAnsi" w:hAnsiTheme="majorHAnsi"/>
                      <w:sz w:val="22"/>
                      <w:szCs w:val="22"/>
                    </w:rPr>
                  </w:pPr>
                </w:p>
                <w:p>
                  <w:pPr>
                    <w:jc w:val="both"/>
                    <w:rPr>
                      <w:rFonts w:cs="Arial"/>
                    </w:rPr>
                  </w:pPr>
                  <w:r>
                    <w:rPr>
                      <w:rFonts w:cs="Arial"/>
                    </w:rPr>
                    <w:t xml:space="preserve">En cas de désaccord entre les parties concernées (parents, chef d'établissement, inspection, médecin du Service de Promotion et de Santé à l’école (S.P.S.E).et guidance), la Commission consultative compétente est saisie et donne son avis comme le prévoit l'article 125, 5° du </w:t>
                  </w:r>
                  <w:hyperlink r:id="rId16" w:history="1">
                    <w:r>
                      <w:rPr>
                        <w:rStyle w:val="Lienhypertexte"/>
                        <w:rFonts w:cs="Arial"/>
                      </w:rPr>
                      <w:t>Décret du 3 mars 2004 organisant l'Enseignement spécialisé</w:t>
                    </w:r>
                  </w:hyperlink>
                  <w:r>
                    <w:rPr>
                      <w:rFonts w:cs="Arial"/>
                    </w:rPr>
                    <w:t>. Si les parents ne s’opposent pas à son avis, elle transmet le dossier au Gouvernement, selon la procédure fixée à l'article 128, alinéa 5 du Décret susmentionné.</w:t>
                  </w:r>
                </w:p>
                <w:p>
                  <w:pPr>
                    <w:rPr>
                      <w:b/>
                      <w:u w:val="single"/>
                    </w:rPr>
                  </w:pPr>
                </w:p>
                <w:p>
                  <w:pPr>
                    <w:pStyle w:val="Titre6"/>
                  </w:pPr>
                  <w:bookmarkStart w:id="123" w:name="_1.1.6.2._Transfert_d'un"/>
                  <w:bookmarkEnd w:id="123"/>
                  <w:r>
                    <w:t>1.1.6.2. Transfert d'un élève d'un établissement d'enseignement spécialisé vers un autre établissement d'enseignement spécialisé, sans changement de type.</w:t>
                  </w:r>
                </w:p>
                <w:p>
                  <w:pPr>
                    <w:jc w:val="both"/>
                    <w:rPr>
                      <w:rFonts w:cs="Arial"/>
                    </w:rPr>
                  </w:pPr>
                </w:p>
                <w:p>
                  <w:pPr>
                    <w:jc w:val="both"/>
                    <w:rPr>
                      <w:rFonts w:cs="Arial"/>
                    </w:rPr>
                  </w:pPr>
                </w:p>
                <w:p>
                  <w:pPr>
                    <w:pBdr>
                      <w:right w:val="single" w:sz="4" w:space="4" w:color="auto"/>
                    </w:pBdr>
                    <w:jc w:val="both"/>
                    <w:rPr>
                      <w:i/>
                      <w:spacing w:val="2"/>
                    </w:rPr>
                  </w:pPr>
                  <w:r>
                    <w:rPr>
                      <w:i/>
                      <w:spacing w:val="2"/>
                    </w:rPr>
                    <w:t xml:space="preserve">Base légale </w:t>
                  </w:r>
                </w:p>
                <w:p>
                  <w:pPr>
                    <w:pBdr>
                      <w:right w:val="single" w:sz="4" w:space="4" w:color="auto"/>
                    </w:pBdr>
                    <w:jc w:val="both"/>
                    <w:rPr>
                      <w:i/>
                      <w:spacing w:val="2"/>
                    </w:rPr>
                  </w:pPr>
                  <w:r>
                    <w:rPr>
                      <w:i/>
                      <w:spacing w:val="2"/>
                    </w:rPr>
                    <w:t>Décret du 3 mars 2004 relatif à l’enseignement spécialisé, article 25 bis</w:t>
                  </w:r>
                </w:p>
                <w:p>
                  <w:pPr>
                    <w:pBdr>
                      <w:right w:val="single" w:sz="4" w:space="4" w:color="auto"/>
                    </w:pBdr>
                    <w:jc w:val="both"/>
                    <w:rPr>
                      <w:spacing w:val="2"/>
                    </w:rPr>
                  </w:pPr>
                </w:p>
                <w:p>
                  <w:pPr>
                    <w:pBdr>
                      <w:right w:val="single" w:sz="4" w:space="4" w:color="auto"/>
                    </w:pBdr>
                    <w:jc w:val="both"/>
                    <w:rPr>
                      <w:rFonts w:cs="Arial"/>
                    </w:rPr>
                  </w:pPr>
                  <w:r>
                    <w:rPr>
                      <w:rFonts w:cs="Arial"/>
                    </w:rPr>
                    <w:t xml:space="preserve">Les dispositions qui suivent s'appliquent à tout enfant fréquentant un établissement d’enseignement fondamental spécialisé, organisé ou subventionné par la Fédération Wallonie-Bruxelles. </w:t>
                  </w:r>
                </w:p>
                <w:p>
                  <w:pPr>
                    <w:pBdr>
                      <w:right w:val="single" w:sz="4" w:space="4" w:color="auto"/>
                    </w:pBdr>
                    <w:jc w:val="both"/>
                    <w:rPr>
                      <w:rFonts w:cs="Arial"/>
                    </w:rPr>
                  </w:pPr>
                </w:p>
                <w:p>
                  <w:pPr>
                    <w:pBdr>
                      <w:right w:val="single" w:sz="4" w:space="4" w:color="auto"/>
                    </w:pBdr>
                    <w:jc w:val="both"/>
                    <w:rPr>
                      <w:rFonts w:cs="Arial"/>
                    </w:rPr>
                  </w:pPr>
                  <w:r>
                    <w:rPr>
                      <w:rFonts w:cs="Arial"/>
                    </w:rPr>
                    <w:t>En début d’année scolaire, les directions d’établissement donnent aux parents toutes les informations utiles en matière de changement d’école sans changement de type en cours d’année scolaire.</w:t>
                  </w:r>
                </w:p>
                <w:p>
                  <w:pPr>
                    <w:rPr>
                      <w:rFonts w:cs="Arial"/>
                    </w:rPr>
                  </w:pPr>
                </w:p>
                <w:p>
                  <w:pPr>
                    <w:pStyle w:val="Titre7"/>
                  </w:pPr>
                  <w:bookmarkStart w:id="124" w:name="_1.1.6.2.1_Changement_d’école"/>
                  <w:bookmarkEnd w:id="124"/>
                  <w:r>
                    <w:t>1.1.6.2.1 Changement d’école sans changement de type : principes</w:t>
                  </w:r>
                </w:p>
                <w:p>
                  <w:pPr>
                    <w:pStyle w:val="Paragraphedeliste"/>
                    <w:jc w:val="both"/>
                    <w:rPr>
                      <w:rFonts w:asciiTheme="majorHAnsi" w:eastAsiaTheme="minorHAnsi" w:hAnsiTheme="majorHAnsi"/>
                      <w:sz w:val="22"/>
                      <w:szCs w:val="22"/>
                      <w:lang w:eastAsia="en-US"/>
                    </w:rPr>
                  </w:pPr>
                </w:p>
                <w:p>
                  <w:pPr>
                    <w:jc w:val="both"/>
                    <w:rPr>
                      <w:rFonts w:cs="Arial"/>
                    </w:rPr>
                  </w:pPr>
                  <w:r>
                    <w:rPr>
                      <w:rFonts w:cs="Arial"/>
                    </w:rPr>
                    <w:t xml:space="preserve">Après le 30 septembre d'une année scolaire en cours, un élève régulièrement inscrit dans un établissement d'enseignement fondamental spécialisé peut être inscrit dans un autre établissement d'enseignement fondamental spécialisé qui organise le même type d'enseignement, sur décision de ses parents ou de la personne investie de l'autorité parentale, après avis de la direction de l'établissement spécialisé d'origine. </w:t>
                  </w:r>
                </w:p>
                <w:p>
                  <w:pPr>
                    <w:jc w:val="both"/>
                    <w:rPr>
                      <w:rFonts w:cs="Arial"/>
                    </w:rPr>
                  </w:pPr>
                </w:p>
                <w:p>
                  <w:pPr>
                    <w:jc w:val="both"/>
                    <w:rPr>
                      <w:rFonts w:cs="Arial"/>
                    </w:rPr>
                  </w:pPr>
                  <w:r>
                    <w:rPr>
                      <w:rFonts w:cs="Arial"/>
                    </w:rPr>
                    <w:t>En cas d'avis défavorable de la direction de l'établissement spécialisé d'origine, l'inscription est toutefois possible à la condition d'avoir obtenu un avis de l'organisme chargé de la guidance des élèves de l'établissement spécialisé d'origine.</w:t>
                  </w:r>
                </w:p>
                <w:p>
                  <w:pPr>
                    <w:rPr>
                      <w:rFonts w:cs="Arial"/>
                    </w:rPr>
                  </w:pPr>
                </w:p>
                <w:p>
                  <w:pPr>
                    <w:pBdr>
                      <w:top w:val="single" w:sz="12" w:space="1" w:color="auto"/>
                      <w:left w:val="single" w:sz="12" w:space="4" w:color="auto"/>
                      <w:bottom w:val="single" w:sz="12" w:space="1" w:color="auto"/>
                      <w:right w:val="single" w:sz="12" w:space="4" w:color="auto"/>
                    </w:pBdr>
                    <w:spacing w:after="160" w:line="259" w:lineRule="auto"/>
                    <w:jc w:val="both"/>
                    <w:rPr>
                      <w:rFonts w:cs="Arial"/>
                    </w:rPr>
                  </w:pPr>
                  <w:r>
                    <w:rPr>
                      <w:rFonts w:cs="Arial"/>
                    </w:rPr>
                    <w:t xml:space="preserve">Tout parent qui souhaite changer son enfant devra demander au chef d’établissement de l’établissement d’origine, le formulaire permettant d’introduire la demande de changement d’établissement. Le dossier devra obligatoirement être composé à l’aide des </w:t>
                  </w:r>
                  <w:hyperlink w:anchor="_Annexe_10._Demande" w:history="1">
                    <w:r>
                      <w:rPr>
                        <w:rFonts w:cs="Arial"/>
                      </w:rPr>
                      <w:t xml:space="preserve">annexes … à </w:t>
                    </w:r>
                  </w:hyperlink>
                  <w:r>
                    <w:rPr>
                      <w:rFonts w:cs="Arial"/>
                    </w:rPr>
                    <w:t>…. La direction d’établissement est dans l’obligation de remettre aux parents, les documents nécessaires à la demande, même s’il ne juge pas ce changement opportun.</w:t>
                  </w:r>
                </w:p>
                <w:p>
                  <w:pPr>
                    <w:pStyle w:val="Paragraphedeliste"/>
                    <w:rPr>
                      <w:rFonts w:asciiTheme="majorHAnsi" w:eastAsiaTheme="minorHAnsi" w:hAnsiTheme="majorHAnsi"/>
                      <w:sz w:val="22"/>
                      <w:szCs w:val="22"/>
                      <w:lang w:eastAsia="en-US"/>
                    </w:rPr>
                  </w:pPr>
                </w:p>
                <w:p>
                  <w:pPr>
                    <w:pBdr>
                      <w:right w:val="single" w:sz="4" w:space="1" w:color="auto"/>
                    </w:pBdr>
                    <w:jc w:val="both"/>
                    <w:rPr>
                      <w:rFonts w:cs="Arial"/>
                    </w:rPr>
                  </w:pPr>
                  <w:r>
                    <w:rPr>
                      <w:rFonts w:cs="Arial"/>
                    </w:rPr>
                    <w:t>Lorsqu'un changement d’établissement est demandé après le 30 septembre, la procédure relève, en premier lieu de la direction de l’école fréquentée par l’élève. Elle nécessite l'intervention de l'organisme chargé de la guidance des élèves de l'établissement spécialisé d'origine uniquement en cas d’avis défavorable de cette direction.</w:t>
                  </w:r>
                </w:p>
                <w:p>
                  <w:pPr>
                    <w:pStyle w:val="Paragraphedeliste"/>
                    <w:pBdr>
                      <w:right w:val="single" w:sz="4" w:space="1" w:color="auto"/>
                    </w:pBdr>
                    <w:jc w:val="both"/>
                    <w:rPr>
                      <w:rFonts w:asciiTheme="majorHAnsi" w:eastAsiaTheme="minorHAnsi" w:hAnsiTheme="majorHAnsi"/>
                      <w:sz w:val="22"/>
                      <w:szCs w:val="22"/>
                      <w:lang w:eastAsia="en-US"/>
                    </w:rPr>
                  </w:pPr>
                </w:p>
                <w:p>
                  <w:pPr>
                    <w:pStyle w:val="Paragraphedeliste"/>
                    <w:pBdr>
                      <w:right w:val="single" w:sz="4" w:space="1" w:color="auto"/>
                    </w:pBdr>
                    <w:ind w:left="0"/>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 xml:space="preserve">Si après avoir entendu les parents ou la personne investie de l’autorité parentale, l’avis de la direction est favorable, le changement est autorisé. </w:t>
                  </w:r>
                </w:p>
                <w:p>
                  <w:pPr>
                    <w:pStyle w:val="Paragraphedeliste"/>
                    <w:pBdr>
                      <w:right w:val="single" w:sz="4" w:space="1" w:color="auto"/>
                    </w:pBdr>
                    <w:ind w:left="0"/>
                    <w:jc w:val="both"/>
                    <w:rPr>
                      <w:rFonts w:asciiTheme="majorHAnsi" w:eastAsiaTheme="minorHAnsi" w:hAnsiTheme="majorHAnsi"/>
                      <w:sz w:val="22"/>
                      <w:szCs w:val="22"/>
                      <w:lang w:eastAsia="en-US"/>
                    </w:rPr>
                  </w:pPr>
                </w:p>
                <w:p>
                  <w:pPr>
                    <w:pBdr>
                      <w:right w:val="single" w:sz="4" w:space="1" w:color="auto"/>
                    </w:pBdr>
                    <w:jc w:val="both"/>
                    <w:rPr>
                      <w:rFonts w:cs="Arial"/>
                    </w:rPr>
                  </w:pPr>
                  <w:r>
                    <w:rPr>
                      <w:rFonts w:cs="Arial"/>
                    </w:rPr>
                    <w:t>Si l’avis de la direction de l’établissement est défavorable, elle transmet le dossier dans les</w:t>
                  </w:r>
                  <w:r>
                    <w:rPr>
                      <w:rFonts w:cs="Arial"/>
                    </w:rPr>
                    <w:br/>
                    <w:t>3 jours ouvrables à l'organisme chargé de la guidance des élèves de l'établissement.</w:t>
                  </w:r>
                </w:p>
                <w:p>
                  <w:pPr>
                    <w:pStyle w:val="Paragraphedeliste"/>
                    <w:pBdr>
                      <w:right w:val="single" w:sz="4" w:space="1" w:color="auto"/>
                    </w:pBdr>
                    <w:ind w:left="0"/>
                    <w:jc w:val="both"/>
                    <w:rPr>
                      <w:rFonts w:asciiTheme="majorHAnsi" w:eastAsiaTheme="minorHAnsi" w:hAnsiTheme="majorHAnsi"/>
                      <w:sz w:val="22"/>
                      <w:szCs w:val="22"/>
                      <w:lang w:eastAsia="en-US"/>
                    </w:rPr>
                  </w:pPr>
                </w:p>
                <w:p>
                  <w:pPr>
                    <w:pStyle w:val="Paragraphedeliste"/>
                    <w:pBdr>
                      <w:right w:val="single" w:sz="4" w:space="1" w:color="auto"/>
                    </w:pBdr>
                    <w:ind w:left="0"/>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Cet organisme devra entendre les parents et émettre un avis dans les 10 jours ouvrables de la réception de la demande transmise par la Direction de l’établissement.</w:t>
                  </w:r>
                </w:p>
                <w:p>
                  <w:pPr>
                    <w:pStyle w:val="Paragraphedeliste"/>
                    <w:pBdr>
                      <w:right w:val="single" w:sz="4" w:space="1" w:color="auto"/>
                    </w:pBdr>
                    <w:rPr>
                      <w:rFonts w:asciiTheme="majorHAnsi" w:eastAsiaTheme="minorHAnsi" w:hAnsiTheme="majorHAnsi"/>
                      <w:sz w:val="22"/>
                      <w:szCs w:val="22"/>
                      <w:lang w:eastAsia="en-US"/>
                    </w:rPr>
                  </w:pPr>
                </w:p>
                <w:p>
                  <w:pPr>
                    <w:pStyle w:val="Paragraphedeliste"/>
                    <w:numPr>
                      <w:ilvl w:val="0"/>
                      <w:numId w:val="263"/>
                    </w:numPr>
                    <w:pBdr>
                      <w:right w:val="single" w:sz="4" w:space="1" w:color="auto"/>
                    </w:pBdr>
                    <w:suppressAutoHyphens w:val="0"/>
                    <w:contextualSpacing/>
                    <w:jc w:val="both"/>
                    <w:rPr>
                      <w:rFonts w:asciiTheme="majorHAnsi" w:eastAsiaTheme="minorHAnsi" w:hAnsiTheme="majorHAnsi"/>
                      <w:b/>
                      <w:sz w:val="22"/>
                      <w:szCs w:val="22"/>
                      <w:lang w:eastAsia="en-US"/>
                    </w:rPr>
                  </w:pPr>
                  <w:r>
                    <w:rPr>
                      <w:rFonts w:asciiTheme="majorHAnsi" w:eastAsiaTheme="minorHAnsi" w:hAnsiTheme="majorHAnsi"/>
                      <w:b/>
                      <w:sz w:val="22"/>
                      <w:szCs w:val="22"/>
                      <w:lang w:eastAsia="en-US"/>
                    </w:rPr>
                    <w:t>Procédures à suivre</w:t>
                  </w:r>
                </w:p>
                <w:p>
                  <w:pPr>
                    <w:pBdr>
                      <w:right w:val="single" w:sz="4" w:space="1" w:color="auto"/>
                    </w:pBdr>
                    <w:jc w:val="both"/>
                    <w:rPr>
                      <w:rFonts w:cs="Arial"/>
                    </w:rPr>
                  </w:pPr>
                </w:p>
                <w:p>
                  <w:pPr>
                    <w:pStyle w:val="Paragraphedeliste"/>
                    <w:pBdr>
                      <w:right w:val="single" w:sz="4" w:space="1" w:color="auto"/>
                    </w:pBdr>
                    <w:ind w:left="0"/>
                    <w:jc w:val="both"/>
                    <w:rPr>
                      <w:rFonts w:asciiTheme="majorHAnsi" w:eastAsiaTheme="minorHAnsi" w:hAnsiTheme="majorHAnsi"/>
                      <w:sz w:val="22"/>
                      <w:szCs w:val="22"/>
                      <w:u w:val="single"/>
                      <w:lang w:eastAsia="en-US"/>
                    </w:rPr>
                  </w:pPr>
                  <w:r>
                    <w:rPr>
                      <w:rFonts w:asciiTheme="majorHAnsi" w:eastAsiaTheme="minorHAnsi" w:hAnsiTheme="majorHAnsi"/>
                      <w:sz w:val="22"/>
                      <w:szCs w:val="22"/>
                      <w:u w:val="single"/>
                      <w:lang w:eastAsia="en-US"/>
                    </w:rPr>
                    <w:t>a) Introduction de la demande par les parents/l’élève majeur</w:t>
                  </w:r>
                </w:p>
                <w:p>
                  <w:pPr>
                    <w:pBdr>
                      <w:right w:val="single" w:sz="4" w:space="1" w:color="auto"/>
                    </w:pBdr>
                    <w:jc w:val="both"/>
                    <w:rPr>
                      <w:rFonts w:cs="Arial"/>
                    </w:rPr>
                  </w:pPr>
                </w:p>
                <w:p>
                  <w:pPr>
                    <w:pBdr>
                      <w:right w:val="single" w:sz="4" w:space="1" w:color="auto"/>
                    </w:pBdr>
                    <w:jc w:val="both"/>
                    <w:rPr>
                      <w:rFonts w:cs="Arial"/>
                    </w:rPr>
                  </w:pPr>
                  <w:r>
                    <w:rPr>
                      <w:rFonts w:cs="Arial"/>
                    </w:rPr>
                    <w:t>La demande de changement d’établissement est introduite par les parents de l’élève ou la personne investie de l’autorité parentale, auprès de la direction de l’école dans laquelle l’élève est inscrit (l’école d’origine).</w:t>
                  </w:r>
                </w:p>
                <w:p>
                  <w:pPr>
                    <w:pBdr>
                      <w:right w:val="single" w:sz="4" w:space="1" w:color="auto"/>
                    </w:pBdr>
                    <w:jc w:val="both"/>
                    <w:rPr>
                      <w:rFonts w:cs="Arial"/>
                    </w:rPr>
                  </w:pPr>
                </w:p>
                <w:p>
                  <w:pPr>
                    <w:pBdr>
                      <w:right w:val="single" w:sz="4" w:space="1" w:color="auto"/>
                    </w:pBdr>
                    <w:jc w:val="both"/>
                    <w:rPr>
                      <w:rFonts w:cs="Arial"/>
                    </w:rPr>
                  </w:pPr>
                  <w:r>
                    <w:rPr>
                      <w:rFonts w:cs="Arial"/>
                    </w:rPr>
                    <w:t>Cette demande est introduite à l’aide de la formule I (</w:t>
                  </w:r>
                  <w:hyperlink w:anchor="_Annexe_5_:_1" w:history="1">
                    <w:r>
                      <w:rPr>
                        <w:rStyle w:val="Lienhypertexte"/>
                        <w:rFonts w:cs="Arial"/>
                      </w:rPr>
                      <w:t>Annexe 5</w:t>
                    </w:r>
                  </w:hyperlink>
                  <w:r>
                    <w:rPr>
                      <w:rFonts w:cs="Arial"/>
                    </w:rPr>
                    <w:t xml:space="preserve">), en un exemplaire, accompagnée des documents justificatifs nécessaires ou de tout autre document jugé utile. </w:t>
                  </w:r>
                </w:p>
                <w:p>
                  <w:pPr>
                    <w:pBdr>
                      <w:right w:val="single" w:sz="4" w:space="1" w:color="auto"/>
                    </w:pBdr>
                    <w:jc w:val="both"/>
                    <w:rPr>
                      <w:rFonts w:cs="Arial"/>
                    </w:rPr>
                  </w:pPr>
                </w:p>
                <w:p>
                  <w:pPr>
                    <w:pBdr>
                      <w:right w:val="single" w:sz="4" w:space="1" w:color="auto"/>
                    </w:pBdr>
                    <w:jc w:val="both"/>
                    <w:rPr>
                      <w:rFonts w:cs="Arial"/>
                      <w:u w:val="single"/>
                    </w:rPr>
                  </w:pPr>
                  <w:r>
                    <w:rPr>
                      <w:rFonts w:cs="Arial"/>
                      <w:u w:val="single"/>
                    </w:rPr>
                    <w:t>b) Traitement initial du dossier par la direction de l’école d’origine.</w:t>
                  </w:r>
                </w:p>
                <w:p>
                  <w:pPr>
                    <w:pBdr>
                      <w:right w:val="single" w:sz="4" w:space="1" w:color="auto"/>
                    </w:pBdr>
                    <w:jc w:val="both"/>
                    <w:rPr>
                      <w:rFonts w:cs="Arial"/>
                    </w:rPr>
                  </w:pPr>
                </w:p>
                <w:p>
                  <w:pPr>
                    <w:pStyle w:val="Corpsdetexte"/>
                    <w:rPr>
                      <w:rFonts w:eastAsiaTheme="minorHAnsi"/>
                    </w:rPr>
                  </w:pPr>
                  <w:r>
                    <w:rPr>
                      <w:rFonts w:eastAsiaTheme="minorHAnsi"/>
                    </w:rPr>
                    <w:t>La direction de l’école note la date de réception de la demande complétée par les parents ou par la personne investie de l’autorité parentale au cadre A de la formule I. (</w:t>
                  </w:r>
                  <w:hyperlink w:anchor="_Annexe_5_:_1" w:history="1">
                    <w:r>
                      <w:rPr>
                        <w:rStyle w:val="Lienhypertexte"/>
                        <w:rFonts w:eastAsiaTheme="minorHAnsi" w:cs="Arial"/>
                      </w:rPr>
                      <w:t>Annexe 5</w:t>
                    </w:r>
                  </w:hyperlink>
                  <w:r>
                    <w:rPr>
                      <w:rFonts w:eastAsiaTheme="minorHAnsi"/>
                    </w:rPr>
                    <w:t>).</w:t>
                  </w:r>
                </w:p>
                <w:p>
                  <w:pPr>
                    <w:pBdr>
                      <w:right w:val="single" w:sz="4" w:space="1" w:color="auto"/>
                    </w:pBdr>
                    <w:spacing w:after="80"/>
                    <w:jc w:val="both"/>
                    <w:rPr>
                      <w:rFonts w:cs="Arial"/>
                    </w:rPr>
                  </w:pPr>
                </w:p>
                <w:p>
                  <w:pPr>
                    <w:pBdr>
                      <w:right w:val="single" w:sz="4" w:space="1" w:color="auto"/>
                    </w:pBdr>
                    <w:spacing w:after="80"/>
                    <w:jc w:val="both"/>
                    <w:rPr>
                      <w:rFonts w:cs="Arial"/>
                    </w:rPr>
                  </w:pPr>
                </w:p>
                <w:p>
                  <w:pPr>
                    <w:pStyle w:val="Paragraphedeliste"/>
                    <w:numPr>
                      <w:ilvl w:val="0"/>
                      <w:numId w:val="260"/>
                    </w:numPr>
                    <w:pBdr>
                      <w:right w:val="single" w:sz="4" w:space="1" w:color="auto"/>
                    </w:pBdr>
                    <w:suppressAutoHyphens w:val="0"/>
                    <w:spacing w:after="80"/>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2 cas peuvent se présenter:</w:t>
                  </w:r>
                </w:p>
                <w:p>
                  <w:pPr>
                    <w:pStyle w:val="Corpsdetexte3"/>
                    <w:pBdr>
                      <w:right w:val="single" w:sz="4" w:space="1" w:color="auto"/>
                    </w:pBdr>
                    <w:ind w:hanging="1622"/>
                    <w:jc w:val="both"/>
                    <w:rPr>
                      <w:rFonts w:asciiTheme="majorHAnsi" w:eastAsiaTheme="minorHAnsi" w:hAnsiTheme="majorHAnsi"/>
                      <w:sz w:val="22"/>
                      <w:szCs w:val="22"/>
                      <w:lang w:eastAsia="en-US"/>
                    </w:rPr>
                  </w:pPr>
                </w:p>
                <w:p>
                  <w:pPr>
                    <w:pStyle w:val="Corpsdetexte3"/>
                    <w:pBdr>
                      <w:right w:val="single" w:sz="4" w:space="1" w:color="auto"/>
                    </w:pBdr>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1°) La Direction accepte le changement d’établissement.</w:t>
                  </w:r>
                </w:p>
                <w:p>
                  <w:pPr>
                    <w:pBdr>
                      <w:right w:val="single" w:sz="4" w:space="1" w:color="auto"/>
                    </w:pBdr>
                    <w:jc w:val="both"/>
                    <w:rPr>
                      <w:rFonts w:cs="Arial"/>
                    </w:rPr>
                  </w:pPr>
                  <w:r>
                    <w:rPr>
                      <w:rFonts w:cs="Arial"/>
                    </w:rPr>
                    <w:t>Si la direction de l’école d’origine accepte le changement d’établissement :</w:t>
                  </w:r>
                </w:p>
                <w:p>
                  <w:pPr>
                    <w:pBdr>
                      <w:right w:val="single" w:sz="4" w:space="1" w:color="auto"/>
                    </w:pBdr>
                    <w:jc w:val="both"/>
                    <w:rPr>
                      <w:rFonts w:cs="Arial"/>
                    </w:rPr>
                  </w:pPr>
                </w:p>
                <w:p>
                  <w:pPr>
                    <w:pStyle w:val="Paragraphedeliste"/>
                    <w:numPr>
                      <w:ilvl w:val="0"/>
                      <w:numId w:val="259"/>
                    </w:numPr>
                    <w:pBdr>
                      <w:right w:val="single" w:sz="4" w:space="1" w:color="auto"/>
                    </w:pBdr>
                    <w:suppressAutoHyphens w:val="0"/>
                    <w:spacing w:after="100"/>
                    <w:ind w:left="284" w:hanging="284"/>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elle biffe, au cadre A de la Formule I (</w:t>
                  </w:r>
                  <w:hyperlink w:anchor="_Annexe_5_:_1" w:history="1">
                    <w:r>
                      <w:rPr>
                        <w:rStyle w:val="Lienhypertexte"/>
                        <w:rFonts w:asciiTheme="majorHAnsi" w:eastAsiaTheme="minorHAnsi" w:hAnsiTheme="majorHAnsi" w:cs="Arial"/>
                        <w:sz w:val="22"/>
                        <w:szCs w:val="22"/>
                        <w:lang w:eastAsia="en-US"/>
                      </w:rPr>
                      <w:t>Annexe 5</w:t>
                    </w:r>
                  </w:hyperlink>
                  <w:r>
                    <w:rPr>
                      <w:rFonts w:asciiTheme="majorHAnsi" w:eastAsiaTheme="minorHAnsi" w:hAnsiTheme="majorHAnsi"/>
                      <w:sz w:val="22"/>
                      <w:szCs w:val="22"/>
                      <w:lang w:eastAsia="en-US"/>
                    </w:rPr>
                    <w:t>), la mention « avis défavorable » en conservant la mention « autorisé »;</w:t>
                  </w:r>
                </w:p>
                <w:p>
                  <w:pPr>
                    <w:pStyle w:val="Paragraphedeliste"/>
                    <w:numPr>
                      <w:ilvl w:val="0"/>
                      <w:numId w:val="259"/>
                    </w:numPr>
                    <w:pBdr>
                      <w:right w:val="single" w:sz="4" w:space="1" w:color="auto"/>
                    </w:pBdr>
                    <w:suppressAutoHyphens w:val="0"/>
                    <w:spacing w:after="100"/>
                    <w:ind w:left="284" w:hanging="284"/>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elle complète le cadre B (dernier jour de classe dans l’école de départ);</w:t>
                  </w:r>
                </w:p>
                <w:p>
                  <w:pPr>
                    <w:pStyle w:val="Paragraphedeliste"/>
                    <w:numPr>
                      <w:ilvl w:val="0"/>
                      <w:numId w:val="259"/>
                    </w:numPr>
                    <w:pBdr>
                      <w:right w:val="single" w:sz="4" w:space="1" w:color="auto"/>
                    </w:pBdr>
                    <w:suppressAutoHyphens w:val="0"/>
                    <w:spacing w:after="100"/>
                    <w:ind w:left="284" w:hanging="284"/>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dans les 3 jours ouvrables qui suivent la réception de la demande, elle remet l’original de la formule I aux parents afin qu’ils puissent procéder à l’inscription de l’élève dans le nouvel établissement (l’école conserve une copie de tous les documents dans ses propres archives et les tient à disposition du service de la Vérification).</w:t>
                  </w:r>
                </w:p>
                <w:p>
                  <w:pPr>
                    <w:pBdr>
                      <w:right w:val="single" w:sz="4" w:space="1" w:color="auto"/>
                    </w:pBdr>
                    <w:rPr>
                      <w:rFonts w:cs="Arial"/>
                    </w:rPr>
                  </w:pPr>
                </w:p>
                <w:p>
                  <w:pPr>
                    <w:pStyle w:val="Corpsdetexte3"/>
                    <w:pBdr>
                      <w:right w:val="single" w:sz="4" w:space="1" w:color="auto"/>
                    </w:pBdr>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2°) La direction n’accepte pas le changement d’établissement.</w:t>
                  </w:r>
                </w:p>
                <w:p>
                  <w:pPr>
                    <w:pStyle w:val="Corpsdetexte3"/>
                    <w:pBdr>
                      <w:right w:val="single" w:sz="4" w:space="1" w:color="auto"/>
                    </w:pBdr>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 xml:space="preserve">Après avoir entendu les parents, la Direction s’oppose au changement : </w:t>
                  </w:r>
                </w:p>
                <w:p>
                  <w:pPr>
                    <w:numPr>
                      <w:ilvl w:val="0"/>
                      <w:numId w:val="258"/>
                    </w:numPr>
                    <w:pBdr>
                      <w:right w:val="single" w:sz="4" w:space="1" w:color="auto"/>
                    </w:pBdr>
                    <w:tabs>
                      <w:tab w:val="num" w:pos="901"/>
                    </w:tabs>
                    <w:ind w:left="284" w:hanging="284"/>
                    <w:jc w:val="both"/>
                    <w:rPr>
                      <w:rFonts w:cs="Arial"/>
                    </w:rPr>
                  </w:pPr>
                  <w:r>
                    <w:rPr>
                      <w:rFonts w:cs="Arial"/>
                    </w:rPr>
                    <w:t>elle remet son avis en biffant au cadre A de la formule I (</w:t>
                  </w:r>
                  <w:hyperlink w:anchor="_Annexe_5_:_1" w:history="1">
                    <w:r>
                      <w:rPr>
                        <w:rStyle w:val="Lienhypertexte"/>
                        <w:rFonts w:cs="Arial"/>
                      </w:rPr>
                      <w:t>Annexe 5</w:t>
                    </w:r>
                  </w:hyperlink>
                  <w:r>
                    <w:rPr>
                      <w:rFonts w:cs="Arial"/>
                    </w:rPr>
                    <w:t>) la mention « autorisé » en conservant la mention « avis défavorable »;</w:t>
                  </w:r>
                </w:p>
                <w:p>
                  <w:pPr>
                    <w:numPr>
                      <w:ilvl w:val="0"/>
                      <w:numId w:val="258"/>
                    </w:numPr>
                    <w:pBdr>
                      <w:right w:val="single" w:sz="4" w:space="1" w:color="auto"/>
                    </w:pBdr>
                    <w:tabs>
                      <w:tab w:val="num" w:pos="901"/>
                    </w:tabs>
                    <w:spacing w:before="240"/>
                    <w:ind w:left="284" w:hanging="284"/>
                    <w:jc w:val="both"/>
                    <w:rPr>
                      <w:rFonts w:cs="Arial"/>
                    </w:rPr>
                  </w:pPr>
                  <w:r>
                    <w:rPr>
                      <w:rFonts w:cs="Arial"/>
                    </w:rPr>
                    <w:t>elle complète la formule II (</w:t>
                  </w:r>
                  <w:hyperlink w:anchor="_Annexe_5bis_:" w:history="1">
                    <w:r>
                      <w:rPr>
                        <w:rStyle w:val="Lienhypertexte"/>
                        <w:rFonts w:cs="Arial"/>
                      </w:rPr>
                      <w:t>Annexe 5bis</w:t>
                    </w:r>
                  </w:hyperlink>
                  <w:r>
                    <w:rPr>
                      <w:rFonts w:cs="Arial"/>
                    </w:rPr>
                    <w:t>) en justifiant son avis de manière circonstanciée;</w:t>
                  </w:r>
                </w:p>
                <w:p>
                  <w:pPr>
                    <w:pBdr>
                      <w:right w:val="single" w:sz="4" w:space="1" w:color="auto"/>
                    </w:pBdr>
                    <w:tabs>
                      <w:tab w:val="num" w:pos="901"/>
                    </w:tabs>
                    <w:ind w:left="284" w:hanging="284"/>
                    <w:jc w:val="both"/>
                    <w:rPr>
                      <w:rFonts w:cs="Arial"/>
                    </w:rPr>
                  </w:pPr>
                  <w:r>
                    <w:rPr>
                      <w:rFonts w:cs="Arial"/>
                    </w:rPr>
                    <w:t>-</w:t>
                  </w:r>
                  <w:r>
                    <w:rPr>
                      <w:rFonts w:cs="Arial"/>
                    </w:rPr>
                    <w:tab/>
                    <w:t>elle transmet à l'organisme chargé de la guidance des élèves de l'établissement, la formule I originale, la formule II originale, ainsi que les documents annexes éventuels dans les</w:t>
                  </w:r>
                  <w:r>
                    <w:rPr>
                      <w:rFonts w:cs="Arial"/>
                    </w:rPr>
                    <w:br/>
                    <w:t>3 jours ouvrables qui suivent la réception de la demande des parents.</w:t>
                  </w:r>
                </w:p>
                <w:p>
                  <w:pPr>
                    <w:pBdr>
                      <w:right w:val="single" w:sz="4" w:space="1" w:color="auto"/>
                    </w:pBdr>
                    <w:jc w:val="both"/>
                    <w:rPr>
                      <w:rFonts w:cs="Arial"/>
                    </w:rPr>
                  </w:pPr>
                </w:p>
                <w:p>
                  <w:pPr>
                    <w:pBdr>
                      <w:right w:val="single" w:sz="4" w:space="1" w:color="auto"/>
                    </w:pBdr>
                    <w:jc w:val="both"/>
                    <w:rPr>
                      <w:rFonts w:cs="Arial"/>
                    </w:rPr>
                  </w:pPr>
                  <w:r>
                    <w:rPr>
                      <w:rFonts w:cs="Arial"/>
                    </w:rPr>
                    <w:t>c) Traitement du dossier par l'organisme chargé de la guidance des élèves de l'établissement spécialisé d'origine.</w:t>
                  </w:r>
                </w:p>
                <w:p>
                  <w:pPr>
                    <w:pBdr>
                      <w:right w:val="single" w:sz="4" w:space="1" w:color="auto"/>
                    </w:pBdr>
                    <w:jc w:val="both"/>
                    <w:rPr>
                      <w:rFonts w:cs="Arial"/>
                    </w:rPr>
                  </w:pPr>
                </w:p>
                <w:p>
                  <w:pPr>
                    <w:pBdr>
                      <w:right w:val="single" w:sz="4" w:space="1" w:color="auto"/>
                    </w:pBdr>
                    <w:jc w:val="both"/>
                    <w:rPr>
                      <w:rFonts w:cs="Arial"/>
                    </w:rPr>
                  </w:pPr>
                  <w:r>
                    <w:rPr>
                      <w:rFonts w:cs="Arial"/>
                    </w:rPr>
                    <w:t xml:space="preserve">Après avoir entendu les parents dans </w:t>
                  </w:r>
                  <w:r>
                    <w:rPr>
                      <w:rFonts w:cs="Arial"/>
                      <w:b/>
                    </w:rPr>
                    <w:t>les 10 jours ouvrables</w:t>
                  </w:r>
                  <w:r>
                    <w:rPr>
                      <w:rFonts w:cs="Arial"/>
                    </w:rPr>
                    <w:t xml:space="preserve"> à dater de la réception de la demande transmise par la Direction de l’établissement, l’organisme chargé de la guidance des élèves remet son avis au sein du cadre D de la formule I (</w:t>
                  </w:r>
                  <w:hyperlink w:anchor="_Annexe_5_:_1" w:history="1">
                    <w:r>
                      <w:rPr>
                        <w:rStyle w:val="Lienhypertexte"/>
                        <w:rFonts w:cs="Arial"/>
                      </w:rPr>
                      <w:t>Annexe 5</w:t>
                    </w:r>
                  </w:hyperlink>
                  <w:r>
                    <w:rPr>
                      <w:rFonts w:cs="Arial"/>
                    </w:rPr>
                    <w:t>).</w:t>
                  </w:r>
                </w:p>
                <w:p>
                  <w:pPr>
                    <w:pBdr>
                      <w:right w:val="single" w:sz="4" w:space="1" w:color="auto"/>
                    </w:pBdr>
                    <w:jc w:val="both"/>
                    <w:rPr>
                      <w:rFonts w:cs="Arial"/>
                    </w:rPr>
                  </w:pPr>
                </w:p>
                <w:p>
                  <w:pPr>
                    <w:pBdr>
                      <w:right w:val="single" w:sz="4" w:space="1" w:color="auto"/>
                    </w:pBdr>
                    <w:jc w:val="both"/>
                    <w:rPr>
                      <w:rFonts w:cs="Arial"/>
                    </w:rPr>
                  </w:pPr>
                  <w:r>
                    <w:rPr>
                      <w:rFonts w:cs="Arial"/>
                    </w:rPr>
                    <w:t xml:space="preserve">Celui-ci renvoie immédiatement la formule I à la Direction de l’école d’origine. </w:t>
                  </w:r>
                </w:p>
                <w:p>
                  <w:pPr>
                    <w:pBdr>
                      <w:right w:val="single" w:sz="4" w:space="1" w:color="auto"/>
                    </w:pBdr>
                    <w:jc w:val="both"/>
                    <w:rPr>
                      <w:rFonts w:cs="Arial"/>
                    </w:rPr>
                  </w:pPr>
                </w:p>
                <w:p>
                  <w:pPr>
                    <w:pBdr>
                      <w:right w:val="single" w:sz="4" w:space="1" w:color="auto"/>
                    </w:pBdr>
                    <w:jc w:val="both"/>
                    <w:rPr>
                      <w:rFonts w:cs="Arial"/>
                    </w:rPr>
                  </w:pPr>
                  <w:r>
                    <w:rPr>
                      <w:rFonts w:cs="Arial"/>
                    </w:rPr>
                    <w:t>d) Traitement final du dossier par la direction de l’école d’origine (après intervention de l’organisme chargé de la guidance des élèves).</w:t>
                  </w:r>
                </w:p>
                <w:p>
                  <w:pPr>
                    <w:pBdr>
                      <w:right w:val="single" w:sz="4" w:space="1" w:color="auto"/>
                    </w:pBdr>
                    <w:jc w:val="both"/>
                    <w:rPr>
                      <w:rFonts w:cs="Arial"/>
                    </w:rPr>
                  </w:pPr>
                </w:p>
                <w:p>
                  <w:pPr>
                    <w:pBdr>
                      <w:right w:val="single" w:sz="4" w:space="1" w:color="auto"/>
                    </w:pBdr>
                    <w:jc w:val="both"/>
                    <w:rPr>
                      <w:rFonts w:cs="Arial"/>
                    </w:rPr>
                  </w:pPr>
                  <w:r>
                    <w:rPr>
                      <w:rFonts w:cs="Arial"/>
                    </w:rPr>
                    <w:t>Après retour du dossier, la direction de l’école d’origine :</w:t>
                  </w:r>
                </w:p>
                <w:p>
                  <w:pPr>
                    <w:pStyle w:val="Paragraphedeliste"/>
                    <w:numPr>
                      <w:ilvl w:val="0"/>
                      <w:numId w:val="261"/>
                    </w:numPr>
                    <w:pBdr>
                      <w:right w:val="single" w:sz="4" w:space="1" w:color="auto"/>
                    </w:pBdr>
                    <w:suppressAutoHyphens w:val="0"/>
                    <w:ind w:left="142" w:hanging="142"/>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complète le cadre B de la formule I (</w:t>
                  </w:r>
                  <w:hyperlink w:anchor="_Annexe_5_:_1" w:history="1">
                    <w:r>
                      <w:rPr>
                        <w:rStyle w:val="Lienhypertexte"/>
                        <w:rFonts w:asciiTheme="majorHAnsi" w:eastAsiaTheme="minorHAnsi" w:hAnsiTheme="majorHAnsi" w:cs="Arial"/>
                        <w:sz w:val="22"/>
                        <w:szCs w:val="22"/>
                        <w:lang w:eastAsia="en-US"/>
                      </w:rPr>
                      <w:t>Annexe 5</w:t>
                    </w:r>
                  </w:hyperlink>
                  <w:r>
                    <w:rPr>
                      <w:rFonts w:asciiTheme="majorHAnsi" w:eastAsiaTheme="minorHAnsi" w:hAnsiTheme="majorHAnsi"/>
                      <w:sz w:val="22"/>
                      <w:szCs w:val="22"/>
                      <w:lang w:eastAsia="en-US"/>
                    </w:rPr>
                    <w:t>);</w:t>
                  </w:r>
                </w:p>
                <w:p>
                  <w:pPr>
                    <w:pStyle w:val="Paragraphedeliste"/>
                    <w:numPr>
                      <w:ilvl w:val="0"/>
                      <w:numId w:val="261"/>
                    </w:numPr>
                    <w:pBdr>
                      <w:right w:val="single" w:sz="4" w:space="1" w:color="auto"/>
                    </w:pBdr>
                    <w:suppressAutoHyphens w:val="0"/>
                    <w:ind w:left="142" w:hanging="142"/>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remet immédiatement la formule I originale aux parents afin qu’ils puissent procéder à l’inscription de l’élève dans le nouvel établissement (et conserve une copie dans ses propres archives et les tient à disposition du service de la Vérification).</w:t>
                  </w:r>
                </w:p>
                <w:p>
                  <w:pPr>
                    <w:pBdr>
                      <w:right w:val="single" w:sz="4" w:space="1" w:color="auto"/>
                    </w:pBdr>
                    <w:rPr>
                      <w:rFonts w:cs="Arial"/>
                    </w:rPr>
                  </w:pPr>
                </w:p>
                <w:p>
                  <w:pPr>
                    <w:pBdr>
                      <w:right w:val="single" w:sz="4" w:space="1" w:color="auto"/>
                    </w:pBdr>
                    <w:jc w:val="both"/>
                    <w:rPr>
                      <w:rFonts w:cs="Arial"/>
                    </w:rPr>
                  </w:pPr>
                  <w:r>
                    <w:rPr>
                      <w:rFonts w:cs="Arial"/>
                    </w:rPr>
                    <w:t>Si dans un délai de 10 jours suivant la remise du formulaire autorisant le changement aux parents, aucune information concernant l’inscription de l’élève dans la nouvelle école ne peut être obtenue par la Direction de l’école d’origine, celle-ci prend contact avec le service de l’obligation scolaire (</w:t>
                  </w:r>
                  <w:hyperlink r:id="rId17" w:history="1">
                    <w:r>
                      <w:rPr>
                        <w:rFonts w:cs="Arial"/>
                      </w:rPr>
                      <w:t>obsi@cfwb.be</w:t>
                    </w:r>
                  </w:hyperlink>
                  <w:r>
                    <w:rPr>
                      <w:rFonts w:cs="Arial"/>
                    </w:rPr>
                    <w:t>).</w:t>
                  </w:r>
                </w:p>
                <w:p>
                  <w:pPr>
                    <w:pBdr>
                      <w:right w:val="single" w:sz="4" w:space="1" w:color="auto"/>
                    </w:pBdr>
                    <w:jc w:val="both"/>
                    <w:rPr>
                      <w:rFonts w:cs="Arial"/>
                    </w:rPr>
                  </w:pPr>
                </w:p>
                <w:p>
                  <w:pPr>
                    <w:pBdr>
                      <w:right w:val="single" w:sz="4" w:space="1" w:color="auto"/>
                    </w:pBdr>
                    <w:jc w:val="both"/>
                    <w:rPr>
                      <w:rFonts w:cs="Arial"/>
                    </w:rPr>
                  </w:pPr>
                  <w:r>
                    <w:rPr>
                      <w:rFonts w:cs="Arial"/>
                    </w:rPr>
                    <w:t>e) Intervention de la direction du nouvel établissement d’enseignement spécialisé</w:t>
                  </w:r>
                </w:p>
                <w:p>
                  <w:pPr>
                    <w:pBdr>
                      <w:right w:val="single" w:sz="4" w:space="1" w:color="auto"/>
                    </w:pBdr>
                    <w:jc w:val="both"/>
                    <w:rPr>
                      <w:rFonts w:cs="Arial"/>
                    </w:rPr>
                  </w:pPr>
                </w:p>
                <w:p>
                  <w:pPr>
                    <w:pBdr>
                      <w:right w:val="single" w:sz="4" w:space="1" w:color="auto"/>
                    </w:pBdr>
                    <w:jc w:val="both"/>
                    <w:rPr>
                      <w:rFonts w:cs="Arial"/>
                    </w:rPr>
                  </w:pPr>
                  <w:r>
                    <w:rPr>
                      <w:rFonts w:cs="Arial"/>
                    </w:rPr>
                    <w:t>La direction ne peut accepter l’élève que lorsqu’il est en possession de la formule autorisant le changement d’établissement.</w:t>
                  </w:r>
                </w:p>
                <w:p>
                  <w:pPr>
                    <w:jc w:val="both"/>
                    <w:rPr>
                      <w:rFonts w:cs="Arial"/>
                    </w:rPr>
                  </w:pPr>
                </w:p>
                <w:p>
                  <w:pPr>
                    <w:jc w:val="both"/>
                    <w:rPr>
                      <w:rFonts w:cs="Arial"/>
                    </w:rPr>
                  </w:pPr>
                </w:p>
                <w:p>
                  <w:pPr>
                    <w:jc w:val="both"/>
                    <w:rPr>
                      <w:rFonts w:cs="Arial"/>
                    </w:rPr>
                  </w:pPr>
                </w:p>
                <w:p>
                  <w:pPr>
                    <w:pBdr>
                      <w:right w:val="single" w:sz="4" w:space="1" w:color="auto"/>
                    </w:pBdr>
                    <w:jc w:val="both"/>
                    <w:rPr>
                      <w:rFonts w:cs="Arial"/>
                    </w:rPr>
                  </w:pPr>
                  <w:r>
                    <w:rPr>
                      <w:rFonts w:cs="Arial"/>
                    </w:rPr>
                    <w:t xml:space="preserve">La direction du nouvel établissement </w:t>
                  </w:r>
                </w:p>
                <w:p>
                  <w:pPr>
                    <w:pBdr>
                      <w:right w:val="single" w:sz="4" w:space="1" w:color="auto"/>
                    </w:pBdr>
                    <w:jc w:val="both"/>
                    <w:rPr>
                      <w:rFonts w:cs="Arial"/>
                    </w:rPr>
                  </w:pPr>
                </w:p>
                <w:p>
                  <w:pPr>
                    <w:pStyle w:val="Paragraphedeliste"/>
                    <w:numPr>
                      <w:ilvl w:val="0"/>
                      <w:numId w:val="262"/>
                    </w:numPr>
                    <w:pBdr>
                      <w:right w:val="single" w:sz="4" w:space="1" w:color="auto"/>
                    </w:pBdr>
                    <w:suppressAutoHyphens w:val="0"/>
                    <w:ind w:left="284" w:hanging="284"/>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complète le cadre C de la formule I (premier jour de classe dans la nouvelle école) (</w:t>
                  </w:r>
                  <w:hyperlink w:anchor="_Annexe_5_:_1" w:history="1">
                    <w:r>
                      <w:rPr>
                        <w:rStyle w:val="Lienhypertexte"/>
                        <w:rFonts w:asciiTheme="majorHAnsi" w:eastAsiaTheme="minorHAnsi" w:hAnsiTheme="majorHAnsi" w:cs="Arial"/>
                        <w:sz w:val="22"/>
                        <w:szCs w:val="22"/>
                        <w:lang w:eastAsia="en-US"/>
                      </w:rPr>
                      <w:t>Annexe 5</w:t>
                    </w:r>
                  </w:hyperlink>
                  <w:r>
                    <w:rPr>
                      <w:rFonts w:asciiTheme="majorHAnsi" w:eastAsiaTheme="minorHAnsi" w:hAnsiTheme="majorHAnsi"/>
                      <w:sz w:val="22"/>
                      <w:szCs w:val="22"/>
                      <w:lang w:eastAsia="en-US"/>
                    </w:rPr>
                    <w:t>) ;</w:t>
                  </w:r>
                </w:p>
                <w:p>
                  <w:pPr>
                    <w:pStyle w:val="Paragraphedeliste"/>
                    <w:numPr>
                      <w:ilvl w:val="0"/>
                      <w:numId w:val="262"/>
                    </w:numPr>
                    <w:pBdr>
                      <w:right w:val="single" w:sz="4" w:space="1" w:color="auto"/>
                    </w:pBdr>
                    <w:suppressAutoHyphens w:val="0"/>
                    <w:ind w:left="284" w:hanging="284"/>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transmet une copie de formule I complétée par ses soins à la direction de l’école d’origine.</w:t>
                  </w:r>
                </w:p>
                <w:p>
                  <w:pPr>
                    <w:rPr>
                      <w:rFonts w:cs="Arial"/>
                    </w:rPr>
                  </w:pPr>
                </w:p>
                <w:p>
                  <w:pPr>
                    <w:rPr>
                      <w:rFonts w:cs="Arial"/>
                    </w:rPr>
                  </w:pPr>
                </w:p>
                <w:p>
                  <w:pPr>
                    <w:pStyle w:val="Titre6"/>
                  </w:pPr>
                  <w:r>
                    <w:t>1.1.6.3. Transfert d'un élève d’un établissement d'enseignement ordinaire vers un établissement d'enseignement spécialisé.</w:t>
                  </w:r>
                </w:p>
                <w:p>
                  <w:pPr>
                    <w:jc w:val="both"/>
                    <w:rPr>
                      <w:rFonts w:cs="Arial"/>
                    </w:rPr>
                  </w:pPr>
                </w:p>
                <w:p>
                  <w:pPr>
                    <w:pStyle w:val="Corpsdetexte"/>
                  </w:pPr>
                  <w:r>
                    <w:t xml:space="preserve">Le chef de l'établissement d'enseignement spécialisé admettra l'élève à tout moment de l'année pour autant que celui-ci réponde à toutes les conditions d'admission </w:t>
                  </w:r>
                  <w:r>
                    <w:br/>
                    <w:t>(cfr. Chapitre 15).</w:t>
                  </w:r>
                </w:p>
                <w:p>
                  <w:pPr>
                    <w:jc w:val="both"/>
                    <w:rPr>
                      <w:rFonts w:cs="Arial"/>
                    </w:rPr>
                  </w:pPr>
                  <w:r>
                    <w:rPr>
                      <w:rFonts w:cs="Arial"/>
                    </w:rPr>
                    <w:t xml:space="preserve">En cas de désaccord entre les parties concernées (parents, chef de l'établissement d'enseignement ordinaire, inspection, médecin du Service de Promotion et de Santé à l’école (S.P.S.E), et guidance), la Commission consultative compétente est saisie et donne son avis comme le prévoit l'article 125, 3° du </w:t>
                  </w:r>
                  <w:hyperlink r:id="rId18" w:history="1">
                    <w:r>
                      <w:rPr>
                        <w:rStyle w:val="Lienhypertexte"/>
                        <w:rFonts w:cs="Arial"/>
                      </w:rPr>
                      <w:t>Décret du 3 mars 2004 organisant l'Enseignement spécialisé</w:t>
                    </w:r>
                  </w:hyperlink>
                  <w:r>
                    <w:rPr>
                      <w:rFonts w:cs="Arial"/>
                    </w:rPr>
                    <w:t xml:space="preserve">. </w:t>
                  </w:r>
                </w:p>
                <w:p>
                  <w:pPr>
                    <w:jc w:val="both"/>
                    <w:rPr>
                      <w:rFonts w:cs="Arial"/>
                    </w:rPr>
                  </w:pPr>
                </w:p>
                <w:p>
                  <w:pPr>
                    <w:jc w:val="both"/>
                    <w:rPr>
                      <w:rFonts w:cs="Arial"/>
                    </w:rPr>
                  </w:pPr>
                  <w:r>
                    <w:rPr>
                      <w:rFonts w:cs="Arial"/>
                    </w:rPr>
                    <w:t>Si les parents ne réagissent pas à l’avis de la Commission consultative, celle-ci transmet le dossier au Gouvernement, selon la procédure fixée à l'article 128 alinéa 5 du Décret précité.</w:t>
                  </w:r>
                </w:p>
                <w:p>
                  <w:bookmarkStart w:id="125" w:name="_1.1.8.3_Transfert_d'un"/>
                  <w:bookmarkEnd w:id="125"/>
                </w:p>
                <w:p>
                  <w:pPr>
                    <w:pStyle w:val="Titre6"/>
                  </w:pPr>
                  <w:r>
                    <w:rPr>
                      <w:rFonts w:cstheme="minorBidi"/>
                    </w:rPr>
                    <w:t>1.1.6.4. Transfert d’un</w:t>
                  </w:r>
                  <w:r>
                    <w:t xml:space="preserve"> élève d’un établissement d’enseignement spécialisé vers un établissement d’enseignement fondamental ordinaire.</w:t>
                  </w:r>
                </w:p>
                <w:p>
                  <w:pPr>
                    <w:jc w:val="both"/>
                    <w:rPr>
                      <w:rFonts w:cs="Arial"/>
                    </w:rPr>
                  </w:pPr>
                </w:p>
                <w:p>
                  <w:pPr>
                    <w:jc w:val="both"/>
                    <w:rPr>
                      <w:rFonts w:cs="Arial"/>
                    </w:rPr>
                  </w:pPr>
                  <w:r>
                    <w:rPr>
                      <w:rFonts w:cs="Arial"/>
                    </w:rPr>
                    <w:t>Un élève régulièrement inscrit dans un établissement d’enseignement fondamental spécialisé peut être inscrit dans l’enseignement fondamental ordinaire sur décision de ses parents ou de la personne investie de l’autorité parentale, à la condition toutefois que la/les personne(s) légalement responsable(s) de l’enfant ai(en)t obtenu un avis motivé du Centre PMS qui assure la guidance dans l’établissement spécialisé concerné. Cet avis est nécessaire mais non contraignant. Il sera remis au chef d’établissement d’enseignement ordinaire qui accueillera l’élève.</w:t>
                  </w:r>
                </w:p>
                <w:p>
                  <w:pPr>
                    <w:jc w:val="both"/>
                    <w:rPr>
                      <w:rFonts w:cs="Arial"/>
                    </w:rPr>
                  </w:pPr>
                </w:p>
                <w:p>
                  <w:pPr>
                    <w:jc w:val="both"/>
                    <w:rPr>
                      <w:rFonts w:cs="Arial"/>
                    </w:rPr>
                  </w:pPr>
                  <w:r>
                    <w:rPr>
                      <w:rFonts w:cs="Arial"/>
                    </w:rPr>
                    <w:t>Le Centre PMS de l’école d’enseignement spécialisé transmet le dossier de l’élève ou un rapport technique au CPMS qui sera chargé de poursuivre la guidance dans l’enseignement ordinaire.</w:t>
                  </w:r>
                </w:p>
                <w:p>
                  <w:pPr>
                    <w:jc w:val="both"/>
                    <w:rPr>
                      <w:rFonts w:cs="Arial"/>
                    </w:rPr>
                  </w:pPr>
                  <w:r>
                    <w:rPr>
                      <w:rFonts w:cs="Arial"/>
                    </w:rPr>
                    <w:t>Dans ce dossier ou ce rapport, l’évolution de l’enfant durant son passage dans l’enseignement spécialisé sera décrite avec un maximum de précision.</w:t>
                  </w:r>
                </w:p>
                <w:p>
                  <w:pPr>
                    <w:jc w:val="both"/>
                    <w:rPr>
                      <w:rFonts w:cs="Arial"/>
                    </w:rPr>
                  </w:pPr>
                </w:p>
                <w:p>
                  <w:pPr>
                    <w:pStyle w:val="Corpsdetexte"/>
                    <w:rPr>
                      <w:rFonts w:eastAsiaTheme="minorHAnsi"/>
                      <w:lang w:eastAsia="en-US"/>
                    </w:rPr>
                  </w:pPr>
                  <w:r>
                    <w:t xml:space="preserve">En vertu de l’article 125, 4°, du </w:t>
                  </w:r>
                  <w:hyperlink r:id="rId19" w:history="1">
                    <w:r>
                      <w:rPr>
                        <w:rStyle w:val="Lienhypertexte"/>
                        <w:b/>
                      </w:rPr>
                      <w:t>Décret du 3 mars 2004 organisant l’Enseignement spécialisé</w:t>
                    </w:r>
                  </w:hyperlink>
                  <w:r>
                    <w:t>, t</w:t>
                  </w:r>
                  <w:r>
                    <w:rPr>
                      <w:rFonts w:eastAsiaTheme="minorHAnsi"/>
                      <w:lang w:eastAsia="en-US"/>
                    </w:rPr>
                    <w:t>out chef d’établissement d’enseignement spécialisé ou le Service général de l’Inspection peut saisir la Commission consultative de l’enseignement spécialisé lorsqu’il estime que le passage de l’enseignement spécialisé vers l’enseignement ordinaire pourrait nuire gravement aux intérêts et à l’éducation de l’élève transféré.</w:t>
                  </w:r>
                </w:p>
                <w:p>
                  <w:pPr>
                    <w:jc w:val="both"/>
                    <w:rPr>
                      <w:rFonts w:cs="Arial"/>
                    </w:rPr>
                  </w:pPr>
                </w:p>
                <w:p>
                  <w:pPr>
                    <w:jc w:val="both"/>
                    <w:rPr>
                      <w:rFonts w:cs="Arial"/>
                    </w:rPr>
                  </w:pPr>
                  <w:r>
                    <w:rPr>
                      <w:rFonts w:cs="Arial"/>
                    </w:rPr>
                    <w:t>Dès réception de la présente circulaire, tous les chefs d’établissement d’enseignement spécialisé sont invités à porter les informations reprises ci-dessus, à la connaissance des personnes qui pourraient être concernées par ces mesures. Toutes les dispositions seront également prises pour que les CPMS qui assurent la guidance des élèves dans l’enseignement spécialisé soient avertis suffisamment tôt des demandes qu’ils auraient à traiter.</w:t>
                  </w:r>
                  <w:bookmarkStart w:id="126" w:name="_1.1.8.4._Transfert_d'un"/>
                  <w:bookmarkEnd w:id="126"/>
                </w:p>
                <w:p>
                  <w:pPr>
                    <w:rPr>
                      <w:rFonts w:cs="Arial"/>
                    </w:rPr>
                  </w:pPr>
                </w:p>
                <w:p>
                  <w:pPr>
                    <w:pStyle w:val="Titre6"/>
                  </w:pPr>
                  <w:bookmarkStart w:id="127" w:name="_1.1.7._Changement_d’école"/>
                  <w:bookmarkStart w:id="128" w:name="_1.1.7._Conditions_d’admission"/>
                  <w:bookmarkStart w:id="129" w:name="_1.1.8.5._Transfert_d'un"/>
                  <w:bookmarkStart w:id="130" w:name="_Toc291075477"/>
                  <w:bookmarkStart w:id="131" w:name="_Toc291075901"/>
                  <w:bookmarkStart w:id="132" w:name="_Toc291076325"/>
                  <w:bookmarkStart w:id="133" w:name="_Toc291076749"/>
                  <w:bookmarkStart w:id="134" w:name="_Toc291077173"/>
                  <w:bookmarkStart w:id="135" w:name="_Toc293652016"/>
                  <w:bookmarkStart w:id="136" w:name="_Toc293653598"/>
                  <w:bookmarkStart w:id="137" w:name="_Toc293654209"/>
                  <w:bookmarkStart w:id="138" w:name="_Toc294004789"/>
                  <w:bookmarkStart w:id="139" w:name="_Toc294185285"/>
                  <w:bookmarkStart w:id="140" w:name="_Toc324767151"/>
                  <w:bookmarkStart w:id="141" w:name="_Toc324768009"/>
                  <w:bookmarkEnd w:id="110"/>
                  <w:bookmarkEnd w:id="111"/>
                  <w:bookmarkEnd w:id="112"/>
                  <w:bookmarkEnd w:id="113"/>
                  <w:bookmarkEnd w:id="114"/>
                  <w:bookmarkEnd w:id="115"/>
                  <w:bookmarkEnd w:id="116"/>
                  <w:bookmarkEnd w:id="117"/>
                  <w:bookmarkEnd w:id="118"/>
                  <w:bookmarkEnd w:id="119"/>
                  <w:bookmarkEnd w:id="120"/>
                  <w:bookmarkEnd w:id="121"/>
                  <w:bookmarkEnd w:id="127"/>
                  <w:bookmarkEnd w:id="128"/>
                  <w:bookmarkEnd w:id="129"/>
                  <w:r>
                    <w:t>1.1.6.5. Transfert d’un élève d’un établissement d’enseignement spécialisé vers un établissement scolaire situé à l’étranger.</w:t>
                  </w:r>
                </w:p>
                <w:p>
                  <w:pPr>
                    <w:jc w:val="both"/>
                    <w:rPr>
                      <w:rFonts w:cs="Arial"/>
                    </w:rPr>
                  </w:pPr>
                </w:p>
                <w:p>
                  <w:pPr>
                    <w:jc w:val="both"/>
                    <w:rPr>
                      <w:rFonts w:cs="Arial"/>
                    </w:rPr>
                  </w:pPr>
                  <w:r>
                    <w:rPr>
                      <w:rFonts w:cs="Arial"/>
                    </w:rPr>
                    <w:t>La direction de l’établissement de départ n’a aucun formulaire à remplir.</w:t>
                  </w:r>
                  <w:bookmarkStart w:id="142" w:name="_1.1.9._Dérogation_liée"/>
                  <w:bookmarkStart w:id="143" w:name="_Toc291075488"/>
                  <w:bookmarkStart w:id="144" w:name="_Toc291075912"/>
                  <w:bookmarkStart w:id="145" w:name="_Toc291076336"/>
                  <w:bookmarkStart w:id="146" w:name="_Toc291076760"/>
                  <w:bookmarkStart w:id="147" w:name="_Toc291077184"/>
                  <w:bookmarkStart w:id="148" w:name="_Toc293652027"/>
                  <w:bookmarkStart w:id="149" w:name="_Toc293653609"/>
                  <w:bookmarkStart w:id="150" w:name="_Toc293654220"/>
                  <w:bookmarkStart w:id="151" w:name="_Toc294004800"/>
                  <w:bookmarkStart w:id="152" w:name="_Toc294185296"/>
                  <w:bookmarkStart w:id="153" w:name="_Toc324767162"/>
                  <w:bookmarkEnd w:id="130"/>
                  <w:bookmarkEnd w:id="131"/>
                  <w:bookmarkEnd w:id="132"/>
                  <w:bookmarkEnd w:id="133"/>
                  <w:bookmarkEnd w:id="134"/>
                  <w:bookmarkEnd w:id="135"/>
                  <w:bookmarkEnd w:id="136"/>
                  <w:bookmarkEnd w:id="137"/>
                  <w:bookmarkEnd w:id="138"/>
                  <w:bookmarkEnd w:id="139"/>
                  <w:bookmarkEnd w:id="140"/>
                  <w:bookmarkEnd w:id="141"/>
                  <w:bookmarkEnd w:id="142"/>
                </w:p>
                <w:p>
                  <w:pPr>
                    <w:jc w:val="both"/>
                    <w:rPr>
                      <w:rFonts w:cs="Arial"/>
                    </w:rPr>
                  </w:pPr>
                </w:p>
                <w:p>
                  <w:pPr>
                    <w:pStyle w:val="Titre4"/>
                  </w:pPr>
                  <w:bookmarkStart w:id="154" w:name="_1.1.9_Dérogation_liée"/>
                  <w:bookmarkStart w:id="155" w:name="_1.2._Fréquentation_scolaire"/>
                  <w:bookmarkStart w:id="156" w:name="_Toc414352886"/>
                  <w:bookmarkStart w:id="157" w:name="_Toc453836909"/>
                  <w:bookmarkEnd w:id="154"/>
                  <w:bookmarkEnd w:id="155"/>
                  <w:r>
                    <w:t>1.2. Fréquentation scolaire : Gestion des absences</w:t>
                  </w:r>
                  <w:bookmarkEnd w:id="143"/>
                  <w:bookmarkEnd w:id="144"/>
                  <w:bookmarkEnd w:id="145"/>
                  <w:bookmarkEnd w:id="146"/>
                  <w:bookmarkEnd w:id="147"/>
                  <w:bookmarkEnd w:id="148"/>
                  <w:bookmarkEnd w:id="149"/>
                  <w:bookmarkEnd w:id="150"/>
                  <w:bookmarkEnd w:id="151"/>
                  <w:bookmarkEnd w:id="152"/>
                  <w:bookmarkEnd w:id="153"/>
                  <w:bookmarkEnd w:id="156"/>
                  <w:bookmarkEnd w:id="157"/>
                </w:p>
                <w:p>
                  <w:pPr>
                    <w:jc w:val="both"/>
                    <w:rPr>
                      <w:rFonts w:cs="Arial"/>
                    </w:rPr>
                  </w:pPr>
                </w:p>
                <w:p>
                  <w:pPr>
                    <w:jc w:val="both"/>
                    <w:rPr>
                      <w:rFonts w:cs="Arial"/>
                    </w:rPr>
                  </w:pPr>
                  <w:r>
                    <w:rPr>
                      <w:rFonts w:cs="Arial"/>
                    </w:rPr>
                    <w:t>La Fédération Wallonie-Bruxelles, pour l’enseignement qu’elle organise, et tout pouvoir organisateur pour l’enseignement subventionné, veillent</w:t>
                  </w:r>
                  <w:r>
                    <w:rPr>
                      <w:rFonts w:cs="Arial"/>
                      <w:color w:val="FF0000"/>
                    </w:rPr>
                    <w:t xml:space="preserve"> </w:t>
                  </w:r>
                  <w:r>
                    <w:rPr>
                      <w:rFonts w:cs="Arial"/>
                    </w:rPr>
                    <w:t>à ce que chaque établissement fasse respecter par chaque élève l’obligation de participer à toutes les activités liées à la certification organisée par l’établissement, et d’accomplir les tâches qui en découlent</w:t>
                  </w:r>
                  <w:r>
                    <w:rPr>
                      <w:rStyle w:val="Caractresdenotedebasdepage"/>
                      <w:rFonts w:cs="Arial"/>
                    </w:rPr>
                    <w:footnoteReference w:id="8"/>
                  </w:r>
                </w:p>
                <w:p>
                  <w:pPr>
                    <w:jc w:val="both"/>
                    <w:rPr>
                      <w:b/>
                      <w:u w:val="single"/>
                    </w:rPr>
                  </w:pPr>
                </w:p>
                <w:p>
                  <w:pPr>
                    <w:pStyle w:val="Titre5"/>
                  </w:pPr>
                  <w:bookmarkStart w:id="158" w:name="_1.2.1._Généralités"/>
                  <w:bookmarkStart w:id="159" w:name="_Généralités"/>
                  <w:bookmarkStart w:id="160" w:name="_Toc291075489"/>
                  <w:bookmarkStart w:id="161" w:name="_Toc291075913"/>
                  <w:bookmarkStart w:id="162" w:name="_Toc291076337"/>
                  <w:bookmarkStart w:id="163" w:name="_Toc291076761"/>
                  <w:bookmarkStart w:id="164" w:name="_Toc291077185"/>
                  <w:bookmarkStart w:id="165" w:name="_Toc293652028"/>
                  <w:bookmarkStart w:id="166" w:name="_Toc293653610"/>
                  <w:bookmarkStart w:id="167" w:name="_Toc293654221"/>
                  <w:bookmarkStart w:id="168" w:name="_Toc294004801"/>
                  <w:bookmarkStart w:id="169" w:name="_Toc294185297"/>
                  <w:bookmarkStart w:id="170" w:name="_Toc324767163"/>
                  <w:bookmarkStart w:id="171" w:name="_Toc324768021"/>
                  <w:bookmarkEnd w:id="158"/>
                  <w:bookmarkEnd w:id="159"/>
                  <w:r>
                    <w:t>1.2.1. Généralités</w:t>
                  </w:r>
                  <w:bookmarkEnd w:id="160"/>
                  <w:bookmarkEnd w:id="161"/>
                  <w:bookmarkEnd w:id="162"/>
                  <w:bookmarkEnd w:id="163"/>
                  <w:bookmarkEnd w:id="164"/>
                  <w:bookmarkEnd w:id="165"/>
                  <w:bookmarkEnd w:id="166"/>
                  <w:bookmarkEnd w:id="167"/>
                  <w:bookmarkEnd w:id="168"/>
                  <w:bookmarkEnd w:id="169"/>
                  <w:bookmarkEnd w:id="170"/>
                  <w:bookmarkEnd w:id="171"/>
                  <w:r>
                    <w:t xml:space="preserve"> </w:t>
                  </w:r>
                </w:p>
                <w:p>
                  <w:pPr>
                    <w:jc w:val="both"/>
                    <w:rPr>
                      <w:b/>
                      <w:u w:val="single"/>
                    </w:rPr>
                  </w:pPr>
                </w:p>
                <w:p>
                  <w:pPr>
                    <w:pStyle w:val="Titre6"/>
                  </w:pPr>
                  <w:bookmarkStart w:id="172" w:name="_Toc291075490"/>
                  <w:bookmarkStart w:id="173" w:name="_Toc291075914"/>
                  <w:bookmarkStart w:id="174" w:name="_Toc291076338"/>
                  <w:bookmarkStart w:id="175" w:name="_Toc291076762"/>
                  <w:bookmarkStart w:id="176" w:name="_Toc291077186"/>
                  <w:bookmarkStart w:id="177" w:name="_Toc293652029"/>
                  <w:bookmarkStart w:id="178" w:name="_Toc293653611"/>
                  <w:bookmarkStart w:id="179" w:name="_Toc293654222"/>
                  <w:bookmarkStart w:id="180" w:name="_Toc294004802"/>
                  <w:bookmarkStart w:id="181" w:name="_Toc294185298"/>
                  <w:bookmarkStart w:id="182" w:name="_Toc324767164"/>
                  <w:bookmarkStart w:id="183" w:name="_Toc324768022"/>
                  <w:r>
                    <w:t>1.2.1.1. Modalités relatives aux absences et à leur justification</w:t>
                  </w:r>
                  <w:bookmarkEnd w:id="172"/>
                  <w:bookmarkEnd w:id="173"/>
                  <w:bookmarkEnd w:id="174"/>
                  <w:bookmarkEnd w:id="175"/>
                  <w:bookmarkEnd w:id="176"/>
                  <w:bookmarkEnd w:id="177"/>
                  <w:bookmarkEnd w:id="178"/>
                  <w:bookmarkEnd w:id="179"/>
                  <w:bookmarkEnd w:id="180"/>
                  <w:bookmarkEnd w:id="181"/>
                  <w:bookmarkEnd w:id="182"/>
                  <w:bookmarkEnd w:id="183"/>
                </w:p>
                <w:p>
                  <w:pPr>
                    <w:jc w:val="both"/>
                    <w:rPr>
                      <w:b/>
                      <w:u w:val="single"/>
                    </w:rPr>
                  </w:pPr>
                </w:p>
                <w:p>
                  <w:pPr>
                    <w:jc w:val="both"/>
                  </w:pPr>
                  <w:r>
                    <w:t>Les présences et absences sont transcrites par demi-journée dans le registre de fréquentation.</w:t>
                  </w:r>
                </w:p>
                <w:p>
                  <w:pPr>
                    <w:jc w:val="both"/>
                  </w:pPr>
                </w:p>
                <w:p>
                  <w:pPr>
                    <w:jc w:val="both"/>
                  </w:pPr>
                  <w:r>
                    <w:rPr>
                      <w:bCs/>
                    </w:rPr>
                    <w:t>Dans l’enseignement primaire</w:t>
                  </w:r>
                  <w:r>
                    <w:t>, les absences sont prises en compte à partir du 1</w:t>
                  </w:r>
                  <w:r>
                    <w:rPr>
                      <w:vertAlign w:val="superscript"/>
                    </w:rPr>
                    <w:t xml:space="preserve">er </w:t>
                  </w:r>
                  <w:r>
                    <w:t xml:space="preserve">jour ouvrable de septembre. Les présences et absences sont relevées dans la première demi-heure de cours de chaque demi-journée scolaire. </w:t>
                  </w:r>
                </w:p>
                <w:p>
                  <w:pPr>
                    <w:jc w:val="both"/>
                  </w:pPr>
                </w:p>
                <w:p>
                  <w:pPr>
                    <w:jc w:val="both"/>
                    <w:rPr>
                      <w:lang w:eastAsia="ar-SA"/>
                    </w:rPr>
                  </w:pPr>
                  <w:r>
                    <w:t>Toute absence non justifiée inférieure à la durée ainsi fixée n’est pas considérée comme une absence, mais comme un retard et sanctionnée comme tel en application du règlement d’ordre intérieur.</w:t>
                  </w:r>
                </w:p>
                <w:p>
                  <w:pPr>
                    <w:rPr>
                      <w:lang w:eastAsia="ar-SA"/>
                    </w:rPr>
                  </w:pPr>
                </w:p>
                <w:p>
                  <w:pPr>
                    <w:pStyle w:val="Titre6"/>
                  </w:pPr>
                  <w:bookmarkStart w:id="184" w:name="_1.2.1.2._Les_absences"/>
                  <w:bookmarkStart w:id="185" w:name="_Toc291075491"/>
                  <w:bookmarkStart w:id="186" w:name="_Toc291075915"/>
                  <w:bookmarkStart w:id="187" w:name="_Toc291076339"/>
                  <w:bookmarkStart w:id="188" w:name="_Toc291076763"/>
                  <w:bookmarkStart w:id="189" w:name="_Toc291077187"/>
                  <w:bookmarkStart w:id="190" w:name="_Toc293652030"/>
                  <w:bookmarkStart w:id="191" w:name="_Toc293653612"/>
                  <w:bookmarkStart w:id="192" w:name="_Toc293654223"/>
                  <w:bookmarkStart w:id="193" w:name="_Toc294004803"/>
                  <w:bookmarkStart w:id="194" w:name="_Toc294185299"/>
                  <w:bookmarkStart w:id="195" w:name="_Toc324767165"/>
                  <w:bookmarkStart w:id="196" w:name="_Toc324768023"/>
                  <w:bookmarkEnd w:id="184"/>
                  <w:r>
                    <w:t xml:space="preserve">1.2.1.2. Les absences justifiées </w:t>
                  </w:r>
                </w:p>
                <w:p>
                  <w:pPr>
                    <w:pStyle w:val="2"/>
                    <w:jc w:val="both"/>
                    <w:rPr>
                      <w:rFonts w:asciiTheme="majorHAnsi" w:hAnsiTheme="majorHAnsi"/>
                      <w:sz w:val="22"/>
                      <w:szCs w:val="22"/>
                      <w:lang w:val="fr-BE"/>
                    </w:rPr>
                  </w:pPr>
                </w:p>
                <w:p>
                  <w:pPr>
                    <w:pStyle w:val="2"/>
                    <w:pBdr>
                      <w:right w:val="single" w:sz="4" w:space="4" w:color="auto"/>
                    </w:pBdr>
                    <w:jc w:val="both"/>
                    <w:rPr>
                      <w:rFonts w:asciiTheme="majorHAnsi" w:hAnsiTheme="majorHAnsi"/>
                      <w:sz w:val="22"/>
                      <w:szCs w:val="22"/>
                      <w:lang w:val="fr-BE"/>
                    </w:rPr>
                  </w:pPr>
                  <w:r>
                    <w:rPr>
                      <w:rFonts w:asciiTheme="majorHAnsi" w:hAnsiTheme="majorHAnsi"/>
                      <w:sz w:val="22"/>
                      <w:szCs w:val="22"/>
                      <w:u w:val="single"/>
                      <w:lang w:val="fr-BE"/>
                    </w:rPr>
                    <w:t>Base légale</w:t>
                  </w:r>
                  <w:r>
                    <w:rPr>
                      <w:rFonts w:asciiTheme="majorHAnsi" w:hAnsiTheme="majorHAnsi"/>
                      <w:sz w:val="22"/>
                      <w:szCs w:val="22"/>
                      <w:lang w:val="fr-BE"/>
                    </w:rPr>
                    <w:t xml:space="preserve"> : </w:t>
                  </w:r>
                  <w:hyperlink r:id="rId20" w:history="1">
                    <w:r>
                      <w:rPr>
                        <w:rStyle w:val="Lienhypertexte"/>
                        <w:rFonts w:asciiTheme="majorHAnsi" w:hAnsiTheme="majorHAnsi" w:cs="Arial"/>
                        <w:sz w:val="22"/>
                        <w:szCs w:val="22"/>
                        <w:lang w:val="fr-BE"/>
                      </w:rPr>
                      <w:t>Arrêté du Gouvernement de la Communauté française du 22 mai 2014 portant application des articles 8 §1</w:t>
                    </w:r>
                    <w:r>
                      <w:rPr>
                        <w:rStyle w:val="Lienhypertexte"/>
                        <w:rFonts w:asciiTheme="majorHAnsi" w:hAnsiTheme="majorHAnsi" w:cs="Arial"/>
                        <w:sz w:val="22"/>
                        <w:szCs w:val="22"/>
                        <w:vertAlign w:val="superscript"/>
                        <w:lang w:val="fr-BE"/>
                      </w:rPr>
                      <w:t>er</w:t>
                    </w:r>
                    <w:r>
                      <w:rPr>
                        <w:rStyle w:val="Lienhypertexte"/>
                        <w:rFonts w:asciiTheme="majorHAnsi" w:hAnsiTheme="majorHAnsi" w:cs="Arial"/>
                        <w:sz w:val="22"/>
                        <w:szCs w:val="22"/>
                        <w:lang w:val="fr-BE"/>
                      </w:rPr>
                      <w:t>, 20, 23, 31, 32, 33, 37, 47 et 50 du décret du 21 novembre 2013 organisant divers dispositifs scolaires favorisant le bien-être des jeunes à l’école, l’accrochage scolaire, la prévention de la violence à l’école et l’accompagnement des démarches d’orientation scolaire (Article 9).</w:t>
                    </w:r>
                  </w:hyperlink>
                  <w:r>
                    <w:rPr>
                      <w:rFonts w:asciiTheme="majorHAnsi" w:hAnsiTheme="majorHAnsi"/>
                      <w:sz w:val="22"/>
                      <w:szCs w:val="22"/>
                      <w:lang w:val="fr-BE"/>
                    </w:rPr>
                    <w:t xml:space="preserve"> </w:t>
                  </w:r>
                </w:p>
                <w:p>
                  <w:pPr>
                    <w:pStyle w:val="2"/>
                    <w:jc w:val="both"/>
                    <w:rPr>
                      <w:rFonts w:asciiTheme="majorHAnsi" w:hAnsiTheme="majorHAnsi"/>
                      <w:sz w:val="22"/>
                      <w:szCs w:val="22"/>
                      <w:lang w:val="fr-BE"/>
                    </w:rPr>
                  </w:pPr>
                </w:p>
                <w:p>
                  <w:pPr>
                    <w:jc w:val="both"/>
                  </w:pPr>
                  <w:r>
                    <w:t>Dans l’enseignement primaire, sont considérées comme justifiées, les absences motivées par :</w:t>
                  </w:r>
                </w:p>
                <w:p>
                  <w:pPr>
                    <w:jc w:val="both"/>
                  </w:pPr>
                </w:p>
                <w:p>
                  <w:pPr>
                    <w:pStyle w:val="Paragraphedeliste"/>
                    <w:numPr>
                      <w:ilvl w:val="0"/>
                      <w:numId w:val="275"/>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L’indisposition ou la maladie de l’élève couverte par un certificat médical ou une attestation délivrée par un centre hospitalier ;</w:t>
                  </w:r>
                </w:p>
                <w:p>
                  <w:pPr>
                    <w:pStyle w:val="Paragraphedeliste"/>
                    <w:numPr>
                      <w:ilvl w:val="0"/>
                      <w:numId w:val="275"/>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la convocation par une autorité publique ou la nécessité pour l’élève de se rendre auprès de cette autorité, qui lui délivre une attestation ;</w:t>
                  </w:r>
                </w:p>
                <w:p>
                  <w:pPr>
                    <w:pStyle w:val="Paragraphedeliste"/>
                    <w:numPr>
                      <w:ilvl w:val="0"/>
                      <w:numId w:val="275"/>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le décès d’un parent ou allié de l’élève, au 1er degré</w:t>
                  </w:r>
                  <w:r>
                    <w:rPr>
                      <w:rFonts w:asciiTheme="majorHAnsi" w:eastAsiaTheme="minorHAnsi" w:hAnsiTheme="majorHAnsi" w:cstheme="minorBidi"/>
                      <w:sz w:val="16"/>
                      <w:szCs w:val="16"/>
                      <w:vertAlign w:val="superscript"/>
                      <w:lang w:eastAsia="en-US"/>
                    </w:rPr>
                    <w:footnoteReference w:id="9"/>
                  </w:r>
                  <w:r>
                    <w:rPr>
                      <w:rFonts w:asciiTheme="majorHAnsi" w:eastAsiaTheme="minorHAnsi" w:hAnsiTheme="majorHAnsi" w:cstheme="minorBidi"/>
                      <w:sz w:val="22"/>
                      <w:szCs w:val="22"/>
                      <w:lang w:eastAsia="en-US"/>
                    </w:rPr>
                    <w:t> ; l’absence ne peut dépasser 4 jours ;</w:t>
                  </w:r>
                </w:p>
                <w:p>
                  <w:pPr>
                    <w:pStyle w:val="Paragraphedeliste"/>
                    <w:numPr>
                      <w:ilvl w:val="0"/>
                      <w:numId w:val="275"/>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le décès d’un parent ou allié de l’élève, à quelque degré que ce soit, habitant sous le même toit que l’élève ; l’absence ne peut dépasser 2 jours ;</w:t>
                  </w:r>
                </w:p>
                <w:p>
                  <w:pPr>
                    <w:pStyle w:val="Paragraphedeliste"/>
                    <w:numPr>
                      <w:ilvl w:val="0"/>
                      <w:numId w:val="275"/>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le décès d’un parent ou allié de l’élève, du 2e au 4e degré n’habitant pas sous le même toit que l’élève ; l’absence ne peut dépasser 1 jour.</w:t>
                  </w:r>
                </w:p>
                <w:p>
                  <w:pPr>
                    <w:jc w:val="both"/>
                  </w:pPr>
                </w:p>
                <w:p>
                  <w:pPr>
                    <w:jc w:val="both"/>
                  </w:pPr>
                  <w:r>
                    <w:t>Pour que les motifs soient reconnus valables, sans contestation possible, les documents mentionnés ci-dessus doivent être remis au chef d’établissement ou à son délégué au plus tard le lendemain du dernier jour d’absence lorsque celle-ci ne dépasse pas 3 jours, et au plus tard le 4</w:t>
                  </w:r>
                  <w:r>
                    <w:rPr>
                      <w:vertAlign w:val="superscript"/>
                    </w:rPr>
                    <w:t>e</w:t>
                  </w:r>
                  <w:r>
                    <w:t xml:space="preserve"> jour d’absence dans les autres cas.</w:t>
                  </w:r>
                </w:p>
                <w:p>
                  <w:pPr>
                    <w:jc w:val="both"/>
                  </w:pPr>
                </w:p>
                <w:p>
                  <w:pPr>
                    <w:jc w:val="both"/>
                  </w:pPr>
                  <w:r>
                    <w:t xml:space="preserve"> la participation des élèves reconnus  comme sportifs de haut niveau, espoirs sportifs ou partenaires d’entraînement par la Fédération Wallonie-Bruxelles à des activités de préparation sportive sous forme de stages ou d’entraînement et de compétition. Le nombre total d’absences ainsi justifiées ne peut cependant pas dépasser 30 demi-journées, sauf dérogation</w:t>
                  </w:r>
                  <w:r>
                    <w:rPr>
                      <w:rStyle w:val="Caractresdenotedebasdepage"/>
                    </w:rPr>
                    <w:footnoteReference w:id="10"/>
                  </w:r>
                  <w:r>
                    <w:t xml:space="preserve"> accordée par le Ministre.  Dans ce cas, l’absence doit être annoncée au chef d’établissement au plus tard une semaine avant le stage ou la compétition, à l’aide de l’attestation de la fédération sportive compétente à laquelle sera jointe l’autorisation des parents.</w:t>
                  </w:r>
                </w:p>
                <w:p/>
                <w:p/>
                <w:p>
                  <w:pPr>
                    <w:pStyle w:val="Corpsdetexte"/>
                  </w:pPr>
                  <w:r>
                    <w:t>Remarques :</w:t>
                  </w:r>
                </w:p>
                <w:p>
                  <w:pPr>
                    <w:pStyle w:val="Paragraphedeliste"/>
                    <w:numPr>
                      <w:ilvl w:val="1"/>
                      <w:numId w:val="111"/>
                    </w:numPr>
                    <w:pBdr>
                      <w:right w:val="single" w:sz="4" w:space="6" w:color="auto"/>
                    </w:pBdr>
                    <w:jc w:val="both"/>
                    <w:rPr>
                      <w:rFonts w:asciiTheme="majorHAnsi" w:hAnsiTheme="majorHAnsi"/>
                      <w:sz w:val="22"/>
                      <w:szCs w:val="24"/>
                    </w:rPr>
                  </w:pPr>
                  <w:r>
                    <w:rPr>
                      <w:rFonts w:asciiTheme="majorHAnsi" w:hAnsiTheme="majorHAnsi"/>
                      <w:sz w:val="22"/>
                      <w:szCs w:val="24"/>
                    </w:rPr>
                    <w:t>Les élèves placés dans une Institution Publique de Protection de la Jeunesse (IPPJ) relèvent de l’enseignement à domicile</w:t>
                  </w:r>
                  <w:r>
                    <w:footnoteReference w:id="11"/>
                  </w:r>
                  <w:r>
                    <w:rPr>
                      <w:rFonts w:asciiTheme="majorHAnsi" w:hAnsiTheme="majorHAnsi"/>
                      <w:sz w:val="22"/>
                      <w:szCs w:val="24"/>
                    </w:rPr>
                    <w:t xml:space="preserve"> pour toute la durée de leur placement et sont en absence justifiée</w:t>
                  </w:r>
                </w:p>
                <w:p>
                  <w:pPr>
                    <w:pStyle w:val="Paragraphedeliste"/>
                    <w:ind w:left="851"/>
                    <w:jc w:val="both"/>
                    <w:rPr>
                      <w:rFonts w:asciiTheme="majorHAnsi" w:hAnsiTheme="majorHAnsi"/>
                      <w:sz w:val="22"/>
                      <w:szCs w:val="24"/>
                    </w:rPr>
                  </w:pPr>
                </w:p>
                <w:p>
                  <w:pPr>
                    <w:pStyle w:val="Paragraphedeliste"/>
                    <w:numPr>
                      <w:ilvl w:val="1"/>
                      <w:numId w:val="111"/>
                    </w:numPr>
                    <w:ind w:left="1134" w:firstLine="0"/>
                    <w:jc w:val="both"/>
                    <w:rPr>
                      <w:rFonts w:asciiTheme="majorHAnsi" w:hAnsiTheme="majorHAnsi"/>
                      <w:sz w:val="22"/>
                      <w:szCs w:val="24"/>
                    </w:rPr>
                  </w:pPr>
                  <w:r>
                    <w:rPr>
                      <w:rFonts w:asciiTheme="majorHAnsi" w:hAnsiTheme="majorHAnsi"/>
                      <w:sz w:val="22"/>
                      <w:szCs w:val="24"/>
                    </w:rPr>
                    <w:t>Les parents, la personne investie de l’autorité parentale ou la personne qui assume la garde en fait du mineur détenu dans un établissement pénitentiaire ou faisant l’objet d’une mesure de placement au centre fermé d’EVERBERG, doivent informer le chef d’établissement que le mineur s’est présenté devant l’autorité publique.</w:t>
                  </w:r>
                </w:p>
                <w:p>
                  <w:pPr>
                    <w:pStyle w:val="Corpsdetexte21"/>
                    <w:jc w:val="both"/>
                    <w:rPr>
                      <w:rFonts w:asciiTheme="majorHAnsi" w:hAnsiTheme="majorHAnsi"/>
                      <w:b/>
                      <w:sz w:val="22"/>
                      <w:szCs w:val="22"/>
                      <w:u w:val="single"/>
                    </w:rPr>
                  </w:pPr>
                </w:p>
                <w:p>
                  <w:pPr>
                    <w:pStyle w:val="Titre6"/>
                  </w:pPr>
                  <w:bookmarkStart w:id="197" w:name="_1.2.1.3._Les_absences"/>
                  <w:bookmarkEnd w:id="185"/>
                  <w:bookmarkEnd w:id="186"/>
                  <w:bookmarkEnd w:id="187"/>
                  <w:bookmarkEnd w:id="188"/>
                  <w:bookmarkEnd w:id="189"/>
                  <w:bookmarkEnd w:id="190"/>
                  <w:bookmarkEnd w:id="191"/>
                  <w:bookmarkEnd w:id="192"/>
                  <w:bookmarkEnd w:id="193"/>
                  <w:bookmarkEnd w:id="194"/>
                  <w:bookmarkEnd w:id="195"/>
                  <w:bookmarkEnd w:id="196"/>
                  <w:bookmarkEnd w:id="197"/>
                  <w:r>
                    <w:t>1.2.1.3. Les absences justifiées par le chef d’établissement</w:t>
                  </w:r>
                </w:p>
                <w:p/>
                <w:p>
                  <w:pPr>
                    <w:pStyle w:val="Corpsdetexte"/>
                  </w:pPr>
                  <w:r>
                    <w:t xml:space="preserve">Outre les motifs listés ci-dessus, le chef d’établissement peut accepter d’autres justificatifs d’absence pour autant qu’ils relèvent d’un cas de force majeure ou de circonstances exceptionnelles liées à des problèmes familiaux, de santé mentale ou physique de l’élève ou de transports. </w:t>
                  </w:r>
                </w:p>
                <w:p>
                  <w:pPr>
                    <w:pStyle w:val="Corpsdetexte"/>
                  </w:pPr>
                  <w:r>
                    <w:t>Dans l’enseignement fondamental, dans le respect de ces critères, il n’y a pas de limite au nombre d’absences justifiées de la sorte.</w:t>
                  </w:r>
                </w:p>
                <w:p>
                  <w:pPr>
                    <w:pStyle w:val="Corpsdetexte"/>
                  </w:pPr>
                  <w:r>
                    <w:t>Le chef d’établissement doit indiquer les arguments précis pour lesquels il reconnaît le cas de force majeure ou les circonstances exceptionnelles.  L’appréciation motivée doit être conservée au sein de l’établissement.</w:t>
                  </w:r>
                </w:p>
                <w:p>
                  <w:pPr>
                    <w:rPr>
                      <w:lang w:eastAsia="ar-SA"/>
                    </w:rPr>
                  </w:pPr>
                </w:p>
                <w:p>
                  <w:pPr>
                    <w:pStyle w:val="Titre6"/>
                  </w:pPr>
                  <w:bookmarkStart w:id="198" w:name="_1.2.1.4._Les_absences"/>
                  <w:bookmarkEnd w:id="198"/>
                  <w:r>
                    <w:t>1.2.1.4. Les absences non justifiées</w:t>
                  </w:r>
                </w:p>
                <w:p>
                  <w:pPr>
                    <w:pBdr>
                      <w:right w:val="single" w:sz="4" w:space="4" w:color="auto"/>
                    </w:pBdr>
                    <w:jc w:val="both"/>
                  </w:pPr>
                </w:p>
                <w:p>
                  <w:pPr>
                    <w:pBdr>
                      <w:right w:val="single" w:sz="4" w:space="4" w:color="auto"/>
                    </w:pBdr>
                    <w:jc w:val="both"/>
                  </w:pPr>
                  <w:r>
                    <w:t>Dès qu’un élève mineur</w:t>
                  </w:r>
                  <w:r>
                    <w:rPr>
                      <w:color w:val="FF0000"/>
                    </w:rPr>
                    <w:t xml:space="preserve"> </w:t>
                  </w:r>
                  <w:r>
                    <w:t xml:space="preserve">compte </w:t>
                  </w:r>
                  <w:r>
                    <w:rPr>
                      <w:b/>
                      <w:u w:val="single"/>
                    </w:rPr>
                    <w:t>9 demi-journées d’absence injustifiée</w:t>
                  </w:r>
                  <w:r>
                    <w:t xml:space="preserve"> dans l’enseignement fondamental, le chef d’établissement le signale impérativement à la DGEO – Service du Droit à l’Instruction, via le formulaire mis à sa disposition, afin de permettre à l’administration d’opérer un suivi dans les plus brefs délais.</w:t>
                  </w:r>
                </w:p>
                <w:p>
                  <w:pPr>
                    <w:jc w:val="both"/>
                  </w:pPr>
                </w:p>
                <w:p>
                  <w:pPr>
                    <w:pStyle w:val="Titre6"/>
                  </w:pPr>
                  <w:bookmarkStart w:id="199" w:name="_1.2.1.5._Tenue_du"/>
                  <w:bookmarkStart w:id="200" w:name="_Toc291075492"/>
                  <w:bookmarkStart w:id="201" w:name="_Toc291075916"/>
                  <w:bookmarkStart w:id="202" w:name="_Toc291076340"/>
                  <w:bookmarkStart w:id="203" w:name="_Toc291076764"/>
                  <w:bookmarkStart w:id="204" w:name="_Toc291077188"/>
                  <w:bookmarkStart w:id="205" w:name="_Toc293652031"/>
                  <w:bookmarkStart w:id="206" w:name="_Toc293653613"/>
                  <w:bookmarkStart w:id="207" w:name="_Toc293654224"/>
                  <w:bookmarkStart w:id="208" w:name="_Toc294004804"/>
                  <w:bookmarkStart w:id="209" w:name="_Toc294185300"/>
                  <w:bookmarkStart w:id="210" w:name="_Toc324767166"/>
                  <w:bookmarkStart w:id="211" w:name="_Toc324768024"/>
                  <w:bookmarkEnd w:id="199"/>
                  <w:r>
                    <w:t>1.2.1.5. Tenue du registre de fréquentation</w:t>
                  </w:r>
                  <w:bookmarkEnd w:id="200"/>
                  <w:bookmarkEnd w:id="201"/>
                  <w:bookmarkEnd w:id="202"/>
                  <w:bookmarkEnd w:id="203"/>
                  <w:bookmarkEnd w:id="204"/>
                  <w:bookmarkEnd w:id="205"/>
                  <w:bookmarkEnd w:id="206"/>
                  <w:bookmarkEnd w:id="207"/>
                  <w:bookmarkEnd w:id="208"/>
                  <w:bookmarkEnd w:id="209"/>
                  <w:bookmarkEnd w:id="210"/>
                  <w:bookmarkEnd w:id="211"/>
                  <w:r>
                    <w:t xml:space="preserve"> </w:t>
                  </w:r>
                </w:p>
                <w:p>
                  <w:pPr>
                    <w:jc w:val="both"/>
                    <w:rPr>
                      <w:rFonts w:cs="Arial"/>
                    </w:rPr>
                  </w:pPr>
                </w:p>
                <w:p>
                  <w:pPr>
                    <w:jc w:val="both"/>
                  </w:pPr>
                  <w:r>
                    <w:t>Les registres doivent être complétés tous les jours. En outre, les données y figurant doivent être indiquées à l’encre indélébile.</w:t>
                  </w:r>
                </w:p>
                <w:p>
                  <w:pPr>
                    <w:jc w:val="both"/>
                  </w:pPr>
                </w:p>
                <w:p>
                  <w:pPr>
                    <w:jc w:val="both"/>
                  </w:pPr>
                  <w:r>
                    <w:t>Les élèves absents sont signalés par la lettre  « a »  affectée le cas échéant :</w:t>
                  </w:r>
                </w:p>
                <w:p>
                  <w:pPr>
                    <w:jc w:val="both"/>
                  </w:pPr>
                </w:p>
                <w:p>
                  <w:pPr>
                    <w:ind w:left="851" w:hanging="284"/>
                    <w:jc w:val="both"/>
                  </w:pPr>
                  <w:r>
                    <w:t>de l’exposant  « r », lorsque l’élève est en retard ;</w:t>
                  </w:r>
                </w:p>
                <w:p>
                  <w:pPr>
                    <w:ind w:left="851" w:hanging="284"/>
                    <w:jc w:val="both"/>
                  </w:pPr>
                  <w:r>
                    <w:t>de l’exposant  « e », dès que l’absence est excusée ;</w:t>
                  </w:r>
                </w:p>
                <w:p>
                  <w:pPr>
                    <w:ind w:left="851" w:hanging="284"/>
                    <w:jc w:val="both"/>
                  </w:pPr>
                  <w:r>
                    <w:t>de l’exposant  « m »,  lorsque l’absence est justifiée par un certificat médical.</w:t>
                  </w:r>
                </w:p>
                <w:p/>
                <w:p>
                  <w:pPr>
                    <w:pStyle w:val="Titre5"/>
                  </w:pPr>
                  <w:bookmarkStart w:id="212" w:name="_Toc291075493"/>
                  <w:bookmarkStart w:id="213" w:name="_Toc291075917"/>
                  <w:bookmarkStart w:id="214" w:name="_Toc291076341"/>
                  <w:bookmarkStart w:id="215" w:name="_Toc291076765"/>
                  <w:bookmarkStart w:id="216" w:name="_Toc291077189"/>
                  <w:bookmarkStart w:id="217" w:name="_Toc293652032"/>
                  <w:bookmarkStart w:id="218" w:name="_Toc293653614"/>
                  <w:bookmarkStart w:id="219" w:name="_Toc293654225"/>
                  <w:bookmarkStart w:id="220" w:name="_Toc294004805"/>
                  <w:bookmarkStart w:id="221" w:name="_Toc294185301"/>
                  <w:bookmarkStart w:id="222" w:name="_Toc324767167"/>
                  <w:bookmarkStart w:id="223" w:name="_Toc324768025"/>
                  <w:r>
                    <w:t>1.2.2. Marche à suivre en cas d’absentéisme ou de décrochage scolaire</w:t>
                  </w:r>
                  <w:bookmarkEnd w:id="212"/>
                  <w:bookmarkEnd w:id="213"/>
                  <w:bookmarkEnd w:id="214"/>
                  <w:bookmarkEnd w:id="215"/>
                  <w:bookmarkEnd w:id="216"/>
                  <w:bookmarkEnd w:id="217"/>
                  <w:bookmarkEnd w:id="218"/>
                  <w:bookmarkEnd w:id="219"/>
                  <w:bookmarkEnd w:id="220"/>
                  <w:bookmarkEnd w:id="221"/>
                  <w:bookmarkEnd w:id="222"/>
                  <w:bookmarkEnd w:id="223"/>
                </w:p>
                <w:p>
                  <w:pPr>
                    <w:jc w:val="both"/>
                    <w:rPr>
                      <w:b/>
                      <w:u w:val="single"/>
                    </w:rPr>
                  </w:pPr>
                </w:p>
                <w:p>
                  <w:pPr>
                    <w:pStyle w:val="Titre6"/>
                  </w:pPr>
                  <w:bookmarkStart w:id="224" w:name="_1.2.2.1._Démarches_au"/>
                  <w:bookmarkStart w:id="225" w:name="_Toc291075495"/>
                  <w:bookmarkStart w:id="226" w:name="_Toc291075919"/>
                  <w:bookmarkStart w:id="227" w:name="_Toc291076343"/>
                  <w:bookmarkStart w:id="228" w:name="_Toc291076767"/>
                  <w:bookmarkStart w:id="229" w:name="_Toc291077191"/>
                  <w:bookmarkStart w:id="230" w:name="_Toc293652034"/>
                  <w:bookmarkStart w:id="231" w:name="_Toc293653616"/>
                  <w:bookmarkStart w:id="232" w:name="_Toc293654227"/>
                  <w:bookmarkStart w:id="233" w:name="_Toc294004807"/>
                  <w:bookmarkStart w:id="234" w:name="_Toc294185303"/>
                  <w:bookmarkStart w:id="235" w:name="_Toc324767169"/>
                  <w:bookmarkStart w:id="236" w:name="_Toc324768027"/>
                  <w:bookmarkEnd w:id="224"/>
                  <w:r>
                    <w:t>1.2.2.1. Démarches au sein de l’école</w:t>
                  </w:r>
                  <w:bookmarkEnd w:id="225"/>
                  <w:bookmarkEnd w:id="226"/>
                  <w:bookmarkEnd w:id="227"/>
                  <w:bookmarkEnd w:id="228"/>
                  <w:bookmarkEnd w:id="229"/>
                  <w:bookmarkEnd w:id="230"/>
                  <w:bookmarkEnd w:id="231"/>
                  <w:bookmarkEnd w:id="232"/>
                  <w:bookmarkEnd w:id="233"/>
                  <w:bookmarkEnd w:id="234"/>
                  <w:bookmarkEnd w:id="235"/>
                  <w:bookmarkEnd w:id="236"/>
                  <w:r>
                    <w:t xml:space="preserve"> </w:t>
                  </w:r>
                </w:p>
                <w:p>
                  <w:pPr>
                    <w:pStyle w:val="2"/>
                    <w:rPr>
                      <w:lang w:val="fr-BE"/>
                    </w:rPr>
                  </w:pPr>
                </w:p>
                <w:p>
                  <w:pPr>
                    <w:pStyle w:val="Corpsdetexte"/>
                  </w:pPr>
                  <w:r>
                    <w:t>Dans l’enseignement primaire, toute absence non justifiée dans les délais fixés est notifiée aux parents, à la personne investie de l’autorité parentale ou qui assume la garde en fait du mineur, au plus tard à la fin de la semaine pendant laquelle elle a pris cours</w:t>
                  </w:r>
                  <w:r>
                    <w:rPr>
                      <w:rStyle w:val="Appelnotedebasdep"/>
                    </w:rPr>
                    <w:footnoteReference w:id="12"/>
                  </w:r>
                </w:p>
                <w:p>
                  <w:pPr>
                    <w:pStyle w:val="Corpsdetexte"/>
                  </w:pPr>
                  <w:r>
                    <w:t>Au plus tard à partir du 10ème demi-jour d’absence injustifiée</w:t>
                  </w:r>
                  <w:r>
                    <w:rPr>
                      <w:rStyle w:val="Appelnotedebasdep"/>
                    </w:rPr>
                    <w:footnoteReference w:id="13"/>
                  </w:r>
                  <w:r>
                    <w:t xml:space="preserve"> d’un élève, le chef d’établissement ou son délégué convoque l’élève et ses parents ou la personne investie de l’autorité parentale par courrier recommandé avec accusé de réception.</w:t>
                  </w:r>
                </w:p>
                <w:p>
                  <w:pPr>
                    <w:pStyle w:val="Corpsdetexte"/>
                  </w:pPr>
                  <w:r>
                    <w:t>L’objectif de cette rencontre est de rappeler à l’élève ainsi qu’à ses parents les règles en matière de fréquentation scolaire et d’envisager avec eux des actions visant à prévenir les absences futures.</w:t>
                  </w:r>
                </w:p>
                <w:p>
                  <w:pPr>
                    <w:pStyle w:val="Corpsdetexte"/>
                  </w:pPr>
                  <w:r>
                    <w:t>A défaut de présentation à ladite convocation et chaque fois qu’il l’estime utile, le chef d’établissement pourra déléguer au domicile ou au lieu de résidence de l’élève un membre du personnel auxiliaire d’éducation. Selon la situation le chef d’établissement pourra par ailleurs solliciter auprès du directeur du CPMS l’intervention d’un membre de son équipe.  Le chef d’établissement peut également, dans un second temps, solliciter l’intervention des équipes mobiles pour l’enseignement fondamental ou du service de médiation scolaire pour l’enseignement secondaire auprès de Madame la Directrice générale de l’enseignement obligatoire.</w:t>
                  </w:r>
                </w:p>
                <w:p>
                  <w:pPr>
                    <w:pStyle w:val="2"/>
                    <w:rPr>
                      <w:lang w:val="fr-BE"/>
                    </w:rPr>
                  </w:pPr>
                </w:p>
                <w:p>
                  <w:pPr>
                    <w:pBdr>
                      <w:top w:val="single" w:sz="4" w:space="1" w:color="000000"/>
                      <w:left w:val="single" w:sz="4" w:space="4" w:color="000000"/>
                      <w:bottom w:val="single" w:sz="4" w:space="0" w:color="000000"/>
                      <w:right w:val="single" w:sz="4" w:space="2" w:color="000000"/>
                    </w:pBdr>
                    <w:jc w:val="both"/>
                    <w:rPr>
                      <w:rFonts w:cs="Arial"/>
                      <w:b/>
                    </w:rPr>
                  </w:pPr>
                  <w:r>
                    <w:rPr>
                      <w:rFonts w:cs="Arial"/>
                      <w:b/>
                      <w:u w:val="single"/>
                    </w:rPr>
                    <w:t>Remarque :</w:t>
                  </w:r>
                  <w:r>
                    <w:rPr>
                      <w:rFonts w:cs="Arial"/>
                      <w:b/>
                    </w:rPr>
                    <w:t xml:space="preserve"> </w:t>
                  </w:r>
                  <w:r>
                    <w:rPr>
                      <w:rFonts w:cs="Arial"/>
                    </w:rPr>
                    <w:t>le chef d’établissement peut évidemment réaliser l’une de ces démarches à tout moment s’il l’estime nécessaire et ce, indépendamment de la procédure obligatoire.</w:t>
                  </w:r>
                  <w:bookmarkStart w:id="237" w:name="_Toc291075496"/>
                  <w:bookmarkStart w:id="238" w:name="_Toc291075920"/>
                  <w:bookmarkStart w:id="239" w:name="_Toc291076344"/>
                  <w:bookmarkStart w:id="240" w:name="_Toc291076768"/>
                  <w:bookmarkStart w:id="241" w:name="_Toc291077192"/>
                  <w:bookmarkStart w:id="242" w:name="_Toc293652035"/>
                  <w:bookmarkStart w:id="243" w:name="_Toc293653617"/>
                  <w:bookmarkStart w:id="244" w:name="_Toc293654228"/>
                  <w:bookmarkStart w:id="245" w:name="_Toc294004808"/>
                  <w:bookmarkStart w:id="246" w:name="_Toc294185304"/>
                  <w:bookmarkStart w:id="247" w:name="_Toc324767170"/>
                  <w:bookmarkStart w:id="248" w:name="_Toc324768028"/>
                </w:p>
                <w:p>
                  <w:pPr>
                    <w:rPr>
                      <w:rFonts w:eastAsia="Times New Roman" w:cs="Arial"/>
                      <w:b/>
                      <w:u w:val="single"/>
                      <w:lang w:eastAsia="ar-SA"/>
                    </w:rPr>
                  </w:pPr>
                  <w:bookmarkStart w:id="249" w:name="_1.2.2.2._Signalement_de"/>
                  <w:bookmarkEnd w:id="249"/>
                </w:p>
                <w:p>
                  <w:pPr>
                    <w:pStyle w:val="Titre6"/>
                  </w:pPr>
                  <w:bookmarkStart w:id="250" w:name="_1.2.2.2._Signalement_de_1"/>
                  <w:bookmarkEnd w:id="250"/>
                  <w:r>
                    <w:t>1.2.2.2. Signalement de l’absentéisme d’un élève à la DGEO</w:t>
                  </w:r>
                  <w:bookmarkEnd w:id="237"/>
                  <w:bookmarkEnd w:id="238"/>
                  <w:bookmarkEnd w:id="239"/>
                  <w:bookmarkEnd w:id="240"/>
                  <w:bookmarkEnd w:id="241"/>
                  <w:bookmarkEnd w:id="242"/>
                  <w:bookmarkEnd w:id="243"/>
                  <w:bookmarkEnd w:id="244"/>
                  <w:bookmarkEnd w:id="245"/>
                  <w:bookmarkEnd w:id="246"/>
                  <w:bookmarkEnd w:id="247"/>
                  <w:bookmarkEnd w:id="248"/>
                </w:p>
                <w:p>
                  <w:pPr>
                    <w:jc w:val="both"/>
                    <w:rPr>
                      <w:rFonts w:cs="Arial"/>
                    </w:rPr>
                  </w:pPr>
                </w:p>
                <w:p>
                  <w:pPr>
                    <w:pStyle w:val="Corpsdetexte21"/>
                    <w:pBdr>
                      <w:right w:val="single" w:sz="4" w:space="4" w:color="auto"/>
                    </w:pBdr>
                    <w:jc w:val="both"/>
                    <w:rPr>
                      <w:rFonts w:asciiTheme="majorHAnsi" w:hAnsiTheme="majorHAnsi"/>
                      <w:b/>
                      <w:sz w:val="22"/>
                      <w:szCs w:val="22"/>
                    </w:rPr>
                  </w:pPr>
                  <w:r>
                    <w:rPr>
                      <w:rFonts w:asciiTheme="majorHAnsi" w:hAnsiTheme="majorHAnsi"/>
                      <w:b/>
                      <w:sz w:val="22"/>
                      <w:szCs w:val="22"/>
                    </w:rPr>
                    <w:t xml:space="preserve">En cas d’absence injustifiée, dès qu’un élève mineur compte </w:t>
                  </w:r>
                  <w:r>
                    <w:rPr>
                      <w:rFonts w:asciiTheme="majorHAnsi" w:hAnsiTheme="majorHAnsi"/>
                      <w:b/>
                      <w:i/>
                      <w:sz w:val="22"/>
                      <w:szCs w:val="22"/>
                      <w:u w:val="single"/>
                    </w:rPr>
                    <w:t xml:space="preserve">9 </w:t>
                  </w:r>
                  <w:r>
                    <w:rPr>
                      <w:rFonts w:asciiTheme="majorHAnsi" w:hAnsiTheme="majorHAnsi"/>
                      <w:b/>
                      <w:sz w:val="22"/>
                      <w:szCs w:val="22"/>
                      <w:u w:val="single"/>
                    </w:rPr>
                    <w:t>demi-journées d’absence</w:t>
                  </w:r>
                  <w:r>
                    <w:rPr>
                      <w:rFonts w:asciiTheme="majorHAnsi" w:hAnsiTheme="majorHAnsi"/>
                      <w:b/>
                      <w:sz w:val="22"/>
                      <w:szCs w:val="22"/>
                    </w:rPr>
                    <w:t xml:space="preserve"> et au plus tard le cinquième jour ouvrable qui suit, le chef d’établissement</w:t>
                  </w:r>
                  <w:r>
                    <w:rPr>
                      <w:rStyle w:val="Appelnotedebasdep1"/>
                      <w:rFonts w:asciiTheme="majorHAnsi" w:hAnsiTheme="majorHAnsi"/>
                      <w:b/>
                      <w:sz w:val="22"/>
                      <w:szCs w:val="22"/>
                    </w:rPr>
                    <w:footnoteReference w:id="14"/>
                  </w:r>
                  <w:r>
                    <w:rPr>
                      <w:rFonts w:asciiTheme="majorHAnsi" w:hAnsiTheme="majorHAnsi"/>
                      <w:b/>
                      <w:sz w:val="22"/>
                      <w:szCs w:val="22"/>
                      <w:vertAlign w:val="superscript"/>
                    </w:rPr>
                    <w:t xml:space="preserve"> </w:t>
                  </w:r>
                  <w:r>
                    <w:rPr>
                      <w:rFonts w:asciiTheme="majorHAnsi" w:hAnsiTheme="majorHAnsi"/>
                      <w:b/>
                      <w:sz w:val="22"/>
                      <w:szCs w:val="22"/>
                    </w:rPr>
                    <w:t>le signale impérativement au Service du Droit à l’instruction, DGEO, via le formulaire</w:t>
                  </w:r>
                  <w:r>
                    <w:rPr>
                      <w:rStyle w:val="Appelnotedebasdep"/>
                      <w:rFonts w:asciiTheme="majorHAnsi" w:hAnsiTheme="majorHAnsi"/>
                      <w:b/>
                      <w:sz w:val="22"/>
                      <w:szCs w:val="22"/>
                    </w:rPr>
                    <w:footnoteReference w:id="15"/>
                  </w:r>
                  <w:r>
                    <w:rPr>
                      <w:rFonts w:asciiTheme="majorHAnsi" w:hAnsiTheme="majorHAnsi"/>
                      <w:b/>
                      <w:sz w:val="22"/>
                      <w:szCs w:val="22"/>
                    </w:rPr>
                    <w:t xml:space="preserve"> électronique afin de permettre à l’administration d’opérer un suivi dans les plus brefs délais.</w:t>
                  </w:r>
                </w:p>
                <w:p>
                  <w:pPr>
                    <w:pStyle w:val="Corpsdetexte21"/>
                    <w:pBdr>
                      <w:right w:val="single" w:sz="4" w:space="4" w:color="auto"/>
                    </w:pBdr>
                    <w:jc w:val="both"/>
                    <w:rPr>
                      <w:rFonts w:asciiTheme="majorHAnsi" w:hAnsiTheme="majorHAnsi"/>
                      <w:b/>
                      <w:sz w:val="22"/>
                      <w:szCs w:val="22"/>
                    </w:rPr>
                  </w:pPr>
                </w:p>
                <w:p>
                  <w:pPr>
                    <w:pStyle w:val="Corpsdetexte21"/>
                    <w:pBdr>
                      <w:right w:val="single" w:sz="4" w:space="4" w:color="auto"/>
                    </w:pBdr>
                    <w:jc w:val="both"/>
                    <w:rPr>
                      <w:rFonts w:asciiTheme="majorHAnsi" w:hAnsiTheme="majorHAnsi"/>
                      <w:b/>
                      <w:sz w:val="22"/>
                      <w:szCs w:val="22"/>
                    </w:rPr>
                  </w:pPr>
                  <w:r>
                    <w:rPr>
                      <w:rFonts w:asciiTheme="majorHAnsi" w:hAnsiTheme="majorHAnsi"/>
                      <w:b/>
                      <w:sz w:val="22"/>
                      <w:szCs w:val="22"/>
                    </w:rPr>
                    <w:t>Dans l’enseignement fondamental, lorsqu’un élève n’est pas signalé conformément au paragraphe précédent avant le 15 janvier, celui-ci n’est plus considéré comme régulièrement inscrit et n’est par conséquent pas comptabilisé pour le calcul du capital-périodes et des dotations ou subventions de fonctionnement de l’établissement pour l’année scolaire suivante.</w:t>
                  </w:r>
                </w:p>
                <w:p>
                  <w:pPr>
                    <w:pStyle w:val="Corpsdetexte21"/>
                    <w:jc w:val="both"/>
                    <w:rPr>
                      <w:rFonts w:asciiTheme="majorHAnsi" w:hAnsiTheme="majorHAnsi"/>
                      <w:b/>
                      <w:sz w:val="22"/>
                      <w:szCs w:val="22"/>
                    </w:rPr>
                  </w:pPr>
                </w:p>
                <w:p>
                  <w:pPr>
                    <w:pStyle w:val="Corpsdetexte21"/>
                    <w:jc w:val="both"/>
                    <w:rPr>
                      <w:rFonts w:asciiTheme="majorHAnsi" w:hAnsiTheme="majorHAnsi"/>
                      <w:b/>
                      <w:sz w:val="22"/>
                      <w:szCs w:val="22"/>
                    </w:rPr>
                  </w:pPr>
                  <w:r>
                    <w:rPr>
                      <w:rFonts w:asciiTheme="majorHAnsi" w:hAnsiTheme="majorHAnsi"/>
                      <w:b/>
                      <w:sz w:val="22"/>
                      <w:szCs w:val="22"/>
                    </w:rPr>
                    <w:t>Remarques :</w:t>
                  </w:r>
                </w:p>
                <w:p>
                  <w:pPr>
                    <w:pStyle w:val="Corpsdetexte21"/>
                    <w:jc w:val="both"/>
                    <w:rPr>
                      <w:rFonts w:asciiTheme="majorHAnsi" w:hAnsiTheme="majorHAnsi"/>
                      <w:b/>
                      <w:sz w:val="22"/>
                      <w:szCs w:val="22"/>
                    </w:rPr>
                  </w:pPr>
                </w:p>
                <w:p>
                  <w:pPr>
                    <w:pStyle w:val="Corpsdetexte21"/>
                    <w:numPr>
                      <w:ilvl w:val="0"/>
                      <w:numId w:val="87"/>
                    </w:numPr>
                    <w:pBdr>
                      <w:right w:val="single" w:sz="4" w:space="4" w:color="auto"/>
                    </w:pBdr>
                    <w:ind w:left="567"/>
                    <w:jc w:val="both"/>
                    <w:rPr>
                      <w:rFonts w:asciiTheme="majorHAnsi" w:hAnsiTheme="majorHAnsi"/>
                      <w:b/>
                      <w:sz w:val="22"/>
                      <w:szCs w:val="22"/>
                    </w:rPr>
                  </w:pPr>
                  <w:r>
                    <w:rPr>
                      <w:rFonts w:asciiTheme="majorHAnsi" w:hAnsiTheme="majorHAnsi"/>
                      <w:b/>
                      <w:sz w:val="22"/>
                      <w:szCs w:val="22"/>
                    </w:rPr>
                    <w:t xml:space="preserve">Le signalement d’absence se fait par voie électronique, grâce au formulaire électronique mis à disposition des établissements. Ce dernier est disponible sur le site web : </w:t>
                  </w:r>
                  <w:hyperlink r:id="rId21" w:history="1">
                    <w:r>
                      <w:rPr>
                        <w:rStyle w:val="Lienhypertexte"/>
                        <w:rFonts w:asciiTheme="majorHAnsi" w:hAnsiTheme="majorHAnsi"/>
                        <w:sz w:val="22"/>
                        <w:szCs w:val="22"/>
                      </w:rPr>
                      <w:t>http ://www.am.cfwb.be</w:t>
                    </w:r>
                  </w:hyperlink>
                  <w:r>
                    <w:rPr>
                      <w:rFonts w:asciiTheme="majorHAnsi" w:hAnsiTheme="majorHAnsi"/>
                      <w:b/>
                      <w:sz w:val="22"/>
                      <w:szCs w:val="22"/>
                    </w:rPr>
                    <w:t xml:space="preserve">. </w:t>
                  </w:r>
                </w:p>
                <w:p>
                  <w:pPr>
                    <w:pStyle w:val="Corpsdetexte21"/>
                    <w:numPr>
                      <w:ilvl w:val="0"/>
                      <w:numId w:val="87"/>
                    </w:numPr>
                    <w:ind w:left="567"/>
                    <w:jc w:val="both"/>
                    <w:rPr>
                      <w:rFonts w:asciiTheme="majorHAnsi" w:hAnsiTheme="majorHAnsi"/>
                      <w:sz w:val="22"/>
                      <w:szCs w:val="22"/>
                    </w:rPr>
                  </w:pPr>
                  <w:r>
                    <w:rPr>
                      <w:rFonts w:asciiTheme="majorHAnsi" w:hAnsiTheme="majorHAnsi"/>
                      <w:sz w:val="22"/>
                      <w:szCs w:val="22"/>
                    </w:rPr>
                    <w:t>Le chef d’établissement informe via le formulaire l’administration des démarches effectuées au sein de l’école pour remédier à la situation d’absentéisme, en vue de permettre un suivi adéquat par le Service du Droit à l’Instruction. (Exemples : en indiquant si les responsables légaux ont été interpellés et convoqués suite aux absences injustifiées de leur enfant, si le C.P.M.S. a été averti de la situation de décrochage scolaire,…).</w:t>
                  </w:r>
                </w:p>
                <w:p>
                  <w:pPr>
                    <w:pStyle w:val="Corpsdetexte21"/>
                    <w:jc w:val="both"/>
                    <w:rPr>
                      <w:rFonts w:asciiTheme="majorHAnsi" w:hAnsiTheme="majorHAnsi"/>
                      <w:b/>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Toute nouvelle absence est ensuite signalée mensuellement selon la même procédure au Service du Droit à l’Instruction. </w:t>
                  </w:r>
                  <w:r>
                    <w:rPr>
                      <w:rFonts w:asciiTheme="majorHAnsi" w:hAnsiTheme="majorHAnsi"/>
                      <w:sz w:val="22"/>
                      <w:szCs w:val="22"/>
                      <w:lang w:val="fr-FR"/>
                    </w:rPr>
                    <w:t>En l’absence de nouveaux signalements, l’élève est présumé fréquenter l’école régulièrement et assidûment.</w:t>
                  </w:r>
                </w:p>
                <w:p>
                  <w:pPr>
                    <w:pStyle w:val="Corpsdetexte21"/>
                    <w:jc w:val="both"/>
                    <w:rPr>
                      <w:rFonts w:asciiTheme="majorHAnsi" w:hAnsiTheme="majorHAnsi"/>
                      <w:sz w:val="22"/>
                      <w:szCs w:val="22"/>
                    </w:rPr>
                  </w:pPr>
                  <w:r>
                    <w:rPr>
                      <w:rFonts w:asciiTheme="majorHAnsi" w:hAnsiTheme="majorHAnsi"/>
                      <w:sz w:val="22"/>
                      <w:szCs w:val="22"/>
                    </w:rPr>
                    <w:t xml:space="preserve">Il est demandé au chef d’établissement de veiller à indiquer à chaque fois </w:t>
                  </w:r>
                  <w:r>
                    <w:rPr>
                      <w:rFonts w:asciiTheme="majorHAnsi" w:hAnsiTheme="majorHAnsi"/>
                      <w:b/>
                      <w:sz w:val="22"/>
                      <w:szCs w:val="22"/>
                    </w:rPr>
                    <w:t>le total des demi-journées</w:t>
                  </w:r>
                  <w:r>
                    <w:rPr>
                      <w:rFonts w:asciiTheme="majorHAnsi" w:hAnsiTheme="majorHAnsi"/>
                      <w:sz w:val="22"/>
                      <w:szCs w:val="22"/>
                    </w:rPr>
                    <w:t xml:space="preserve"> d’absence injustifiée atteint par le mineur en cause depuis le début de l’année scolaire.</w:t>
                  </w:r>
                </w:p>
                <w:p>
                  <w:pPr>
                    <w:pStyle w:val="Corpsdetexte21"/>
                    <w:jc w:val="both"/>
                    <w:rPr>
                      <w:rFonts w:asciiTheme="majorHAnsi" w:hAnsiTheme="majorHAnsi"/>
                      <w:sz w:val="22"/>
                      <w:szCs w:val="22"/>
                    </w:rPr>
                  </w:pPr>
                  <w:r>
                    <w:rPr>
                      <w:rFonts w:asciiTheme="majorHAnsi" w:hAnsiTheme="majorHAnsi"/>
                      <w:sz w:val="22"/>
                      <w:szCs w:val="22"/>
                    </w:rPr>
                    <w:t>Le Service du Droit à l’Instruction. envoie des courriels sur l’adresse officielle de l’établissement pour informer le chef d’établissement de toutes les orientations réalisées vers un service d’aide non contrainte ou vers le Parquet.</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lang w:val="fr-FR"/>
                    </w:rPr>
                  </w:pPr>
                  <w:r>
                    <w:rPr>
                      <w:rFonts w:asciiTheme="majorHAnsi" w:hAnsiTheme="majorHAnsi"/>
                      <w:sz w:val="22"/>
                      <w:szCs w:val="22"/>
                      <w:lang w:val="fr-FR"/>
                    </w:rPr>
                    <w:t xml:space="preserve">Le chef d’établissement a jusqu’au </w:t>
                  </w:r>
                  <w:r>
                    <w:rPr>
                      <w:rFonts w:asciiTheme="majorHAnsi" w:hAnsiTheme="majorHAnsi"/>
                      <w:b/>
                      <w:sz w:val="22"/>
                      <w:szCs w:val="22"/>
                      <w:lang w:val="fr-FR"/>
                    </w:rPr>
                    <w:t>15 juillet au plus tard</w:t>
                  </w:r>
                  <w:r>
                    <w:rPr>
                      <w:rFonts w:asciiTheme="majorHAnsi" w:hAnsiTheme="majorHAnsi"/>
                      <w:sz w:val="22"/>
                      <w:szCs w:val="22"/>
                      <w:lang w:val="fr-FR"/>
                    </w:rPr>
                    <w:t xml:space="preserve"> pour déclarer à l’Administration les élèves en absence injustifiée. Après cette date, le formulaire électronique n’est plus accessible et aucun signalement ne peut être pris en compte par le </w:t>
                  </w:r>
                  <w:r>
                    <w:rPr>
                      <w:rFonts w:asciiTheme="majorHAnsi" w:hAnsiTheme="majorHAnsi"/>
                      <w:sz w:val="22"/>
                      <w:szCs w:val="22"/>
                    </w:rPr>
                    <w:t>Service du Droit à l’Instruction.</w:t>
                  </w:r>
                </w:p>
                <w:p>
                  <w:pPr>
                    <w:pStyle w:val="Corpsdetexte21"/>
                    <w:jc w:val="both"/>
                    <w:rPr>
                      <w:rFonts w:asciiTheme="majorHAnsi" w:hAnsiTheme="majorHAnsi"/>
                      <w:sz w:val="22"/>
                      <w:szCs w:val="22"/>
                    </w:rPr>
                  </w:pPr>
                </w:p>
                <w:p>
                  <w:pPr>
                    <w:pStyle w:val="Corpsdetexte21"/>
                    <w:jc w:val="both"/>
                    <w:rPr>
                      <w:rFonts w:asciiTheme="majorHAnsi" w:hAnsiTheme="majorHAnsi"/>
                      <w:bCs/>
                      <w:sz w:val="22"/>
                      <w:szCs w:val="22"/>
                      <w:vertAlign w:val="superscript"/>
                    </w:rPr>
                  </w:pPr>
                  <w:r>
                    <w:rPr>
                      <w:rFonts w:asciiTheme="majorHAnsi" w:hAnsiTheme="majorHAnsi"/>
                      <w:sz w:val="22"/>
                      <w:szCs w:val="22"/>
                    </w:rPr>
                    <w:t xml:space="preserve">Dans la mesure où l’élève majeur n’est plus soumis à l’obligation scolaire, le chef d’établissement </w:t>
                  </w:r>
                  <w:r>
                    <w:rPr>
                      <w:rFonts w:asciiTheme="majorHAnsi" w:hAnsiTheme="majorHAnsi"/>
                      <w:b/>
                      <w:bCs/>
                      <w:sz w:val="22"/>
                      <w:szCs w:val="22"/>
                      <w:u w:val="single"/>
                    </w:rPr>
                    <w:t>ne doit pas signaler ses absences injustifiées à la DGEO</w:t>
                  </w:r>
                  <w:bookmarkStart w:id="251" w:name="_1.2.2.4._Enseignement_de"/>
                  <w:bookmarkStart w:id="252" w:name="_1.2.2.3._Enseignement_de"/>
                  <w:bookmarkStart w:id="253" w:name="_Enseignement_de_Forme"/>
                  <w:bookmarkStart w:id="254" w:name="_Toc291075498"/>
                  <w:bookmarkStart w:id="255" w:name="_Toc291075922"/>
                  <w:bookmarkStart w:id="256" w:name="_Toc291076346"/>
                  <w:bookmarkStart w:id="257" w:name="_Toc291076770"/>
                  <w:bookmarkStart w:id="258" w:name="_Toc291077194"/>
                  <w:bookmarkStart w:id="259" w:name="_Toc293652037"/>
                  <w:bookmarkStart w:id="260" w:name="_Toc293653619"/>
                  <w:bookmarkStart w:id="261" w:name="_Toc293654230"/>
                  <w:bookmarkStart w:id="262" w:name="_Toc294004810"/>
                  <w:bookmarkStart w:id="263" w:name="_Toc294185306"/>
                  <w:bookmarkStart w:id="264" w:name="_Toc324767172"/>
                  <w:bookmarkStart w:id="265" w:name="_Toc324768030"/>
                  <w:bookmarkEnd w:id="251"/>
                  <w:bookmarkEnd w:id="252"/>
                  <w:bookmarkEnd w:id="253"/>
                  <w:r>
                    <w:rPr>
                      <w:rStyle w:val="Appelnotedebasdep"/>
                      <w:rFonts w:asciiTheme="majorHAnsi" w:hAnsiTheme="majorHAnsi"/>
                      <w:sz w:val="22"/>
                      <w:szCs w:val="22"/>
                    </w:rPr>
                    <w:footnoteReference w:id="16"/>
                  </w:r>
                </w:p>
                <w:p>
                  <w:pPr>
                    <w:pStyle w:val="Corpsdetexte21"/>
                    <w:jc w:val="both"/>
                    <w:rPr>
                      <w:b/>
                      <w:u w:val="single"/>
                    </w:rPr>
                  </w:pPr>
                </w:p>
                <w:p>
                  <w:pPr>
                    <w:pStyle w:val="Titre5"/>
                  </w:pPr>
                  <w:r>
                    <w:t>1.2.3. Les dispositifs de lutte pour l’accrochage scolaire</w:t>
                  </w:r>
                  <w:bookmarkEnd w:id="254"/>
                  <w:bookmarkEnd w:id="255"/>
                  <w:bookmarkEnd w:id="256"/>
                  <w:bookmarkEnd w:id="257"/>
                  <w:bookmarkEnd w:id="258"/>
                  <w:bookmarkEnd w:id="259"/>
                  <w:bookmarkEnd w:id="260"/>
                  <w:bookmarkEnd w:id="261"/>
                  <w:bookmarkEnd w:id="262"/>
                  <w:bookmarkEnd w:id="263"/>
                  <w:bookmarkEnd w:id="264"/>
                  <w:bookmarkEnd w:id="265"/>
                </w:p>
                <w:p/>
                <w:p>
                  <w:pPr>
                    <w:pStyle w:val="Titre6"/>
                  </w:pPr>
                  <w:bookmarkStart w:id="266" w:name="_1.2.3.1._Les_intervenants"/>
                  <w:bookmarkStart w:id="267" w:name="_Toc291075499"/>
                  <w:bookmarkStart w:id="268" w:name="_Toc291075923"/>
                  <w:bookmarkStart w:id="269" w:name="_Toc291076347"/>
                  <w:bookmarkStart w:id="270" w:name="_Toc291076771"/>
                  <w:bookmarkStart w:id="271" w:name="_Toc291077195"/>
                  <w:bookmarkStart w:id="272" w:name="_Toc293652038"/>
                  <w:bookmarkStart w:id="273" w:name="_Toc293653620"/>
                  <w:bookmarkStart w:id="274" w:name="_Toc293654231"/>
                  <w:bookmarkStart w:id="275" w:name="_Toc294004811"/>
                  <w:bookmarkStart w:id="276" w:name="_Toc294185307"/>
                  <w:bookmarkStart w:id="277" w:name="_Toc324767173"/>
                  <w:bookmarkStart w:id="278" w:name="_Toc324768031"/>
                  <w:bookmarkEnd w:id="266"/>
                  <w:r>
                    <w:t>1.2.3.1. Les intervenants de la Direction générale de l’Enseignement obligatoire</w:t>
                  </w:r>
                  <w:bookmarkEnd w:id="267"/>
                  <w:bookmarkEnd w:id="268"/>
                  <w:bookmarkEnd w:id="269"/>
                  <w:bookmarkEnd w:id="270"/>
                  <w:bookmarkEnd w:id="271"/>
                  <w:bookmarkEnd w:id="272"/>
                  <w:bookmarkEnd w:id="273"/>
                  <w:bookmarkEnd w:id="274"/>
                  <w:bookmarkEnd w:id="275"/>
                  <w:bookmarkEnd w:id="276"/>
                  <w:bookmarkEnd w:id="277"/>
                  <w:bookmarkEnd w:id="278"/>
                  <w:r>
                    <w:t> </w:t>
                  </w:r>
                </w:p>
                <w:p/>
                <w:p>
                  <w:pPr>
                    <w:jc w:val="both"/>
                    <w:rPr>
                      <w:rFonts w:cs="Arial"/>
                    </w:rPr>
                  </w:pPr>
                  <w:bookmarkStart w:id="279" w:name="_Toc291075500"/>
                  <w:bookmarkStart w:id="280" w:name="_Toc291075924"/>
                  <w:bookmarkStart w:id="281" w:name="_Toc291076348"/>
                  <w:bookmarkStart w:id="282" w:name="_Toc291076772"/>
                  <w:bookmarkStart w:id="283" w:name="_Toc291077196"/>
                  <w:bookmarkStart w:id="284" w:name="_Toc293652039"/>
                  <w:bookmarkStart w:id="285" w:name="_Toc293653621"/>
                  <w:bookmarkStart w:id="286" w:name="_Toc293654232"/>
                  <w:bookmarkStart w:id="287" w:name="_Toc294004812"/>
                  <w:bookmarkStart w:id="288" w:name="_Toc294185308"/>
                  <w:bookmarkStart w:id="289" w:name="_Toc324767174"/>
                  <w:bookmarkStart w:id="290" w:name="_Toc324768032"/>
                  <w:r>
                    <w:rPr>
                      <w:rFonts w:cs="Arial"/>
                    </w:rPr>
                    <w:t xml:space="preserve">Dans le traitement de situations individuelles, </w:t>
                  </w:r>
                  <w:r>
                    <w:rPr>
                      <w:rFonts w:cs="Arial"/>
                      <w:b/>
                    </w:rPr>
                    <w:t>notamment</w:t>
                  </w:r>
                  <w:r>
                    <w:rPr>
                      <w:rFonts w:cs="Arial"/>
                    </w:rPr>
                    <w:t xml:space="preserve"> d’absentéisme ou de décrochage scolaire, et lorsqu’il l’estime nécessaire, le chef d’établissement peut, outre l’intervention du CPMS</w:t>
                  </w:r>
                  <w:r>
                    <w:rPr>
                      <w:rStyle w:val="Appelnotedebasdep1"/>
                    </w:rPr>
                    <w:footnoteReference w:id="17"/>
                  </w:r>
                  <w:r>
                    <w:rPr>
                      <w:rFonts w:cs="Arial"/>
                    </w:rPr>
                    <w:t>, demander dans un second temps auprès de la Direction générale de l’enseignement obligatoire, le concours de personnes extérieures à l’école en vue de recevoir une aide à la remobilisation scolaire de l’élève absent ou en décrochage scolaire.</w:t>
                  </w:r>
                </w:p>
                <w:p>
                  <w:pPr>
                    <w:rPr>
                      <w:rFonts w:cs="Arial"/>
                    </w:rPr>
                  </w:pPr>
                </w:p>
                <w:p>
                  <w:pPr>
                    <w:jc w:val="both"/>
                    <w:rPr>
                      <w:rFonts w:cs="Arial"/>
                    </w:rPr>
                  </w:pPr>
                  <w:r>
                    <w:rPr>
                      <w:rFonts w:cs="Arial"/>
                    </w:rPr>
                    <w:t>Il s’agit de la médiation scolaire pour l’enseignement secondaire et des équipes mobiles pour l’enseignement fondamental et l’enseignement secondaire (si l’élève est non-inscrit ou inscrit dans un établissement scolaire mais qu’il ne l’a de fait pas fréquenté).</w:t>
                  </w:r>
                  <w:r>
                    <w:rPr>
                      <w:rStyle w:val="Appelnotedebasdep1"/>
                    </w:rPr>
                    <w:footnoteReference w:id="18"/>
                  </w:r>
                </w:p>
                <w:p>
                  <w:pPr>
                    <w:pBdr>
                      <w:right w:val="single" w:sz="4" w:space="4" w:color="auto"/>
                    </w:pBdr>
                    <w:jc w:val="both"/>
                    <w:rPr>
                      <w:rFonts w:cs="Arial"/>
                    </w:rPr>
                  </w:pPr>
                  <w:r>
                    <w:rPr>
                      <w:rFonts w:cs="Arial"/>
                    </w:rPr>
                    <w:t xml:space="preserve"> La </w:t>
                  </w:r>
                  <w:hyperlink r:id="rId22" w:history="1">
                    <w:r>
                      <w:rPr>
                        <w:rStyle w:val="Lienhypertexte"/>
                        <w:rFonts w:cs="Arial"/>
                      </w:rPr>
                      <w:t>circulaire 4961 du 26 août 2014</w:t>
                    </w:r>
                  </w:hyperlink>
                  <w:r>
                    <w:rPr>
                      <w:rFonts w:cs="Arial"/>
                    </w:rPr>
                    <w:t xml:space="preserve"> présente toutes </w:t>
                  </w:r>
                  <w:r>
                    <w:rPr>
                      <w:rFonts w:cs="Arial"/>
                      <w:b/>
                    </w:rPr>
                    <w:t>les missions</w:t>
                  </w:r>
                  <w:r>
                    <w:rPr>
                      <w:rFonts w:cs="Arial"/>
                    </w:rPr>
                    <w:t xml:space="preserve"> de ces deux services ainsi que les modalités de contact.</w:t>
                  </w:r>
                  <w:r>
                    <w:rPr>
                      <w:iCs/>
                    </w:rPr>
                    <w:t>A noter que dans le cadre de situations liées à de l’absentéisme scolaire ou du décrochage scolaire, le Service de médiation scolaire poursuit l’objectif de recréer du lien entre la famille/l’élève et l’école. Lorsque des éléments relationnels (conflit, tensions) sous-tendent l’absentéisme, ils peuvent être travaillés en médiation entre les protagonistes concernés.</w:t>
                  </w:r>
                </w:p>
                <w:p>
                  <w:pPr>
                    <w:pBdr>
                      <w:right w:val="single" w:sz="4" w:space="4" w:color="auto"/>
                    </w:pBdr>
                    <w:jc w:val="both"/>
                    <w:rPr>
                      <w:rFonts w:cs="Arial"/>
                      <w:iCs/>
                    </w:rPr>
                  </w:pPr>
                  <w:r>
                    <w:rPr>
                      <w:rFonts w:cs="Arial"/>
                      <w:iCs/>
                    </w:rPr>
                    <w:t>Lorsque d’autres facteurs (problématiques économiques, sociales, familiales), sont à l’origine de l’absentéisme, le médiateur travaillera le relais vers les services de première ligne adéquats.</w:t>
                  </w:r>
                </w:p>
                <w:p>
                  <w:pPr>
                    <w:pBdr>
                      <w:right w:val="single" w:sz="4" w:space="4" w:color="auto"/>
                    </w:pBdr>
                    <w:jc w:val="both"/>
                    <w:rPr>
                      <w:rFonts w:cs="Arial"/>
                      <w:iCs/>
                    </w:rPr>
                  </w:pPr>
                  <w:r>
                    <w:rPr>
                      <w:rFonts w:cs="Arial"/>
                      <w:iCs/>
                    </w:rPr>
                    <w:t>Le rôle du médiateur n’est donc pas d’assurer l’accompagnement à long terme de l’élève mais de proposer un processus de médiation entre lui et l’école ou entre lui et le(s) service(s) d’aide approprié(s).</w:t>
                  </w:r>
                </w:p>
                <w:p>
                  <w:pPr>
                    <w:rPr>
                      <w:b/>
                      <w:u w:val="single"/>
                    </w:rPr>
                  </w:pPr>
                </w:p>
                <w:p>
                  <w:pPr>
                    <w:pStyle w:val="Titre6"/>
                  </w:pPr>
                  <w:r>
                    <w:t>1.2.3.2. Les services d’accrochage scolaire</w:t>
                  </w:r>
                  <w:r>
                    <w:rPr>
                      <w:rStyle w:val="Appelnotedebasdep1"/>
                      <w:vertAlign w:val="baseline"/>
                    </w:rPr>
                    <w:footnoteReference w:id="19"/>
                  </w:r>
                  <w:r>
                    <w:t> (SAS) : mineur exclu ou en situation de crise</w:t>
                  </w:r>
                  <w:bookmarkEnd w:id="279"/>
                  <w:bookmarkEnd w:id="280"/>
                  <w:bookmarkEnd w:id="281"/>
                  <w:bookmarkEnd w:id="282"/>
                  <w:bookmarkEnd w:id="283"/>
                  <w:bookmarkEnd w:id="284"/>
                  <w:bookmarkEnd w:id="285"/>
                  <w:bookmarkEnd w:id="286"/>
                  <w:bookmarkEnd w:id="287"/>
                  <w:bookmarkEnd w:id="288"/>
                  <w:bookmarkEnd w:id="289"/>
                  <w:bookmarkEnd w:id="290"/>
                </w:p>
                <w:p/>
                <w:p>
                  <w:pPr>
                    <w:jc w:val="both"/>
                  </w:pPr>
                  <w:r>
                    <w:t>Un mineur exclu de son établissement scolaire en absentéisme/décrochage scolaire ou en situation de crise</w:t>
                  </w:r>
                  <w:r>
                    <w:rPr>
                      <w:rStyle w:val="Caractresdenotedebasdepage"/>
                      <w:rFonts w:cs="Arial"/>
                    </w:rPr>
                    <w:footnoteReference w:id="20"/>
                  </w:r>
                  <w:r>
                    <w:t xml:space="preserve"> peut être orienté par l’intermédiaire de ses parents, de la personne investie de l’autorité parentale ou qui assume la garde en fait du mineur, vers un service d’accrochage scolaire, </w:t>
                  </w:r>
                  <w:r>
                    <w:rPr>
                      <w:b/>
                      <w:bCs/>
                    </w:rPr>
                    <w:t>sur base volontaire</w:t>
                  </w:r>
                  <w:r>
                    <w:t xml:space="preserve"> de ces derniers et du mineur. </w:t>
                  </w:r>
                </w:p>
                <w:p>
                  <w:pPr>
                    <w:jc w:val="both"/>
                    <w:rPr>
                      <w:b/>
                      <w:u w:val="single"/>
                    </w:rPr>
                  </w:pPr>
                </w:p>
                <w:p>
                  <w:pPr>
                    <w:pStyle w:val="Titre7"/>
                  </w:pPr>
                  <w:bookmarkStart w:id="291" w:name="_1.2.3.2.1._Obligation_scolaire"/>
                  <w:bookmarkStart w:id="292" w:name="_Toc291075501"/>
                  <w:bookmarkStart w:id="293" w:name="_Toc291075925"/>
                  <w:bookmarkStart w:id="294" w:name="_Toc291076349"/>
                  <w:bookmarkStart w:id="295" w:name="_Toc291076773"/>
                  <w:bookmarkStart w:id="296" w:name="_Toc291077197"/>
                  <w:bookmarkStart w:id="297" w:name="_Toc293652040"/>
                  <w:bookmarkStart w:id="298" w:name="_Toc293653622"/>
                  <w:bookmarkStart w:id="299" w:name="_Toc293654233"/>
                  <w:bookmarkStart w:id="300" w:name="_Toc294004813"/>
                  <w:bookmarkStart w:id="301" w:name="_Toc294185309"/>
                  <w:bookmarkStart w:id="302" w:name="_Toc324767175"/>
                  <w:bookmarkStart w:id="303" w:name="_Toc324768033"/>
                  <w:bookmarkEnd w:id="291"/>
                  <w:r>
                    <w:t>1.2.3.2.1. Obligation scolaire et objectif de la prise en charge par un service d’accrochage scolaire</w:t>
                  </w:r>
                  <w:bookmarkEnd w:id="292"/>
                  <w:bookmarkEnd w:id="293"/>
                  <w:bookmarkEnd w:id="294"/>
                  <w:bookmarkEnd w:id="295"/>
                  <w:bookmarkEnd w:id="296"/>
                  <w:bookmarkEnd w:id="297"/>
                  <w:bookmarkEnd w:id="298"/>
                  <w:bookmarkEnd w:id="299"/>
                  <w:bookmarkEnd w:id="300"/>
                  <w:bookmarkEnd w:id="301"/>
                  <w:bookmarkEnd w:id="302"/>
                  <w:bookmarkEnd w:id="303"/>
                </w:p>
                <w:p>
                  <w:pPr>
                    <w:jc w:val="both"/>
                    <w:rPr>
                      <w:b/>
                      <w:u w:val="single"/>
                    </w:rPr>
                  </w:pPr>
                </w:p>
                <w:p>
                  <w:pPr>
                    <w:jc w:val="both"/>
                    <w:rPr>
                      <w:rFonts w:cs="Arial"/>
                    </w:rPr>
                  </w:pPr>
                  <w:r>
                    <w:rPr>
                      <w:rFonts w:cs="Arial"/>
                    </w:rPr>
                    <w:t>La prise en charge d’un mineur par un service d’accrochage scolaire satisfait pleinement à l’obligation scolaire, c’est une aide sociale, éducative et pédagogique, qui consiste en l’accueil en journée et un accompagnement en lien avec le milieu familial ou de vie du jeune.</w:t>
                  </w:r>
                </w:p>
                <w:p>
                  <w:pPr>
                    <w:jc w:val="both"/>
                    <w:rPr>
                      <w:rFonts w:cs="Arial"/>
                    </w:rPr>
                  </w:pPr>
                </w:p>
                <w:p/>
                <w:p>
                  <w:pPr>
                    <w:pStyle w:val="Titre7"/>
                  </w:pPr>
                  <w:bookmarkStart w:id="304" w:name="_1.2.3.2.2._Partenariat_entre"/>
                  <w:bookmarkStart w:id="305" w:name="_Toc291075502"/>
                  <w:bookmarkStart w:id="306" w:name="_Toc291075926"/>
                  <w:bookmarkStart w:id="307" w:name="_Toc291076350"/>
                  <w:bookmarkStart w:id="308" w:name="_Toc291076774"/>
                  <w:bookmarkStart w:id="309" w:name="_Toc291077198"/>
                  <w:bookmarkStart w:id="310" w:name="_Toc293652041"/>
                  <w:bookmarkStart w:id="311" w:name="_Toc293653623"/>
                  <w:bookmarkStart w:id="312" w:name="_Toc293654234"/>
                  <w:bookmarkStart w:id="313" w:name="_Toc294004814"/>
                  <w:bookmarkStart w:id="314" w:name="_Toc294185310"/>
                  <w:bookmarkStart w:id="315" w:name="_Toc324767176"/>
                  <w:bookmarkStart w:id="316" w:name="_Toc324768034"/>
                  <w:bookmarkEnd w:id="304"/>
                  <w:r>
                    <w:t>1.2.3.2.2. Partenariat entre l’établissement scolaire et le service d’accrochage scolaire</w:t>
                  </w:r>
                  <w:bookmarkEnd w:id="305"/>
                  <w:bookmarkEnd w:id="306"/>
                  <w:bookmarkEnd w:id="307"/>
                  <w:bookmarkEnd w:id="308"/>
                  <w:bookmarkEnd w:id="309"/>
                  <w:bookmarkEnd w:id="310"/>
                  <w:bookmarkEnd w:id="311"/>
                  <w:bookmarkEnd w:id="312"/>
                  <w:bookmarkEnd w:id="313"/>
                  <w:bookmarkEnd w:id="314"/>
                  <w:bookmarkEnd w:id="315"/>
                  <w:bookmarkEnd w:id="316"/>
                </w:p>
                <w:p>
                  <w:pPr>
                    <w:pStyle w:val="2"/>
                    <w:jc w:val="both"/>
                    <w:rPr>
                      <w:rFonts w:asciiTheme="majorHAnsi" w:hAnsiTheme="majorHAnsi"/>
                      <w:sz w:val="22"/>
                      <w:szCs w:val="22"/>
                      <w:lang w:val="fr-BE"/>
                    </w:rPr>
                  </w:pPr>
                </w:p>
                <w:p>
                  <w:pPr>
                    <w:jc w:val="both"/>
                    <w:rPr>
                      <w:rFonts w:cs="Arial"/>
                    </w:rPr>
                  </w:pPr>
                  <w:r>
                    <w:rPr>
                      <w:rFonts w:cs="Arial"/>
                    </w:rPr>
                    <w:t>Durant cette prise en charge, le service d’accrochage scolaire veille à organiser un partenariat avec l’établissement d’enseignement du mineur (par ex. : fréquenté avant ou après la prise en charge) ou tout autre établissement scolaire afin qu’il puisse continuer son apprentissage.</w:t>
                  </w:r>
                </w:p>
                <w:p>
                  <w:pPr>
                    <w:jc w:val="both"/>
                    <w:rPr>
                      <w:rFonts w:cs="Arial"/>
                    </w:rPr>
                  </w:pPr>
                </w:p>
                <w:p>
                  <w:pPr>
                    <w:jc w:val="both"/>
                    <w:rPr>
                      <w:rFonts w:cs="Arial"/>
                    </w:rPr>
                  </w:pPr>
                  <w:r>
                    <w:rPr>
                      <w:rFonts w:cs="Arial"/>
                    </w:rPr>
                    <w:t>Le partenariat peut notamment porter sur la fourniture de documents pédagogiques ou sur l’intervention de membres du personnel enseignant et auxiliaire d’éducation dans le cadre des activités mises en place par le service d’accrochage scolaire.</w:t>
                  </w:r>
                </w:p>
                <w:p>
                  <w:pPr>
                    <w:jc w:val="both"/>
                    <w:rPr>
                      <w:rFonts w:cs="Arial"/>
                    </w:rPr>
                  </w:pPr>
                </w:p>
                <w:p>
                  <w:pPr>
                    <w:tabs>
                      <w:tab w:val="num" w:pos="3420"/>
                    </w:tabs>
                    <w:jc w:val="both"/>
                    <w:rPr>
                      <w:rFonts w:cs="Arial"/>
                    </w:rPr>
                  </w:pPr>
                  <w:r>
                    <w:rPr>
                      <w:rFonts w:cs="Arial"/>
                    </w:rPr>
                    <w:t>Dans le mois qui suit la date de prise en charge du mineur, le service d’accrochage scolaire prend contact avec les partenaires impliqués pour les informer des actions entreprises.</w:t>
                  </w:r>
                </w:p>
                <w:p>
                  <w:pPr>
                    <w:jc w:val="both"/>
                    <w:rPr>
                      <w:rFonts w:cs="Arial"/>
                    </w:rPr>
                  </w:pPr>
                  <w:r>
                    <w:rPr>
                      <w:rFonts w:cs="Arial"/>
                    </w:rPr>
                    <w:t>Des bilans</w:t>
                  </w:r>
                  <w:r>
                    <w:rPr>
                      <w:rStyle w:val="Appelnotedebasdep1"/>
                    </w:rPr>
                    <w:footnoteReference w:id="21"/>
                  </w:r>
                  <w:r>
                    <w:rPr>
                      <w:rFonts w:cs="Arial"/>
                    </w:rPr>
                    <w:t xml:space="preserve"> sont transmis par le service d’accrochage scolaire aux partenaires impliqués, dont l’établissement scolaire concerné, pendant la prise en charge du mineur.</w:t>
                  </w:r>
                </w:p>
                <w:p>
                  <w:pPr>
                    <w:jc w:val="both"/>
                    <w:rPr>
                      <w:rFonts w:cs="Arial"/>
                    </w:rPr>
                  </w:pPr>
                </w:p>
                <w:p>
                  <w:pPr>
                    <w:jc w:val="both"/>
                    <w:rPr>
                      <w:rFonts w:cs="Arial"/>
                    </w:rPr>
                  </w:pPr>
                  <w:r>
                    <w:rPr>
                      <w:rFonts w:cs="Arial"/>
                    </w:rPr>
                    <w:t>Ces bilans sont, au moins, au nombre de deux :</w:t>
                  </w:r>
                </w:p>
                <w:p>
                  <w:pPr>
                    <w:jc w:val="both"/>
                    <w:rPr>
                      <w:rFonts w:cs="Arial"/>
                    </w:rPr>
                  </w:pPr>
                </w:p>
                <w:p>
                  <w:pPr>
                    <w:numPr>
                      <w:ilvl w:val="0"/>
                      <w:numId w:val="96"/>
                    </w:numPr>
                    <w:tabs>
                      <w:tab w:val="clear" w:pos="360"/>
                      <w:tab w:val="num" w:pos="851"/>
                    </w:tabs>
                    <w:suppressAutoHyphens/>
                    <w:ind w:left="567" w:hanging="425"/>
                    <w:jc w:val="both"/>
                    <w:rPr>
                      <w:rFonts w:cs="Arial"/>
                    </w:rPr>
                  </w:pPr>
                  <w:r>
                    <w:rPr>
                      <w:rFonts w:cs="Arial"/>
                    </w:rPr>
                    <w:t xml:space="preserve">un premier bilan </w:t>
                  </w:r>
                  <w:r>
                    <w:t xml:space="preserve">au plus tard à l’échéance des trois mois qui suit </w:t>
                  </w:r>
                  <w:r>
                    <w:rPr>
                      <w:rFonts w:cs="Arial"/>
                    </w:rPr>
                    <w:t>la date de prise en charge du mineur ;</w:t>
                  </w:r>
                </w:p>
                <w:p>
                  <w:pPr>
                    <w:numPr>
                      <w:ilvl w:val="0"/>
                      <w:numId w:val="96"/>
                    </w:numPr>
                    <w:tabs>
                      <w:tab w:val="clear" w:pos="360"/>
                      <w:tab w:val="num" w:pos="851"/>
                    </w:tabs>
                    <w:suppressAutoHyphens/>
                    <w:ind w:left="567" w:hanging="425"/>
                    <w:jc w:val="both"/>
                    <w:rPr>
                      <w:rFonts w:cs="Arial"/>
                    </w:rPr>
                  </w:pPr>
                  <w:r>
                    <w:rPr>
                      <w:rFonts w:cs="Arial"/>
                    </w:rPr>
                    <w:t xml:space="preserve">un second bilan </w:t>
                  </w:r>
                  <w:r>
                    <w:t>en fin de prise en charge par le service d’accrochage scolaire</w:t>
                  </w:r>
                  <w:r>
                    <w:rPr>
                      <w:rFonts w:cs="Arial"/>
                    </w:rPr>
                    <w:t>.</w:t>
                  </w:r>
                </w:p>
                <w:p>
                  <w:pPr>
                    <w:rPr>
                      <w:rFonts w:cs="Arial"/>
                    </w:rPr>
                  </w:pPr>
                </w:p>
                <w:p>
                  <w:pPr>
                    <w:rPr>
                      <w:rFonts w:cs="Arial"/>
                    </w:rPr>
                  </w:pPr>
                  <w:r>
                    <w:rPr>
                      <w:rFonts w:cs="Arial"/>
                    </w:rPr>
                    <w:t>Les travailleurs du service d’accrochage scolaire respectent le secret professionnel et le code de déontologie de l’Aide à la Jeunesse. Ce sont donc des informations de type pédagogique qui sont communiquées à l’établissement scolaire.</w:t>
                  </w:r>
                </w:p>
                <w:p/>
                <w:p>
                  <w:pPr>
                    <w:jc w:val="both"/>
                    <w:rPr>
                      <w:rFonts w:cs="Arial"/>
                    </w:rPr>
                  </w:pPr>
                  <w:r>
                    <w:rPr>
                      <w:noProof/>
                      <w:lang w:eastAsia="fr-BE"/>
                    </w:rPr>
                    <mc:AlternateContent>
                      <mc:Choice Requires="wps">
                        <w:drawing>
                          <wp:anchor distT="0" distB="0" distL="114300" distR="114300" simplePos="0" relativeHeight="251695104" behindDoc="0" locked="0" layoutInCell="1" allowOverlap="1">
                            <wp:simplePos x="0" y="0"/>
                            <wp:positionH relativeFrom="column">
                              <wp:posOffset>6629400</wp:posOffset>
                            </wp:positionH>
                            <wp:positionV relativeFrom="paragraph">
                              <wp:posOffset>104775</wp:posOffset>
                            </wp:positionV>
                            <wp:extent cx="0" cy="0"/>
                            <wp:effectExtent l="10160" t="5715" r="8890" b="13335"/>
                            <wp:wrapNone/>
                            <wp:docPr id="155" name="Connecteur droit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076331" id="Connecteur droit 155"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2pt,8.25pt" to="522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" strokeweight=".26mm">
                            <v:stroke joinstyle="miter"/>
                          </v:line>
                        </w:pict>
                      </mc:Fallback>
                    </mc:AlternateContent>
                  </w:r>
                  <w:r>
                    <w:rPr>
                      <w:rFonts w:cs="Arial"/>
                    </w:rPr>
                    <w:t>Quelles sont les conditions pour qu’un mineur en âge d’obligation scolaire puisse être temporairement accueilli par un service d’accrochage scolaire tout en répondant à cette obligation ?</w:t>
                  </w:r>
                </w:p>
                <w:p>
                  <w:pPr>
                    <w:rPr>
                      <w:rFonts w:cs="Arial"/>
                    </w:rPr>
                  </w:pPr>
                </w:p>
                <w:p>
                  <w:pPr>
                    <w:jc w:val="both"/>
                    <w:rPr>
                      <w:b/>
                    </w:rPr>
                  </w:pPr>
                  <w:bookmarkStart w:id="317" w:name="_Toc291075503"/>
                  <w:bookmarkStart w:id="318" w:name="_Toc291075927"/>
                  <w:bookmarkStart w:id="319" w:name="_Toc291076351"/>
                  <w:bookmarkStart w:id="320" w:name="_Toc291076775"/>
                  <w:bookmarkStart w:id="321" w:name="_Toc291077199"/>
                  <w:bookmarkStart w:id="322" w:name="_Toc293652042"/>
                  <w:bookmarkStart w:id="323" w:name="_Toc293653624"/>
                  <w:bookmarkStart w:id="324" w:name="_Toc293654235"/>
                  <w:bookmarkStart w:id="325" w:name="_Toc294004815"/>
                  <w:bookmarkStart w:id="326" w:name="_Toc294185311"/>
                  <w:bookmarkStart w:id="327" w:name="_Toc324767177"/>
                  <w:bookmarkStart w:id="328" w:name="_Toc324768035"/>
                  <w:r>
                    <w:rPr>
                      <w:b/>
                    </w:rPr>
                    <w:t>a. En cas d’exclusion d’un élève. (Article 31 du Décret sectoriel du 21 novembre 2013)</w:t>
                  </w:r>
                  <w:bookmarkEnd w:id="317"/>
                  <w:bookmarkEnd w:id="318"/>
                  <w:bookmarkEnd w:id="319"/>
                  <w:bookmarkEnd w:id="320"/>
                  <w:bookmarkEnd w:id="321"/>
                  <w:bookmarkEnd w:id="322"/>
                  <w:bookmarkEnd w:id="323"/>
                  <w:bookmarkEnd w:id="324"/>
                  <w:bookmarkEnd w:id="325"/>
                  <w:bookmarkEnd w:id="326"/>
                  <w:bookmarkEnd w:id="327"/>
                  <w:bookmarkEnd w:id="328"/>
                  <w:r>
                    <w:rPr>
                      <w:b/>
                    </w:rPr>
                    <w:t>.</w:t>
                  </w:r>
                </w:p>
                <w:p>
                  <w:pPr>
                    <w:pStyle w:val="2"/>
                    <w:jc w:val="both"/>
                    <w:rPr>
                      <w:rFonts w:asciiTheme="majorHAnsi" w:hAnsiTheme="majorHAnsi"/>
                      <w:sz w:val="22"/>
                      <w:szCs w:val="22"/>
                      <w:lang w:val="fr-BE"/>
                    </w:rPr>
                  </w:pPr>
                </w:p>
                <w:p>
                  <w:pPr>
                    <w:jc w:val="both"/>
                    <w:rPr>
                      <w:rFonts w:cs="Arial"/>
                    </w:rPr>
                  </w:pPr>
                  <w:r>
                    <w:rPr>
                      <w:rFonts w:cs="Arial"/>
                    </w:rPr>
                    <w:t>Lorsqu’un mineur est exclu et que la Commission des inscriptions ou l’organe de représentation et de coordination des pouvoirs organisateurs compétents ne peut proposer à l’administration l’inscription de l’élève exclu dans un autre établissement de la Fédération Wallonie-Bruxelles, le Ministre peut considérer comme satisfaisant aux obligations relatives à la fréquentation scolaire la prise en charge pour une période ne pouvant dépasser trois mois, renouvelable une fois, du jeune.</w:t>
                  </w:r>
                </w:p>
                <w:p>
                  <w:pPr>
                    <w:jc w:val="both"/>
                    <w:rPr>
                      <w:rFonts w:cs="Arial"/>
                      <w:u w:val="single"/>
                    </w:rPr>
                  </w:pPr>
                </w:p>
                <w:p>
                  <w:pPr>
                    <w:jc w:val="both"/>
                    <w:rPr>
                      <w:b/>
                    </w:rPr>
                  </w:pPr>
                  <w:bookmarkStart w:id="329" w:name="_Toc291075504"/>
                  <w:bookmarkStart w:id="330" w:name="_Toc291075928"/>
                  <w:bookmarkStart w:id="331" w:name="_Toc291076352"/>
                  <w:bookmarkStart w:id="332" w:name="_Toc291076776"/>
                  <w:bookmarkStart w:id="333" w:name="_Toc291077200"/>
                  <w:bookmarkStart w:id="334" w:name="_Toc293652043"/>
                  <w:bookmarkStart w:id="335" w:name="_Toc293653625"/>
                  <w:bookmarkStart w:id="336" w:name="_Toc293654236"/>
                  <w:bookmarkStart w:id="337" w:name="_Toc294004816"/>
                  <w:bookmarkStart w:id="338" w:name="_Toc294185312"/>
                  <w:bookmarkStart w:id="339" w:name="_Toc324767178"/>
                  <w:bookmarkStart w:id="340" w:name="_Toc324768036"/>
                  <w:r>
                    <w:rPr>
                      <w:b/>
                    </w:rPr>
                    <w:t>b. En cas de situation d’absentéisme, de crise ou  de décrochage scolaire</w:t>
                  </w:r>
                  <w:r>
                    <w:rPr>
                      <w:b/>
                      <w:color w:val="FF0000"/>
                    </w:rPr>
                    <w:t xml:space="preserve"> </w:t>
                  </w:r>
                  <w:r>
                    <w:rPr>
                      <w:b/>
                    </w:rPr>
                    <w:t>d’un élève mineur au sein d’un établissement scolaire. (Article 32 du Décret sectoriel du 21 novembre 2013)</w:t>
                  </w:r>
                  <w:bookmarkEnd w:id="329"/>
                  <w:bookmarkEnd w:id="330"/>
                  <w:bookmarkEnd w:id="331"/>
                  <w:bookmarkEnd w:id="332"/>
                  <w:bookmarkEnd w:id="333"/>
                  <w:bookmarkEnd w:id="334"/>
                  <w:bookmarkEnd w:id="335"/>
                  <w:bookmarkEnd w:id="336"/>
                  <w:bookmarkEnd w:id="337"/>
                  <w:bookmarkEnd w:id="338"/>
                  <w:bookmarkEnd w:id="339"/>
                  <w:bookmarkEnd w:id="340"/>
                  <w:r>
                    <w:rPr>
                      <w:b/>
                    </w:rPr>
                    <w:t>.</w:t>
                  </w:r>
                </w:p>
                <w:p>
                  <w:pPr>
                    <w:pStyle w:val="2"/>
                    <w:jc w:val="both"/>
                    <w:rPr>
                      <w:rFonts w:asciiTheme="majorHAnsi" w:hAnsiTheme="majorHAnsi"/>
                      <w:sz w:val="22"/>
                      <w:szCs w:val="22"/>
                      <w:lang w:val="fr-BE"/>
                    </w:rPr>
                  </w:pPr>
                </w:p>
                <w:p>
                  <w:pPr>
                    <w:jc w:val="both"/>
                    <w:rPr>
                      <w:rFonts w:cs="Arial"/>
                    </w:rPr>
                  </w:pPr>
                  <w:r>
                    <w:rPr>
                      <w:rFonts w:cs="Arial"/>
                    </w:rPr>
                    <w:t>En cas de situation d’absentéisme, de crise ou de décrochage scolaire et sur demande conjointe du mineur, de ses parents ou de la personne investie de l’autorité parentale et du chef d’établissement, après avoir pris l’avis du conseil de classe et du C.P.M.S., le Ministre peut aussi autoriser un élève, qui reste régulièrement inscrit dans son établissement, à être pris en charge, pour une période ne dépassant pas trois mois, renouvelable une fois.</w:t>
                  </w:r>
                </w:p>
                <w:p>
                  <w:pPr>
                    <w:jc w:val="both"/>
                    <w:rPr>
                      <w:rFonts w:cs="Arial"/>
                    </w:rPr>
                  </w:pPr>
                </w:p>
                <w:p>
                  <w:pPr>
                    <w:jc w:val="both"/>
                    <w:rPr>
                      <w:b/>
                    </w:rPr>
                  </w:pPr>
                  <w:bookmarkStart w:id="341" w:name="_Toc291075505"/>
                  <w:bookmarkStart w:id="342" w:name="_Toc291075929"/>
                  <w:bookmarkStart w:id="343" w:name="_Toc291076353"/>
                  <w:bookmarkStart w:id="344" w:name="_Toc291076777"/>
                  <w:bookmarkStart w:id="345" w:name="_Toc291077201"/>
                  <w:bookmarkStart w:id="346" w:name="_Toc293652044"/>
                  <w:bookmarkStart w:id="347" w:name="_Toc293653626"/>
                  <w:bookmarkStart w:id="348" w:name="_Toc293654237"/>
                  <w:bookmarkStart w:id="349" w:name="_Toc294004817"/>
                  <w:bookmarkStart w:id="350" w:name="_Toc294185313"/>
                  <w:bookmarkStart w:id="351" w:name="_Toc324767179"/>
                  <w:bookmarkStart w:id="352" w:name="_Toc324768037"/>
                  <w:r>
                    <w:rPr>
                      <w:b/>
                    </w:rPr>
                    <w:t>c. En cas de décrochage scolaire d’un mineur qui est inscrit dans un établissement mais ne l’a pas de fait fréquenté sans motif valable ou qui n’est inscrit dans aucun établissement et qui n’est pas instruit à domicile. (Article 33 du Décret sectoriel du 21 novembre 2013)</w:t>
                  </w:r>
                  <w:bookmarkEnd w:id="341"/>
                  <w:bookmarkEnd w:id="342"/>
                  <w:bookmarkEnd w:id="343"/>
                  <w:bookmarkEnd w:id="344"/>
                  <w:bookmarkEnd w:id="345"/>
                  <w:bookmarkEnd w:id="346"/>
                  <w:bookmarkEnd w:id="347"/>
                  <w:bookmarkEnd w:id="348"/>
                  <w:bookmarkEnd w:id="349"/>
                  <w:bookmarkEnd w:id="350"/>
                  <w:bookmarkEnd w:id="351"/>
                  <w:bookmarkEnd w:id="352"/>
                  <w:r>
                    <w:rPr>
                      <w:b/>
                    </w:rPr>
                    <w:t>.</w:t>
                  </w:r>
                </w:p>
                <w:p>
                  <w:pPr>
                    <w:pStyle w:val="2"/>
                    <w:jc w:val="both"/>
                    <w:rPr>
                      <w:rFonts w:asciiTheme="majorHAnsi" w:hAnsiTheme="majorHAnsi"/>
                      <w:sz w:val="22"/>
                      <w:szCs w:val="22"/>
                      <w:lang w:val="fr-BE"/>
                    </w:rPr>
                  </w:pPr>
                </w:p>
                <w:p>
                  <w:pPr>
                    <w:jc w:val="both"/>
                    <w:rPr>
                      <w:rFonts w:cs="Arial"/>
                    </w:rPr>
                  </w:pPr>
                  <w:r>
                    <w:rPr>
                      <w:rFonts w:cs="Arial"/>
                    </w:rPr>
                    <w:t>En cas de situation d’un élève soumis à l’obligation scolaire qui</w:t>
                  </w:r>
                  <w:r>
                    <w:t xml:space="preserve"> </w:t>
                  </w:r>
                  <w:r>
                    <w:rPr>
                      <w:rFonts w:cs="Arial"/>
                    </w:rPr>
                    <w:t>est inscrit dans un établissement mais ne l’a pas de fait fréquenté sans motif valable ou bien qui  n’est inscrit dans aucun établissement et qui n’est pas instruit à domicile, sur demande conjointe du mineur et de ses parents ou de la personne investie de l’autorité parentale, et après avis favorable de la Commission des inscriptions ou de l’organe de représentation et de coordination des pouvoirs organisateurs compétents, le Ministre peut aussi autoriser un élève à être pris en charge, pour une période ne dépassant pas trois mois, renouvelable une fois.</w:t>
                  </w:r>
                </w:p>
                <w:p>
                  <w:pPr>
                    <w:jc w:val="both"/>
                    <w:rPr>
                      <w:rFonts w:cs="Arial"/>
                    </w:rPr>
                  </w:pPr>
                </w:p>
                <w:p>
                  <w:pPr>
                    <w:jc w:val="both"/>
                    <w:rPr>
                      <w:rFonts w:cs="Arial"/>
                    </w:rPr>
                  </w:pPr>
                  <w:r>
                    <w:rPr>
                      <w:rFonts w:cs="Arial"/>
                    </w:rPr>
                    <w:t>Pour ces trois types de situation, les prises en charge s’effectuent par :</w:t>
                  </w:r>
                </w:p>
                <w:p>
                  <w:pPr>
                    <w:jc w:val="both"/>
                    <w:rPr>
                      <w:rFonts w:cs="Arial"/>
                    </w:rPr>
                  </w:pPr>
                </w:p>
                <w:p>
                  <w:pPr>
                    <w:numPr>
                      <w:ilvl w:val="0"/>
                      <w:numId w:val="84"/>
                    </w:numPr>
                    <w:tabs>
                      <w:tab w:val="clear" w:pos="360"/>
                      <w:tab w:val="num" w:pos="900"/>
                    </w:tabs>
                    <w:suppressAutoHyphens/>
                    <w:ind w:left="851" w:hanging="851"/>
                    <w:jc w:val="both"/>
                    <w:rPr>
                      <w:rFonts w:cs="Arial"/>
                    </w:rPr>
                  </w:pPr>
                  <w:r>
                    <w:rPr>
                      <w:rFonts w:cs="Arial"/>
                    </w:rPr>
                    <w:t>des services qui apportent leur concours à l’exécution de décisions individuelles dans le cadre des programmes d’aide élaborés, soit par le conseiller de l’Aide à la jeunesse, soit par le directeur de l’Aide à la jeunesse, soit par le Tribunal de la jeunesse ;</w:t>
                  </w:r>
                </w:p>
                <w:p>
                  <w:pPr>
                    <w:numPr>
                      <w:ilvl w:val="0"/>
                      <w:numId w:val="84"/>
                    </w:numPr>
                    <w:tabs>
                      <w:tab w:val="clear" w:pos="360"/>
                      <w:tab w:val="num" w:pos="900"/>
                    </w:tabs>
                    <w:suppressAutoHyphens/>
                    <w:ind w:left="851" w:hanging="851"/>
                    <w:jc w:val="both"/>
                    <w:rPr>
                      <w:rFonts w:cs="Arial"/>
                    </w:rPr>
                  </w:pPr>
                  <w:r>
                    <w:rPr>
                      <w:rFonts w:cs="Arial"/>
                    </w:rPr>
                    <w:t>un service d’accrochage scolaire.</w:t>
                  </w:r>
                </w:p>
                <w:p>
                  <w:pPr>
                    <w:jc w:val="both"/>
                    <w:rPr>
                      <w:rFonts w:cs="Arial"/>
                    </w:rPr>
                  </w:pPr>
                </w:p>
                <w:p>
                  <w:pPr>
                    <w:jc w:val="both"/>
                    <w:rPr>
                      <w:rFonts w:cs="Arial"/>
                    </w:rPr>
                  </w:pPr>
                  <w:r>
                    <w:rPr>
                      <w:rFonts w:cs="Arial"/>
                    </w:rPr>
                    <w:t>Le conseiller de l’Aide à la jeunesse, le directeur de l’Aide à la jeunesse, le Tribunal de la jeunesse ou le service d’accrochage scolaire notifient au Ministre la date de début et de fin de prise en charge prévue.</w:t>
                  </w:r>
                </w:p>
                <w:p>
                  <w:pPr>
                    <w:jc w:val="both"/>
                    <w:rPr>
                      <w:rFonts w:cs="Arial"/>
                    </w:rPr>
                  </w:pPr>
                </w:p>
                <w:p>
                  <w:pPr>
                    <w:jc w:val="both"/>
                    <w:rPr>
                      <w:b/>
                    </w:rPr>
                  </w:pPr>
                  <w:bookmarkStart w:id="353" w:name="_Toc291075506"/>
                  <w:bookmarkStart w:id="354" w:name="_Toc291075930"/>
                  <w:bookmarkStart w:id="355" w:name="_Toc291076354"/>
                  <w:bookmarkStart w:id="356" w:name="_Toc291076778"/>
                  <w:bookmarkStart w:id="357" w:name="_Toc291077202"/>
                  <w:bookmarkStart w:id="358" w:name="_Toc293652045"/>
                  <w:bookmarkStart w:id="359" w:name="_Toc293653627"/>
                  <w:bookmarkStart w:id="360" w:name="_Toc293654238"/>
                  <w:bookmarkStart w:id="361" w:name="_Toc294004818"/>
                  <w:bookmarkStart w:id="362" w:name="_Toc294185314"/>
                  <w:bookmarkStart w:id="363" w:name="_Toc324767180"/>
                  <w:bookmarkStart w:id="364" w:name="_Toc324768038"/>
                  <w:r>
                    <w:rPr>
                      <w:b/>
                    </w:rPr>
                    <w:t>d. Remarque générale sur la durée des prises en charge</w:t>
                  </w:r>
                  <w:bookmarkEnd w:id="353"/>
                  <w:bookmarkEnd w:id="354"/>
                  <w:bookmarkEnd w:id="355"/>
                  <w:bookmarkEnd w:id="356"/>
                  <w:bookmarkEnd w:id="357"/>
                  <w:bookmarkEnd w:id="358"/>
                  <w:bookmarkEnd w:id="359"/>
                  <w:bookmarkEnd w:id="360"/>
                  <w:bookmarkEnd w:id="361"/>
                  <w:bookmarkEnd w:id="362"/>
                  <w:bookmarkEnd w:id="363"/>
                  <w:bookmarkEnd w:id="364"/>
                </w:p>
                <w:p>
                  <w:pPr>
                    <w:autoSpaceDE w:val="0"/>
                    <w:jc w:val="both"/>
                    <w:rPr>
                      <w:rFonts w:cs="Arial"/>
                    </w:rPr>
                  </w:pPr>
                </w:p>
                <w:p>
                  <w:pPr>
                    <w:autoSpaceDE w:val="0"/>
                    <w:jc w:val="both"/>
                    <w:rPr>
                      <w:rFonts w:cs="Arial"/>
                      <w:b/>
                      <w:u w:val="single"/>
                    </w:rPr>
                  </w:pPr>
                  <w:r>
                    <w:rPr>
                      <w:rFonts w:cs="Arial"/>
                    </w:rPr>
                    <w:t xml:space="preserve">La prise en charge d’un mineur par un service d’accrochage scolaire, toutes situations confondues, dans le cadre des articles 31, 32 et 33 </w:t>
                  </w:r>
                  <w:r>
                    <w:rPr>
                      <w:rFonts w:cs="Arial"/>
                      <w:b/>
                      <w:u w:val="single"/>
                    </w:rPr>
                    <w:t>ne peut pas dépasser au total :</w:t>
                  </w:r>
                </w:p>
                <w:p>
                  <w:pPr>
                    <w:autoSpaceDE w:val="0"/>
                    <w:jc w:val="both"/>
                    <w:rPr>
                      <w:rFonts w:cs="Arial"/>
                      <w:b/>
                      <w:u w:val="single"/>
                    </w:rPr>
                  </w:pPr>
                </w:p>
                <w:p>
                  <w:pPr>
                    <w:numPr>
                      <w:ilvl w:val="0"/>
                      <w:numId w:val="84"/>
                    </w:numPr>
                    <w:tabs>
                      <w:tab w:val="clear" w:pos="360"/>
                      <w:tab w:val="num" w:pos="1080"/>
                    </w:tabs>
                    <w:suppressAutoHyphens/>
                    <w:ind w:left="0" w:firstLine="0"/>
                    <w:jc w:val="both"/>
                    <w:rPr>
                      <w:rFonts w:cs="Arial"/>
                      <w:b/>
                    </w:rPr>
                  </w:pPr>
                  <w:r>
                    <w:rPr>
                      <w:rFonts w:cs="Arial"/>
                      <w:b/>
                    </w:rPr>
                    <w:t>six mois par année scolaire ;</w:t>
                  </w:r>
                </w:p>
                <w:p>
                  <w:pPr>
                    <w:numPr>
                      <w:ilvl w:val="0"/>
                      <w:numId w:val="84"/>
                    </w:numPr>
                    <w:tabs>
                      <w:tab w:val="clear" w:pos="360"/>
                      <w:tab w:val="num" w:pos="1080"/>
                    </w:tabs>
                    <w:suppressAutoHyphens/>
                    <w:ind w:left="0" w:firstLine="0"/>
                    <w:jc w:val="both"/>
                  </w:pPr>
                  <w:r>
                    <w:rPr>
                      <w:rFonts w:cs="Arial"/>
                      <w:b/>
                    </w:rPr>
                    <w:t>une année sur l’ensemble de la scolarité du mineur ;</w:t>
                  </w:r>
                </w:p>
                <w:p>
                  <w:pPr>
                    <w:autoSpaceDE w:val="0"/>
                    <w:jc w:val="both"/>
                    <w:rPr>
                      <w:rFonts w:cs="Arial"/>
                    </w:rPr>
                  </w:pPr>
                </w:p>
                <w:p>
                  <w:pPr>
                    <w:autoSpaceDE w:val="0"/>
                    <w:jc w:val="both"/>
                    <w:rPr>
                      <w:rFonts w:cs="Arial"/>
                    </w:rPr>
                  </w:pPr>
                  <w:r>
                    <w:rPr>
                      <w:rFonts w:cs="Arial"/>
                    </w:rPr>
                    <w:t>Cela signifie, par exemple, que le mineur qui aura fréquenté deux services d’accrochage scolaire à des périodes différentes de sa scolarité, à chaque fois pendant une durée de 6 mois, ne pourra plus jamais en bénéficier dans le cadre des articles 31, 32 et 33.</w:t>
                  </w:r>
                </w:p>
                <w:p>
                  <w:pPr>
                    <w:autoSpaceDE w:val="0"/>
                    <w:jc w:val="both"/>
                    <w:rPr>
                      <w:rFonts w:cs="Arial"/>
                    </w:rPr>
                  </w:pPr>
                </w:p>
                <w:p>
                  <w:pPr>
                    <w:autoSpaceDE w:val="0"/>
                    <w:jc w:val="both"/>
                    <w:rPr>
                      <w:rFonts w:cs="Arial"/>
                      <w:b/>
                    </w:rPr>
                  </w:pPr>
                  <w:r>
                    <w:rPr>
                      <w:rFonts w:cs="Arial"/>
                      <w:b/>
                    </w:rPr>
                    <w:t>L’objectif de cette mesure est de permettre à un maximum de jeunes de recevoir de l’aide de ces structures.</w:t>
                  </w:r>
                </w:p>
                <w:p>
                  <w:pPr>
                    <w:autoSpaceDE w:val="0"/>
                    <w:autoSpaceDN w:val="0"/>
                    <w:adjustRightInd w:val="0"/>
                    <w:jc w:val="both"/>
                    <w:rPr>
                      <w:rFonts w:cs="Arial"/>
                    </w:rPr>
                  </w:pPr>
                </w:p>
                <w:p>
                  <w:pPr>
                    <w:autoSpaceDE w:val="0"/>
                    <w:autoSpaceDN w:val="0"/>
                    <w:adjustRightInd w:val="0"/>
                    <w:jc w:val="both"/>
                    <w:rPr>
                      <w:rFonts w:cs="Arial"/>
                    </w:rPr>
                  </w:pPr>
                  <w:r>
                    <w:rPr>
                      <w:rFonts w:cs="Arial"/>
                    </w:rPr>
                    <w:t>Cependant, une dérogation peut être accordée à un jeune pour qu’il puisse bénéficier d’une prise en charge par le SAS prolongée au-delà du 15 avril et jusqu’à la fin de l’année scolaire en cours (même si la durée totale de cette prise en charge excède les trois mois renouvelables une fois sur l’année scolaire).</w:t>
                  </w:r>
                </w:p>
                <w:p>
                  <w:pPr>
                    <w:autoSpaceDE w:val="0"/>
                    <w:jc w:val="both"/>
                    <w:rPr>
                      <w:rFonts w:cs="Arial"/>
                    </w:rPr>
                  </w:pPr>
                  <w:r>
                    <w:rPr>
                      <w:rFonts w:cs="Arial"/>
                    </w:rPr>
                    <w:t>La période de prise en charge située pendant les vacances scolaires n’est pas prise en considération dans le calcul de la durée de prise en charge du mineur.</w:t>
                  </w:r>
                </w:p>
                <w:p>
                  <w:pPr>
                    <w:autoSpaceDE w:val="0"/>
                    <w:jc w:val="both"/>
                    <w:rPr>
                      <w:rFonts w:cs="Arial"/>
                    </w:rPr>
                  </w:pPr>
                </w:p>
                <w:p>
                  <w:pPr>
                    <w:jc w:val="both"/>
                    <w:rPr>
                      <w:b/>
                    </w:rPr>
                  </w:pPr>
                  <w:bookmarkStart w:id="365" w:name="_Toc291075507"/>
                  <w:bookmarkStart w:id="366" w:name="_Toc291075931"/>
                  <w:bookmarkStart w:id="367" w:name="_Toc291076355"/>
                  <w:bookmarkStart w:id="368" w:name="_Toc291076779"/>
                  <w:bookmarkStart w:id="369" w:name="_Toc291077203"/>
                  <w:bookmarkStart w:id="370" w:name="_Toc293652046"/>
                  <w:bookmarkStart w:id="371" w:name="_Toc293653628"/>
                  <w:bookmarkStart w:id="372" w:name="_Toc293654239"/>
                  <w:bookmarkStart w:id="373" w:name="_Toc294004819"/>
                  <w:bookmarkStart w:id="374" w:name="_Toc294185315"/>
                  <w:bookmarkStart w:id="375" w:name="_Toc324767181"/>
                  <w:bookmarkStart w:id="376" w:name="_Toc324768039"/>
                  <w:r>
                    <w:rPr>
                      <w:b/>
                    </w:rPr>
                    <w:t>e. Fin de la prise en charge</w:t>
                  </w:r>
                  <w:bookmarkEnd w:id="365"/>
                  <w:bookmarkEnd w:id="366"/>
                  <w:bookmarkEnd w:id="367"/>
                  <w:bookmarkEnd w:id="368"/>
                  <w:bookmarkEnd w:id="369"/>
                  <w:bookmarkEnd w:id="370"/>
                  <w:bookmarkEnd w:id="371"/>
                  <w:bookmarkEnd w:id="372"/>
                  <w:bookmarkEnd w:id="373"/>
                  <w:bookmarkEnd w:id="374"/>
                  <w:bookmarkEnd w:id="375"/>
                  <w:bookmarkEnd w:id="376"/>
                </w:p>
                <w:p>
                  <w:pPr>
                    <w:pStyle w:val="2"/>
                    <w:jc w:val="both"/>
                    <w:rPr>
                      <w:rFonts w:asciiTheme="majorHAnsi" w:hAnsiTheme="majorHAnsi"/>
                      <w:sz w:val="22"/>
                      <w:szCs w:val="22"/>
                      <w:lang w:val="fr-BE"/>
                    </w:rPr>
                  </w:pPr>
                </w:p>
                <w:p>
                  <w:pPr>
                    <w:jc w:val="both"/>
                    <w:rPr>
                      <w:rFonts w:cs="Arial"/>
                    </w:rPr>
                  </w:pPr>
                  <w:r>
                    <w:rPr>
                      <w:rFonts w:cs="Arial"/>
                    </w:rPr>
                    <w:t>La fin de l’accompagnement du mineur par le service d’accrochage scolaire est, sans préjudice des dispositions légales, déterminée par l’acquisition de compétences</w:t>
                  </w:r>
                  <w:r>
                    <w:t xml:space="preserve"> </w:t>
                  </w:r>
                  <w:r>
                    <w:rPr>
                      <w:rFonts w:cs="Arial"/>
                    </w:rPr>
                    <w:t>permettant au mineur de reprendre adéquatement sa scolarité.</w:t>
                  </w:r>
                </w:p>
                <w:p>
                  <w:pPr>
                    <w:jc w:val="both"/>
                    <w:rPr>
                      <w:rFonts w:cs="Arial"/>
                    </w:rPr>
                  </w:pPr>
                </w:p>
                <w:p>
                  <w:pPr>
                    <w:autoSpaceDE w:val="0"/>
                    <w:autoSpaceDN w:val="0"/>
                    <w:adjustRightInd w:val="0"/>
                    <w:jc w:val="both"/>
                    <w:rPr>
                      <w:rFonts w:cs="Arial"/>
                    </w:rPr>
                  </w:pPr>
                  <w:r>
                    <w:rPr>
                      <w:rFonts w:cs="Arial"/>
                    </w:rPr>
                    <w:t>Le retour de l’élève à l’école se fait après concertation entre l’élève, ses parents ou la personne investie de l’autorité parentale, le service d’accrochage scolaire et le chef d’établissement si l’élève est inscrit dans un établissement scolaire.</w:t>
                  </w:r>
                </w:p>
                <w:p>
                  <w:pPr>
                    <w:autoSpaceDE w:val="0"/>
                    <w:autoSpaceDN w:val="0"/>
                    <w:adjustRightInd w:val="0"/>
                    <w:jc w:val="both"/>
                    <w:rPr>
                      <w:rFonts w:cs="Arial"/>
                    </w:rPr>
                  </w:pPr>
                  <w:r>
                    <w:rPr>
                      <w:rFonts w:cs="Arial"/>
                    </w:rPr>
                    <w:t>Le chef d’établissement doit définir des dispositions</w:t>
                  </w:r>
                  <w:r>
                    <w:rPr>
                      <w:rFonts w:cs="Arial"/>
                      <w:vertAlign w:val="superscript"/>
                    </w:rPr>
                    <w:footnoteReference w:id="22"/>
                  </w:r>
                  <w:r>
                    <w:rPr>
                      <w:rFonts w:cs="Arial"/>
                    </w:rPr>
                    <w:t xml:space="preserve"> (au niveau collectif et individuel), qui permettront à l’élève de reprendre sa scolarité dans les meilleures conditions.</w:t>
                  </w:r>
                </w:p>
                <w:p>
                  <w:pPr>
                    <w:autoSpaceDE w:val="0"/>
                    <w:autoSpaceDN w:val="0"/>
                    <w:adjustRightInd w:val="0"/>
                    <w:jc w:val="both"/>
                    <w:rPr>
                      <w:rFonts w:cs="Arial"/>
                    </w:rPr>
                  </w:pPr>
                  <w:r>
                    <w:rPr>
                      <w:rFonts w:cs="Arial"/>
                    </w:rPr>
                    <w:t xml:space="preserve">Il prend ces dispositions, en concertation avec les acteurs concernés et au sein de la cellule de concertation locale si elle a été mise en place. </w:t>
                  </w:r>
                </w:p>
                <w:p>
                  <w:pPr>
                    <w:autoSpaceDE w:val="0"/>
                    <w:autoSpaceDN w:val="0"/>
                    <w:adjustRightInd w:val="0"/>
                    <w:jc w:val="both"/>
                    <w:rPr>
                      <w:rFonts w:cs="Arial"/>
                    </w:rPr>
                  </w:pPr>
                </w:p>
                <w:p>
                  <w:pPr>
                    <w:autoSpaceDE w:val="0"/>
                    <w:autoSpaceDN w:val="0"/>
                    <w:adjustRightInd w:val="0"/>
                    <w:jc w:val="both"/>
                    <w:rPr>
                      <w:rFonts w:cs="Arial"/>
                    </w:rPr>
                  </w:pPr>
                  <w:r>
                    <w:rPr>
                      <w:rFonts w:cs="Arial"/>
                    </w:rPr>
                    <w:t>Pour définir ces dispositions et pour leur mise en œuvre :</w:t>
                  </w:r>
                </w:p>
                <w:p>
                  <w:pPr>
                    <w:autoSpaceDE w:val="0"/>
                    <w:autoSpaceDN w:val="0"/>
                    <w:adjustRightInd w:val="0"/>
                    <w:jc w:val="both"/>
                    <w:rPr>
                      <w:rFonts w:cs="Arial"/>
                    </w:rPr>
                  </w:pPr>
                </w:p>
                <w:p>
                  <w:pPr>
                    <w:autoSpaceDE w:val="0"/>
                    <w:autoSpaceDN w:val="0"/>
                    <w:adjustRightInd w:val="0"/>
                    <w:ind w:firstLine="540"/>
                    <w:jc w:val="both"/>
                    <w:rPr>
                      <w:rFonts w:cs="Arial"/>
                    </w:rPr>
                  </w:pPr>
                  <w:r>
                    <w:rPr>
                      <w:rFonts w:cs="Arial"/>
                    </w:rPr>
                    <w:t>1° il s’appuie sur le CPMS, SPSE et sur la cellule de concertation locale (le cas échéant) ;</w:t>
                  </w:r>
                </w:p>
                <w:p>
                  <w:pPr>
                    <w:autoSpaceDE w:val="0"/>
                    <w:autoSpaceDN w:val="0"/>
                    <w:adjustRightInd w:val="0"/>
                    <w:ind w:firstLine="540"/>
                    <w:jc w:val="both"/>
                    <w:rPr>
                      <w:rFonts w:cs="Arial"/>
                    </w:rPr>
                  </w:pPr>
                  <w:r>
                    <w:rPr>
                      <w:rFonts w:cs="Arial"/>
                    </w:rPr>
                    <w:t>2° il travaille en concertation étroite avec le CPMS, afin d’articuler au mieux les mesures relevant de l’accompagnement pédagogique, qui sont du ressort de l’équipe éducative, et la prise en compte de la dimension psycho-médico-sociale, qui est du ressort de l’équipe du centre psycho-médico-social.</w:t>
                  </w:r>
                </w:p>
                <w:p>
                  <w:pPr>
                    <w:autoSpaceDE w:val="0"/>
                    <w:autoSpaceDN w:val="0"/>
                    <w:adjustRightInd w:val="0"/>
                    <w:jc w:val="both"/>
                    <w:rPr>
                      <w:rFonts w:cs="Arial"/>
                    </w:rPr>
                  </w:pPr>
                </w:p>
                <w:p>
                  <w:pPr>
                    <w:autoSpaceDE w:val="0"/>
                    <w:autoSpaceDN w:val="0"/>
                    <w:adjustRightInd w:val="0"/>
                    <w:jc w:val="both"/>
                    <w:rPr>
                      <w:rFonts w:cs="Arial"/>
                    </w:rPr>
                  </w:pPr>
                  <w:r>
                    <w:rPr>
                      <w:rFonts w:cs="Arial"/>
                    </w:rPr>
                    <w:t>Une fois intégré ou réintégré dans un établissement scolaire, l’élève peut continuer à fréquenter le service d’accrochage scolaire qui a assuré sa prise en charge, à raison de maximum deux demi-jours par semaine au cours des deux mois qui suivent son retour à l’école</w:t>
                  </w:r>
                  <w:r>
                    <w:rPr>
                      <w:rFonts w:cs="Arial"/>
                      <w:vertAlign w:val="superscript"/>
                    </w:rPr>
                    <w:footnoteReference w:id="23"/>
                  </w:r>
                  <w:r>
                    <w:rPr>
                      <w:rFonts w:cs="Arial"/>
                    </w:rPr>
                    <w:t>.</w:t>
                  </w:r>
                </w:p>
                <w:p>
                  <w:pPr>
                    <w:tabs>
                      <w:tab w:val="num" w:pos="3420"/>
                    </w:tabs>
                    <w:jc w:val="both"/>
                    <w:rPr>
                      <w:rFonts w:cs="Arial"/>
                    </w:rPr>
                  </w:pPr>
                  <w:r>
                    <w:rPr>
                      <w:rFonts w:cs="Arial"/>
                    </w:rPr>
                    <w:t>La fréquentation du service d’accrochage scolaire durant cette période doit faire l’objet d’une convention entre le chef d’établissement, l’élève, ses parents ou la personne investie de l’autorité parentale, le centre psycho-médico-social et le service d’accrochage scolaire concernés.</w:t>
                  </w:r>
                </w:p>
                <w:p>
                  <w:pPr>
                    <w:tabs>
                      <w:tab w:val="num" w:pos="3420"/>
                    </w:tabs>
                    <w:jc w:val="both"/>
                    <w:rPr>
                      <w:rFonts w:cs="Arial"/>
                    </w:rPr>
                  </w:pPr>
                </w:p>
                <w:p>
                  <w:pPr>
                    <w:tabs>
                      <w:tab w:val="num" w:pos="3420"/>
                    </w:tabs>
                    <w:jc w:val="both"/>
                    <w:rPr>
                      <w:rFonts w:cs="Arial"/>
                    </w:rPr>
                  </w:pPr>
                  <w:r>
                    <w:rPr>
                      <w:rFonts w:cs="Arial"/>
                    </w:rPr>
                    <w:t>Le chef d’établissement, à la demande du mineur et de sa famille, peut faire appel au CPMS et au Service de médiation scolaire afin d’accompagner le retour de l’élève à l’école.</w:t>
                  </w:r>
                </w:p>
                <w:p>
                  <w:pPr>
                    <w:jc w:val="both"/>
                    <w:rPr>
                      <w:rFonts w:cs="Arial"/>
                    </w:rPr>
                  </w:pPr>
                </w:p>
                <w:p>
                  <w:pPr>
                    <w:autoSpaceDE w:val="0"/>
                    <w:autoSpaceDN w:val="0"/>
                    <w:adjustRightInd w:val="0"/>
                    <w:jc w:val="both"/>
                    <w:rPr>
                      <w:rFonts w:cs="Arial"/>
                    </w:rPr>
                  </w:pPr>
                  <w:r>
                    <w:rPr>
                      <w:rFonts w:cs="Arial"/>
                    </w:rPr>
                    <w:t>Il peut également demander des moyens humains supplémentaires pour assurer son accompagnement dans les meilleures conditions possibles lors  de son retour à l’école</w:t>
                  </w:r>
                  <w:r>
                    <w:rPr>
                      <w:rStyle w:val="Appelnotedebasdep"/>
                    </w:rPr>
                    <w:footnoteReference w:id="24"/>
                  </w:r>
                  <w:r>
                    <w:rPr>
                      <w:rFonts w:cs="Arial"/>
                    </w:rPr>
                    <w:t xml:space="preserve">, à savoir, l’engagement ou la désignation à titre temporaire pour six périodes d’un membre du personnel enseignant ou auxiliaire d’éducation par élève, sans jamais dépasser un total de vingt-quatre périodes par établissement. Il peut également affecter un membre de l’équipe éducative à l’accompagnement de l’élève accueilli. Les périodes-professeur supplémentaires sont alors affectées au remplacement de ce membre, pour la partie de charge qu’il abandonne. </w:t>
                  </w:r>
                </w:p>
                <w:p>
                  <w:pPr>
                    <w:tabs>
                      <w:tab w:val="num" w:pos="3420"/>
                    </w:tabs>
                    <w:jc w:val="both"/>
                    <w:rPr>
                      <w:rFonts w:cs="Arial"/>
                    </w:rPr>
                  </w:pPr>
                  <w:r>
                    <w:rPr>
                      <w:rFonts w:cs="Arial"/>
                    </w:rPr>
                    <w:t>Ces moyens supplémentaires peuvent être utilisés, pour une période de deux mois dès le onzième jour scolaire qui suit l’intégration ou la réintégration du jeune dans l’établissement scolaire.</w:t>
                  </w:r>
                </w:p>
                <w:p>
                  <w:pPr>
                    <w:tabs>
                      <w:tab w:val="num" w:pos="3420"/>
                    </w:tabs>
                    <w:jc w:val="both"/>
                    <w:rPr>
                      <w:rFonts w:cs="Arial"/>
                    </w:rPr>
                  </w:pPr>
                  <w:r>
                    <w:rPr>
                      <w:rFonts w:cs="Arial"/>
                    </w:rPr>
                    <w:t xml:space="preserve">L’établissement qui accueille un élève dont la prise en charge par un SAS </w:t>
                  </w:r>
                  <w:r>
                    <w:rPr>
                      <w:rFonts w:cs="Arial"/>
                      <w:u w:val="single"/>
                    </w:rPr>
                    <w:t>s’est terminée le 30 juin de l’année scolaire précédente</w:t>
                  </w:r>
                  <w:r>
                    <w:rPr>
                      <w:rFonts w:cs="Arial"/>
                    </w:rPr>
                    <w:t xml:space="preserve">, peut demander l’activation de ces moyens complémentaires au début de l’année scolaire suivante. </w:t>
                  </w:r>
                </w:p>
                <w:p>
                  <w:pPr>
                    <w:jc w:val="both"/>
                    <w:rPr>
                      <w:rFonts w:cs="Arial"/>
                    </w:rPr>
                  </w:pPr>
                  <w:r>
                    <w:rPr>
                      <w:rFonts w:cs="Arial"/>
                    </w:rPr>
                    <w:t xml:space="preserve">La demande de moyens humains complémentaires se fait via l’envoi de </w:t>
                  </w:r>
                  <w:hyperlink w:anchor="_Annexe_24:_Inscription" w:history="1">
                    <w:r>
                      <w:rPr>
                        <w:rStyle w:val="Lienhypertexte"/>
                        <w:rFonts w:cs="Arial"/>
                      </w:rPr>
                      <w:t>l’annexe 18</w:t>
                    </w:r>
                  </w:hyperlink>
                  <w:r>
                    <w:rPr>
                      <w:rFonts w:cs="Arial"/>
                    </w:rPr>
                    <w:t xml:space="preserve"> dûment complétée à :</w:t>
                  </w:r>
                </w:p>
                <w:p>
                  <w:pPr>
                    <w:rPr>
                      <w:rFonts w:cs="Arial"/>
                    </w:rPr>
                  </w:pPr>
                </w:p>
                <w:p>
                  <w:pPr>
                    <w:rPr>
                      <w:rFonts w:cs="Arial"/>
                    </w:rPr>
                  </w:pPr>
                  <w:r>
                    <w:rPr>
                      <w:rFonts w:cs="Arial"/>
                      <w:noProof/>
                      <w:lang w:eastAsia="fr-BE"/>
                    </w:rPr>
                    <mc:AlternateContent>
                      <mc:Choice Requires="wps">
                        <w:drawing>
                          <wp:anchor distT="0" distB="0" distL="114300" distR="114300" simplePos="0" relativeHeight="252026880" behindDoc="0" locked="0" layoutInCell="1" allowOverlap="1">
                            <wp:simplePos x="0" y="0"/>
                            <wp:positionH relativeFrom="column">
                              <wp:posOffset>6128326</wp:posOffset>
                            </wp:positionH>
                            <wp:positionV relativeFrom="paragraph">
                              <wp:posOffset>188831</wp:posOffset>
                            </wp:positionV>
                            <wp:extent cx="0" cy="1297172"/>
                            <wp:effectExtent l="0" t="0" r="19050" b="36830"/>
                            <wp:wrapNone/>
                            <wp:docPr id="458" name="Connecteur droit 458"/>
                            <wp:cNvGraphicFramePr/>
                            <a:graphic xmlns:a="http://schemas.openxmlformats.org/drawingml/2006/main">
                              <a:graphicData uri="http://schemas.microsoft.com/office/word/2010/wordprocessingShape">
                                <wps:wsp>
                                  <wps:cNvCnPr/>
                                  <wps:spPr>
                                    <a:xfrm>
                                      <a:off x="0" y="0"/>
                                      <a:ext cx="0" cy="1297172"/>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6887ED1C" id="Connecteur droit 458" o:spid="_x0000_s1026" style="position:absolute;z-index:252026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2.55pt,14.85pt" to="482.55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" strokecolor="black [3040]"/>
                        </w:pict>
                      </mc:Fallback>
                    </mc:AlternateContent>
                  </w:r>
                </w:p>
                <w:p>
                  <w:pPr>
                    <w:pBdr>
                      <w:top w:val="single" w:sz="4" w:space="1" w:color="auto"/>
                      <w:left w:val="single" w:sz="4" w:space="4" w:color="auto"/>
                      <w:bottom w:val="single" w:sz="4" w:space="1" w:color="auto"/>
                      <w:right w:val="single" w:sz="4" w:space="4" w:color="auto"/>
                    </w:pBdr>
                    <w:ind w:right="-1"/>
                    <w:jc w:val="center"/>
                  </w:pPr>
                  <w:r>
                    <w:t>Direction générale de l’enseignement obligatoire</w:t>
                  </w:r>
                </w:p>
                <w:p>
                  <w:pPr>
                    <w:pBdr>
                      <w:top w:val="single" w:sz="4" w:space="1" w:color="auto"/>
                      <w:left w:val="single" w:sz="4" w:space="4" w:color="auto"/>
                      <w:bottom w:val="single" w:sz="4" w:space="1" w:color="auto"/>
                      <w:right w:val="single" w:sz="4" w:space="4" w:color="auto"/>
                    </w:pBdr>
                    <w:ind w:right="-1"/>
                    <w:jc w:val="center"/>
                  </w:pPr>
                  <w:r>
                    <w:t>Monsieur Fabrice AERTS-BANCKEN</w:t>
                  </w:r>
                </w:p>
                <w:p>
                  <w:pPr>
                    <w:pBdr>
                      <w:top w:val="single" w:sz="4" w:space="1" w:color="auto"/>
                      <w:left w:val="single" w:sz="4" w:space="4" w:color="auto"/>
                      <w:bottom w:val="single" w:sz="4" w:space="1" w:color="auto"/>
                      <w:right w:val="single" w:sz="4" w:space="4" w:color="auto"/>
                    </w:pBdr>
                    <w:ind w:right="-1"/>
                    <w:jc w:val="center"/>
                  </w:pPr>
                  <w:r>
                    <w:t>Directeur général</w:t>
                  </w:r>
                </w:p>
                <w:p>
                  <w:pPr>
                    <w:pBdr>
                      <w:top w:val="single" w:sz="4" w:space="1" w:color="auto"/>
                      <w:left w:val="single" w:sz="4" w:space="4" w:color="auto"/>
                      <w:bottom w:val="single" w:sz="4" w:space="1" w:color="auto"/>
                      <w:right w:val="single" w:sz="4" w:space="4" w:color="auto"/>
                    </w:pBdr>
                    <w:ind w:right="-1"/>
                    <w:jc w:val="center"/>
                  </w:pPr>
                  <w:r>
                    <w:t>Rue Adolphe Lavallée, 1</w:t>
                  </w:r>
                </w:p>
                <w:p>
                  <w:pPr>
                    <w:pBdr>
                      <w:top w:val="single" w:sz="4" w:space="1" w:color="auto"/>
                      <w:left w:val="single" w:sz="4" w:space="4" w:color="auto"/>
                      <w:bottom w:val="single" w:sz="4" w:space="1" w:color="auto"/>
                      <w:right w:val="single" w:sz="4" w:space="4" w:color="auto"/>
                    </w:pBdr>
                    <w:ind w:right="-1"/>
                    <w:jc w:val="center"/>
                  </w:pPr>
                  <w:r>
                    <w:t>1080   BRUXELLES</w:t>
                  </w:r>
                </w:p>
                <w:p>
                  <w:pPr>
                    <w:pBdr>
                      <w:top w:val="single" w:sz="4" w:space="1" w:color="auto"/>
                      <w:left w:val="single" w:sz="4" w:space="4" w:color="auto"/>
                      <w:bottom w:val="single" w:sz="4" w:space="1" w:color="auto"/>
                      <w:right w:val="single" w:sz="4" w:space="4" w:color="auto"/>
                    </w:pBdr>
                    <w:ind w:right="-1"/>
                    <w:jc w:val="center"/>
                  </w:pPr>
                  <w:r>
                    <w:t>A l’attention de Madame Patricia BUYL</w:t>
                  </w:r>
                  <w:r>
                    <w:br/>
                    <w:t>par fax au 02/690.84.30</w:t>
                  </w:r>
                </w:p>
                <w:p>
                  <w:pPr>
                    <w:pBdr>
                      <w:top w:val="single" w:sz="4" w:space="1" w:color="auto"/>
                      <w:left w:val="single" w:sz="4" w:space="4" w:color="auto"/>
                      <w:bottom w:val="single" w:sz="4" w:space="1" w:color="auto"/>
                      <w:right w:val="single" w:sz="4" w:space="4" w:color="auto"/>
                    </w:pBdr>
                    <w:ind w:right="-1"/>
                    <w:jc w:val="center"/>
                    <w:rPr>
                      <w:rFonts w:cs="Arial"/>
                    </w:rPr>
                  </w:pPr>
                  <w:r>
                    <w:t xml:space="preserve">Ou par mail à </w:t>
                  </w:r>
                  <w:hyperlink r:id="rId23" w:history="1">
                    <w:r>
                      <w:rPr>
                        <w:rStyle w:val="Lienhypertexte"/>
                        <w:rFonts w:cstheme="minorBidi"/>
                        <w:color w:val="auto"/>
                      </w:rPr>
                      <w:t>sas@cfwb.be</w:t>
                    </w:r>
                  </w:hyperlink>
                </w:p>
                <w:p>
                  <w:pPr>
                    <w:rPr>
                      <w:rFonts w:cs="Arial"/>
                    </w:rPr>
                  </w:pPr>
                </w:p>
                <w:p>
                  <w:pPr>
                    <w:rPr>
                      <w:b/>
                    </w:rPr>
                  </w:pPr>
                  <w:bookmarkStart w:id="377" w:name="_Toc291075508"/>
                  <w:bookmarkStart w:id="378" w:name="_Toc291075932"/>
                  <w:bookmarkStart w:id="379" w:name="_Toc291076356"/>
                  <w:bookmarkStart w:id="380" w:name="_Toc291076780"/>
                  <w:bookmarkStart w:id="381" w:name="_Toc291077204"/>
                  <w:bookmarkStart w:id="382" w:name="_Toc293652047"/>
                  <w:bookmarkStart w:id="383" w:name="_Toc293653629"/>
                  <w:bookmarkStart w:id="384" w:name="_Toc293654240"/>
                  <w:bookmarkStart w:id="385" w:name="_Toc294004820"/>
                  <w:bookmarkStart w:id="386" w:name="_Toc294185316"/>
                  <w:bookmarkStart w:id="387" w:name="_Toc324767182"/>
                  <w:bookmarkStart w:id="388" w:name="_Toc324768040"/>
                  <w:r>
                    <w:rPr>
                      <w:b/>
                    </w:rPr>
                    <w:br w:type="page"/>
                  </w:r>
                </w:p>
                <w:p>
                  <w:pPr>
                    <w:rPr>
                      <w:b/>
                    </w:rPr>
                  </w:pPr>
                </w:p>
                <w:p>
                  <w:pPr>
                    <w:rPr>
                      <w:b/>
                    </w:rPr>
                  </w:pPr>
                </w:p>
                <w:p>
                  <w:pPr>
                    <w:rPr>
                      <w:b/>
                    </w:rPr>
                  </w:pPr>
                  <w:r>
                    <w:rPr>
                      <w:b/>
                    </w:rPr>
                    <w:t>f. Tableau récapitulatif</w:t>
                  </w:r>
                  <w:bookmarkEnd w:id="377"/>
                  <w:bookmarkEnd w:id="378"/>
                  <w:bookmarkEnd w:id="379"/>
                  <w:bookmarkEnd w:id="380"/>
                  <w:bookmarkEnd w:id="381"/>
                  <w:bookmarkEnd w:id="382"/>
                  <w:bookmarkEnd w:id="383"/>
                  <w:bookmarkEnd w:id="384"/>
                  <w:bookmarkEnd w:id="385"/>
                  <w:bookmarkEnd w:id="386"/>
                  <w:bookmarkEnd w:id="387"/>
                  <w:bookmarkEnd w:id="388"/>
                </w:p>
                <w:p>
                  <w:pPr>
                    <w:pStyle w:val="2"/>
                    <w:jc w:val="both"/>
                    <w:rPr>
                      <w:rFonts w:asciiTheme="majorHAnsi" w:hAnsiTheme="majorHAnsi"/>
                      <w:sz w:val="22"/>
                      <w:szCs w:val="22"/>
                      <w:lang w:val="fr-BE"/>
                    </w:rPr>
                  </w:pPr>
                </w:p>
                <w:p>
                  <w:pPr>
                    <w:rPr>
                      <w:rFonts w:cs="Arial"/>
                    </w:rPr>
                  </w:pPr>
                  <w:r>
                    <w:rPr>
                      <w:rFonts w:cs="Arial"/>
                    </w:rPr>
                    <w:t>Un tableau récapitulatif des prises en charge qui peuvent être réalisées par un service d’accrochage scolaire dans le cadre de l’obligation scolaire se trouve ci-dessous :</w:t>
                  </w:r>
                </w:p>
                <w:p>
                  <w:pPr>
                    <w:rPr>
                      <w:rFonts w:cs="Arial"/>
                    </w:rPr>
                  </w:pPr>
                </w:p>
                <w:tbl>
                  <w:tblPr>
                    <w:tblW w:w="10198" w:type="dxa"/>
                    <w:tblInd w:w="-25" w:type="dxa"/>
                    <w:tblLayout w:type="fixed"/>
                    <w:tblLook w:val="0000" w:firstRow="0" w:lastRow="0" w:firstColumn="0" w:lastColumn="0" w:noHBand="0" w:noVBand="0"/>
                  </w:tblPr>
                  <w:tblGrid>
                    <w:gridCol w:w="4244"/>
                    <w:gridCol w:w="1985"/>
                    <w:gridCol w:w="1984"/>
                    <w:gridCol w:w="1985"/>
                  </w:tblGrid>
                  <w:tr>
                    <w:tc>
                      <w:tcPr>
                        <w:tcW w:w="4244" w:type="dxa"/>
                        <w:tcBorders>
                          <w:top w:val="single" w:sz="4" w:space="0" w:color="000000"/>
                          <w:left w:val="single" w:sz="4" w:space="0" w:color="000000"/>
                          <w:bottom w:val="single" w:sz="4" w:space="0" w:color="000000"/>
                        </w:tcBorders>
                      </w:tcPr>
                      <w:p>
                        <w:pPr>
                          <w:snapToGrid w:val="0"/>
                          <w:rPr>
                            <w:rFonts w:cs="Arial"/>
                            <w:b/>
                          </w:rPr>
                        </w:pPr>
                      </w:p>
                    </w:tc>
                    <w:tc>
                      <w:tcPr>
                        <w:tcW w:w="1985" w:type="dxa"/>
                        <w:tcBorders>
                          <w:top w:val="single" w:sz="4" w:space="0" w:color="000000"/>
                          <w:left w:val="single" w:sz="4" w:space="0" w:color="000000"/>
                          <w:bottom w:val="single" w:sz="4" w:space="0" w:color="000000"/>
                        </w:tcBorders>
                      </w:tcPr>
                      <w:p>
                        <w:pPr>
                          <w:snapToGrid w:val="0"/>
                          <w:rPr>
                            <w:rFonts w:cs="Arial"/>
                            <w:b/>
                          </w:rPr>
                        </w:pPr>
                        <w:r>
                          <w:rPr>
                            <w:rFonts w:cs="Arial"/>
                            <w:b/>
                          </w:rPr>
                          <w:t>Article 31</w:t>
                        </w:r>
                      </w:p>
                      <w:p>
                        <w:pPr>
                          <w:rPr>
                            <w:rFonts w:cs="Arial"/>
                            <w:b/>
                          </w:rPr>
                        </w:pPr>
                        <w:r>
                          <w:rPr>
                            <w:rFonts w:cs="Arial"/>
                            <w:b/>
                          </w:rPr>
                          <w:t>En cas d’exclusion</w:t>
                        </w:r>
                      </w:p>
                    </w:tc>
                    <w:tc>
                      <w:tcPr>
                        <w:tcW w:w="1984" w:type="dxa"/>
                        <w:tcBorders>
                          <w:top w:val="single" w:sz="4" w:space="0" w:color="000000"/>
                          <w:left w:val="single" w:sz="4" w:space="0" w:color="000000"/>
                          <w:bottom w:val="single" w:sz="4" w:space="0" w:color="000000"/>
                        </w:tcBorders>
                      </w:tcPr>
                      <w:p>
                        <w:pPr>
                          <w:snapToGrid w:val="0"/>
                          <w:rPr>
                            <w:rFonts w:cs="Arial"/>
                            <w:b/>
                          </w:rPr>
                        </w:pPr>
                        <w:r>
                          <w:rPr>
                            <w:rFonts w:cs="Arial"/>
                            <w:b/>
                          </w:rPr>
                          <w:t>Article 32</w:t>
                        </w:r>
                      </w:p>
                      <w:p>
                        <w:pPr>
                          <w:rPr>
                            <w:rFonts w:cs="Arial"/>
                            <w:b/>
                          </w:rPr>
                        </w:pPr>
                        <w:r>
                          <w:rPr>
                            <w:rFonts w:cs="Arial"/>
                            <w:b/>
                          </w:rPr>
                          <w:t>En cas d’absentéisme, de situation de crise ou  de décrochage scolaire</w:t>
                        </w:r>
                      </w:p>
                    </w:tc>
                    <w:tc>
                      <w:tcPr>
                        <w:tcW w:w="1985" w:type="dxa"/>
                        <w:tcBorders>
                          <w:top w:val="single" w:sz="4" w:space="0" w:color="000000"/>
                          <w:left w:val="single" w:sz="4" w:space="0" w:color="000000"/>
                          <w:bottom w:val="single" w:sz="4" w:space="0" w:color="000000"/>
                          <w:right w:val="single" w:sz="4" w:space="0" w:color="000000"/>
                        </w:tcBorders>
                      </w:tcPr>
                      <w:p>
                        <w:pPr>
                          <w:snapToGrid w:val="0"/>
                          <w:rPr>
                            <w:rFonts w:cs="Arial"/>
                            <w:b/>
                          </w:rPr>
                        </w:pPr>
                        <w:r>
                          <w:rPr>
                            <w:rFonts w:cs="Arial"/>
                            <w:b/>
                          </w:rPr>
                          <w:t>Article 33</w:t>
                        </w:r>
                      </w:p>
                      <w:p>
                        <w:pPr>
                          <w:rPr>
                            <w:rFonts w:cs="Arial"/>
                            <w:b/>
                          </w:rPr>
                        </w:pPr>
                        <w:r>
                          <w:rPr>
                            <w:rFonts w:cs="Arial"/>
                            <w:b/>
                          </w:rPr>
                          <w:t>En cas de non inscription</w:t>
                        </w:r>
                        <w:r>
                          <w:rPr>
                            <w:b/>
                          </w:rPr>
                          <w:t xml:space="preserve"> </w:t>
                        </w:r>
                        <w:r>
                          <w:rPr>
                            <w:rFonts w:cs="Arial"/>
                            <w:b/>
                          </w:rPr>
                          <w:t>ou d’inscription sans aucune fréquentation</w:t>
                        </w:r>
                      </w:p>
                    </w:tc>
                  </w:tr>
                  <w:tr>
                    <w:tc>
                      <w:tcPr>
                        <w:tcW w:w="4244" w:type="dxa"/>
                        <w:tcBorders>
                          <w:top w:val="single" w:sz="4" w:space="0" w:color="000000"/>
                          <w:left w:val="single" w:sz="4" w:space="0" w:color="000000"/>
                          <w:bottom w:val="single" w:sz="4" w:space="0" w:color="000000"/>
                        </w:tcBorders>
                      </w:tcPr>
                      <w:p>
                        <w:pPr>
                          <w:snapToGrid w:val="0"/>
                          <w:rPr>
                            <w:rFonts w:cs="Arial"/>
                            <w:b/>
                          </w:rPr>
                        </w:pPr>
                        <w:r>
                          <w:rPr>
                            <w:rFonts w:cs="Arial"/>
                            <w:b/>
                          </w:rPr>
                          <w:t>Accord des responsables légaux et du mineur</w:t>
                        </w:r>
                      </w:p>
                    </w:tc>
                    <w:tc>
                      <w:tcPr>
                        <w:tcW w:w="1985" w:type="dxa"/>
                        <w:tcBorders>
                          <w:top w:val="single" w:sz="4" w:space="0" w:color="000000"/>
                          <w:left w:val="single" w:sz="4" w:space="0" w:color="000000"/>
                          <w:bottom w:val="single" w:sz="4" w:space="0" w:color="000000"/>
                        </w:tcBorders>
                      </w:tcPr>
                      <w:p>
                        <w:pPr>
                          <w:snapToGrid w:val="0"/>
                          <w:jc w:val="center"/>
                          <w:rPr>
                            <w:rFonts w:cs="Arial"/>
                            <w:b/>
                          </w:rPr>
                        </w:pPr>
                        <w:r>
                          <w:rPr>
                            <w:rFonts w:cs="Arial"/>
                            <w:b/>
                          </w:rPr>
                          <w:t>oui</w:t>
                        </w:r>
                      </w:p>
                    </w:tc>
                    <w:tc>
                      <w:tcPr>
                        <w:tcW w:w="1984" w:type="dxa"/>
                        <w:tcBorders>
                          <w:top w:val="single" w:sz="4" w:space="0" w:color="000000"/>
                          <w:left w:val="single" w:sz="4" w:space="0" w:color="000000"/>
                          <w:bottom w:val="single" w:sz="4" w:space="0" w:color="000000"/>
                        </w:tcBorders>
                      </w:tcPr>
                      <w:p>
                        <w:pPr>
                          <w:snapToGrid w:val="0"/>
                          <w:jc w:val="center"/>
                          <w:rPr>
                            <w:rFonts w:cs="Arial"/>
                            <w:b/>
                          </w:rPr>
                        </w:pPr>
                        <w:r>
                          <w:rPr>
                            <w:rFonts w:cs="Arial"/>
                            <w:b/>
                          </w:rPr>
                          <w:t>oui</w:t>
                        </w:r>
                      </w:p>
                    </w:tc>
                    <w:tc>
                      <w:tcPr>
                        <w:tcW w:w="1985"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oui</w:t>
                        </w:r>
                      </w:p>
                    </w:tc>
                  </w:tr>
                  <w:tr>
                    <w:tc>
                      <w:tcPr>
                        <w:tcW w:w="4244" w:type="dxa"/>
                        <w:tcBorders>
                          <w:top w:val="single" w:sz="4" w:space="0" w:color="000000"/>
                          <w:left w:val="single" w:sz="4" w:space="0" w:color="000000"/>
                          <w:bottom w:val="single" w:sz="4" w:space="0" w:color="000000"/>
                        </w:tcBorders>
                      </w:tcPr>
                      <w:p>
                        <w:pPr>
                          <w:snapToGrid w:val="0"/>
                          <w:rPr>
                            <w:rFonts w:cs="Arial"/>
                            <w:b/>
                          </w:rPr>
                        </w:pPr>
                        <w:r>
                          <w:rPr>
                            <w:rFonts w:cs="Arial"/>
                            <w:b/>
                          </w:rPr>
                          <w:t>Avis Commission zonale d’inscription (CZI), Commission décentralisé (CD), ou organe de représentation et de coordination</w:t>
                        </w:r>
                      </w:p>
                    </w:tc>
                    <w:tc>
                      <w:tcPr>
                        <w:tcW w:w="1985" w:type="dxa"/>
                        <w:tcBorders>
                          <w:top w:val="single" w:sz="4" w:space="0" w:color="000000"/>
                          <w:left w:val="single" w:sz="4" w:space="0" w:color="000000"/>
                          <w:bottom w:val="single" w:sz="4" w:space="0" w:color="000000"/>
                        </w:tcBorders>
                      </w:tcPr>
                      <w:p>
                        <w:pPr>
                          <w:snapToGrid w:val="0"/>
                          <w:jc w:val="center"/>
                          <w:rPr>
                            <w:rFonts w:cs="Arial"/>
                            <w:b/>
                          </w:rPr>
                        </w:pPr>
                        <w:r>
                          <w:rPr>
                            <w:rFonts w:cs="Arial"/>
                            <w:b/>
                          </w:rPr>
                          <w:t>/</w:t>
                        </w:r>
                      </w:p>
                    </w:tc>
                    <w:tc>
                      <w:tcPr>
                        <w:tcW w:w="1984" w:type="dxa"/>
                        <w:tcBorders>
                          <w:top w:val="single" w:sz="4" w:space="0" w:color="000000"/>
                          <w:left w:val="single" w:sz="4" w:space="0" w:color="000000"/>
                          <w:bottom w:val="single" w:sz="4" w:space="0" w:color="000000"/>
                        </w:tcBorders>
                      </w:tcPr>
                      <w:p>
                        <w:pPr>
                          <w:snapToGrid w:val="0"/>
                          <w:jc w:val="center"/>
                          <w:rPr>
                            <w:rFonts w:cs="Arial"/>
                            <w:b/>
                          </w:rPr>
                        </w:pPr>
                        <w:r>
                          <w:rPr>
                            <w:rFonts w:cs="Arial"/>
                            <w:b/>
                          </w:rPr>
                          <w:t>/</w:t>
                        </w:r>
                      </w:p>
                    </w:tc>
                    <w:tc>
                      <w:tcPr>
                        <w:tcW w:w="1985"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oui</w:t>
                        </w:r>
                      </w:p>
                    </w:tc>
                  </w:tr>
                  <w:tr>
                    <w:tc>
                      <w:tcPr>
                        <w:tcW w:w="4244" w:type="dxa"/>
                        <w:tcBorders>
                          <w:top w:val="single" w:sz="4" w:space="0" w:color="000000"/>
                          <w:left w:val="single" w:sz="4" w:space="0" w:color="000000"/>
                          <w:bottom w:val="single" w:sz="4" w:space="0" w:color="000000"/>
                        </w:tcBorders>
                      </w:tcPr>
                      <w:p>
                        <w:pPr>
                          <w:snapToGrid w:val="0"/>
                          <w:rPr>
                            <w:rFonts w:cs="Arial"/>
                            <w:b/>
                          </w:rPr>
                        </w:pPr>
                        <w:r>
                          <w:rPr>
                            <w:rFonts w:cs="Arial"/>
                            <w:b/>
                          </w:rPr>
                          <w:t>Avis conseil de classe</w:t>
                        </w:r>
                      </w:p>
                    </w:tc>
                    <w:tc>
                      <w:tcPr>
                        <w:tcW w:w="1985" w:type="dxa"/>
                        <w:tcBorders>
                          <w:top w:val="single" w:sz="4" w:space="0" w:color="000000"/>
                          <w:left w:val="single" w:sz="4" w:space="0" w:color="000000"/>
                          <w:bottom w:val="single" w:sz="4" w:space="0" w:color="000000"/>
                        </w:tcBorders>
                      </w:tcPr>
                      <w:p>
                        <w:pPr>
                          <w:snapToGrid w:val="0"/>
                          <w:jc w:val="center"/>
                          <w:rPr>
                            <w:rFonts w:cs="Arial"/>
                            <w:b/>
                          </w:rPr>
                        </w:pPr>
                        <w:r>
                          <w:rPr>
                            <w:rFonts w:cs="Arial"/>
                            <w:b/>
                          </w:rPr>
                          <w:t>/</w:t>
                        </w:r>
                      </w:p>
                    </w:tc>
                    <w:tc>
                      <w:tcPr>
                        <w:tcW w:w="1984" w:type="dxa"/>
                        <w:tcBorders>
                          <w:top w:val="single" w:sz="4" w:space="0" w:color="000000"/>
                          <w:left w:val="single" w:sz="4" w:space="0" w:color="000000"/>
                          <w:bottom w:val="single" w:sz="4" w:space="0" w:color="000000"/>
                        </w:tcBorders>
                      </w:tcPr>
                      <w:p>
                        <w:pPr>
                          <w:snapToGrid w:val="0"/>
                          <w:jc w:val="center"/>
                          <w:rPr>
                            <w:rFonts w:cs="Arial"/>
                            <w:b/>
                          </w:rPr>
                        </w:pPr>
                        <w:r>
                          <w:rPr>
                            <w:rFonts w:cs="Arial"/>
                            <w:b/>
                          </w:rPr>
                          <w:t>oui</w:t>
                        </w:r>
                      </w:p>
                    </w:tc>
                    <w:tc>
                      <w:tcPr>
                        <w:tcW w:w="1985"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w:t>
                        </w:r>
                      </w:p>
                    </w:tc>
                  </w:tr>
                  <w:tr>
                    <w:tc>
                      <w:tcPr>
                        <w:tcW w:w="4244" w:type="dxa"/>
                        <w:tcBorders>
                          <w:top w:val="single" w:sz="4" w:space="0" w:color="000000"/>
                          <w:left w:val="single" w:sz="4" w:space="0" w:color="000000"/>
                          <w:bottom w:val="single" w:sz="4" w:space="0" w:color="000000"/>
                        </w:tcBorders>
                      </w:tcPr>
                      <w:p>
                        <w:pPr>
                          <w:snapToGrid w:val="0"/>
                          <w:rPr>
                            <w:rFonts w:cs="Arial"/>
                            <w:b/>
                          </w:rPr>
                        </w:pPr>
                        <w:r>
                          <w:rPr>
                            <w:rFonts w:cs="Arial"/>
                            <w:b/>
                          </w:rPr>
                          <w:t>Avis CPMS</w:t>
                        </w:r>
                      </w:p>
                    </w:tc>
                    <w:tc>
                      <w:tcPr>
                        <w:tcW w:w="1985" w:type="dxa"/>
                        <w:tcBorders>
                          <w:top w:val="single" w:sz="4" w:space="0" w:color="000000"/>
                          <w:left w:val="single" w:sz="4" w:space="0" w:color="000000"/>
                          <w:bottom w:val="single" w:sz="4" w:space="0" w:color="000000"/>
                        </w:tcBorders>
                      </w:tcPr>
                      <w:p>
                        <w:pPr>
                          <w:snapToGrid w:val="0"/>
                          <w:jc w:val="center"/>
                          <w:rPr>
                            <w:rFonts w:cs="Arial"/>
                            <w:b/>
                          </w:rPr>
                        </w:pPr>
                        <w:r>
                          <w:rPr>
                            <w:rFonts w:cs="Arial"/>
                            <w:b/>
                          </w:rPr>
                          <w:t>/</w:t>
                        </w:r>
                      </w:p>
                    </w:tc>
                    <w:tc>
                      <w:tcPr>
                        <w:tcW w:w="1984" w:type="dxa"/>
                        <w:tcBorders>
                          <w:top w:val="single" w:sz="4" w:space="0" w:color="000000"/>
                          <w:left w:val="single" w:sz="4" w:space="0" w:color="000000"/>
                          <w:bottom w:val="single" w:sz="4" w:space="0" w:color="000000"/>
                        </w:tcBorders>
                      </w:tcPr>
                      <w:p>
                        <w:pPr>
                          <w:snapToGrid w:val="0"/>
                          <w:jc w:val="center"/>
                          <w:rPr>
                            <w:rFonts w:cs="Arial"/>
                            <w:b/>
                          </w:rPr>
                        </w:pPr>
                        <w:r>
                          <w:rPr>
                            <w:rFonts w:cs="Arial"/>
                            <w:b/>
                          </w:rPr>
                          <w:t>oui</w:t>
                        </w:r>
                      </w:p>
                    </w:tc>
                    <w:tc>
                      <w:tcPr>
                        <w:tcW w:w="1985"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w:t>
                        </w:r>
                      </w:p>
                    </w:tc>
                  </w:tr>
                  <w:tr>
                    <w:tc>
                      <w:tcPr>
                        <w:tcW w:w="4244" w:type="dxa"/>
                        <w:tcBorders>
                          <w:top w:val="single" w:sz="4" w:space="0" w:color="000000"/>
                          <w:left w:val="single" w:sz="4" w:space="0" w:color="000000"/>
                          <w:bottom w:val="single" w:sz="4" w:space="0" w:color="000000"/>
                        </w:tcBorders>
                      </w:tcPr>
                      <w:p>
                        <w:pPr>
                          <w:snapToGrid w:val="0"/>
                          <w:rPr>
                            <w:rFonts w:cs="Arial"/>
                            <w:b/>
                          </w:rPr>
                        </w:pPr>
                        <w:r>
                          <w:rPr>
                            <w:rFonts w:cs="Arial"/>
                            <w:b/>
                          </w:rPr>
                          <w:t>Organisation d’un partenariat entre le SAS et l’école</w:t>
                        </w:r>
                      </w:p>
                    </w:tc>
                    <w:tc>
                      <w:tcPr>
                        <w:tcW w:w="1985" w:type="dxa"/>
                        <w:tcBorders>
                          <w:top w:val="single" w:sz="4" w:space="0" w:color="000000"/>
                          <w:left w:val="single" w:sz="4" w:space="0" w:color="000000"/>
                          <w:bottom w:val="single" w:sz="4" w:space="0" w:color="000000"/>
                        </w:tcBorders>
                      </w:tcPr>
                      <w:p>
                        <w:pPr>
                          <w:snapToGrid w:val="0"/>
                          <w:jc w:val="center"/>
                          <w:rPr>
                            <w:rFonts w:cs="Arial"/>
                            <w:b/>
                          </w:rPr>
                        </w:pPr>
                        <w:r>
                          <w:rPr>
                            <w:rFonts w:cs="Arial"/>
                            <w:b/>
                          </w:rPr>
                          <w:t>oui</w:t>
                        </w:r>
                      </w:p>
                    </w:tc>
                    <w:tc>
                      <w:tcPr>
                        <w:tcW w:w="1984" w:type="dxa"/>
                        <w:tcBorders>
                          <w:top w:val="single" w:sz="4" w:space="0" w:color="000000"/>
                          <w:left w:val="single" w:sz="4" w:space="0" w:color="000000"/>
                          <w:bottom w:val="single" w:sz="4" w:space="0" w:color="000000"/>
                        </w:tcBorders>
                      </w:tcPr>
                      <w:p>
                        <w:pPr>
                          <w:snapToGrid w:val="0"/>
                          <w:jc w:val="center"/>
                          <w:rPr>
                            <w:rFonts w:cs="Arial"/>
                            <w:b/>
                          </w:rPr>
                        </w:pPr>
                        <w:r>
                          <w:rPr>
                            <w:rFonts w:cs="Arial"/>
                            <w:b/>
                          </w:rPr>
                          <w:t>oui</w:t>
                        </w:r>
                      </w:p>
                    </w:tc>
                    <w:tc>
                      <w:tcPr>
                        <w:tcW w:w="1985"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oui</w:t>
                        </w:r>
                      </w:p>
                    </w:tc>
                  </w:tr>
                  <w:tr>
                    <w:tc>
                      <w:tcPr>
                        <w:tcW w:w="4244" w:type="dxa"/>
                        <w:tcBorders>
                          <w:top w:val="single" w:sz="4" w:space="0" w:color="000000"/>
                          <w:left w:val="single" w:sz="4" w:space="0" w:color="000000"/>
                          <w:bottom w:val="single" w:sz="4" w:space="0" w:color="000000"/>
                        </w:tcBorders>
                      </w:tcPr>
                      <w:p>
                        <w:pPr>
                          <w:snapToGrid w:val="0"/>
                          <w:rPr>
                            <w:rFonts w:cs="Arial"/>
                            <w:b/>
                            <w:color w:val="008000"/>
                          </w:rPr>
                        </w:pPr>
                        <w:r>
                          <w:rPr>
                            <w:rFonts w:cs="Arial"/>
                            <w:b/>
                          </w:rPr>
                          <w:t>Durée de la prise en charge sur une année scolaire</w:t>
                        </w:r>
                      </w:p>
                    </w:tc>
                    <w:tc>
                      <w:tcPr>
                        <w:tcW w:w="1985" w:type="dxa"/>
                        <w:tcBorders>
                          <w:top w:val="single" w:sz="4" w:space="0" w:color="000000"/>
                          <w:left w:val="single" w:sz="4" w:space="0" w:color="000000"/>
                          <w:bottom w:val="single" w:sz="4" w:space="0" w:color="000000"/>
                        </w:tcBorders>
                      </w:tcPr>
                      <w:p>
                        <w:pPr>
                          <w:snapToGrid w:val="0"/>
                          <w:jc w:val="center"/>
                          <w:rPr>
                            <w:rFonts w:cs="Arial"/>
                            <w:b/>
                          </w:rPr>
                        </w:pPr>
                        <w:r>
                          <w:rPr>
                            <w:rFonts w:cs="Arial"/>
                            <w:b/>
                          </w:rPr>
                          <w:t>3 mois</w:t>
                        </w:r>
                      </w:p>
                      <w:p>
                        <w:pPr>
                          <w:jc w:val="center"/>
                          <w:rPr>
                            <w:rFonts w:cs="Arial"/>
                            <w:b/>
                          </w:rPr>
                        </w:pPr>
                        <w:r>
                          <w:rPr>
                            <w:rFonts w:cs="Arial"/>
                            <w:b/>
                          </w:rPr>
                          <w:t>(renouvelable</w:t>
                        </w:r>
                      </w:p>
                      <w:p>
                        <w:pPr>
                          <w:jc w:val="center"/>
                          <w:rPr>
                            <w:rFonts w:cs="Arial"/>
                            <w:b/>
                          </w:rPr>
                        </w:pPr>
                        <w:r>
                          <w:rPr>
                            <w:rFonts w:cs="Arial"/>
                            <w:b/>
                          </w:rPr>
                          <w:t>1 fois) + dérogation possible après le 15 avril jusqu’au 30 juin</w:t>
                        </w:r>
                      </w:p>
                    </w:tc>
                    <w:tc>
                      <w:tcPr>
                        <w:tcW w:w="1984" w:type="dxa"/>
                        <w:tcBorders>
                          <w:top w:val="single" w:sz="4" w:space="0" w:color="000000"/>
                          <w:left w:val="single" w:sz="4" w:space="0" w:color="000000"/>
                          <w:bottom w:val="single" w:sz="4" w:space="0" w:color="000000"/>
                        </w:tcBorders>
                      </w:tcPr>
                      <w:p>
                        <w:pPr>
                          <w:snapToGrid w:val="0"/>
                          <w:jc w:val="center"/>
                          <w:rPr>
                            <w:rFonts w:cs="Arial"/>
                            <w:b/>
                          </w:rPr>
                        </w:pPr>
                        <w:r>
                          <w:rPr>
                            <w:rFonts w:cs="Arial"/>
                            <w:b/>
                          </w:rPr>
                          <w:t>3 mois</w:t>
                        </w:r>
                      </w:p>
                      <w:p>
                        <w:pPr>
                          <w:jc w:val="center"/>
                          <w:rPr>
                            <w:rFonts w:cs="Arial"/>
                            <w:b/>
                          </w:rPr>
                        </w:pPr>
                        <w:r>
                          <w:rPr>
                            <w:rFonts w:cs="Arial"/>
                            <w:b/>
                          </w:rPr>
                          <w:t>(renouvelable</w:t>
                        </w:r>
                      </w:p>
                      <w:p>
                        <w:pPr>
                          <w:jc w:val="center"/>
                          <w:rPr>
                            <w:rFonts w:cs="Arial"/>
                            <w:b/>
                          </w:rPr>
                        </w:pPr>
                        <w:r>
                          <w:rPr>
                            <w:rFonts w:cs="Arial"/>
                            <w:b/>
                          </w:rPr>
                          <w:t>1 fois) + dérogation possible après le 15 avril jusqu’au 30 juin</w:t>
                        </w:r>
                      </w:p>
                    </w:tc>
                    <w:tc>
                      <w:tcPr>
                        <w:tcW w:w="1985"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3 mois</w:t>
                        </w:r>
                      </w:p>
                      <w:p>
                        <w:pPr>
                          <w:jc w:val="center"/>
                          <w:rPr>
                            <w:rFonts w:cs="Arial"/>
                            <w:b/>
                          </w:rPr>
                        </w:pPr>
                        <w:r>
                          <w:rPr>
                            <w:rFonts w:cs="Arial"/>
                            <w:b/>
                          </w:rPr>
                          <w:t>(renouvelable</w:t>
                        </w:r>
                      </w:p>
                      <w:p>
                        <w:pPr>
                          <w:jc w:val="center"/>
                          <w:rPr>
                            <w:rFonts w:cs="Arial"/>
                            <w:b/>
                          </w:rPr>
                        </w:pPr>
                        <w:r>
                          <w:rPr>
                            <w:rFonts w:cs="Arial"/>
                            <w:b/>
                          </w:rPr>
                          <w:t>1 fois)  + dérogation possible après le 15 avril jusqu’au 30 juin</w:t>
                        </w:r>
                      </w:p>
                    </w:tc>
                  </w:tr>
                  <w:tr>
                    <w:tc>
                      <w:tcPr>
                        <w:tcW w:w="4244" w:type="dxa"/>
                        <w:tcBorders>
                          <w:top w:val="single" w:sz="4" w:space="0" w:color="000000"/>
                          <w:left w:val="single" w:sz="4" w:space="0" w:color="000000"/>
                          <w:bottom w:val="single" w:sz="4" w:space="0" w:color="000000"/>
                        </w:tcBorders>
                        <w:shd w:val="clear" w:color="auto" w:fill="CCCCCC"/>
                      </w:tcPr>
                      <w:p>
                        <w:pPr>
                          <w:snapToGrid w:val="0"/>
                          <w:rPr>
                            <w:rFonts w:cs="Arial"/>
                            <w:b/>
                          </w:rPr>
                        </w:pPr>
                        <w:r>
                          <w:rPr>
                            <w:rFonts w:cs="Arial"/>
                            <w:b/>
                          </w:rPr>
                          <w:t>Durée maximale sur l’ensemble de la scolarité</w:t>
                        </w:r>
                      </w:p>
                    </w:tc>
                    <w:tc>
                      <w:tcPr>
                        <w:tcW w:w="5954" w:type="dxa"/>
                        <w:gridSpan w:val="3"/>
                        <w:tcBorders>
                          <w:top w:val="single" w:sz="4" w:space="0" w:color="000000"/>
                          <w:left w:val="single" w:sz="4" w:space="0" w:color="000000"/>
                          <w:bottom w:val="single" w:sz="4" w:space="0" w:color="000000"/>
                          <w:right w:val="single" w:sz="4" w:space="0" w:color="000000"/>
                        </w:tcBorders>
                        <w:shd w:val="clear" w:color="auto" w:fill="CCCCCC"/>
                      </w:tcPr>
                      <w:p>
                        <w:pPr>
                          <w:pStyle w:val="Paragraphedeliste"/>
                          <w:numPr>
                            <w:ilvl w:val="0"/>
                            <w:numId w:val="219"/>
                          </w:numPr>
                          <w:snapToGrid w:val="0"/>
                          <w:jc w:val="center"/>
                          <w:rPr>
                            <w:rFonts w:asciiTheme="majorHAnsi" w:hAnsiTheme="majorHAnsi"/>
                            <w:b/>
                          </w:rPr>
                        </w:pPr>
                        <w:r>
                          <w:rPr>
                            <w:rFonts w:asciiTheme="majorHAnsi" w:hAnsiTheme="majorHAnsi"/>
                            <w:b/>
                          </w:rPr>
                          <w:t>an</w:t>
                        </w:r>
                      </w:p>
                    </w:tc>
                  </w:tr>
                </w:tbl>
                <w:p>
                  <w:bookmarkStart w:id="389" w:name="_Toc291075509"/>
                  <w:bookmarkStart w:id="390" w:name="_Toc291075933"/>
                  <w:bookmarkStart w:id="391" w:name="_Toc291076357"/>
                  <w:bookmarkStart w:id="392" w:name="_Toc291076781"/>
                  <w:bookmarkStart w:id="393" w:name="_Toc291077205"/>
                  <w:bookmarkStart w:id="394" w:name="_Toc293652048"/>
                  <w:bookmarkStart w:id="395" w:name="_Toc293653630"/>
                  <w:bookmarkStart w:id="396" w:name="_Toc293654241"/>
                  <w:bookmarkStart w:id="397" w:name="_Toc294004821"/>
                  <w:bookmarkStart w:id="398" w:name="_Toc294185317"/>
                  <w:bookmarkStart w:id="399" w:name="_Toc324767183"/>
                  <w:bookmarkStart w:id="400" w:name="_Toc324768041"/>
                </w:p>
                <w:p/>
                <w:p>
                  <w:pPr>
                    <w:pStyle w:val="Titre6"/>
                  </w:pPr>
                  <w:bookmarkStart w:id="401" w:name="_1.2.3.3._Concertation_et"/>
                  <w:bookmarkEnd w:id="389"/>
                  <w:bookmarkEnd w:id="390"/>
                  <w:bookmarkEnd w:id="391"/>
                  <w:bookmarkEnd w:id="392"/>
                  <w:bookmarkEnd w:id="393"/>
                  <w:bookmarkEnd w:id="394"/>
                  <w:bookmarkEnd w:id="395"/>
                  <w:bookmarkEnd w:id="396"/>
                  <w:bookmarkEnd w:id="397"/>
                  <w:bookmarkEnd w:id="398"/>
                  <w:bookmarkEnd w:id="399"/>
                  <w:bookmarkEnd w:id="400"/>
                  <w:bookmarkEnd w:id="401"/>
                  <w:r>
                    <w:t>1.2.3.3. Concertation et collaboration entre les acteurs scolaires et non scolaires favorisant l’accrochage scolaire</w:t>
                  </w:r>
                </w:p>
                <w:p>
                  <w:pPr>
                    <w:jc w:val="both"/>
                    <w:rPr>
                      <w:rFonts w:cs="Arial"/>
                    </w:rPr>
                  </w:pPr>
                </w:p>
                <w:p>
                  <w:pPr>
                    <w:jc w:val="both"/>
                    <w:rPr>
                      <w:rFonts w:cs="Arial"/>
                    </w:rPr>
                  </w:pPr>
                  <w:r>
                    <w:rPr>
                      <w:rFonts w:cs="Arial"/>
                    </w:rPr>
                    <w:t>Le chef d’établissement et l’équipe éducative développent un climat d’école favorisant le bien-être des élèves, le vivre ensemble et la sérénité propice à l’apprentissage. Ils cherchent à améliorer la situation des élèves, tant sur le plan de leur devenir scolaire que de leur épanouissement personnel.</w:t>
                  </w:r>
                </w:p>
                <w:p>
                  <w:pPr>
                    <w:jc w:val="both"/>
                    <w:rPr>
                      <w:rFonts w:cs="Arial"/>
                    </w:rPr>
                  </w:pPr>
                  <w:r>
                    <w:rPr>
                      <w:rFonts w:cs="Arial"/>
                    </w:rPr>
                    <w:t>L’équipe du centre psycho-médico-social et le service de la promotion de la santé à l’école collaborent pour leur part à ces objectifs, à l’interface entre le monde scolaire et les intervenants extérieurs à l’école.</w:t>
                  </w:r>
                </w:p>
                <w:p>
                  <w:pPr>
                    <w:jc w:val="both"/>
                  </w:pPr>
                </w:p>
                <w:p>
                  <w:pPr>
                    <w:pStyle w:val="Titre7"/>
                  </w:pPr>
                  <w:r>
                    <w:t>1.2.3.3.1. Organisation par le chef d’établissement d’une rencontre annuelle</w:t>
                  </w:r>
                </w:p>
                <w:p>
                  <w:pPr>
                    <w:autoSpaceDE w:val="0"/>
                    <w:autoSpaceDN w:val="0"/>
                    <w:adjustRightInd w:val="0"/>
                    <w:jc w:val="both"/>
                    <w:rPr>
                      <w:rFonts w:cs="SabonMT"/>
                      <w:lang w:eastAsia="fr-FR"/>
                    </w:rPr>
                  </w:pPr>
                </w:p>
                <w:p>
                  <w:pPr>
                    <w:jc w:val="both"/>
                    <w:rPr>
                      <w:rFonts w:cs="Arial"/>
                    </w:rPr>
                  </w:pPr>
                  <w:r>
                    <w:rPr>
                      <w:rFonts w:cs="Arial"/>
                    </w:rPr>
                    <w:t>Annuellement</w:t>
                  </w:r>
                  <w:r>
                    <w:rPr>
                      <w:rFonts w:cs="Arial"/>
                      <w:vertAlign w:val="superscript"/>
                    </w:rPr>
                    <w:footnoteReference w:id="25"/>
                  </w:r>
                  <w:r>
                    <w:rPr>
                      <w:rFonts w:cs="Arial"/>
                      <w:vertAlign w:val="superscript"/>
                    </w:rPr>
                    <w:t>,</w:t>
                  </w:r>
                  <w:r>
                    <w:rPr>
                      <w:rFonts w:cs="Arial"/>
                    </w:rPr>
                    <w:t xml:space="preserve">, le chef d’établissement organise une rencontre entre des délégués de l’équipe éducative, du centre psycho-médico-social et du service de promotion de la santé à l’école. </w:t>
                  </w:r>
                </w:p>
                <w:p>
                  <w:pPr>
                    <w:jc w:val="both"/>
                    <w:rPr>
                      <w:rFonts w:cs="Arial"/>
                    </w:rPr>
                  </w:pPr>
                  <w:r>
                    <w:rPr>
                      <w:rFonts w:cs="Arial"/>
                    </w:rPr>
                    <w:t>La rencontre peut être ouverte à d’autres acteurs collaborant avec l’école : médiateur scolaire, etc.</w:t>
                  </w:r>
                </w:p>
                <w:p>
                  <w:pPr>
                    <w:jc w:val="both"/>
                    <w:rPr>
                      <w:rFonts w:cs="Arial"/>
                    </w:rPr>
                  </w:pPr>
                  <w:r>
                    <w:rPr>
                      <w:rFonts w:cs="Arial"/>
                    </w:rPr>
                    <w:t>En région de Bruxelles-Capitale, le médiateur scolaire affecté à l’établissement est associé à la rencontre.</w:t>
                  </w:r>
                </w:p>
                <w:p>
                  <w:pPr>
                    <w:jc w:val="both"/>
                    <w:rPr>
                      <w:rFonts w:cs="Arial"/>
                    </w:rPr>
                  </w:pPr>
                </w:p>
                <w:p>
                  <w:pPr>
                    <w:jc w:val="both"/>
                    <w:rPr>
                      <w:rFonts w:cs="Arial"/>
                      <w:b/>
                    </w:rPr>
                  </w:pPr>
                  <w:r>
                    <w:rPr>
                      <w:rFonts w:cs="Arial"/>
                      <w:b/>
                    </w:rPr>
                    <w:t xml:space="preserve">Cette rencontre vise à : </w:t>
                  </w:r>
                </w:p>
                <w:p>
                  <w:pPr>
                    <w:jc w:val="both"/>
                    <w:rPr>
                      <w:rFonts w:cs="Arial"/>
                      <w:b/>
                    </w:rPr>
                  </w:pPr>
                </w:p>
                <w:p>
                  <w:pPr>
                    <w:pStyle w:val="Paragraphedeliste"/>
                    <w:numPr>
                      <w:ilvl w:val="0"/>
                      <w:numId w:val="177"/>
                    </w:numPr>
                    <w:ind w:left="927"/>
                    <w:jc w:val="both"/>
                    <w:rPr>
                      <w:rFonts w:asciiTheme="majorHAnsi" w:hAnsiTheme="majorHAnsi"/>
                      <w:sz w:val="22"/>
                      <w:szCs w:val="22"/>
                    </w:rPr>
                  </w:pPr>
                  <w:r>
                    <w:rPr>
                      <w:rFonts w:asciiTheme="majorHAnsi" w:hAnsiTheme="majorHAnsi"/>
                      <w:sz w:val="22"/>
                      <w:szCs w:val="22"/>
                    </w:rPr>
                    <w:t>échanger sur  les projets éducatif, pédagogique et d’établissement, sur le projet du centre psycho-médico-social, sur, le cas échéant, celui du centre de promotion de la santé à l’école et sur le projet de service du service de médiation scolaire, lorsqu’un médiateur est affecté à l’établissement en région de Bruxelles-Capitale ;</w:t>
                  </w:r>
                </w:p>
                <w:p>
                  <w:pPr>
                    <w:pStyle w:val="Paragraphedeliste"/>
                    <w:numPr>
                      <w:ilvl w:val="0"/>
                      <w:numId w:val="177"/>
                    </w:numPr>
                    <w:ind w:left="927"/>
                    <w:jc w:val="both"/>
                    <w:rPr>
                      <w:rFonts w:asciiTheme="majorHAnsi" w:hAnsiTheme="majorHAnsi"/>
                      <w:sz w:val="22"/>
                      <w:szCs w:val="22"/>
                    </w:rPr>
                  </w:pPr>
                  <w:r>
                    <w:rPr>
                      <w:rFonts w:asciiTheme="majorHAnsi" w:hAnsiTheme="majorHAnsi"/>
                      <w:sz w:val="22"/>
                      <w:szCs w:val="22"/>
                    </w:rPr>
                    <w:t xml:space="preserve">établir les besoins spécifiques de l’école en matière d’accrochage scolaire </w:t>
                  </w:r>
                  <w:r>
                    <w:rPr>
                      <w:rFonts w:asciiTheme="majorHAnsi" w:hAnsiTheme="majorHAnsi"/>
                      <w:b/>
                      <w:sz w:val="22"/>
                      <w:szCs w:val="22"/>
                    </w:rPr>
                    <w:t>mais aussi</w:t>
                  </w:r>
                  <w:r>
                    <w:rPr>
                      <w:rFonts w:asciiTheme="majorHAnsi" w:hAnsiTheme="majorHAnsi"/>
                      <w:sz w:val="22"/>
                      <w:szCs w:val="22"/>
                    </w:rPr>
                    <w:t>, de bien-être des jeunes, de prévention de la violence à l’école et d’accompagnement des démarches d’orientation scolaire ;</w:t>
                  </w:r>
                </w:p>
                <w:p>
                  <w:pPr>
                    <w:pStyle w:val="Paragraphedeliste"/>
                    <w:numPr>
                      <w:ilvl w:val="0"/>
                      <w:numId w:val="177"/>
                    </w:numPr>
                    <w:ind w:left="927"/>
                    <w:jc w:val="both"/>
                    <w:rPr>
                      <w:rFonts w:asciiTheme="majorHAnsi" w:hAnsiTheme="majorHAnsi"/>
                      <w:sz w:val="22"/>
                      <w:szCs w:val="22"/>
                    </w:rPr>
                  </w:pPr>
                  <w:r>
                    <w:rPr>
                      <w:rFonts w:asciiTheme="majorHAnsi" w:hAnsiTheme="majorHAnsi"/>
                      <w:sz w:val="22"/>
                      <w:szCs w:val="22"/>
                    </w:rPr>
                    <w:t>définir des priorités pour les années ultérieures ;</w:t>
                  </w:r>
                </w:p>
                <w:p>
                  <w:pPr>
                    <w:pStyle w:val="Paragraphedeliste"/>
                    <w:numPr>
                      <w:ilvl w:val="0"/>
                      <w:numId w:val="177"/>
                    </w:numPr>
                    <w:ind w:left="927"/>
                    <w:jc w:val="both"/>
                    <w:rPr>
                      <w:rFonts w:asciiTheme="majorHAnsi" w:hAnsiTheme="majorHAnsi"/>
                      <w:sz w:val="22"/>
                      <w:szCs w:val="22"/>
                    </w:rPr>
                  </w:pPr>
                  <w:r>
                    <w:rPr>
                      <w:rFonts w:asciiTheme="majorHAnsi" w:hAnsiTheme="majorHAnsi"/>
                      <w:sz w:val="22"/>
                      <w:szCs w:val="22"/>
                    </w:rPr>
                    <w:t>identifier les ressources internes et externes mobilisables ;</w:t>
                  </w:r>
                </w:p>
                <w:p>
                  <w:pPr>
                    <w:pStyle w:val="Paragraphedeliste"/>
                    <w:numPr>
                      <w:ilvl w:val="0"/>
                      <w:numId w:val="177"/>
                    </w:numPr>
                    <w:ind w:left="927"/>
                    <w:jc w:val="both"/>
                    <w:rPr>
                      <w:rFonts w:asciiTheme="majorHAnsi" w:hAnsiTheme="majorHAnsi"/>
                      <w:sz w:val="22"/>
                      <w:szCs w:val="22"/>
                    </w:rPr>
                  </w:pPr>
                  <w:r>
                    <w:rPr>
                      <w:rFonts w:asciiTheme="majorHAnsi" w:hAnsiTheme="majorHAnsi"/>
                      <w:sz w:val="22"/>
                      <w:szCs w:val="22"/>
                    </w:rPr>
                    <w:t>préciser le rôle de chacun et, en particulier, identifier un une personne de référence pour chaque priorité retenue ;</w:t>
                  </w:r>
                </w:p>
                <w:p>
                  <w:pPr>
                    <w:pStyle w:val="Paragraphedeliste"/>
                    <w:numPr>
                      <w:ilvl w:val="0"/>
                      <w:numId w:val="177"/>
                    </w:numPr>
                    <w:ind w:left="927"/>
                    <w:jc w:val="both"/>
                    <w:rPr>
                      <w:rFonts w:asciiTheme="majorHAnsi" w:hAnsiTheme="majorHAnsi"/>
                      <w:sz w:val="22"/>
                      <w:szCs w:val="22"/>
                    </w:rPr>
                  </w:pPr>
                  <w:r>
                    <w:rPr>
                      <w:rFonts w:asciiTheme="majorHAnsi" w:hAnsiTheme="majorHAnsi"/>
                      <w:sz w:val="22"/>
                      <w:szCs w:val="22"/>
                    </w:rPr>
                    <w:t>définir, dans le cas où un médiateur scolaire est affecté à un établissement, un protocole de collaboration entre les acteurs concernés ;</w:t>
                  </w:r>
                </w:p>
                <w:p>
                  <w:pPr>
                    <w:pStyle w:val="Paragraphedeliste"/>
                    <w:numPr>
                      <w:ilvl w:val="0"/>
                      <w:numId w:val="177"/>
                    </w:numPr>
                    <w:ind w:left="927"/>
                    <w:jc w:val="both"/>
                    <w:rPr>
                      <w:rFonts w:asciiTheme="majorHAnsi" w:hAnsiTheme="majorHAnsi"/>
                      <w:sz w:val="22"/>
                      <w:szCs w:val="22"/>
                    </w:rPr>
                  </w:pPr>
                  <w:r>
                    <w:rPr>
                      <w:rFonts w:asciiTheme="majorHAnsi" w:hAnsiTheme="majorHAnsi"/>
                      <w:sz w:val="22"/>
                      <w:szCs w:val="22"/>
                    </w:rPr>
                    <w:t>établir un bilan des actions entreprises et des collaborations développées.</w:t>
                  </w:r>
                </w:p>
                <w:p>
                  <w:pPr>
                    <w:jc w:val="both"/>
                    <w:rPr>
                      <w:rFonts w:cs="Arial"/>
                    </w:rPr>
                  </w:pPr>
                </w:p>
                <w:p>
                  <w:pPr>
                    <w:jc w:val="both"/>
                    <w:rPr>
                      <w:rFonts w:cs="Arial"/>
                    </w:rPr>
                  </w:pPr>
                  <w:r>
                    <w:rPr>
                      <w:rFonts w:cs="Arial"/>
                    </w:rPr>
                    <w:t>Lorsqu’une Cellule de concertation locale a été mise en place, c’est notamment en son sein que s’organisent la concertation et les actions visées ci-dessus.</w:t>
                  </w:r>
                </w:p>
                <w:p>
                  <w:pPr>
                    <w:jc w:val="both"/>
                    <w:rPr>
                      <w:rFonts w:cs="Arial"/>
                    </w:rPr>
                  </w:pPr>
                </w:p>
                <w:p>
                  <w:pPr>
                    <w:pStyle w:val="Titre7"/>
                  </w:pPr>
                  <w:r>
                    <w:t>1.2.3.3.2. La cellule de concertation locale</w:t>
                  </w:r>
                  <w:r>
                    <w:rPr>
                      <w:rStyle w:val="Appelnotedebasdep"/>
                      <w:b w:val="0"/>
                      <w:sz w:val="21"/>
                      <w:szCs w:val="21"/>
                    </w:rPr>
                    <w:footnoteReference w:id="26"/>
                  </w:r>
                </w:p>
                <w:p>
                  <w:pPr>
                    <w:autoSpaceDE w:val="0"/>
                    <w:autoSpaceDN w:val="0"/>
                    <w:adjustRightInd w:val="0"/>
                    <w:jc w:val="both"/>
                    <w:rPr>
                      <w:lang w:val="fr-FR"/>
                    </w:rPr>
                  </w:pPr>
                </w:p>
                <w:p>
                  <w:pPr>
                    <w:jc w:val="both"/>
                    <w:rPr>
                      <w:rFonts w:cs="Arial"/>
                    </w:rPr>
                  </w:pPr>
                  <w:r>
                    <w:rPr>
                      <w:rFonts w:cs="Arial"/>
                    </w:rPr>
                    <w:t>Le chef d’établissement peut d’initiative ou à la demande d’un des acteurs de l’Aide à la Jeunesse ou de la plate-forme de concertation</w:t>
                  </w:r>
                  <w:r>
                    <w:rPr>
                      <w:rStyle w:val="Appelnotedebasdep"/>
                    </w:rPr>
                    <w:footnoteReference w:id="27"/>
                  </w:r>
                  <w:r>
                    <w:rPr>
                      <w:rFonts w:cs="Arial"/>
                    </w:rPr>
                    <w:t xml:space="preserve"> mettre en place une cellule de concertation locale au sein de son établissement.</w:t>
                  </w:r>
                </w:p>
                <w:p>
                  <w:pPr>
                    <w:jc w:val="both"/>
                    <w:rPr>
                      <w:rFonts w:cs="Arial"/>
                    </w:rPr>
                  </w:pPr>
                  <w:r>
                    <w:rPr>
                      <w:rFonts w:cs="Arial"/>
                    </w:rPr>
                    <w:t>Il en informe le Conseil de participation et l’organe de démocratie sociale compétent.</w:t>
                  </w:r>
                </w:p>
                <w:p>
                  <w:pPr>
                    <w:rPr>
                      <w:rFonts w:cs="Arial"/>
                    </w:rPr>
                  </w:pPr>
                </w:p>
                <w:p>
                  <w:pPr>
                    <w:jc w:val="both"/>
                    <w:rPr>
                      <w:rFonts w:cs="Arial"/>
                    </w:rPr>
                  </w:pPr>
                  <w:r>
                    <w:rPr>
                      <w:rFonts w:cs="Arial"/>
                    </w:rPr>
                    <w:t>La cellule de concertation locale est appelée à intervenir à trois niveaux :</w:t>
                  </w:r>
                </w:p>
                <w:p>
                  <w:pPr>
                    <w:jc w:val="both"/>
                    <w:rPr>
                      <w:rFonts w:cs="Arial"/>
                    </w:rPr>
                  </w:pPr>
                </w:p>
                <w:p>
                  <w:pPr>
                    <w:numPr>
                      <w:ilvl w:val="0"/>
                      <w:numId w:val="113"/>
                    </w:numPr>
                    <w:suppressAutoHyphens/>
                    <w:ind w:left="927"/>
                    <w:jc w:val="both"/>
                    <w:rPr>
                      <w:rFonts w:cs="Arial"/>
                    </w:rPr>
                  </w:pPr>
                  <w:r>
                    <w:rPr>
                      <w:rFonts w:cs="Arial"/>
                    </w:rPr>
                    <w:t>celui des démarches générales de sensibilisation, d’information et de prévention visant à améliorer la situation du jeune, tant sur le plan de son devenir scolaire que de son épanouissement personnel ainsi que défavoriser le vivre-ensemble et un climat serein propice à l’apprentissage ;</w:t>
                  </w:r>
                </w:p>
                <w:p>
                  <w:pPr>
                    <w:numPr>
                      <w:ilvl w:val="0"/>
                      <w:numId w:val="113"/>
                    </w:numPr>
                    <w:suppressAutoHyphens/>
                    <w:ind w:left="927"/>
                    <w:jc w:val="both"/>
                    <w:rPr>
                      <w:rFonts w:cs="Arial"/>
                    </w:rPr>
                  </w:pPr>
                  <w:r>
                    <w:rPr>
                      <w:rFonts w:cs="Arial"/>
                    </w:rPr>
                    <w:t>celui des démarches ciblées de prévention, d’information et d’accompagnement adaptées à des situations identifiées comme problématiques ;</w:t>
                  </w:r>
                </w:p>
                <w:p>
                  <w:pPr>
                    <w:numPr>
                      <w:ilvl w:val="0"/>
                      <w:numId w:val="113"/>
                    </w:numPr>
                    <w:suppressAutoHyphens/>
                    <w:ind w:left="927"/>
                    <w:jc w:val="both"/>
                    <w:rPr>
                      <w:rFonts w:cs="Arial"/>
                    </w:rPr>
                  </w:pPr>
                  <w:r>
                    <w:rPr>
                      <w:rFonts w:cs="Arial"/>
                    </w:rPr>
                    <w:t>celui des démarches d’intervention de crise consécutives à un fait précis qui provoque une « crise » dans l’établissement.</w:t>
                  </w:r>
                </w:p>
                <w:p>
                  <w:pPr>
                    <w:rPr>
                      <w:rFonts w:cs="Arial"/>
                    </w:rPr>
                  </w:pPr>
                </w:p>
                <w:p>
                  <w:pPr>
                    <w:jc w:val="both"/>
                    <w:rPr>
                      <w:rFonts w:cs="Arial"/>
                      <w:b/>
                    </w:rPr>
                  </w:pPr>
                  <w:r>
                    <w:rPr>
                      <w:rFonts w:cs="Arial"/>
                      <w:b/>
                    </w:rPr>
                    <w:t>Elle a pour mission :</w:t>
                  </w:r>
                </w:p>
                <w:p>
                  <w:pPr>
                    <w:jc w:val="both"/>
                    <w:rPr>
                      <w:rFonts w:cs="Arial"/>
                      <w:b/>
                    </w:rPr>
                  </w:pPr>
                </w:p>
                <w:p>
                  <w:pPr>
                    <w:pStyle w:val="Paragraphedeliste"/>
                    <w:numPr>
                      <w:ilvl w:val="0"/>
                      <w:numId w:val="178"/>
                    </w:numPr>
                    <w:jc w:val="both"/>
                    <w:rPr>
                      <w:rFonts w:asciiTheme="majorHAnsi" w:hAnsiTheme="majorHAnsi"/>
                      <w:sz w:val="22"/>
                      <w:szCs w:val="22"/>
                    </w:rPr>
                  </w:pPr>
                  <w:r>
                    <w:rPr>
                      <w:rFonts w:asciiTheme="majorHAnsi" w:hAnsiTheme="majorHAnsi"/>
                      <w:sz w:val="22"/>
                      <w:szCs w:val="22"/>
                    </w:rPr>
                    <w:t>d’identifier, de manière dynamique et systémique, les caractéristiques spécifiques à l’école des thématiques abordées (accrochage, prévention et réduction des violences, orientation…) ;</w:t>
                  </w:r>
                </w:p>
                <w:p>
                  <w:pPr>
                    <w:pStyle w:val="Paragraphedeliste"/>
                    <w:numPr>
                      <w:ilvl w:val="0"/>
                      <w:numId w:val="178"/>
                    </w:numPr>
                    <w:jc w:val="both"/>
                    <w:rPr>
                      <w:rFonts w:asciiTheme="majorHAnsi" w:hAnsiTheme="majorHAnsi"/>
                      <w:sz w:val="22"/>
                      <w:szCs w:val="22"/>
                    </w:rPr>
                  </w:pPr>
                  <w:r>
                    <w:rPr>
                      <w:rFonts w:asciiTheme="majorHAnsi" w:hAnsiTheme="majorHAnsi"/>
                      <w:sz w:val="22"/>
                      <w:szCs w:val="22"/>
                    </w:rPr>
                    <w:t>d’établir, dans le cadre du projet d’établissement, un plan d’action collective (sensibilisation, prévention, intervention) et le mettre en œuvre ; ce plan d’action est, s’il échet, articulé au PGAED de l’établissement ;</w:t>
                  </w:r>
                </w:p>
                <w:p>
                  <w:pPr>
                    <w:pStyle w:val="Paragraphedeliste"/>
                    <w:numPr>
                      <w:ilvl w:val="0"/>
                      <w:numId w:val="178"/>
                    </w:numPr>
                    <w:jc w:val="both"/>
                    <w:rPr>
                      <w:rFonts w:asciiTheme="majorHAnsi" w:hAnsiTheme="majorHAnsi"/>
                      <w:sz w:val="22"/>
                      <w:szCs w:val="22"/>
                    </w:rPr>
                  </w:pPr>
                  <w:r>
                    <w:rPr>
                      <w:rFonts w:asciiTheme="majorHAnsi" w:hAnsiTheme="majorHAnsi"/>
                      <w:sz w:val="22"/>
                      <w:szCs w:val="22"/>
                    </w:rPr>
                    <w:t>d’enrichir ses projets à partir des outils, études, propositions, indicateurs et autres données mis à sa disposition à l’intervention du comité de pilotage   et/ou de la plate-forme ;</w:t>
                  </w:r>
                </w:p>
                <w:p>
                  <w:pPr>
                    <w:pStyle w:val="Paragraphedeliste"/>
                    <w:numPr>
                      <w:ilvl w:val="0"/>
                      <w:numId w:val="178"/>
                    </w:numPr>
                    <w:jc w:val="both"/>
                    <w:rPr>
                      <w:rFonts w:asciiTheme="majorHAnsi" w:hAnsiTheme="majorHAnsi"/>
                      <w:sz w:val="22"/>
                      <w:szCs w:val="22"/>
                    </w:rPr>
                  </w:pPr>
                  <w:r>
                    <w:rPr>
                      <w:rFonts w:asciiTheme="majorHAnsi" w:hAnsiTheme="majorHAnsi"/>
                      <w:sz w:val="22"/>
                      <w:szCs w:val="22"/>
                    </w:rPr>
                    <w:t>de garantir qu’un accompagnement individuel est mis en place pour les enfants et les jeunes en difficulté ou en danger et leur famille ; les orienter, si nécessaire, vers le(s) service(s) adéquat(s) ;</w:t>
                  </w:r>
                </w:p>
                <w:p>
                  <w:pPr>
                    <w:pStyle w:val="Paragraphedeliste"/>
                    <w:numPr>
                      <w:ilvl w:val="0"/>
                      <w:numId w:val="178"/>
                    </w:numPr>
                    <w:jc w:val="both"/>
                    <w:rPr>
                      <w:rFonts w:asciiTheme="majorHAnsi" w:hAnsiTheme="majorHAnsi"/>
                      <w:sz w:val="22"/>
                      <w:szCs w:val="22"/>
                    </w:rPr>
                  </w:pPr>
                  <w:r>
                    <w:rPr>
                      <w:rFonts w:asciiTheme="majorHAnsi" w:hAnsiTheme="majorHAnsi"/>
                      <w:sz w:val="22"/>
                      <w:szCs w:val="22"/>
                    </w:rPr>
                    <w:t>de prévoir toutes dispositions qui permettront à tout mineur qui a bénéficié d’une prise en charge par un service d’accrochage scolaire (SAS), de poursuivre ou de reprendre sa scolarité dans les meilleures conditions ;</w:t>
                  </w:r>
                </w:p>
                <w:p>
                  <w:pPr>
                    <w:pStyle w:val="Paragraphedeliste"/>
                    <w:numPr>
                      <w:ilvl w:val="0"/>
                      <w:numId w:val="178"/>
                    </w:numPr>
                    <w:jc w:val="both"/>
                    <w:rPr>
                      <w:rFonts w:asciiTheme="majorHAnsi" w:hAnsiTheme="majorHAnsi"/>
                      <w:sz w:val="22"/>
                      <w:szCs w:val="22"/>
                    </w:rPr>
                  </w:pPr>
                  <w:r>
                    <w:rPr>
                      <w:rFonts w:asciiTheme="majorHAnsi" w:hAnsiTheme="majorHAnsi"/>
                      <w:sz w:val="22"/>
                      <w:szCs w:val="22"/>
                    </w:rPr>
                    <w:t>d’organiser le travail de concertation entre acteurs locaux au niveau des dispositifs ponctuels d’accompagnement, afin d’éviter la dégradation de la situation du jeune dans sa scolarité et son environnement et de réduire le nombre de situations à signaler au SAJ ;</w:t>
                  </w:r>
                </w:p>
                <w:p>
                  <w:pPr>
                    <w:pStyle w:val="Paragraphedeliste"/>
                    <w:numPr>
                      <w:ilvl w:val="0"/>
                      <w:numId w:val="178"/>
                    </w:numPr>
                    <w:jc w:val="both"/>
                    <w:rPr>
                      <w:rFonts w:asciiTheme="majorHAnsi" w:hAnsiTheme="majorHAnsi"/>
                      <w:sz w:val="22"/>
                      <w:szCs w:val="22"/>
                    </w:rPr>
                  </w:pPr>
                  <w:r>
                    <w:rPr>
                      <w:rFonts w:asciiTheme="majorHAnsi" w:hAnsiTheme="majorHAnsi"/>
                      <w:sz w:val="22"/>
                      <w:szCs w:val="22"/>
                    </w:rPr>
                    <w:t>de mettre en place les coopérations utiles avec les services et organismes œuvrant dans le quartier proche de l’école ;</w:t>
                  </w:r>
                </w:p>
                <w:p>
                  <w:pPr>
                    <w:pStyle w:val="Paragraphedeliste"/>
                    <w:numPr>
                      <w:ilvl w:val="0"/>
                      <w:numId w:val="178"/>
                    </w:numPr>
                    <w:jc w:val="both"/>
                    <w:rPr>
                      <w:rFonts w:asciiTheme="majorHAnsi" w:hAnsiTheme="majorHAnsi"/>
                      <w:sz w:val="22"/>
                      <w:szCs w:val="22"/>
                    </w:rPr>
                  </w:pPr>
                  <w:r>
                    <w:rPr>
                      <w:rFonts w:asciiTheme="majorHAnsi" w:hAnsiTheme="majorHAnsi"/>
                      <w:sz w:val="22"/>
                      <w:szCs w:val="22"/>
                    </w:rPr>
                    <w:t>de veiller à la régulation du système, notamment en suscitant régulièrement la modélisation et l’échange de pratiques entre acteurs impliqués dans des dispositifs particuliers.</w:t>
                  </w:r>
                </w:p>
                <w:p>
                  <w:pPr>
                    <w:jc w:val="both"/>
                    <w:rPr>
                      <w:rFonts w:cs="Arial"/>
                    </w:rPr>
                  </w:pPr>
                </w:p>
                <w:p>
                  <w:pPr>
                    <w:jc w:val="both"/>
                    <w:rPr>
                      <w:rFonts w:cs="Arial"/>
                      <w:b/>
                    </w:rPr>
                  </w:pPr>
                  <w:r>
                    <w:rPr>
                      <w:rFonts w:cs="Arial"/>
                      <w:b/>
                    </w:rPr>
                    <w:t>La cellule de concertation locale comprend :</w:t>
                  </w:r>
                </w:p>
                <w:p>
                  <w:pPr>
                    <w:jc w:val="both"/>
                    <w:rPr>
                      <w:rFonts w:cs="Arial"/>
                      <w:b/>
                    </w:rPr>
                  </w:pPr>
                </w:p>
                <w:p>
                  <w:pPr>
                    <w:pStyle w:val="Paragraphedeliste"/>
                    <w:numPr>
                      <w:ilvl w:val="0"/>
                      <w:numId w:val="179"/>
                    </w:numPr>
                    <w:ind w:left="709" w:hanging="283"/>
                    <w:jc w:val="both"/>
                    <w:rPr>
                      <w:rFonts w:asciiTheme="majorHAnsi" w:hAnsiTheme="majorHAnsi"/>
                      <w:sz w:val="22"/>
                      <w:szCs w:val="22"/>
                    </w:rPr>
                  </w:pPr>
                  <w:r>
                    <w:rPr>
                      <w:rFonts w:asciiTheme="majorHAnsi" w:hAnsiTheme="majorHAnsi"/>
                      <w:sz w:val="22"/>
                      <w:szCs w:val="22"/>
                    </w:rPr>
                    <w:t>un ou des membres du personnel directeur et enseignant ;</w:t>
                  </w:r>
                </w:p>
                <w:p>
                  <w:pPr>
                    <w:pStyle w:val="Paragraphedeliste"/>
                    <w:numPr>
                      <w:ilvl w:val="0"/>
                      <w:numId w:val="179"/>
                    </w:numPr>
                    <w:ind w:left="709" w:hanging="283"/>
                    <w:jc w:val="both"/>
                    <w:rPr>
                      <w:rFonts w:asciiTheme="majorHAnsi" w:hAnsiTheme="majorHAnsi"/>
                      <w:sz w:val="22"/>
                      <w:szCs w:val="22"/>
                    </w:rPr>
                  </w:pPr>
                  <w:r>
                    <w:rPr>
                      <w:rFonts w:asciiTheme="majorHAnsi" w:hAnsiTheme="majorHAnsi"/>
                      <w:sz w:val="22"/>
                      <w:szCs w:val="22"/>
                    </w:rPr>
                    <w:t>un ou des membres du personnel auxiliaire d’éducation, là où ils existent ;</w:t>
                  </w:r>
                </w:p>
                <w:p>
                  <w:pPr>
                    <w:pStyle w:val="Paragraphedeliste"/>
                    <w:numPr>
                      <w:ilvl w:val="0"/>
                      <w:numId w:val="179"/>
                    </w:numPr>
                    <w:ind w:left="709" w:hanging="283"/>
                    <w:jc w:val="both"/>
                    <w:rPr>
                      <w:rFonts w:asciiTheme="majorHAnsi" w:hAnsiTheme="majorHAnsi"/>
                      <w:sz w:val="22"/>
                      <w:szCs w:val="22"/>
                    </w:rPr>
                  </w:pPr>
                  <w:r>
                    <w:rPr>
                      <w:rFonts w:asciiTheme="majorHAnsi" w:hAnsiTheme="majorHAnsi"/>
                      <w:sz w:val="22"/>
                      <w:szCs w:val="22"/>
                    </w:rPr>
                    <w:t>un ou des membres de l’équipe du CPMS ;</w:t>
                  </w:r>
                </w:p>
                <w:p>
                  <w:pPr>
                    <w:pStyle w:val="Paragraphedeliste"/>
                    <w:numPr>
                      <w:ilvl w:val="0"/>
                      <w:numId w:val="179"/>
                    </w:numPr>
                    <w:ind w:left="709" w:hanging="283"/>
                    <w:jc w:val="both"/>
                    <w:rPr>
                      <w:rFonts w:asciiTheme="majorHAnsi" w:hAnsiTheme="majorHAnsi"/>
                      <w:sz w:val="22"/>
                      <w:szCs w:val="22"/>
                    </w:rPr>
                  </w:pPr>
                  <w:r>
                    <w:rPr>
                      <w:rFonts w:asciiTheme="majorHAnsi" w:hAnsiTheme="majorHAnsi"/>
                      <w:sz w:val="22"/>
                      <w:szCs w:val="22"/>
                    </w:rPr>
                    <w:t>pour les écoles qui en disposent, le ou les médiateurs scolaires qui leur sont affectés ;</w:t>
                  </w:r>
                </w:p>
                <w:p>
                  <w:pPr>
                    <w:pStyle w:val="Paragraphedeliste"/>
                    <w:numPr>
                      <w:ilvl w:val="0"/>
                      <w:numId w:val="179"/>
                    </w:numPr>
                    <w:ind w:left="709" w:hanging="283"/>
                    <w:jc w:val="both"/>
                    <w:rPr>
                      <w:rFonts w:asciiTheme="majorHAnsi" w:hAnsiTheme="majorHAnsi"/>
                      <w:sz w:val="22"/>
                      <w:szCs w:val="22"/>
                    </w:rPr>
                  </w:pPr>
                  <w:r>
                    <w:rPr>
                      <w:rFonts w:asciiTheme="majorHAnsi" w:hAnsiTheme="majorHAnsi"/>
                      <w:sz w:val="22"/>
                      <w:szCs w:val="22"/>
                    </w:rPr>
                    <w:t>un représentant du conseiller ou du directeur de l’Aide à la Jeunesse de l’arrondissement dans lequel est situé l’établissement scolaire ;</w:t>
                  </w:r>
                </w:p>
                <w:p>
                  <w:pPr>
                    <w:pStyle w:val="Paragraphedeliste"/>
                    <w:numPr>
                      <w:ilvl w:val="0"/>
                      <w:numId w:val="179"/>
                    </w:numPr>
                    <w:ind w:left="709" w:hanging="283"/>
                    <w:jc w:val="both"/>
                    <w:rPr>
                      <w:rFonts w:asciiTheme="majorHAnsi" w:hAnsiTheme="majorHAnsi"/>
                      <w:sz w:val="22"/>
                      <w:szCs w:val="22"/>
                    </w:rPr>
                  </w:pPr>
                  <w:r>
                    <w:rPr>
                      <w:rFonts w:asciiTheme="majorHAnsi" w:hAnsiTheme="majorHAnsi"/>
                      <w:sz w:val="22"/>
                      <w:szCs w:val="22"/>
                    </w:rPr>
                    <w:t>un ou des représentants des services d’actions en milieu ouvert (AMO) et/ou les services qui apportent leurs concours à l’exécution de décisions individuelles dans le cadre des programmes d’aide élaborés par le conseiller ou le directeur de l’Aide à la Jeunesse ou par le Tribunal de jeunesse.</w:t>
                  </w:r>
                </w:p>
                <w:p>
                  <w:pPr>
                    <w:jc w:val="both"/>
                    <w:rPr>
                      <w:rFonts w:cs="Arial"/>
                    </w:rPr>
                  </w:pPr>
                </w:p>
                <w:p>
                  <w:pPr>
                    <w:jc w:val="both"/>
                    <w:rPr>
                      <w:rFonts w:cs="Arial"/>
                    </w:rPr>
                  </w:pPr>
                  <w:r>
                    <w:rPr>
                      <w:rFonts w:cs="Arial"/>
                    </w:rPr>
                    <w:t>Elle établit les contacts utiles avec les autres services externes (le service de médiation scolaire, les équipes mobiles, les SAS, les commissions décentralisées rendant un avis en matière d’inscription ou les commissions zonales des inscriptions, etc.) et peut en intégrer un ou des représentants.</w:t>
                  </w:r>
                </w:p>
                <w:p>
                  <w:pPr>
                    <w:jc w:val="both"/>
                    <w:rPr>
                      <w:rFonts w:cs="Arial"/>
                    </w:rPr>
                  </w:pPr>
                  <w:r>
                    <w:rPr>
                      <w:rFonts w:cs="Arial"/>
                    </w:rPr>
                    <w:t>La composition de la cellule est définie dans le règlement d’ordre intérieur.  Celui-ci est établi lors de la 1</w:t>
                  </w:r>
                  <w:r>
                    <w:rPr>
                      <w:rFonts w:cs="Arial"/>
                      <w:vertAlign w:val="superscript"/>
                    </w:rPr>
                    <w:t>ère</w:t>
                  </w:r>
                  <w:r>
                    <w:rPr>
                      <w:rFonts w:cs="Arial"/>
                    </w:rPr>
                    <w:t xml:space="preserve"> réunion de la cellule convoquée par le chef d’établissement à laquelle participe au moins un représentant de chacune des catégories susmentionnées (1° à 6°) et est soumis, pour approbation, au chef d’établissement pour l’enseignement organisé par la Fédération Wallonie-Bruxelles, et au Pouvoir organisateur pour l’enseignement subventionné par la Fédération Wallonie-Bruxelles.</w:t>
                  </w:r>
                </w:p>
                <w:p>
                  <w:pPr>
                    <w:rPr>
                      <w:rFonts w:cs="Arial"/>
                    </w:rPr>
                  </w:pPr>
                </w:p>
                <w:p>
                  <w:pPr>
                    <w:jc w:val="both"/>
                    <w:rPr>
                      <w:rFonts w:cs="Arial"/>
                    </w:rPr>
                  </w:pPr>
                  <w:r>
                    <w:rPr>
                      <w:rFonts w:cs="Arial"/>
                    </w:rPr>
                    <w:t>Elle peut inviter toute personne jugée utile à la réalisation des objectifs poursuivis.</w:t>
                  </w:r>
                </w:p>
                <w:p>
                  <w:pPr>
                    <w:jc w:val="both"/>
                    <w:rPr>
                      <w:rFonts w:cs="Arial"/>
                    </w:rPr>
                  </w:pPr>
                </w:p>
                <w:p>
                  <w:pPr>
                    <w:jc w:val="both"/>
                    <w:rPr>
                      <w:rFonts w:cs="Arial"/>
                    </w:rPr>
                  </w:pPr>
                  <w:r>
                    <w:rPr>
                      <w:rFonts w:cs="Arial"/>
                    </w:rPr>
                    <w:t>Elle peut se réunir valablement même si toutes les composantes ne peuvent être présentes, pour autant que tous les membres aient été dûment convoqués.</w:t>
                  </w:r>
                </w:p>
                <w:p>
                  <w:pPr>
                    <w:jc w:val="both"/>
                    <w:rPr>
                      <w:rFonts w:cs="Arial"/>
                    </w:rPr>
                  </w:pPr>
                </w:p>
                <w:p>
                  <w:pPr>
                    <w:jc w:val="both"/>
                    <w:rPr>
                      <w:rFonts w:cs="Arial"/>
                    </w:rPr>
                  </w:pPr>
                  <w:r>
                    <w:rPr>
                      <w:rFonts w:cs="Arial"/>
                    </w:rPr>
                    <w:t>Au moins une fois l’an, le chef d’établissement informe le Conseil de participation et l’organe de démocratie sociale compétent des actions développées par la cellule de concertation locale.</w:t>
                  </w:r>
                </w:p>
                <w:p>
                  <w:pPr>
                    <w:jc w:val="both"/>
                    <w:rPr>
                      <w:rFonts w:cs="Arial"/>
                    </w:rPr>
                  </w:pPr>
                </w:p>
                <w:p>
                  <w:pPr>
                    <w:jc w:val="both"/>
                    <w:rPr>
                      <w:b/>
                      <w:u w:val="single"/>
                    </w:rPr>
                  </w:pPr>
                </w:p>
                <w:p>
                  <w:pPr>
                    <w:pStyle w:val="Titre6"/>
                  </w:pPr>
                  <w:r>
                    <w:t>1.2.3.3. Situations particulières qui doivent être signalées au conseiller de l’Aide à la Jeunesse</w:t>
                  </w:r>
                </w:p>
                <w:p>
                  <w:pPr>
                    <w:jc w:val="both"/>
                    <w:rPr>
                      <w:b/>
                      <w:u w:val="single"/>
                    </w:rPr>
                  </w:pPr>
                </w:p>
                <w:p>
                  <w:pPr>
                    <w:jc w:val="both"/>
                    <w:rPr>
                      <w:rFonts w:cs="Arial"/>
                    </w:rPr>
                  </w:pPr>
                  <w:r>
                    <w:rPr>
                      <w:rFonts w:cs="Arial"/>
                    </w:rPr>
                    <w:t>Dans certaines situations, il est du devoir du chef d’établissement de collaborer avec le service de l’Aide à la Jeunesse, par l’intermédiaire de son conseiller de l’Aide à la Jeunesse</w:t>
                  </w:r>
                  <w:r>
                    <w:rPr>
                      <w:rStyle w:val="Appelnotedebasdep1"/>
                    </w:rPr>
                    <w:footnoteReference w:id="28"/>
                  </w:r>
                  <w:r>
                    <w:rPr>
                      <w:rFonts w:cs="Arial"/>
                    </w:rPr>
                    <w:t>, afin d’aider des élèves mineurs fréquentant son établissement scolaire.</w:t>
                  </w:r>
                </w:p>
                <w:p>
                  <w:pPr>
                    <w:pStyle w:val="2"/>
                    <w:jc w:val="both"/>
                    <w:rPr>
                      <w:rFonts w:asciiTheme="majorHAnsi" w:hAnsiTheme="majorHAnsi"/>
                      <w:sz w:val="22"/>
                      <w:szCs w:val="22"/>
                      <w:lang w:val="fr-BE"/>
                    </w:rPr>
                  </w:pPr>
                </w:p>
                <w:p>
                  <w:pPr>
                    <w:jc w:val="both"/>
                    <w:rPr>
                      <w:rFonts w:cs="Arial"/>
                    </w:rPr>
                  </w:pPr>
                  <w:r>
                    <w:rPr>
                      <w:rFonts w:cs="Arial"/>
                    </w:rPr>
                    <w:t>Comme prérequis à cette collaboration, le chef d’établissement définit avec le conseiller de l’Aide à la Jeunesse les modalités de communication et de motivation de signalement de ces élèves mineurs.</w:t>
                  </w:r>
                </w:p>
                <w:p>
                  <w:pPr>
                    <w:jc w:val="both"/>
                    <w:rPr>
                      <w:rFonts w:cs="Arial"/>
                    </w:rPr>
                  </w:pPr>
                </w:p>
                <w:p>
                  <w:pPr>
                    <w:jc w:val="both"/>
                    <w:rPr>
                      <w:rFonts w:cs="Arial"/>
                    </w:rPr>
                  </w:pPr>
                  <w:r>
                    <w:rPr>
                      <w:rFonts w:cs="Arial"/>
                    </w:rPr>
                    <w:t>Le chef d’établissement et le conseiller de l’Aide à la Jeunesse peuvent par exemple convenir de modèles de formulaires</w:t>
                  </w:r>
                  <w:r>
                    <w:rPr>
                      <w:rStyle w:val="Appelnotedebasdep1"/>
                    </w:rPr>
                    <w:footnoteReference w:id="29"/>
                  </w:r>
                  <w:r>
                    <w:rPr>
                      <w:rFonts w:cs="Arial"/>
                      <w:vertAlign w:val="superscript"/>
                    </w:rPr>
                    <w:t xml:space="preserve"> </w:t>
                  </w:r>
                  <w:r>
                    <w:rPr>
                      <w:rFonts w:cs="Arial"/>
                    </w:rPr>
                    <w:t>de signalement de ces élèves mineurs par le chef d’établissement au conseiller de l’Aide à la Jeunesse et de réponse de celui-ci.</w:t>
                  </w:r>
                </w:p>
                <w:p/>
                <w:p>
                  <w:pPr>
                    <w:jc w:val="both"/>
                    <w:rPr>
                      <w:rFonts w:cs="Arial"/>
                    </w:rPr>
                  </w:pPr>
                  <w:r>
                    <w:rPr>
                      <w:rFonts w:cs="Arial"/>
                    </w:rPr>
                    <w:t>Le chef d’établissement collabore avec le secteur de l’Aide à la Jeunesse</w:t>
                  </w:r>
                  <w:r>
                    <w:rPr>
                      <w:rStyle w:val="Appelnotedebasdep1"/>
                    </w:rPr>
                    <w:footnoteReference w:id="30"/>
                  </w:r>
                  <w:r>
                    <w:rPr>
                      <w:rFonts w:cs="Arial"/>
                      <w:vertAlign w:val="superscript"/>
                    </w:rPr>
                    <w:t xml:space="preserve"> </w:t>
                  </w:r>
                  <w:r>
                    <w:rPr>
                      <w:rFonts w:cs="Arial"/>
                    </w:rPr>
                    <w:t>quand il constate, notamment :</w:t>
                  </w:r>
                </w:p>
                <w:p>
                  <w:pPr>
                    <w:numPr>
                      <w:ilvl w:val="0"/>
                      <w:numId w:val="102"/>
                    </w:numPr>
                    <w:tabs>
                      <w:tab w:val="clear" w:pos="360"/>
                      <w:tab w:val="num" w:pos="720"/>
                    </w:tabs>
                    <w:suppressAutoHyphens/>
                    <w:ind w:left="567" w:hanging="283"/>
                    <w:rPr>
                      <w:rFonts w:cs="Arial"/>
                    </w:rPr>
                  </w:pPr>
                  <w:r>
                    <w:rPr>
                      <w:rFonts w:cs="Arial"/>
                    </w:rPr>
                    <w:t>soit qu’un élève mineur est en difficulté ;</w:t>
                  </w:r>
                </w:p>
                <w:p>
                  <w:pPr>
                    <w:numPr>
                      <w:ilvl w:val="0"/>
                      <w:numId w:val="102"/>
                    </w:numPr>
                    <w:tabs>
                      <w:tab w:val="clear" w:pos="360"/>
                      <w:tab w:val="num" w:pos="720"/>
                    </w:tabs>
                    <w:suppressAutoHyphens/>
                    <w:ind w:left="567" w:hanging="283"/>
                    <w:rPr>
                      <w:rFonts w:cs="Arial"/>
                    </w:rPr>
                  </w:pPr>
                  <w:r>
                    <w:rPr>
                      <w:rFonts w:cs="Arial"/>
                    </w:rPr>
                    <w:t>soit que la santé ou la sécurité d’un élève mineur sont en danger ;</w:t>
                  </w:r>
                </w:p>
                <w:p>
                  <w:pPr>
                    <w:numPr>
                      <w:ilvl w:val="0"/>
                      <w:numId w:val="102"/>
                    </w:numPr>
                    <w:tabs>
                      <w:tab w:val="clear" w:pos="360"/>
                      <w:tab w:val="num" w:pos="720"/>
                    </w:tabs>
                    <w:suppressAutoHyphens/>
                    <w:ind w:left="567" w:hanging="283"/>
                    <w:jc w:val="both"/>
                    <w:rPr>
                      <w:rFonts w:cs="Arial"/>
                    </w:rPr>
                  </w:pPr>
                  <w:r>
                    <w:rPr>
                      <w:rFonts w:cs="Arial"/>
                    </w:rPr>
                    <w:t>soit que les conditions d’éducation d’un élève mineur sont compromises par son comportement, celui de sa famille ou de ses familiers.</w:t>
                  </w:r>
                </w:p>
                <w:p>
                  <w:pPr>
                    <w:jc w:val="both"/>
                    <w:rPr>
                      <w:rFonts w:cs="Arial"/>
                    </w:rPr>
                  </w:pPr>
                </w:p>
                <w:p>
                  <w:pPr>
                    <w:jc w:val="both"/>
                    <w:rPr>
                      <w:rFonts w:cs="Arial"/>
                    </w:rPr>
                  </w:pPr>
                  <w:r>
                    <w:rPr>
                      <w:rFonts w:cs="Arial"/>
                    </w:rPr>
                    <w:t>Le chef d’établissement signale alors les coordonnées de cet élève mineur au conseiller de l’Aide à la Jeunesse sur base, éventuellement, du formulaire prévu à cet effet.</w:t>
                  </w:r>
                </w:p>
                <w:p>
                  <w:pPr>
                    <w:jc w:val="both"/>
                    <w:rPr>
                      <w:rFonts w:cs="Arial"/>
                    </w:rPr>
                  </w:pPr>
                </w:p>
                <w:p>
                  <w:pPr>
                    <w:jc w:val="both"/>
                    <w:rPr>
                      <w:rFonts w:cs="Arial"/>
                    </w:rPr>
                  </w:pPr>
                  <w:r>
                    <w:rPr>
                      <w:rFonts w:cs="Arial"/>
                    </w:rPr>
                    <w:t>Pour que le conseiller de l’Aide à la Jeunesse puisse agir efficacement, il conviendra que le chef d’établissement indique, d’une part, tout ce qui a déjà été entrepris par l’école face à la situation de l’élève mineur et de ses éventuelles absences et, d’autre part, les éléments qui font craindre que l’élève mineur est en danger physique ou psychologique ou qu’il est confronté à des difficultés graves.</w:t>
                  </w:r>
                </w:p>
                <w:p>
                  <w:pPr>
                    <w:jc w:val="both"/>
                    <w:rPr>
                      <w:rFonts w:cs="Arial"/>
                    </w:rPr>
                  </w:pPr>
                </w:p>
                <w:p>
                  <w:pPr>
                    <w:pStyle w:val="Titre4"/>
                  </w:pPr>
                  <w:bookmarkStart w:id="402" w:name="_1.3._Sanctions_disciplinaires"/>
                  <w:bookmarkStart w:id="403" w:name="_Toc293653633"/>
                  <w:bookmarkStart w:id="404" w:name="_Toc293654244"/>
                  <w:bookmarkStart w:id="405" w:name="_Toc294004824"/>
                  <w:bookmarkStart w:id="406" w:name="_Toc294185320"/>
                  <w:bookmarkStart w:id="407" w:name="_Toc324767186"/>
                  <w:bookmarkStart w:id="408" w:name="_Toc412204079"/>
                  <w:bookmarkStart w:id="409" w:name="_Toc414352887"/>
                  <w:bookmarkStart w:id="410" w:name="_Toc453836910"/>
                  <w:bookmarkEnd w:id="402"/>
                  <w:r>
                    <w:t>1.3. Sanctions disciplinaires</w:t>
                  </w:r>
                  <w:bookmarkEnd w:id="403"/>
                  <w:bookmarkEnd w:id="404"/>
                  <w:bookmarkEnd w:id="405"/>
                  <w:bookmarkEnd w:id="406"/>
                  <w:bookmarkEnd w:id="407"/>
                  <w:bookmarkEnd w:id="408"/>
                  <w:bookmarkEnd w:id="409"/>
                  <w:bookmarkEnd w:id="410"/>
                  <w:r>
                    <w:t xml:space="preserve"> </w:t>
                  </w:r>
                </w:p>
                <w:p/>
                <w:p>
                  <w:pPr>
                    <w:pStyle w:val="Corpsdetexte21"/>
                    <w:pBdr>
                      <w:top w:val="single" w:sz="4" w:space="1" w:color="000000"/>
                      <w:left w:val="single" w:sz="4" w:space="4" w:color="000000"/>
                      <w:bottom w:val="single" w:sz="4" w:space="1" w:color="000000"/>
                      <w:right w:val="single" w:sz="4" w:space="4" w:color="000000"/>
                    </w:pBdr>
                    <w:ind w:right="-6"/>
                    <w:rPr>
                      <w:rFonts w:asciiTheme="majorHAnsi" w:eastAsiaTheme="minorHAnsi" w:hAnsiTheme="majorHAnsi"/>
                      <w:sz w:val="22"/>
                      <w:szCs w:val="22"/>
                      <w:lang w:eastAsia="en-US"/>
                    </w:rPr>
                  </w:pPr>
                  <w:r>
                    <w:rPr>
                      <w:rFonts w:asciiTheme="majorHAnsi" w:eastAsiaTheme="minorHAnsi" w:hAnsiTheme="majorHAnsi"/>
                      <w:sz w:val="22"/>
                      <w:szCs w:val="22"/>
                      <w:lang w:eastAsia="en-US"/>
                    </w:rPr>
                    <w:t>Les sanctions disciplinaires et les modalités selon lesquelles elles sont prises doivent figurer dans le règlement d’ordre intérieur (R.O.I.) de chaque école.</w:t>
                  </w:r>
                </w:p>
                <w:p>
                  <w:pPr>
                    <w:pStyle w:val="Corpsdetexte21"/>
                    <w:pBdr>
                      <w:top w:val="single" w:sz="4" w:space="1" w:color="000000"/>
                      <w:left w:val="single" w:sz="4" w:space="4" w:color="000000"/>
                      <w:bottom w:val="single" w:sz="4" w:space="1" w:color="000000"/>
                      <w:right w:val="single" w:sz="4" w:space="4" w:color="000000"/>
                    </w:pBdr>
                    <w:ind w:right="-6"/>
                    <w:rPr>
                      <w:rFonts w:asciiTheme="majorHAnsi" w:eastAsiaTheme="minorHAnsi" w:hAnsiTheme="majorHAnsi"/>
                      <w:sz w:val="22"/>
                      <w:szCs w:val="22"/>
                      <w:lang w:eastAsia="en-US"/>
                    </w:rPr>
                  </w:pPr>
                  <w:r>
                    <w:rPr>
                      <w:rFonts w:asciiTheme="majorHAnsi" w:eastAsiaTheme="minorHAnsi" w:hAnsiTheme="majorHAnsi"/>
                      <w:sz w:val="22"/>
                      <w:szCs w:val="22"/>
                      <w:lang w:eastAsia="en-US"/>
                    </w:rPr>
                    <w:t>Il est important que les élèves soient associés d’une manière ou d’une autre à celui-ci : par exemple, par une présentation du R.O.I. aux élèves lors de la rentrée scolaire.</w:t>
                  </w:r>
                </w:p>
                <w:p>
                  <w:pPr>
                    <w:rPr>
                      <w:b/>
                      <w:u w:val="single"/>
                    </w:rPr>
                  </w:pPr>
                </w:p>
                <w:p>
                  <w:pPr>
                    <w:pStyle w:val="Titre5"/>
                  </w:pPr>
                  <w:bookmarkStart w:id="411" w:name="_Toc291075513"/>
                  <w:bookmarkStart w:id="412" w:name="_Toc291075937"/>
                  <w:bookmarkStart w:id="413" w:name="_Toc291076361"/>
                  <w:bookmarkStart w:id="414" w:name="_Toc291076785"/>
                  <w:bookmarkStart w:id="415" w:name="_Toc291077209"/>
                  <w:bookmarkStart w:id="416" w:name="_Toc293652052"/>
                  <w:bookmarkStart w:id="417" w:name="_Toc293653634"/>
                  <w:bookmarkStart w:id="418" w:name="_Toc293654245"/>
                  <w:bookmarkStart w:id="419" w:name="_Toc294004825"/>
                  <w:bookmarkStart w:id="420" w:name="_Toc294185321"/>
                  <w:bookmarkStart w:id="421" w:name="_Toc324767187"/>
                  <w:bookmarkStart w:id="422" w:name="_Toc324768045"/>
                  <w:r>
                    <w:t xml:space="preserve">1.3.1. Dans les établissements subventionnés par la </w:t>
                  </w:r>
                  <w:bookmarkEnd w:id="411"/>
                  <w:bookmarkEnd w:id="412"/>
                  <w:bookmarkEnd w:id="413"/>
                  <w:bookmarkEnd w:id="414"/>
                  <w:bookmarkEnd w:id="415"/>
                  <w:bookmarkEnd w:id="416"/>
                  <w:bookmarkEnd w:id="417"/>
                  <w:bookmarkEnd w:id="418"/>
                  <w:bookmarkEnd w:id="419"/>
                  <w:bookmarkEnd w:id="420"/>
                  <w:r>
                    <w:t>Fédération Wallonie-Bruxelles</w:t>
                  </w:r>
                  <w:bookmarkEnd w:id="421"/>
                  <w:bookmarkEnd w:id="422"/>
                </w:p>
                <w:p>
                  <w:pPr>
                    <w:jc w:val="both"/>
                    <w:rPr>
                      <w:b/>
                      <w:u w:val="single"/>
                    </w:rPr>
                  </w:pPr>
                </w:p>
                <w:p>
                  <w:pPr>
                    <w:pStyle w:val="Corpsdetexte21"/>
                    <w:jc w:val="both"/>
                    <w:rPr>
                      <w:rFonts w:asciiTheme="majorHAnsi" w:hAnsiTheme="majorHAnsi"/>
                      <w:b/>
                      <w:sz w:val="22"/>
                      <w:szCs w:val="22"/>
                    </w:rPr>
                  </w:pPr>
                  <w:r>
                    <w:rPr>
                      <w:rFonts w:asciiTheme="majorHAnsi" w:hAnsiTheme="majorHAnsi"/>
                      <w:b/>
                      <w:sz w:val="22"/>
                      <w:szCs w:val="22"/>
                    </w:rPr>
                    <w:t>Les sanctions disciplinaires prononcées à l’encontre d’un élève ne peuvent pas être prises en compte dans l’évaluation des compétences.</w:t>
                  </w:r>
                </w:p>
                <w:p>
                  <w:pPr>
                    <w:pStyle w:val="Corpsdetexte21"/>
                    <w:jc w:val="both"/>
                    <w:rPr>
                      <w:rFonts w:asciiTheme="majorHAnsi" w:hAnsiTheme="majorHAnsi"/>
                      <w:b/>
                      <w:sz w:val="22"/>
                      <w:szCs w:val="22"/>
                    </w:rPr>
                  </w:pPr>
                </w:p>
                <w:p>
                  <w:pPr>
                    <w:pStyle w:val="Notedebasdepage"/>
                    <w:framePr w:wrap="around"/>
                  </w:pPr>
                  <w:r>
                    <w:t>Chaque PO définit les sanctions disciplinaires et détermine les modalités selon lesquelles elles sont prises dans les établissements d’enseignement qu’il organise.</w:t>
                  </w:r>
                  <w:bookmarkStart w:id="423" w:name="_Toc291075514"/>
                  <w:bookmarkStart w:id="424" w:name="_Toc291075938"/>
                  <w:bookmarkStart w:id="425" w:name="_Toc291076362"/>
                  <w:bookmarkStart w:id="426" w:name="_Toc291076786"/>
                  <w:bookmarkStart w:id="427" w:name="_Toc291077210"/>
                  <w:bookmarkStart w:id="428" w:name="_Toc293652053"/>
                  <w:bookmarkStart w:id="429" w:name="_Toc293653635"/>
                  <w:bookmarkStart w:id="430" w:name="_Toc293654246"/>
                  <w:bookmarkStart w:id="431" w:name="_Toc294004826"/>
                  <w:bookmarkStart w:id="432" w:name="_Toc294185322"/>
                  <w:bookmarkStart w:id="433" w:name="_Toc324767188"/>
                  <w:bookmarkStart w:id="434" w:name="_Toc324768046"/>
                </w:p>
                <w:p/>
                <w:p>
                  <w:pPr>
                    <w:pStyle w:val="Titre5"/>
                  </w:pPr>
                  <w:bookmarkStart w:id="435" w:name="_1.3.2._Dans_les"/>
                  <w:bookmarkEnd w:id="435"/>
                  <w:r>
                    <w:t xml:space="preserve">1.3.2. Dans les établissements organisés par la </w:t>
                  </w:r>
                  <w:bookmarkEnd w:id="423"/>
                  <w:bookmarkEnd w:id="424"/>
                  <w:bookmarkEnd w:id="425"/>
                  <w:bookmarkEnd w:id="426"/>
                  <w:bookmarkEnd w:id="427"/>
                  <w:bookmarkEnd w:id="428"/>
                  <w:bookmarkEnd w:id="429"/>
                  <w:bookmarkEnd w:id="430"/>
                  <w:bookmarkEnd w:id="431"/>
                  <w:bookmarkEnd w:id="432"/>
                  <w:r>
                    <w:t>Fédération Wallonie-Bruxelles</w:t>
                  </w:r>
                  <w:bookmarkEnd w:id="433"/>
                  <w:bookmarkEnd w:id="434"/>
                </w:p>
                <w:p>
                  <w:pPr>
                    <w:jc w:val="both"/>
                    <w:rPr>
                      <w:b/>
                      <w:u w:val="single"/>
                    </w:rPr>
                  </w:pPr>
                </w:p>
                <w:p>
                  <w:pPr>
                    <w:pStyle w:val="Corpsdetexte21"/>
                    <w:jc w:val="both"/>
                    <w:rPr>
                      <w:rFonts w:asciiTheme="majorHAnsi" w:hAnsiTheme="majorHAnsi"/>
                      <w:b/>
                      <w:sz w:val="22"/>
                      <w:szCs w:val="22"/>
                    </w:rPr>
                  </w:pPr>
                  <w:r>
                    <w:rPr>
                      <w:rFonts w:asciiTheme="majorHAnsi" w:hAnsiTheme="majorHAnsi"/>
                      <w:b/>
                      <w:sz w:val="22"/>
                      <w:szCs w:val="22"/>
                    </w:rPr>
                    <w:t>Les sanctions disciplinaires prononcées à l’encontre d’un élève ne peuvent pas être prises en compte dans l’évaluation des compétences.</w:t>
                  </w:r>
                </w:p>
                <w:p>
                  <w:pPr>
                    <w:pStyle w:val="Corpsdetexte21"/>
                    <w:jc w:val="both"/>
                    <w:rPr>
                      <w:rFonts w:asciiTheme="majorHAnsi" w:hAnsiTheme="majorHAnsi"/>
                      <w:sz w:val="22"/>
                      <w:szCs w:val="22"/>
                    </w:rPr>
                  </w:pPr>
                  <w:r>
                    <w:rPr>
                      <w:rFonts w:asciiTheme="majorHAnsi" w:hAnsiTheme="majorHAnsi"/>
                      <w:sz w:val="22"/>
                      <w:szCs w:val="22"/>
                    </w:rPr>
                    <w:t>Dans le respect des dispositions du règlement d’ordre intérieur</w:t>
                  </w:r>
                  <w:r>
                    <w:rPr>
                      <w:sz w:val="22"/>
                    </w:rPr>
                    <w:footnoteReference w:id="31"/>
                  </w:r>
                  <w:r>
                    <w:rPr>
                      <w:rFonts w:asciiTheme="majorHAnsi" w:hAnsiTheme="majorHAnsi"/>
                      <w:sz w:val="22"/>
                      <w:szCs w:val="22"/>
                    </w:rPr>
                    <w:t>, les élèves sont susceptibles de se voir appliquer une sanction disciplinaire notamment pour tout acte, comportement ou abstention répréhensibles commis non seulement dans l’enceinte de l’école mais aussi hors de l’école si les faits reprochés ont une incidence directe sur la bonne marche de l’école. Toute sanction disciplinaire doit être proportionnée à la gravité des faits et à leurs antécédents éventuels.</w:t>
                  </w:r>
                </w:p>
                <w:p>
                  <w:pPr>
                    <w:pStyle w:val="Corpsdetexte21"/>
                    <w:jc w:val="both"/>
                    <w:rPr>
                      <w:rFonts w:asciiTheme="majorHAnsi" w:hAnsiTheme="majorHAnsi"/>
                      <w:sz w:val="22"/>
                      <w:szCs w:val="22"/>
                    </w:rPr>
                  </w:pPr>
                  <w:r>
                    <w:rPr>
                      <w:rFonts w:asciiTheme="majorHAnsi" w:hAnsiTheme="majorHAnsi"/>
                      <w:sz w:val="22"/>
                      <w:szCs w:val="22"/>
                    </w:rPr>
                    <w:t>Les sanctions disciplinaires qui peuvent être prononcées à l’égard des élèves sont les suivantes :</w:t>
                  </w:r>
                </w:p>
                <w:p>
                  <w:pPr>
                    <w:pStyle w:val="Corpsdetexte21"/>
                    <w:numPr>
                      <w:ilvl w:val="0"/>
                      <w:numId w:val="101"/>
                    </w:numPr>
                    <w:tabs>
                      <w:tab w:val="clear" w:pos="360"/>
                      <w:tab w:val="num" w:pos="720"/>
                    </w:tabs>
                    <w:ind w:left="927"/>
                    <w:jc w:val="both"/>
                    <w:rPr>
                      <w:rFonts w:asciiTheme="majorHAnsi" w:hAnsiTheme="majorHAnsi"/>
                      <w:sz w:val="22"/>
                      <w:szCs w:val="22"/>
                    </w:rPr>
                  </w:pPr>
                  <w:r>
                    <w:rPr>
                      <w:rFonts w:asciiTheme="majorHAnsi" w:hAnsiTheme="majorHAnsi"/>
                      <w:sz w:val="22"/>
                      <w:szCs w:val="22"/>
                    </w:rPr>
                    <w:t>le rappel à l’ordre par une note au journal de classe à faire signer pour le lendemain par les parents ou l’élève majeur ;</w:t>
                  </w:r>
                </w:p>
                <w:p>
                  <w:pPr>
                    <w:pStyle w:val="Corpsdetexte21"/>
                    <w:numPr>
                      <w:ilvl w:val="0"/>
                      <w:numId w:val="101"/>
                    </w:numPr>
                    <w:tabs>
                      <w:tab w:val="clear" w:pos="360"/>
                      <w:tab w:val="num" w:pos="720"/>
                    </w:tabs>
                    <w:ind w:left="927"/>
                    <w:jc w:val="both"/>
                    <w:rPr>
                      <w:rFonts w:asciiTheme="majorHAnsi" w:hAnsiTheme="majorHAnsi"/>
                      <w:sz w:val="22"/>
                      <w:szCs w:val="22"/>
                    </w:rPr>
                  </w:pPr>
                  <w:r>
                    <w:rPr>
                      <w:rFonts w:asciiTheme="majorHAnsi" w:hAnsiTheme="majorHAnsi"/>
                      <w:sz w:val="22"/>
                      <w:szCs w:val="22"/>
                    </w:rPr>
                    <w:t>la retenue à l’établissement, en dehors du cadre de la journée scolaire, sous la surveillance d’un membre du personnel ;</w:t>
                  </w:r>
                </w:p>
                <w:p>
                  <w:pPr>
                    <w:pStyle w:val="Corpsdetexte21"/>
                    <w:numPr>
                      <w:ilvl w:val="0"/>
                      <w:numId w:val="101"/>
                    </w:numPr>
                    <w:tabs>
                      <w:tab w:val="clear" w:pos="360"/>
                      <w:tab w:val="num" w:pos="720"/>
                    </w:tabs>
                    <w:ind w:left="927"/>
                    <w:jc w:val="both"/>
                    <w:rPr>
                      <w:rFonts w:asciiTheme="majorHAnsi" w:hAnsiTheme="majorHAnsi"/>
                      <w:sz w:val="22"/>
                      <w:szCs w:val="22"/>
                    </w:rPr>
                  </w:pPr>
                  <w:r>
                    <w:rPr>
                      <w:rFonts w:asciiTheme="majorHAnsi" w:hAnsiTheme="majorHAnsi"/>
                      <w:sz w:val="22"/>
                      <w:szCs w:val="22"/>
                    </w:rPr>
                    <w:t>l’exclusion temporaire d’un cours ou de tous les cours d’un même enseignant dans le respect des dispositions de l’article 86 alinéas 2 et 3 du décret « missions » ; l’élève reste à l’établissement sous la surveillance d’un membre du personnel ;</w:t>
                  </w:r>
                </w:p>
                <w:p>
                  <w:pPr>
                    <w:pStyle w:val="Corpsdetexte21"/>
                    <w:numPr>
                      <w:ilvl w:val="0"/>
                      <w:numId w:val="101"/>
                    </w:numPr>
                    <w:tabs>
                      <w:tab w:val="clear" w:pos="360"/>
                      <w:tab w:val="num" w:pos="720"/>
                    </w:tabs>
                    <w:ind w:left="927"/>
                    <w:jc w:val="both"/>
                    <w:rPr>
                      <w:rFonts w:asciiTheme="majorHAnsi" w:hAnsiTheme="majorHAnsi"/>
                      <w:sz w:val="22"/>
                      <w:szCs w:val="22"/>
                    </w:rPr>
                  </w:pPr>
                  <w:r>
                    <w:rPr>
                      <w:rFonts w:asciiTheme="majorHAnsi" w:hAnsiTheme="majorHAnsi"/>
                      <w:sz w:val="22"/>
                      <w:szCs w:val="22"/>
                    </w:rPr>
                    <w:t>l’exclusion temporaire de tous les cours dans le respect des dispositions de l’article 86 alinéas 2 et 3 du décret « missions » ;</w:t>
                  </w:r>
                </w:p>
                <w:p>
                  <w:pPr>
                    <w:pStyle w:val="Corpsdetexte21"/>
                    <w:numPr>
                      <w:ilvl w:val="0"/>
                      <w:numId w:val="101"/>
                    </w:numPr>
                    <w:pBdr>
                      <w:right w:val="single" w:sz="4" w:space="4" w:color="auto"/>
                    </w:pBdr>
                    <w:tabs>
                      <w:tab w:val="clear" w:pos="360"/>
                      <w:tab w:val="num" w:pos="720"/>
                    </w:tabs>
                    <w:ind w:left="927"/>
                    <w:jc w:val="both"/>
                    <w:rPr>
                      <w:rFonts w:asciiTheme="majorHAnsi" w:hAnsiTheme="majorHAnsi"/>
                      <w:sz w:val="22"/>
                      <w:szCs w:val="22"/>
                    </w:rPr>
                  </w:pPr>
                  <w:r>
                    <w:rPr>
                      <w:rFonts w:asciiTheme="majorHAnsi" w:hAnsiTheme="majorHAnsi"/>
                      <w:sz w:val="22"/>
                      <w:szCs w:val="22"/>
                    </w:rPr>
                    <w:t>l’exclusion définitive de l’établissement dans le respect des dispositions des articles 81, 82 et 86 du décret « missions » et de l’article 26 du décret du 21/11/2013 favorisant le bien-être des jeunes à l’école</w:t>
                  </w:r>
                  <w:r>
                    <w:rPr>
                      <w:rFonts w:asciiTheme="majorHAnsi" w:hAnsiTheme="majorHAnsi"/>
                      <w:sz w:val="16"/>
                      <w:szCs w:val="22"/>
                      <w:vertAlign w:val="superscript"/>
                    </w:rPr>
                    <w:footnoteReference w:id="32"/>
                  </w:r>
                  <w:r>
                    <w:rPr>
                      <w:rFonts w:asciiTheme="majorHAnsi" w:hAnsiTheme="majorHAnsi"/>
                      <w:sz w:val="22"/>
                      <w:szCs w:val="22"/>
                      <w:vertAlign w:val="superscript"/>
                    </w:rPr>
                    <w:t xml:space="preserve">.  </w:t>
                  </w:r>
                  <w:r>
                    <w:rPr>
                      <w:rFonts w:asciiTheme="majorHAnsi" w:hAnsiTheme="majorHAnsi"/>
                      <w:sz w:val="22"/>
                      <w:szCs w:val="22"/>
                    </w:rPr>
                    <w:t>Une notification écrite est adressée, s’il échet, à l’Administration de l’internat où l’élève est inscrit.</w:t>
                  </w:r>
                </w:p>
                <w:p>
                  <w:pPr>
                    <w:pStyle w:val="Corpsdetexte21"/>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En cas d’exclusion temporaire, l’élève est tenu de mettre ses documents scolaires en ordre et l’école veille à ce que l’élève soit mis en situation de satisfaire à cette exigence.</w:t>
                  </w:r>
                </w:p>
                <w:p>
                  <w:pPr>
                    <w:pStyle w:val="Corpsdetexte21"/>
                    <w:jc w:val="both"/>
                    <w:rPr>
                      <w:rFonts w:asciiTheme="majorHAnsi" w:hAnsiTheme="majorHAnsi"/>
                      <w:sz w:val="22"/>
                      <w:szCs w:val="22"/>
                    </w:rPr>
                  </w:pPr>
                  <w:r>
                    <w:rPr>
                      <w:rFonts w:asciiTheme="majorHAnsi" w:hAnsiTheme="majorHAnsi"/>
                      <w:sz w:val="22"/>
                      <w:szCs w:val="22"/>
                    </w:rPr>
                    <w:t>Les sanctions prévues ci-dessus aux points 1°, 2°, 3° et 4°, peuvent s’accompagner d’une mesure diminuant la note d’évaluation du comportement social et personnel si l’école a fait le choix d’une note chiffrée pour évaluer ce comportement.</w:t>
                  </w:r>
                </w:p>
                <w:p>
                  <w:pPr>
                    <w:pStyle w:val="Corpsdetexte21"/>
                    <w:jc w:val="both"/>
                    <w:rPr>
                      <w:rFonts w:asciiTheme="majorHAnsi" w:hAnsiTheme="majorHAnsi"/>
                      <w:sz w:val="22"/>
                      <w:szCs w:val="22"/>
                    </w:rPr>
                  </w:pPr>
                  <w:r>
                    <w:rPr>
                      <w:rFonts w:asciiTheme="majorHAnsi" w:hAnsiTheme="majorHAnsi"/>
                      <w:sz w:val="22"/>
                      <w:szCs w:val="22"/>
                    </w:rPr>
                    <w:t>Le rappel à l’ordre est prononcé par tout membre du personnel directeur et enseignant et du personnel auxiliaire d’éducation. Il peut être accompagné de tâches supplémentaires qui font l’objet d’une évaluation par le membre du personnel qui prononce la sanction. Si l’évaluation n’est pas satisfaisante, le chef d’établissement peut imposer une nouvelle tâche.</w:t>
                  </w:r>
                </w:p>
                <w:p>
                  <w:pPr>
                    <w:pStyle w:val="Corpsdetexte21"/>
                    <w:jc w:val="both"/>
                    <w:rPr>
                      <w:rFonts w:asciiTheme="majorHAnsi" w:hAnsiTheme="majorHAnsi"/>
                      <w:sz w:val="22"/>
                      <w:szCs w:val="22"/>
                    </w:rPr>
                  </w:pPr>
                  <w:r>
                    <w:rPr>
                      <w:rFonts w:asciiTheme="majorHAnsi" w:hAnsiTheme="majorHAnsi"/>
                      <w:sz w:val="22"/>
                      <w:szCs w:val="22"/>
                    </w:rPr>
                    <w:t>Les sanctions prévues ci-dessus aux points 2°, 3° et 4°, sont prononcées par le chef d’établissement ou son délégué après avoir préalablement entendu l’élève. Les sanctions et la motivation qui les fonde sont communiquées à l’élève, à ses parents par la voie du journal de classe ou par un autre moyen jugé plus approprié. La note au journal de classe doit être signée pour le lendemain par les parents ou par l’élève majeur. L’élève doit toujours être en mesure de présenter son journal de classe au membre du personnel qui le réclame.</w:t>
                  </w:r>
                </w:p>
                <w:p>
                  <w:pPr>
                    <w:pStyle w:val="Corpsdetexte21"/>
                    <w:jc w:val="both"/>
                    <w:rPr>
                      <w:rFonts w:asciiTheme="majorHAnsi" w:hAnsiTheme="majorHAnsi"/>
                      <w:sz w:val="22"/>
                      <w:szCs w:val="22"/>
                    </w:rPr>
                  </w:pPr>
                  <w:r>
                    <w:rPr>
                      <w:rFonts w:asciiTheme="majorHAnsi" w:hAnsiTheme="majorHAnsi"/>
                      <w:sz w:val="22"/>
                      <w:szCs w:val="22"/>
                    </w:rPr>
                    <w:t>Les sanctions visées à l’alinéa précédent sont accompagnées de tâches supplémentaires qui font l’objet d’une évaluation par le membre du personnel que le chef d’établissement ou son délégué désigne. Si l’évaluation n’est pas satisfaisante, le chef d’établissement peut imposer une nouvelle tâche.</w:t>
                  </w:r>
                </w:p>
                <w:p>
                  <w:pPr>
                    <w:pStyle w:val="Corpsdetexte21"/>
                    <w:jc w:val="both"/>
                    <w:rPr>
                      <w:rFonts w:asciiTheme="majorHAnsi" w:hAnsiTheme="majorHAnsi"/>
                      <w:sz w:val="22"/>
                      <w:szCs w:val="22"/>
                    </w:rPr>
                  </w:pPr>
                  <w:r>
                    <w:rPr>
                      <w:rFonts w:asciiTheme="majorHAnsi" w:hAnsiTheme="majorHAnsi"/>
                      <w:sz w:val="22"/>
                      <w:szCs w:val="22"/>
                    </w:rPr>
                    <w:t>Les tâches supplémentaires, en particulier celles qui accompagnent la retenue à l’établissement, doivent chaque fois que possible consister en la réparation des torts causés à la victime ou en un travail d’intérêt général qui place l’élève dans une situation de responsabilisation par rapport à l’acte, au comportement ou à l’abstention répréhensible qui sont à l’origine de la sanction. Elles peuvent aussi prendre la forme d’un travail pédagogique.</w:t>
                  </w:r>
                </w:p>
                <w:p>
                  <w:pPr>
                    <w:pStyle w:val="Corpsdetexte21"/>
                    <w:jc w:val="both"/>
                    <w:rPr>
                      <w:rFonts w:asciiTheme="majorHAnsi" w:hAnsiTheme="majorHAnsi"/>
                      <w:sz w:val="22"/>
                      <w:szCs w:val="22"/>
                    </w:rPr>
                  </w:pPr>
                  <w:r>
                    <w:rPr>
                      <w:rFonts w:asciiTheme="majorHAnsi" w:hAnsiTheme="majorHAnsi"/>
                      <w:sz w:val="22"/>
                      <w:szCs w:val="22"/>
                    </w:rPr>
                    <w:t>Les tâches supplémentaires à caractère pédagogique imposées à l’élève en complément des sanctions disciplinaires ne peuvent faire l’objet de notations. Leur évaluation ne pourra influencer le cours des délibérations et, en outre, elles ne consisteront jamais en tâches répétitives et vides de sens.</w:t>
                  </w:r>
                </w:p>
                <w:p>
                  <w:pPr>
                    <w:rPr>
                      <w:b/>
                      <w:u w:val="single"/>
                    </w:rPr>
                  </w:pPr>
                </w:p>
                <w:p>
                  <w:pPr>
                    <w:pStyle w:val="Titre5"/>
                  </w:pPr>
                  <w:bookmarkStart w:id="436" w:name="_Toc291075515"/>
                  <w:bookmarkStart w:id="437" w:name="_Toc291075939"/>
                  <w:bookmarkStart w:id="438" w:name="_Toc291076363"/>
                  <w:bookmarkStart w:id="439" w:name="_Toc291076787"/>
                  <w:bookmarkStart w:id="440" w:name="_Toc291077211"/>
                  <w:bookmarkStart w:id="441" w:name="_Toc293652054"/>
                  <w:bookmarkStart w:id="442" w:name="_Toc293653636"/>
                  <w:bookmarkStart w:id="443" w:name="_Toc293654247"/>
                  <w:bookmarkStart w:id="444" w:name="_Toc294004827"/>
                  <w:bookmarkStart w:id="445" w:name="_Toc294185323"/>
                  <w:bookmarkStart w:id="446" w:name="_Toc324767189"/>
                  <w:bookmarkStart w:id="447" w:name="_Toc324768047"/>
                  <w:r>
                    <w:t xml:space="preserve">1.3.3. Exclusions dans l’enseignement organisé ou subventionné par la </w:t>
                  </w:r>
                  <w:bookmarkEnd w:id="436"/>
                  <w:bookmarkEnd w:id="437"/>
                  <w:bookmarkEnd w:id="438"/>
                  <w:bookmarkEnd w:id="439"/>
                  <w:bookmarkEnd w:id="440"/>
                  <w:bookmarkEnd w:id="441"/>
                  <w:bookmarkEnd w:id="442"/>
                  <w:bookmarkEnd w:id="443"/>
                  <w:bookmarkEnd w:id="444"/>
                  <w:bookmarkEnd w:id="445"/>
                  <w:r>
                    <w:t>Fédération Wallonie-Bruxelles</w:t>
                  </w:r>
                  <w:bookmarkEnd w:id="446"/>
                  <w:bookmarkEnd w:id="447"/>
                </w:p>
                <w:p>
                  <w:pPr>
                    <w:jc w:val="both"/>
                    <w:rPr>
                      <w:rFonts w:cs="Arial"/>
                      <w:b/>
                      <w:u w:val="single"/>
                    </w:rPr>
                  </w:pPr>
                </w:p>
                <w:p>
                  <w:pPr>
                    <w:pStyle w:val="Corpsdetexte21"/>
                    <w:jc w:val="both"/>
                    <w:rPr>
                      <w:rFonts w:asciiTheme="majorHAnsi" w:hAnsiTheme="majorHAnsi"/>
                      <w:sz w:val="22"/>
                      <w:szCs w:val="22"/>
                    </w:rPr>
                  </w:pPr>
                  <w:r>
                    <w:rPr>
                      <w:rFonts w:asciiTheme="majorHAnsi" w:hAnsiTheme="majorHAnsi"/>
                      <w:sz w:val="22"/>
                      <w:szCs w:val="22"/>
                    </w:rPr>
                    <w:t>Le chef d’établissement veille à informer au plus tôt le CPMS de la situation de l’élève dont le comportement pourrait conduire à une mesure d’exclusion provisoire ou définitive. En effet, il est conseillé au chef d’établissement de contacter le CPMS afin de lui donner la possibilité d’assurer son rôle de guidance vis-à-vis de l’élève, de ses parents ou de la personne investie de l’autorité parentale et de lui permettre d’apporter tout éclairage utile en vue de la prise de décision.</w:t>
                  </w:r>
                </w:p>
                <w:p>
                  <w:pPr>
                    <w:pStyle w:val="Corpsdetexte21"/>
                    <w:jc w:val="both"/>
                    <w:rPr>
                      <w:rFonts w:asciiTheme="majorHAnsi" w:hAnsiTheme="majorHAnsi"/>
                      <w:sz w:val="22"/>
                      <w:szCs w:val="22"/>
                    </w:rPr>
                  </w:pPr>
                </w:p>
                <w:p>
                  <w:pPr>
                    <w:pStyle w:val="Titre6"/>
                  </w:pPr>
                  <w:bookmarkStart w:id="448" w:name="_Toc291075516"/>
                  <w:bookmarkStart w:id="449" w:name="_Toc291075940"/>
                  <w:bookmarkStart w:id="450" w:name="_Toc291076364"/>
                  <w:bookmarkStart w:id="451" w:name="_Toc291076788"/>
                  <w:bookmarkStart w:id="452" w:name="_Toc291077212"/>
                  <w:bookmarkStart w:id="453" w:name="_Toc293652055"/>
                  <w:bookmarkStart w:id="454" w:name="_Toc293653637"/>
                  <w:bookmarkStart w:id="455" w:name="_Toc293654248"/>
                  <w:bookmarkStart w:id="456" w:name="_Toc294004828"/>
                  <w:bookmarkStart w:id="457" w:name="_Toc294185324"/>
                  <w:bookmarkStart w:id="458" w:name="_Toc324767190"/>
                  <w:bookmarkStart w:id="459" w:name="_Toc324768048"/>
                  <w:r>
                    <w:t>1.3.3.1. L’exclusion provisoire</w:t>
                  </w:r>
                  <w:bookmarkEnd w:id="448"/>
                  <w:bookmarkEnd w:id="449"/>
                  <w:bookmarkEnd w:id="450"/>
                  <w:bookmarkEnd w:id="451"/>
                  <w:bookmarkEnd w:id="452"/>
                  <w:bookmarkEnd w:id="453"/>
                  <w:bookmarkEnd w:id="454"/>
                  <w:bookmarkEnd w:id="455"/>
                  <w:bookmarkEnd w:id="456"/>
                  <w:bookmarkEnd w:id="457"/>
                  <w:bookmarkEnd w:id="458"/>
                  <w:bookmarkEnd w:id="459"/>
                  <w:r>
                    <w:t> </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Par contre, un même fait ne peut faire l’objet d’une décision d’exclusion provisoire suivie d’une décision d’exclusion définitive en vertu du principe général de droit « NON BIS IN IDEM » selon lequel un même fait ne peut être sanctionné deux fois.</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Si ce principe n’interdit pas qu’un même fait soit puni pénalement et disciplinairement, il interdit, en revanche, qu’un même fait entraîne deux sanctions d’un même ordre. Ainsi, lorsqu’un chef d’établissement sanctionne un élève pour un fait déterminé d’une retenue à l’établissement ou d’une exclusion temporaire des cours, il ne pourra l’exclure définitivement que si une nouvelle faute lui est reprochée. </w:t>
                  </w:r>
                </w:p>
                <w:p>
                  <w:pPr>
                    <w:pStyle w:val="Corpsdetexte21"/>
                    <w:jc w:val="both"/>
                    <w:rPr>
                      <w:rFonts w:asciiTheme="majorHAnsi" w:hAnsiTheme="majorHAnsi"/>
                      <w:sz w:val="22"/>
                      <w:szCs w:val="22"/>
                    </w:rPr>
                  </w:pPr>
                </w:p>
                <w:p>
                  <w:pPr>
                    <w:pStyle w:val="Titre6"/>
                  </w:pPr>
                  <w:bookmarkStart w:id="460" w:name="_Toc291075517"/>
                  <w:bookmarkStart w:id="461" w:name="_Toc291075941"/>
                  <w:bookmarkStart w:id="462" w:name="_Toc291076365"/>
                  <w:bookmarkStart w:id="463" w:name="_Toc291076789"/>
                  <w:bookmarkStart w:id="464" w:name="_Toc291077213"/>
                  <w:bookmarkStart w:id="465" w:name="_Toc293652056"/>
                  <w:bookmarkStart w:id="466" w:name="_Toc293653638"/>
                  <w:bookmarkStart w:id="467" w:name="_Toc293654249"/>
                  <w:bookmarkStart w:id="468" w:name="_Toc294004829"/>
                  <w:bookmarkStart w:id="469" w:name="_Toc294185325"/>
                  <w:bookmarkStart w:id="470" w:name="_Toc324767191"/>
                  <w:bookmarkStart w:id="471" w:name="_Toc324768049"/>
                  <w:r>
                    <w:t>1.3.3.2. L’exclusion définitive</w:t>
                  </w:r>
                  <w:bookmarkEnd w:id="460"/>
                  <w:bookmarkEnd w:id="461"/>
                  <w:bookmarkEnd w:id="462"/>
                  <w:bookmarkEnd w:id="463"/>
                  <w:bookmarkEnd w:id="464"/>
                  <w:bookmarkEnd w:id="465"/>
                  <w:bookmarkEnd w:id="466"/>
                  <w:bookmarkEnd w:id="467"/>
                  <w:bookmarkEnd w:id="468"/>
                  <w:bookmarkEnd w:id="469"/>
                  <w:bookmarkEnd w:id="470"/>
                  <w:bookmarkEnd w:id="471"/>
                </w:p>
                <w:p/>
                <w:p>
                  <w:pPr>
                    <w:pStyle w:val="Titre7"/>
                  </w:pPr>
                  <w:bookmarkStart w:id="472" w:name="_Toc291075518"/>
                  <w:bookmarkStart w:id="473" w:name="_Toc291075942"/>
                  <w:bookmarkStart w:id="474" w:name="_Toc291076366"/>
                  <w:bookmarkStart w:id="475" w:name="_Toc291076790"/>
                  <w:bookmarkStart w:id="476" w:name="_Toc291077214"/>
                  <w:bookmarkStart w:id="477" w:name="_Toc293652057"/>
                  <w:bookmarkStart w:id="478" w:name="_Toc293653639"/>
                  <w:bookmarkStart w:id="479" w:name="_Toc293654250"/>
                  <w:bookmarkStart w:id="480" w:name="_Toc294004830"/>
                  <w:bookmarkStart w:id="481" w:name="_Toc294185326"/>
                  <w:bookmarkStart w:id="482" w:name="_Toc324767192"/>
                  <w:bookmarkStart w:id="483" w:name="_Toc324768050"/>
                  <w:r>
                    <w:t>1.3.3.2.1.</w:t>
                  </w:r>
                  <w:bookmarkEnd w:id="472"/>
                  <w:bookmarkEnd w:id="473"/>
                  <w:bookmarkEnd w:id="474"/>
                  <w:bookmarkEnd w:id="475"/>
                  <w:bookmarkEnd w:id="476"/>
                  <w:bookmarkEnd w:id="477"/>
                  <w:bookmarkEnd w:id="478"/>
                  <w:bookmarkEnd w:id="479"/>
                  <w:bookmarkEnd w:id="480"/>
                  <w:bookmarkEnd w:id="481"/>
                  <w:bookmarkEnd w:id="482"/>
                  <w:bookmarkEnd w:id="483"/>
                  <w:r>
                    <w:t xml:space="preserve"> Motifs d’exclusion définitive. (Articles 81et 89 du </w:t>
                  </w:r>
                  <w:hyperlink r:id="rId24" w:history="1">
                    <w:r>
                      <w:rPr>
                        <w:rStyle w:val="Lienhypertexte"/>
                        <w:b w:val="0"/>
                        <w:color w:val="auto"/>
                      </w:rPr>
                      <w:t>Décret du 24 juillet 1997</w:t>
                    </w:r>
                  </w:hyperlink>
                  <w:r>
                    <w:t xml:space="preserve"> et article 26 du </w:t>
                  </w:r>
                  <w:hyperlink r:id="rId25" w:history="1">
                    <w:r>
                      <w:rPr>
                        <w:rStyle w:val="Lienhypertexte"/>
                        <w:rFonts w:cs="Arial"/>
                        <w:b w:val="0"/>
                        <w:color w:val="auto"/>
                      </w:rPr>
                      <w:t>Décret du 21 novembre 2013</w:t>
                    </w:r>
                  </w:hyperlink>
                  <w:r>
                    <w:t xml:space="preserve"> )</w:t>
                  </w:r>
                </w:p>
                <w:p/>
                <w:p>
                  <w:pPr>
                    <w:pStyle w:val="Corpsdetexte21"/>
                    <w:jc w:val="both"/>
                    <w:rPr>
                      <w:rFonts w:asciiTheme="majorHAnsi" w:hAnsiTheme="majorHAnsi"/>
                      <w:sz w:val="22"/>
                      <w:szCs w:val="22"/>
                    </w:rPr>
                  </w:pPr>
                  <w:r>
                    <w:rPr>
                      <w:rFonts w:asciiTheme="majorHAnsi" w:hAnsiTheme="majorHAnsi"/>
                      <w:sz w:val="24"/>
                      <w:szCs w:val="22"/>
                    </w:rPr>
                    <w:t xml:space="preserve">Un élève régulièrement inscrit ne peut être exclu définitivement que si les faits dont il s’est rendu coupable portent atteinte à l’intégrité physique, psychologique ou morale d’un </w:t>
                  </w:r>
                  <w:r>
                    <w:rPr>
                      <w:rFonts w:asciiTheme="majorHAnsi" w:hAnsiTheme="majorHAnsi"/>
                      <w:sz w:val="22"/>
                      <w:szCs w:val="22"/>
                    </w:rPr>
                    <w:t xml:space="preserve">membre du personnel ou d’un élève, compromettent l’organisation ou la bonne marche de l’établissement ou lui font subir un préjudice matériel ou moral grave. </w:t>
                  </w:r>
                </w:p>
                <w:p>
                  <w:pPr>
                    <w:pStyle w:val="Corpsdetexte21"/>
                    <w:jc w:val="both"/>
                    <w:rPr>
                      <w:rFonts w:asciiTheme="majorHAnsi" w:hAnsiTheme="majorHAnsi"/>
                      <w:sz w:val="22"/>
                      <w:szCs w:val="22"/>
                    </w:rPr>
                  </w:pPr>
                  <w:r>
                    <w:rPr>
                      <w:rFonts w:asciiTheme="majorHAnsi" w:hAnsiTheme="majorHAnsi"/>
                      <w:sz w:val="22"/>
                      <w:szCs w:val="22"/>
                    </w:rPr>
                    <w:t>Un élève majeur qui totalise plus de 20 demi-journées d’absence injustifiée au cours d’une même année scolaire peut également être exclu.</w:t>
                  </w:r>
                </w:p>
                <w:p>
                  <w:pPr>
                    <w:pStyle w:val="Corpsdetexte21"/>
                    <w:jc w:val="both"/>
                    <w:rPr>
                      <w:rFonts w:asciiTheme="majorHAnsi" w:hAnsiTheme="majorHAnsi"/>
                      <w:sz w:val="22"/>
                      <w:szCs w:val="22"/>
                    </w:rPr>
                  </w:pPr>
                  <w:r>
                    <w:rPr>
                      <w:rFonts w:asciiTheme="majorHAnsi" w:hAnsiTheme="majorHAnsi"/>
                      <w:sz w:val="22"/>
                      <w:szCs w:val="22"/>
                    </w:rPr>
                    <w:t>Dans l’enseignement spécialisé, l’exclusion définitive peut avoir des conséquences particulièrement graves pour la suite de la scolarité de l’élève.</w:t>
                  </w:r>
                </w:p>
                <w:p>
                  <w:pPr>
                    <w:pStyle w:val="Corpsdetexte21"/>
                    <w:jc w:val="both"/>
                    <w:rPr>
                      <w:rFonts w:asciiTheme="majorHAnsi" w:hAnsiTheme="majorHAnsi"/>
                      <w:b/>
                      <w:sz w:val="22"/>
                      <w:szCs w:val="22"/>
                    </w:rPr>
                  </w:pPr>
                  <w:r>
                    <w:rPr>
                      <w:rFonts w:asciiTheme="majorHAnsi" w:hAnsiTheme="majorHAnsi"/>
                      <w:b/>
                      <w:sz w:val="22"/>
                      <w:szCs w:val="22"/>
                    </w:rPr>
                    <w:t>Cette procédure devrait dès lors impliquer un accompagnement du jeune en faisant appel à une aide médicale, sociale ou psychologique.</w:t>
                  </w:r>
                </w:p>
                <w:p/>
                <w:p>
                  <w:pPr>
                    <w:pStyle w:val="Titre7"/>
                  </w:pPr>
                  <w:bookmarkStart w:id="484" w:name="_1.3.3.2.2._Procédure"/>
                  <w:bookmarkStart w:id="485" w:name="_1.3.3.2.2_Procédure"/>
                  <w:bookmarkStart w:id="486" w:name="_Toc291075519"/>
                  <w:bookmarkStart w:id="487" w:name="_Toc291075943"/>
                  <w:bookmarkStart w:id="488" w:name="_Toc291076367"/>
                  <w:bookmarkStart w:id="489" w:name="_Toc291076791"/>
                  <w:bookmarkStart w:id="490" w:name="_Toc291077215"/>
                  <w:bookmarkStart w:id="491" w:name="_Toc293652058"/>
                  <w:bookmarkStart w:id="492" w:name="_Toc293653640"/>
                  <w:bookmarkStart w:id="493" w:name="_Toc293654251"/>
                  <w:bookmarkStart w:id="494" w:name="_Toc294004831"/>
                  <w:bookmarkStart w:id="495" w:name="_Toc294185327"/>
                  <w:bookmarkStart w:id="496" w:name="_Toc324767193"/>
                  <w:bookmarkStart w:id="497" w:name="_Toc324768051"/>
                  <w:bookmarkEnd w:id="484"/>
                  <w:bookmarkEnd w:id="485"/>
                  <w:r>
                    <w:t xml:space="preserve">1.3.3.2.2 Procédure </w:t>
                  </w:r>
                  <w:r>
                    <w:footnoteReference w:id="33"/>
                  </w:r>
                  <w:bookmarkEnd w:id="486"/>
                  <w:bookmarkEnd w:id="487"/>
                  <w:bookmarkEnd w:id="488"/>
                  <w:bookmarkEnd w:id="489"/>
                  <w:bookmarkEnd w:id="490"/>
                  <w:bookmarkEnd w:id="491"/>
                  <w:bookmarkEnd w:id="492"/>
                  <w:bookmarkEnd w:id="493"/>
                  <w:bookmarkEnd w:id="494"/>
                  <w:bookmarkEnd w:id="495"/>
                  <w:bookmarkEnd w:id="496"/>
                  <w:bookmarkEnd w:id="497"/>
                </w:p>
                <w:p>
                  <w:pPr>
                    <w:pStyle w:val="Corpsdetexte21"/>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Préalablement à toute exclusion définitive, l’élève, s’il est majeur, l’élève et ses parents ou la personne investie de l’autorité parentale, si l’élève est mineur, sont invités, via lettre recommandée avec accusé de réception, par le chef d’établissement qui leur expose les faits et les entend. </w:t>
                  </w:r>
                </w:p>
                <w:p>
                  <w:pPr>
                    <w:pStyle w:val="Corpsdetexte21"/>
                    <w:jc w:val="both"/>
                    <w:rPr>
                      <w:rFonts w:asciiTheme="majorHAnsi" w:hAnsiTheme="majorHAnsi"/>
                      <w:sz w:val="22"/>
                      <w:szCs w:val="22"/>
                    </w:rPr>
                  </w:pPr>
                  <w:r>
                    <w:rPr>
                      <w:rFonts w:asciiTheme="majorHAnsi" w:hAnsiTheme="majorHAnsi"/>
                      <w:sz w:val="22"/>
                      <w:szCs w:val="22"/>
                    </w:rPr>
                    <w:t xml:space="preserve">Par conséquent, si un seul des parents a, conformément au droit civil, inscrit l’élève, l’invitation à l’audition ainsi que la décision d’exclusion définitive (Confer infra) doivent être adressées, non pas uniquement à celui qui a procédé à l’inscription mais aux parents de l’élève. Si les parents vivent ensemble, le chef d’établissement indiquera sur la lettre recommandée avec accusé de réception : « Madame et/ou Monsieur X ». En outre, cette formule a comme avantage que le facteur acceptera de remettre le pli même si un seul des conjoints est présent. Si le chef d’établissement n’a pas été informé que les parents avaient changé d’adresse ou n’habitaient plus sous le même toit, il répond au prescrit légal en envoyant la convocation à l’audition (Ou en notifiant la décision d’exclusion définitive : confer infra) à l’adresse qui lui a été communiquée lors de l’inscription. </w:t>
                  </w:r>
                </w:p>
                <w:p>
                  <w:pPr>
                    <w:pStyle w:val="Corpsdetexte21"/>
                    <w:jc w:val="both"/>
                    <w:rPr>
                      <w:rFonts w:asciiTheme="majorHAnsi" w:hAnsiTheme="majorHAnsi"/>
                      <w:sz w:val="22"/>
                      <w:szCs w:val="22"/>
                    </w:rPr>
                  </w:pPr>
                  <w:r>
                    <w:rPr>
                      <w:rFonts w:asciiTheme="majorHAnsi" w:hAnsiTheme="majorHAnsi"/>
                      <w:sz w:val="22"/>
                      <w:szCs w:val="22"/>
                    </w:rPr>
                    <w:t>La convocation indique explicitement qu’une procédure pouvant conduire à l’exclusion définitive est engagée ainsi que les faits précis</w:t>
                  </w:r>
                  <w:r>
                    <w:rPr>
                      <w:rStyle w:val="Appelnotedebasdep1"/>
                      <w:rFonts w:asciiTheme="majorHAnsi" w:hAnsiTheme="majorHAnsi"/>
                      <w:sz w:val="22"/>
                      <w:szCs w:val="22"/>
                    </w:rPr>
                    <w:footnoteReference w:id="34"/>
                  </w:r>
                  <w:r>
                    <w:rPr>
                      <w:rFonts w:asciiTheme="majorHAnsi" w:hAnsiTheme="majorHAnsi"/>
                      <w:sz w:val="22"/>
                      <w:szCs w:val="22"/>
                      <w:vertAlign w:val="superscript"/>
                    </w:rPr>
                    <w:t xml:space="preserve"> </w:t>
                  </w:r>
                  <w:r>
                    <w:rPr>
                      <w:rFonts w:asciiTheme="majorHAnsi" w:hAnsiTheme="majorHAnsi"/>
                      <w:sz w:val="22"/>
                      <w:szCs w:val="22"/>
                    </w:rPr>
                    <w:t>pris en considération.</w:t>
                  </w:r>
                </w:p>
                <w:p>
                  <w:pPr>
                    <w:pStyle w:val="Corpsdetexte21"/>
                    <w:jc w:val="both"/>
                    <w:rPr>
                      <w:rFonts w:asciiTheme="majorHAnsi" w:hAnsiTheme="majorHAnsi"/>
                      <w:sz w:val="22"/>
                      <w:szCs w:val="22"/>
                    </w:rPr>
                  </w:pPr>
                  <w:r>
                    <w:rPr>
                      <w:rFonts w:asciiTheme="majorHAnsi" w:hAnsiTheme="majorHAnsi"/>
                      <w:sz w:val="22"/>
                      <w:szCs w:val="22"/>
                    </w:rPr>
                    <w:t>Afin de permettre à la défense de pouvoir effectivement exercer ses droits, les faits doivent être décrits de manière claire, précise et concrète. Cela permet à l’élève, s’il est majeur, l’élève et ses parents ou la personne investie de l’autorité parentale de prendre connaissance des faits qui sont à l’origine de la procédure d’exclusion définitive et de pouvoir préparer, en connaissance de cause, l’audition organisée dans le cadre de cette procédure.</w:t>
                  </w:r>
                </w:p>
                <w:p>
                  <w:pPr>
                    <w:pStyle w:val="Corpsdetexte21"/>
                    <w:jc w:val="both"/>
                    <w:rPr>
                      <w:rFonts w:asciiTheme="majorHAnsi" w:hAnsiTheme="majorHAnsi"/>
                      <w:sz w:val="22"/>
                      <w:szCs w:val="22"/>
                    </w:rPr>
                  </w:pPr>
                  <w:r>
                    <w:rPr>
                      <w:rFonts w:asciiTheme="majorHAnsi" w:hAnsiTheme="majorHAnsi"/>
                      <w:sz w:val="22"/>
                      <w:szCs w:val="22"/>
                    </w:rPr>
                    <w:t>Exemple de motivation adéquate : « ce mardi 15 octobre 2018, à 14h30, l’élève X a donné un coup de poing à l’élève Y parce que la victime refusait de lui prêter son livre »</w:t>
                  </w:r>
                </w:p>
                <w:p>
                  <w:pPr>
                    <w:pStyle w:val="Corpsdetexte21"/>
                    <w:jc w:val="both"/>
                    <w:rPr>
                      <w:rFonts w:asciiTheme="majorHAnsi" w:hAnsiTheme="majorHAnsi"/>
                      <w:sz w:val="22"/>
                      <w:szCs w:val="22"/>
                    </w:rPr>
                  </w:pPr>
                  <w:r>
                    <w:rPr>
                      <w:rFonts w:asciiTheme="majorHAnsi" w:hAnsiTheme="majorHAnsi"/>
                      <w:sz w:val="22"/>
                      <w:szCs w:val="22"/>
                    </w:rPr>
                    <w:t>Exemple de motivation inadéquate : « agression physique envers un élève ».</w:t>
                  </w:r>
                </w:p>
                <w:p>
                  <w:pPr>
                    <w:pStyle w:val="Corpsdetexte21"/>
                    <w:jc w:val="both"/>
                    <w:rPr>
                      <w:rFonts w:asciiTheme="majorHAnsi" w:hAnsiTheme="majorHAnsi"/>
                      <w:sz w:val="22"/>
                      <w:szCs w:val="22"/>
                    </w:rPr>
                  </w:pPr>
                  <w:r>
                    <w:rPr>
                      <w:rFonts w:asciiTheme="majorHAnsi" w:hAnsiTheme="majorHAnsi"/>
                      <w:sz w:val="22"/>
                      <w:szCs w:val="22"/>
                    </w:rPr>
                    <w:t>L’audition a lieu au plus tôt le 4</w:t>
                  </w:r>
                  <w:r>
                    <w:rPr>
                      <w:rFonts w:asciiTheme="majorHAnsi" w:hAnsiTheme="majorHAnsi"/>
                      <w:sz w:val="22"/>
                      <w:szCs w:val="22"/>
                      <w:vertAlign w:val="superscript"/>
                    </w:rPr>
                    <w:t>ème</w:t>
                  </w:r>
                  <w:r>
                    <w:rPr>
                      <w:rFonts w:asciiTheme="majorHAnsi" w:hAnsiTheme="majorHAnsi"/>
                      <w:sz w:val="22"/>
                      <w:szCs w:val="22"/>
                    </w:rPr>
                    <w:t xml:space="preserve"> jour ouvrable qui suit la présentation de la lettre d’invitation.</w:t>
                  </w:r>
                </w:p>
                <w:p>
                  <w:pPr>
                    <w:pStyle w:val="Corpsdetexte21"/>
                    <w:jc w:val="both"/>
                    <w:rPr>
                      <w:rFonts w:asciiTheme="majorHAnsi" w:hAnsiTheme="majorHAnsi"/>
                      <w:sz w:val="22"/>
                      <w:szCs w:val="22"/>
                    </w:rPr>
                  </w:pPr>
                  <w:r>
                    <w:rPr>
                      <w:rFonts w:asciiTheme="majorHAnsi" w:hAnsiTheme="majorHAnsi"/>
                      <w:sz w:val="22"/>
                      <w:szCs w:val="22"/>
                    </w:rPr>
                    <w:t>L’audition peut avoir lieu avant le 4</w:t>
                  </w:r>
                  <w:r>
                    <w:rPr>
                      <w:rFonts w:asciiTheme="majorHAnsi" w:hAnsiTheme="majorHAnsi"/>
                      <w:sz w:val="22"/>
                      <w:szCs w:val="22"/>
                      <w:vertAlign w:val="superscript"/>
                    </w:rPr>
                    <w:t>ème</w:t>
                  </w:r>
                  <w:r>
                    <w:rPr>
                      <w:rFonts w:asciiTheme="majorHAnsi" w:hAnsiTheme="majorHAnsi"/>
                      <w:sz w:val="22"/>
                      <w:szCs w:val="22"/>
                    </w:rPr>
                    <w:t xml:space="preserve"> jour ouvrable qui suit la présentation de la lettre d’invitation de l’élève et ses parents ou la personne investie de l’autorité parentale demandent à être entendus avant l’expiration du délai légal. Dans pareille situation, le chef d’établissement indique dans le procès-verbal d’audition que celle-ci s’est  déroulée, à la demande  de l’élève et de ses parents ou de la personne investie de l’autorité parentale avant l’expiration du délai légal. Si la partie adverse refuse de signer et d’approuver la mention précitée, le chef d’établissement met un terme à l’entretien et l’informe que l’audition sera organisée à la date initialement fixée dans la lettre d’invitation.</w:t>
                  </w:r>
                </w:p>
                <w:p>
                  <w:pPr>
                    <w:pStyle w:val="Corpsdetexte21"/>
                    <w:jc w:val="both"/>
                    <w:rPr>
                      <w:rFonts w:asciiTheme="majorHAnsi" w:hAnsiTheme="majorHAnsi"/>
                      <w:sz w:val="22"/>
                      <w:szCs w:val="22"/>
                    </w:rPr>
                  </w:pPr>
                  <w:r>
                    <w:rPr>
                      <w:rFonts w:asciiTheme="majorHAnsi" w:hAnsiTheme="majorHAnsi"/>
                      <w:sz w:val="22"/>
                      <w:szCs w:val="22"/>
                    </w:rPr>
                    <w:t>Le procès-verbal d’audition mentionne</w:t>
                  </w:r>
                  <w:r>
                    <w:rPr>
                      <w:rStyle w:val="Appelnotedebasdep1"/>
                      <w:rFonts w:asciiTheme="majorHAnsi" w:hAnsiTheme="majorHAnsi"/>
                      <w:sz w:val="22"/>
                      <w:szCs w:val="22"/>
                    </w:rPr>
                    <w:footnoteReference w:id="35"/>
                  </w:r>
                  <w:r>
                    <w:rPr>
                      <w:rFonts w:asciiTheme="majorHAnsi" w:hAnsiTheme="majorHAnsi"/>
                      <w:sz w:val="22"/>
                      <w:szCs w:val="22"/>
                    </w:rPr>
                    <w:t xml:space="preserve"> les pièces dont les parents ou l’élève majeur ont pris connaissance.</w:t>
                  </w:r>
                </w:p>
                <w:p>
                  <w:pPr>
                    <w:pStyle w:val="Corpsdetexte21"/>
                    <w:jc w:val="both"/>
                    <w:rPr>
                      <w:rFonts w:asciiTheme="majorHAnsi" w:hAnsiTheme="majorHAnsi"/>
                      <w:sz w:val="22"/>
                      <w:szCs w:val="22"/>
                    </w:rPr>
                  </w:pPr>
                  <w:r>
                    <w:rPr>
                      <w:rFonts w:asciiTheme="majorHAnsi" w:hAnsiTheme="majorHAnsi"/>
                      <w:sz w:val="22"/>
                      <w:szCs w:val="22"/>
                    </w:rPr>
                    <w:t>Si les parents de l’élève ou la personne investie de l’autorité parentale souhaitent consulter les pièces constitutives du dossier disciplinaire avant le jour de l’audition, le chef d’établissement doit réserver une issue favorable à cette demande.</w:t>
                  </w:r>
                </w:p>
                <w:p>
                  <w:pPr>
                    <w:pStyle w:val="Corpsdetexte21"/>
                    <w:jc w:val="both"/>
                    <w:rPr>
                      <w:rFonts w:asciiTheme="majorHAnsi" w:hAnsiTheme="majorHAnsi"/>
                      <w:sz w:val="22"/>
                      <w:szCs w:val="22"/>
                    </w:rPr>
                  </w:pPr>
                  <w:r>
                    <w:rPr>
                      <w:rFonts w:asciiTheme="majorHAnsi" w:hAnsiTheme="majorHAnsi"/>
                      <w:sz w:val="22"/>
                      <w:szCs w:val="22"/>
                    </w:rPr>
                    <w:t xml:space="preserve">Si le dossier disciplinaire contient des témoignages d’élèves, le chef d’établissement doit les rendre anonymes. </w:t>
                  </w:r>
                </w:p>
                <w:p>
                  <w:pPr>
                    <w:pStyle w:val="Corpsdetexte21"/>
                    <w:jc w:val="both"/>
                    <w:rPr>
                      <w:rFonts w:asciiTheme="majorHAnsi" w:hAnsiTheme="majorHAnsi"/>
                      <w:sz w:val="22"/>
                      <w:szCs w:val="22"/>
                    </w:rPr>
                  </w:pPr>
                  <w:r>
                    <w:rPr>
                      <w:rFonts w:asciiTheme="majorHAnsi" w:hAnsiTheme="majorHAnsi"/>
                      <w:sz w:val="22"/>
                      <w:szCs w:val="22"/>
                    </w:rPr>
                    <w:t>Si les parents de l’élève ou la personne investie de l’autorité parentale souhaitent disposer d’un exemplaire du dossier avant, pendant ou après l’audition, le chef d’établissement doit leur en remettre une copie. Le chef d’établissement peut conditionner la remise d’un exemplaire du dossier au payement préalable du coût des copies.</w:t>
                  </w:r>
                </w:p>
                <w:p>
                  <w:pPr>
                    <w:pStyle w:val="Corpsdetexte21"/>
                    <w:jc w:val="both"/>
                    <w:rPr>
                      <w:rFonts w:asciiTheme="majorHAnsi" w:hAnsiTheme="majorHAnsi"/>
                      <w:sz w:val="22"/>
                      <w:szCs w:val="22"/>
                    </w:rPr>
                  </w:pPr>
                  <w:r>
                    <w:rPr>
                      <w:rFonts w:asciiTheme="majorHAnsi" w:hAnsiTheme="majorHAnsi"/>
                      <w:sz w:val="22"/>
                      <w:szCs w:val="22"/>
                    </w:rPr>
                    <w:t>Le procès-verbal d’audition est signé par les parents ou la personne investie de l’autorité parentale de l’élève et par le chef d’établissement.</w:t>
                  </w:r>
                </w:p>
                <w:p>
                  <w:pPr>
                    <w:pStyle w:val="Corpsdetexte21"/>
                    <w:jc w:val="both"/>
                    <w:rPr>
                      <w:rFonts w:asciiTheme="majorHAnsi" w:hAnsiTheme="majorHAnsi"/>
                      <w:sz w:val="22"/>
                      <w:szCs w:val="22"/>
                    </w:rPr>
                  </w:pPr>
                  <w:r>
                    <w:rPr>
                      <w:rFonts w:asciiTheme="majorHAnsi" w:hAnsiTheme="majorHAnsi"/>
                      <w:sz w:val="22"/>
                      <w:szCs w:val="22"/>
                    </w:rPr>
                    <w:t>Le refus de signature de ce procès-verbal est constaté par un membre du personnel enseignant ou auxiliaire d’éducation et n’empêche pas la poursuite de la procédure. En cas d’absence des personnes invitées à être entendues, un procès-verbal de carence est établi et la procédure se poursuit.</w:t>
                  </w:r>
                </w:p>
                <w:p>
                  <w:pPr>
                    <w:pStyle w:val="Corpsdetexte21"/>
                    <w:jc w:val="both"/>
                    <w:rPr>
                      <w:rFonts w:asciiTheme="majorHAnsi" w:hAnsiTheme="majorHAnsi"/>
                      <w:b/>
                      <w:sz w:val="22"/>
                      <w:szCs w:val="22"/>
                    </w:rPr>
                  </w:pPr>
                  <w:r>
                    <w:rPr>
                      <w:rFonts w:asciiTheme="majorHAnsi" w:hAnsiTheme="majorHAnsi"/>
                      <w:b/>
                      <w:sz w:val="22"/>
                      <w:szCs w:val="22"/>
                    </w:rPr>
                    <w:t>Si la gravité des faits le justifie</w:t>
                  </w:r>
                  <w:r>
                    <w:rPr>
                      <w:rFonts w:asciiTheme="majorHAnsi" w:hAnsiTheme="majorHAnsi"/>
                      <w:sz w:val="22"/>
                      <w:szCs w:val="22"/>
                    </w:rPr>
                    <w:t xml:space="preserve">, le chef d’établissement peut écarter provisoirement l’élève de l’établissement pendant la durée de la procédure d’exclusion définitive. </w:t>
                  </w:r>
                  <w:r>
                    <w:rPr>
                      <w:rFonts w:asciiTheme="majorHAnsi" w:hAnsiTheme="majorHAnsi"/>
                      <w:b/>
                      <w:sz w:val="22"/>
                      <w:szCs w:val="22"/>
                    </w:rPr>
                    <w:t>Cette procédure doit être appliquée avec grande prudence et réservée aux cas où il y a danger. Procéder autrement tendrait à accréditer la thèse que la décision d’exclusion est prise avant même l’audition de l’élève et de ses parents. L’écartement provisoire ne peut dépasser 10 jours d’ouverture d’école.</w:t>
                  </w:r>
                </w:p>
                <w:p>
                  <w:pPr>
                    <w:pStyle w:val="Corpsdetexte21"/>
                    <w:jc w:val="both"/>
                    <w:rPr>
                      <w:rFonts w:asciiTheme="majorHAnsi" w:hAnsiTheme="majorHAnsi"/>
                      <w:sz w:val="22"/>
                      <w:szCs w:val="22"/>
                    </w:rPr>
                  </w:pPr>
                  <w:r>
                    <w:rPr>
                      <w:rFonts w:asciiTheme="majorHAnsi" w:hAnsiTheme="majorHAnsi"/>
                      <w:b/>
                      <w:sz w:val="22"/>
                      <w:szCs w:val="22"/>
                    </w:rPr>
                    <w:t xml:space="preserve">Il importe, par ailleurs, de respecter le principe général de droit « NON BIS IN IDEM » selon lequel un même fait ne peut être sanctionné deux fois. </w:t>
                  </w:r>
                  <w:r>
                    <w:rPr>
                      <w:rFonts w:asciiTheme="majorHAnsi" w:hAnsiTheme="majorHAnsi"/>
                      <w:sz w:val="22"/>
                      <w:szCs w:val="22"/>
                    </w:rPr>
                    <w:t>Toutefois, la décision d’exclusion définitive peut faire référence aux antécédents précédemment sanctionnés.</w:t>
                  </w:r>
                </w:p>
                <w:p>
                  <w:pPr>
                    <w:pStyle w:val="Corpsdetexte21"/>
                    <w:pBdr>
                      <w:right w:val="single" w:sz="4" w:space="4" w:color="auto"/>
                    </w:pBdr>
                    <w:jc w:val="both"/>
                    <w:rPr>
                      <w:rFonts w:asciiTheme="majorHAnsi" w:hAnsiTheme="majorHAnsi"/>
                      <w:sz w:val="22"/>
                      <w:szCs w:val="22"/>
                    </w:rPr>
                  </w:pPr>
                  <w:r>
                    <w:rPr>
                      <w:rFonts w:asciiTheme="majorHAnsi" w:hAnsiTheme="majorHAnsi"/>
                      <w:sz w:val="22"/>
                      <w:szCs w:val="22"/>
                    </w:rPr>
                    <w:t xml:space="preserve">L’exclusion définitive est décidée par le chef d’établissement pour l’enseignement organisé par la Fédération Wallonie-Bruxelles, le pouvoir organisateur ou son délégué pour l’enseignement subventionné, après avoir pris l’avis du conseil de classe. La décision, à laquelle est annexé l’avis du conseil de classe </w:t>
                  </w:r>
                  <w:r>
                    <w:rPr>
                      <w:rFonts w:asciiTheme="majorHAnsi" w:hAnsiTheme="majorHAnsi"/>
                      <w:b/>
                      <w:sz w:val="22"/>
                      <w:szCs w:val="22"/>
                    </w:rPr>
                    <w:t xml:space="preserve">ou du corps enseignant  </w:t>
                  </w:r>
                  <w:r>
                    <w:rPr>
                      <w:rFonts w:asciiTheme="majorHAnsi" w:hAnsiTheme="majorHAnsi"/>
                      <w:sz w:val="22"/>
                      <w:szCs w:val="22"/>
                    </w:rPr>
                    <w:t>(uniquement pour l’enseignement organisé par la Fédération Wallonie-Bruxelles), est signifiée par lettre recommandée avec accusé de réception à l’élève, s’il est majeur, à ses parents ou à la personne investie de l’autorité parentale, si l’élève est mineur. Dans l’enseignement organisé par la Fédération Wallonie-Bruxelles, cet avis sera rédigé au moyen d’un formulaire</w:t>
                  </w:r>
                  <w:r>
                    <w:rPr>
                      <w:rStyle w:val="Caractresdenotedebasdepage"/>
                      <w:sz w:val="22"/>
                      <w:szCs w:val="22"/>
                    </w:rPr>
                    <w:footnoteReference w:id="36"/>
                  </w:r>
                  <w:r>
                    <w:rPr>
                      <w:rFonts w:asciiTheme="majorHAnsi" w:hAnsiTheme="majorHAnsi"/>
                      <w:sz w:val="22"/>
                      <w:szCs w:val="22"/>
                    </w:rPr>
                    <w:t xml:space="preserve"> et versé au dossier.</w:t>
                  </w:r>
                </w:p>
                <w:p>
                  <w:pPr>
                    <w:pStyle w:val="Corpsdetexte21"/>
                    <w:jc w:val="both"/>
                    <w:rPr>
                      <w:rFonts w:asciiTheme="majorHAnsi" w:hAnsiTheme="majorHAnsi"/>
                      <w:sz w:val="22"/>
                      <w:szCs w:val="22"/>
                    </w:rPr>
                  </w:pPr>
                </w:p>
                <w:p>
                  <w:pPr>
                    <w:pStyle w:val="Corpsdetexte21"/>
                    <w:jc w:val="both"/>
                    <w:rPr>
                      <w:rFonts w:asciiTheme="majorHAnsi" w:hAnsiTheme="majorHAnsi"/>
                      <w:spacing w:val="-4"/>
                      <w:sz w:val="22"/>
                      <w:szCs w:val="22"/>
                    </w:rPr>
                  </w:pPr>
                  <w:r>
                    <w:rPr>
                      <w:rFonts w:asciiTheme="majorHAnsi" w:hAnsiTheme="majorHAnsi"/>
                      <w:spacing w:val="-4"/>
                      <w:sz w:val="22"/>
                      <w:szCs w:val="22"/>
                    </w:rPr>
                    <w:t>Afin de respecter le principe des droits de la défense, les motifs sur lesquels s’appuie la décision d’exclusion définitive doivent être identiques à ceux repris dans la lettre recommandée avec accusé de réception invitant l’élève et ses parents ou la personne investie de l’autorité parentale, à assister à l’audition durant laquelle le chef d’établissement leur expose les faits et les entend. Par conséquent, si l’élève commet, pendant une procédure d’exclusion définitive, un nouveau fait susceptible d’être sanctionné d’une décision d’exclusion définitive, celui-ci ne peut être pris en considération dans la procédure en cours et dans les motifs justifiant la décision d’exclusion définitive.</w:t>
                  </w:r>
                </w:p>
                <w:p>
                  <w:pPr>
                    <w:pStyle w:val="Corpsdetexte21"/>
                    <w:jc w:val="both"/>
                    <w:rPr>
                      <w:rFonts w:asciiTheme="majorHAnsi" w:hAnsiTheme="majorHAnsi"/>
                      <w:spacing w:val="-4"/>
                      <w:sz w:val="22"/>
                      <w:szCs w:val="22"/>
                    </w:rPr>
                  </w:pPr>
                </w:p>
                <w:p>
                  <w:pPr>
                    <w:pStyle w:val="Corpsdetexte21"/>
                    <w:jc w:val="both"/>
                    <w:rPr>
                      <w:rFonts w:asciiTheme="majorHAnsi" w:hAnsiTheme="majorHAnsi"/>
                      <w:spacing w:val="-4"/>
                      <w:sz w:val="22"/>
                      <w:szCs w:val="22"/>
                    </w:rPr>
                  </w:pPr>
                  <w:r>
                    <w:rPr>
                      <w:rFonts w:asciiTheme="majorHAnsi" w:hAnsiTheme="majorHAnsi"/>
                      <w:spacing w:val="-4"/>
                      <w:sz w:val="22"/>
                      <w:szCs w:val="22"/>
                    </w:rPr>
                    <w:t>Pour qu’un fait s’étant produit durant une procédure d’exclusion définitive puisse constituer un motif d’exclusion définitive, il est impératif de lancer une nouvelle procédure d’exclusion définitive.</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L’existence d’un droit de recours et ses modalités doivent figurer dans la lettre recommandée qui notifie l’exclusion.</w:t>
                  </w:r>
                </w:p>
                <w:p>
                  <w:pPr>
                    <w:pStyle w:val="Corpsdetexte21"/>
                    <w:jc w:val="both"/>
                    <w:rPr>
                      <w:rFonts w:asciiTheme="majorHAnsi" w:hAnsiTheme="majorHAnsi"/>
                      <w:sz w:val="22"/>
                      <w:szCs w:val="22"/>
                    </w:rPr>
                  </w:pPr>
                  <w:r>
                    <w:rPr>
                      <w:rFonts w:asciiTheme="majorHAnsi" w:hAnsiTheme="majorHAnsi"/>
                      <w:b/>
                      <w:spacing w:val="-4"/>
                      <w:sz w:val="22"/>
                      <w:szCs w:val="22"/>
                      <w:u w:val="single"/>
                    </w:rPr>
                    <w:t xml:space="preserve">Dans l’enseignement organisé par la </w:t>
                  </w:r>
                  <w:r>
                    <w:rPr>
                      <w:rFonts w:asciiTheme="majorHAnsi" w:hAnsiTheme="majorHAnsi"/>
                      <w:b/>
                      <w:sz w:val="22"/>
                      <w:szCs w:val="22"/>
                      <w:u w:val="single"/>
                    </w:rPr>
                    <w:t>Fédération Wallonie-Bruxelles</w:t>
                  </w:r>
                  <w:r>
                    <w:rPr>
                      <w:rFonts w:asciiTheme="majorHAnsi" w:hAnsiTheme="majorHAnsi"/>
                      <w:spacing w:val="-4"/>
                      <w:sz w:val="22"/>
                      <w:szCs w:val="22"/>
                    </w:rPr>
                    <w:t xml:space="preserve">, </w:t>
                  </w:r>
                  <w:r>
                    <w:rPr>
                      <w:rFonts w:asciiTheme="majorHAnsi" w:hAnsiTheme="majorHAnsi"/>
                      <w:sz w:val="22"/>
                      <w:szCs w:val="22"/>
                    </w:rPr>
                    <w:t>le chef d’établissement transmet dans les deux jours d’ouverture d’école qui suivent la date d’exclusion :</w:t>
                  </w:r>
                </w:p>
                <w:p>
                  <w:pPr>
                    <w:pStyle w:val="Corpsdetexte21"/>
                    <w:jc w:val="both"/>
                    <w:rPr>
                      <w:rFonts w:asciiTheme="majorHAnsi" w:hAnsiTheme="majorHAnsi"/>
                      <w:sz w:val="22"/>
                      <w:szCs w:val="22"/>
                    </w:rPr>
                  </w:pPr>
                </w:p>
                <w:p>
                  <w:pPr>
                    <w:pStyle w:val="Corpsdetexte21"/>
                    <w:numPr>
                      <w:ilvl w:val="0"/>
                      <w:numId w:val="79"/>
                    </w:numPr>
                    <w:ind w:left="927"/>
                    <w:jc w:val="both"/>
                    <w:rPr>
                      <w:rFonts w:asciiTheme="majorHAnsi" w:hAnsiTheme="majorHAnsi"/>
                      <w:sz w:val="22"/>
                      <w:szCs w:val="22"/>
                    </w:rPr>
                  </w:pPr>
                  <w:r>
                    <w:rPr>
                      <w:rFonts w:asciiTheme="majorHAnsi" w:hAnsiTheme="majorHAnsi"/>
                      <w:sz w:val="22"/>
                      <w:szCs w:val="22"/>
                    </w:rPr>
                    <w:t xml:space="preserve">le formulaire </w:t>
                  </w:r>
                  <w:r>
                    <w:rPr>
                      <w:rFonts w:asciiTheme="majorHAnsi" w:hAnsiTheme="majorHAnsi"/>
                      <w:sz w:val="22"/>
                      <w:szCs w:val="22"/>
                      <w:u w:val="single"/>
                    </w:rPr>
                    <w:t>électronique</w:t>
                  </w:r>
                  <w:r>
                    <w:rPr>
                      <w:rStyle w:val="Appelnotedebasdep"/>
                      <w:rFonts w:asciiTheme="majorHAnsi" w:hAnsiTheme="majorHAnsi"/>
                      <w:sz w:val="22"/>
                      <w:szCs w:val="22"/>
                    </w:rPr>
                    <w:footnoteReference w:id="37"/>
                  </w:r>
                  <w:r>
                    <w:rPr>
                      <w:rFonts w:asciiTheme="majorHAnsi" w:hAnsiTheme="majorHAnsi"/>
                      <w:sz w:val="22"/>
                      <w:szCs w:val="22"/>
                    </w:rPr>
                    <w:t xml:space="preserve">de signalement d’exclusion définitive de l’élève à la Direction générale de l’Enseignement obligatoire.  </w:t>
                  </w:r>
                  <w:r>
                    <w:rPr>
                      <w:rFonts w:asciiTheme="majorHAnsi" w:hAnsiTheme="majorHAnsi"/>
                      <w:b/>
                      <w:sz w:val="22"/>
                      <w:szCs w:val="22"/>
                    </w:rPr>
                    <w:t>Il tient la copie de la décision d’exclusion définitive au sein de son établissement à la disposition de la Direction générale de l’Enseignement obligatoire </w:t>
                  </w:r>
                  <w:r>
                    <w:rPr>
                      <w:rFonts w:asciiTheme="majorHAnsi" w:hAnsiTheme="majorHAnsi"/>
                      <w:sz w:val="22"/>
                      <w:szCs w:val="22"/>
                    </w:rPr>
                    <w:t>;</w:t>
                  </w:r>
                </w:p>
                <w:p>
                  <w:pPr>
                    <w:pStyle w:val="Corpsdetexte21"/>
                    <w:numPr>
                      <w:ilvl w:val="0"/>
                      <w:numId w:val="79"/>
                    </w:numPr>
                    <w:ind w:left="927"/>
                    <w:jc w:val="both"/>
                    <w:rPr>
                      <w:rFonts w:asciiTheme="majorHAnsi" w:hAnsiTheme="majorHAnsi"/>
                      <w:sz w:val="22"/>
                      <w:szCs w:val="22"/>
                    </w:rPr>
                  </w:pPr>
                  <w:r>
                    <w:rPr>
                      <w:rFonts w:asciiTheme="majorHAnsi" w:hAnsiTheme="majorHAnsi"/>
                      <w:sz w:val="22"/>
                      <w:szCs w:val="22"/>
                    </w:rPr>
                    <w:t xml:space="preserve">une copie de l’ensemble du dossier disciplinaire (toutes les pièces de la procédure) </w:t>
                  </w:r>
                  <w:r>
                    <w:rPr>
                      <w:rFonts w:asciiTheme="majorHAnsi" w:hAnsiTheme="majorHAnsi"/>
                      <w:b/>
                      <w:sz w:val="22"/>
                      <w:szCs w:val="22"/>
                    </w:rPr>
                    <w:t>à la Commission zonale des inscriptions et au Service général de l’Enseignement organisé par la Fédération Wallonie-Bruxelles</w:t>
                  </w:r>
                  <w:r>
                    <w:rPr>
                      <w:rFonts w:asciiTheme="majorHAnsi" w:hAnsiTheme="majorHAnsi"/>
                      <w:sz w:val="22"/>
                      <w:szCs w:val="22"/>
                    </w:rPr>
                    <w:t xml:space="preserve">, Boulevard du Jardin Botanique, 20-22 à 1000 Bruxelles, conformément à l’article 82 du décret du 24 juillet 1997 précité. </w:t>
                  </w:r>
                </w:p>
                <w:p>
                  <w:pPr>
                    <w:pStyle w:val="Corpsdetexte21"/>
                    <w:rPr>
                      <w:rFonts w:asciiTheme="majorHAnsi" w:hAnsiTheme="majorHAnsi"/>
                      <w:spacing w:val="-4"/>
                      <w:sz w:val="22"/>
                      <w:szCs w:val="22"/>
                    </w:rPr>
                  </w:pPr>
                </w:p>
                <w:p>
                  <w:pPr>
                    <w:pStyle w:val="Corpsdetexte21"/>
                    <w:jc w:val="both"/>
                    <w:rPr>
                      <w:rFonts w:asciiTheme="majorHAnsi" w:hAnsiTheme="majorHAnsi"/>
                      <w:spacing w:val="-4"/>
                      <w:sz w:val="22"/>
                      <w:szCs w:val="22"/>
                    </w:rPr>
                  </w:pPr>
                  <w:r>
                    <w:rPr>
                      <w:rFonts w:asciiTheme="majorHAnsi" w:hAnsiTheme="majorHAnsi"/>
                      <w:spacing w:val="-4"/>
                      <w:sz w:val="22"/>
                      <w:szCs w:val="22"/>
                    </w:rPr>
                    <w:t>Ces formalités doivent donc être accomplies pour toute décision d’exclusion définitive prononcée entre le 1</w:t>
                  </w:r>
                  <w:r>
                    <w:rPr>
                      <w:rFonts w:asciiTheme="majorHAnsi" w:hAnsiTheme="majorHAnsi"/>
                      <w:spacing w:val="-4"/>
                      <w:sz w:val="22"/>
                      <w:szCs w:val="22"/>
                      <w:vertAlign w:val="superscript"/>
                    </w:rPr>
                    <w:t>er</w:t>
                  </w:r>
                  <w:r>
                    <w:rPr>
                      <w:rFonts w:asciiTheme="majorHAnsi" w:hAnsiTheme="majorHAnsi"/>
                      <w:spacing w:val="-4"/>
                      <w:sz w:val="22"/>
                      <w:szCs w:val="22"/>
                    </w:rPr>
                    <w:t xml:space="preserve"> septembre et le 30 juin mais également pour toute décision de refus de réinscription d’un élève.</w:t>
                  </w:r>
                </w:p>
                <w:p>
                  <w:pPr>
                    <w:pStyle w:val="Corpsdetexte21"/>
                    <w:jc w:val="both"/>
                    <w:rPr>
                      <w:rFonts w:asciiTheme="majorHAnsi" w:hAnsiTheme="majorHAnsi"/>
                      <w:spacing w:val="-4"/>
                      <w:sz w:val="22"/>
                      <w:szCs w:val="22"/>
                    </w:rPr>
                  </w:pPr>
                </w:p>
                <w:p>
                  <w:pPr>
                    <w:pStyle w:val="Corpsdetexte21"/>
                    <w:jc w:val="both"/>
                    <w:rPr>
                      <w:rFonts w:asciiTheme="majorHAnsi" w:hAnsiTheme="majorHAnsi"/>
                      <w:b/>
                      <w:sz w:val="22"/>
                      <w:szCs w:val="22"/>
                    </w:rPr>
                  </w:pPr>
                  <w:r>
                    <w:rPr>
                      <w:rFonts w:asciiTheme="majorHAnsi" w:hAnsiTheme="majorHAnsi"/>
                      <w:b/>
                      <w:spacing w:val="-4"/>
                      <w:sz w:val="22"/>
                      <w:szCs w:val="22"/>
                      <w:u w:val="single"/>
                    </w:rPr>
                    <w:t xml:space="preserve">Dans l’enseignement subventionné par la </w:t>
                  </w:r>
                  <w:r>
                    <w:rPr>
                      <w:rFonts w:asciiTheme="majorHAnsi" w:hAnsiTheme="majorHAnsi"/>
                      <w:b/>
                      <w:sz w:val="22"/>
                      <w:szCs w:val="22"/>
                      <w:u w:val="single"/>
                    </w:rPr>
                    <w:t>Fédération Wallonie-Bruxelles</w:t>
                  </w:r>
                  <w:r>
                    <w:rPr>
                      <w:rFonts w:asciiTheme="majorHAnsi" w:hAnsiTheme="majorHAnsi"/>
                      <w:spacing w:val="-4"/>
                      <w:sz w:val="22"/>
                      <w:szCs w:val="22"/>
                    </w:rPr>
                    <w:t>, e</w:t>
                  </w:r>
                  <w:r>
                    <w:rPr>
                      <w:rFonts w:asciiTheme="majorHAnsi" w:hAnsiTheme="majorHAnsi"/>
                      <w:sz w:val="22"/>
                      <w:szCs w:val="22"/>
                    </w:rPr>
                    <w:t xml:space="preserve">n application de l’article 89, § 2, alinéa 4, du décret du 24 juillet 1997 précité, le pouvoir organisateur ou son délégué transmet à la Direction générale de l’Enseignement obligatoire le formulaire </w:t>
                  </w:r>
                  <w:r>
                    <w:rPr>
                      <w:rFonts w:asciiTheme="majorHAnsi" w:hAnsiTheme="majorHAnsi"/>
                      <w:sz w:val="22"/>
                      <w:szCs w:val="22"/>
                      <w:u w:val="single"/>
                    </w:rPr>
                    <w:t>électronique</w:t>
                  </w:r>
                  <w:r>
                    <w:rPr>
                      <w:rStyle w:val="Appelnotedebasdep"/>
                      <w:rFonts w:asciiTheme="majorHAnsi" w:hAnsiTheme="majorHAnsi"/>
                      <w:sz w:val="22"/>
                      <w:szCs w:val="22"/>
                    </w:rPr>
                    <w:footnoteReference w:id="38"/>
                  </w:r>
                  <w:r>
                    <w:rPr>
                      <w:rFonts w:asciiTheme="majorHAnsi" w:hAnsiTheme="majorHAnsi"/>
                      <w:sz w:val="22"/>
                      <w:szCs w:val="22"/>
                    </w:rPr>
                    <w:t>de signalement dans les dix jours ouvrables qui suivent la notification de la décision d’exclusion</w:t>
                  </w:r>
                  <w:r>
                    <w:rPr>
                      <w:rFonts w:asciiTheme="majorHAnsi" w:hAnsiTheme="majorHAnsi"/>
                      <w:b/>
                      <w:color w:val="008000"/>
                      <w:sz w:val="22"/>
                      <w:szCs w:val="22"/>
                    </w:rPr>
                    <w:t xml:space="preserve"> </w:t>
                  </w:r>
                  <w:r>
                    <w:rPr>
                      <w:rFonts w:asciiTheme="majorHAnsi" w:hAnsiTheme="majorHAnsi"/>
                      <w:b/>
                      <w:sz w:val="22"/>
                      <w:szCs w:val="22"/>
                    </w:rPr>
                    <w:t>de l’élève mineur ou majeur.</w:t>
                  </w:r>
                  <w:r>
                    <w:rPr>
                      <w:rFonts w:asciiTheme="majorHAnsi" w:hAnsiTheme="majorHAnsi"/>
                      <w:sz w:val="22"/>
                      <w:szCs w:val="22"/>
                    </w:rPr>
                    <w:t xml:space="preserve"> </w:t>
                  </w:r>
                  <w:r>
                    <w:rPr>
                      <w:rFonts w:asciiTheme="majorHAnsi" w:hAnsiTheme="majorHAnsi"/>
                      <w:b/>
                      <w:sz w:val="22"/>
                      <w:szCs w:val="22"/>
                    </w:rPr>
                    <w:t>Le chef d’établissement tient la copie de la décision d’exclusion définitive au sein de son établissement à la disposition de la Direction générale de l’Enseignement obligatoire.</w:t>
                  </w:r>
                </w:p>
                <w:p>
                  <w:pPr>
                    <w:pStyle w:val="Corpsdetexte21"/>
                    <w:jc w:val="both"/>
                    <w:rPr>
                      <w:rFonts w:asciiTheme="majorHAnsi" w:hAnsiTheme="majorHAnsi"/>
                      <w:spacing w:val="-4"/>
                      <w:sz w:val="22"/>
                      <w:szCs w:val="22"/>
                    </w:rPr>
                  </w:pPr>
                </w:p>
                <w:p>
                  <w:pPr>
                    <w:pStyle w:val="Corpsdetexte21"/>
                    <w:jc w:val="both"/>
                    <w:rPr>
                      <w:rFonts w:asciiTheme="majorHAnsi" w:hAnsiTheme="majorHAnsi"/>
                      <w:spacing w:val="-4"/>
                      <w:sz w:val="22"/>
                      <w:szCs w:val="22"/>
                    </w:rPr>
                  </w:pPr>
                  <w:r>
                    <w:rPr>
                      <w:rFonts w:asciiTheme="majorHAnsi" w:hAnsiTheme="majorHAnsi"/>
                      <w:spacing w:val="-4"/>
                      <w:sz w:val="22"/>
                      <w:szCs w:val="22"/>
                    </w:rPr>
                    <w:t>Cette formalité doit donc être accomplie pour toute décision d’exclusion définitive prononcée entre le 1</w:t>
                  </w:r>
                  <w:r>
                    <w:rPr>
                      <w:rFonts w:asciiTheme="majorHAnsi" w:hAnsiTheme="majorHAnsi"/>
                      <w:spacing w:val="-4"/>
                      <w:sz w:val="22"/>
                      <w:szCs w:val="22"/>
                      <w:vertAlign w:val="superscript"/>
                    </w:rPr>
                    <w:t>er</w:t>
                  </w:r>
                  <w:r>
                    <w:rPr>
                      <w:rFonts w:asciiTheme="majorHAnsi" w:hAnsiTheme="majorHAnsi"/>
                      <w:spacing w:val="-4"/>
                      <w:sz w:val="22"/>
                      <w:szCs w:val="22"/>
                    </w:rPr>
                    <w:t xml:space="preserve"> septembre et le 30 juin </w:t>
                  </w:r>
                  <w:r>
                    <w:rPr>
                      <w:rFonts w:asciiTheme="majorHAnsi" w:hAnsiTheme="majorHAnsi"/>
                      <w:spacing w:val="-4"/>
                      <w:sz w:val="22"/>
                      <w:szCs w:val="22"/>
                      <w:u w:val="single"/>
                    </w:rPr>
                    <w:t>et également pour toute décision de refus de réinscription de l’élève</w:t>
                  </w:r>
                  <w:r>
                    <w:rPr>
                      <w:rFonts w:asciiTheme="majorHAnsi" w:hAnsiTheme="majorHAnsi"/>
                      <w:spacing w:val="-4"/>
                      <w:sz w:val="22"/>
                      <w:szCs w:val="22"/>
                    </w:rPr>
                    <w:t>.</w:t>
                  </w:r>
                </w:p>
                <w:p>
                  <w:pPr>
                    <w:jc w:val="both"/>
                    <w:rPr>
                      <w:rFonts w:cs="Arial"/>
                      <w:spacing w:val="-4"/>
                    </w:rPr>
                  </w:pPr>
                </w:p>
                <w:p>
                  <w:pPr>
                    <w:pStyle w:val="Corpsdetexte21"/>
                    <w:jc w:val="both"/>
                    <w:rPr>
                      <w:rFonts w:asciiTheme="majorHAnsi" w:hAnsiTheme="majorHAnsi"/>
                      <w:sz w:val="22"/>
                      <w:szCs w:val="22"/>
                    </w:rPr>
                  </w:pPr>
                  <w:r>
                    <w:rPr>
                      <w:rFonts w:asciiTheme="majorHAnsi" w:hAnsiTheme="majorHAnsi"/>
                      <w:sz w:val="22"/>
                      <w:szCs w:val="22"/>
                    </w:rPr>
                    <w:t>Il est conseillé aux établissements scolaires de solliciter les CPMS pour qu’ils rencontrent les élèves aux comportements difficiles, avant d’en arriver à entamer une procédure d’exclusion</w:t>
                  </w:r>
                  <w:r>
                    <w:rPr>
                      <w:rStyle w:val="Appelnotedebasdep1"/>
                      <w:rFonts w:asciiTheme="majorHAnsi" w:hAnsiTheme="majorHAnsi"/>
                      <w:sz w:val="22"/>
                      <w:szCs w:val="22"/>
                    </w:rPr>
                    <w:footnoteReference w:id="39"/>
                  </w:r>
                  <w:r>
                    <w:rPr>
                      <w:rFonts w:asciiTheme="majorHAnsi" w:hAnsiTheme="majorHAnsi"/>
                      <w:sz w:val="22"/>
                      <w:szCs w:val="22"/>
                    </w:rPr>
                    <w:t>.</w:t>
                  </w:r>
                </w:p>
                <w:p>
                  <w:pPr>
                    <w:pStyle w:val="Corpsdetexte21"/>
                    <w:jc w:val="both"/>
                    <w:rPr>
                      <w:rFonts w:asciiTheme="majorHAnsi" w:hAnsiTheme="majorHAnsi"/>
                      <w:sz w:val="22"/>
                      <w:szCs w:val="22"/>
                    </w:rPr>
                  </w:pPr>
                </w:p>
                <w:p>
                  <w:pPr>
                    <w:pStyle w:val="Titre7"/>
                  </w:pPr>
                  <w:bookmarkStart w:id="498" w:name="_1.3.3.2.3._Recours"/>
                  <w:bookmarkStart w:id="499" w:name="_Toc291075520"/>
                  <w:bookmarkStart w:id="500" w:name="_Toc291075944"/>
                  <w:bookmarkStart w:id="501" w:name="_Toc291076368"/>
                  <w:bookmarkStart w:id="502" w:name="_Toc291076792"/>
                  <w:bookmarkStart w:id="503" w:name="_Toc291077216"/>
                  <w:bookmarkStart w:id="504" w:name="_Toc293652059"/>
                  <w:bookmarkStart w:id="505" w:name="_Toc293653641"/>
                  <w:bookmarkStart w:id="506" w:name="_Toc293654252"/>
                  <w:bookmarkStart w:id="507" w:name="_Toc294004832"/>
                  <w:bookmarkStart w:id="508" w:name="_Toc294185328"/>
                  <w:bookmarkStart w:id="509" w:name="_Toc324767194"/>
                  <w:bookmarkStart w:id="510" w:name="_Toc324768052"/>
                  <w:bookmarkEnd w:id="498"/>
                  <w:r>
                    <w:t>1.3.3.2.3. Recours</w:t>
                  </w:r>
                  <w:bookmarkEnd w:id="499"/>
                  <w:bookmarkEnd w:id="500"/>
                  <w:bookmarkEnd w:id="501"/>
                  <w:bookmarkEnd w:id="502"/>
                  <w:bookmarkEnd w:id="503"/>
                  <w:bookmarkEnd w:id="504"/>
                  <w:bookmarkEnd w:id="505"/>
                  <w:bookmarkEnd w:id="506"/>
                  <w:bookmarkEnd w:id="507"/>
                  <w:bookmarkEnd w:id="508"/>
                  <w:bookmarkEnd w:id="509"/>
                  <w:bookmarkEnd w:id="510"/>
                </w:p>
                <w:p>
                  <w:pPr>
                    <w:tabs>
                      <w:tab w:val="left" w:pos="1125"/>
                    </w:tabs>
                    <w:jc w:val="both"/>
                    <w:rPr>
                      <w:rFonts w:cs="Arial"/>
                    </w:rPr>
                  </w:pPr>
                  <w:r>
                    <w:rPr>
                      <w:rFonts w:cs="Arial"/>
                    </w:rPr>
                    <w:tab/>
                  </w:r>
                </w:p>
                <w:p>
                  <w:pPr>
                    <w:pStyle w:val="Corpsdetexte"/>
                    <w:numPr>
                      <w:ilvl w:val="0"/>
                      <w:numId w:val="105"/>
                    </w:numPr>
                  </w:pPr>
                  <w:r>
                    <w:t>Dans l’enseignement subventionné, lorsque le pouvoir organisateur adhère à un organe de représentation et de coordination et délègue le droit de prononcer l’exclusion à un membre de son personnel, il prévoit une possibilité de recours selon les cas :</w:t>
                  </w:r>
                </w:p>
                <w:p>
                  <w:pPr>
                    <w:pStyle w:val="Paragraphedeliste"/>
                    <w:numPr>
                      <w:ilvl w:val="0"/>
                      <w:numId w:val="105"/>
                    </w:numPr>
                    <w:tabs>
                      <w:tab w:val="clear" w:pos="357"/>
                      <w:tab w:val="num" w:pos="1491"/>
                    </w:tabs>
                    <w:ind w:left="1474"/>
                    <w:jc w:val="both"/>
                    <w:rPr>
                      <w:rFonts w:asciiTheme="majorHAnsi" w:hAnsiTheme="majorHAnsi"/>
                      <w:sz w:val="22"/>
                      <w:szCs w:val="22"/>
                    </w:rPr>
                  </w:pPr>
                  <w:r>
                    <w:rPr>
                      <w:rFonts w:asciiTheme="majorHAnsi" w:hAnsiTheme="majorHAnsi"/>
                      <w:sz w:val="22"/>
                      <w:szCs w:val="22"/>
                    </w:rPr>
                    <w:t>au Collège provincial</w:t>
                  </w:r>
                </w:p>
                <w:p>
                  <w:pPr>
                    <w:pStyle w:val="Paragraphedeliste"/>
                    <w:numPr>
                      <w:ilvl w:val="0"/>
                      <w:numId w:val="105"/>
                    </w:numPr>
                    <w:tabs>
                      <w:tab w:val="clear" w:pos="357"/>
                      <w:tab w:val="num" w:pos="1491"/>
                    </w:tabs>
                    <w:ind w:left="1474"/>
                    <w:jc w:val="both"/>
                    <w:rPr>
                      <w:rFonts w:asciiTheme="majorHAnsi" w:hAnsiTheme="majorHAnsi"/>
                      <w:sz w:val="22"/>
                      <w:szCs w:val="22"/>
                    </w:rPr>
                  </w:pPr>
                  <w:r>
                    <w:rPr>
                      <w:rFonts w:asciiTheme="majorHAnsi" w:hAnsiTheme="majorHAnsi"/>
                      <w:sz w:val="22"/>
                      <w:szCs w:val="22"/>
                    </w:rPr>
                    <w:t>au Collège des Bourgmestre et Échevins</w:t>
                  </w:r>
                </w:p>
                <w:p>
                  <w:pPr>
                    <w:pStyle w:val="Paragraphedeliste"/>
                    <w:numPr>
                      <w:ilvl w:val="0"/>
                      <w:numId w:val="105"/>
                    </w:numPr>
                    <w:tabs>
                      <w:tab w:val="clear" w:pos="357"/>
                      <w:tab w:val="num" w:pos="1491"/>
                    </w:tabs>
                    <w:ind w:left="1474"/>
                    <w:jc w:val="both"/>
                    <w:rPr>
                      <w:rFonts w:asciiTheme="majorHAnsi" w:hAnsiTheme="majorHAnsi"/>
                      <w:sz w:val="22"/>
                      <w:szCs w:val="22"/>
                    </w:rPr>
                  </w:pPr>
                  <w:r>
                    <w:rPr>
                      <w:rFonts w:asciiTheme="majorHAnsi" w:hAnsiTheme="majorHAnsi"/>
                      <w:sz w:val="22"/>
                      <w:szCs w:val="22"/>
                    </w:rPr>
                    <w:t xml:space="preserve">au Collège de la COCOF </w:t>
                  </w:r>
                </w:p>
                <w:p>
                  <w:pPr>
                    <w:pStyle w:val="Paragraphedeliste"/>
                    <w:numPr>
                      <w:ilvl w:val="0"/>
                      <w:numId w:val="105"/>
                    </w:numPr>
                    <w:tabs>
                      <w:tab w:val="clear" w:pos="357"/>
                      <w:tab w:val="num" w:pos="1491"/>
                    </w:tabs>
                    <w:ind w:left="1474"/>
                    <w:jc w:val="both"/>
                    <w:rPr>
                      <w:rFonts w:asciiTheme="majorHAnsi" w:hAnsiTheme="majorHAnsi"/>
                      <w:sz w:val="22"/>
                      <w:szCs w:val="22"/>
                    </w:rPr>
                  </w:pPr>
                  <w:r>
                    <w:rPr>
                      <w:rFonts w:asciiTheme="majorHAnsi" w:hAnsiTheme="majorHAnsi"/>
                      <w:sz w:val="22"/>
                      <w:szCs w:val="22"/>
                    </w:rPr>
                    <w:t>à son Conseil d’administration. (Pour cette dernière possibilité, il est souhaitable que si le chef d’établissement ayant prononcé l’exclusion fait partie du Conseil d’administration, il se retire lors de la délibération relative au recours).</w:t>
                  </w:r>
                </w:p>
                <w:p>
                  <w:pPr>
                    <w:pStyle w:val="Paragraphedeliste"/>
                    <w:ind w:left="1474"/>
                    <w:jc w:val="both"/>
                    <w:rPr>
                      <w:rFonts w:asciiTheme="majorHAnsi" w:hAnsiTheme="majorHAnsi"/>
                      <w:sz w:val="22"/>
                      <w:szCs w:val="22"/>
                    </w:rPr>
                  </w:pPr>
                </w:p>
                <w:p>
                  <w:pPr>
                    <w:pStyle w:val="Corpsdetexte"/>
                  </w:pPr>
                  <w:r>
                    <w:t>Quand le pouvoir organisateur adhère à un organe de représentation et de coordination mais ne délègue pas à un membre de son personnel le droit de prononcer l’exclusion, le recours est introduit auprès :</w:t>
                  </w:r>
                </w:p>
                <w:p>
                  <w:pPr>
                    <w:pStyle w:val="Paragraphedeliste"/>
                    <w:numPr>
                      <w:ilvl w:val="0"/>
                      <w:numId w:val="180"/>
                    </w:numPr>
                    <w:tabs>
                      <w:tab w:val="clear" w:pos="357"/>
                      <w:tab w:val="num" w:pos="1560"/>
                    </w:tabs>
                    <w:ind w:left="1560" w:hanging="426"/>
                    <w:jc w:val="both"/>
                    <w:rPr>
                      <w:rFonts w:asciiTheme="majorHAnsi" w:hAnsiTheme="majorHAnsi"/>
                      <w:sz w:val="22"/>
                      <w:szCs w:val="22"/>
                    </w:rPr>
                  </w:pPr>
                  <w:r>
                    <w:rPr>
                      <w:rFonts w:asciiTheme="majorHAnsi" w:hAnsiTheme="majorHAnsi"/>
                      <w:sz w:val="22"/>
                      <w:szCs w:val="22"/>
                    </w:rPr>
                    <w:t>du conseil d’état pour le réseau officiel subventionné,</w:t>
                  </w:r>
                </w:p>
                <w:p>
                  <w:pPr>
                    <w:pStyle w:val="Paragraphedeliste"/>
                    <w:numPr>
                      <w:ilvl w:val="0"/>
                      <w:numId w:val="180"/>
                    </w:numPr>
                    <w:tabs>
                      <w:tab w:val="clear" w:pos="357"/>
                      <w:tab w:val="num" w:pos="1560"/>
                    </w:tabs>
                    <w:ind w:left="1560" w:hanging="426"/>
                    <w:jc w:val="both"/>
                    <w:rPr>
                      <w:rFonts w:asciiTheme="majorHAnsi" w:hAnsiTheme="majorHAnsi"/>
                      <w:sz w:val="22"/>
                      <w:szCs w:val="22"/>
                    </w:rPr>
                  </w:pPr>
                  <w:r>
                    <w:rPr>
                      <w:rFonts w:asciiTheme="majorHAnsi" w:hAnsiTheme="majorHAnsi"/>
                      <w:sz w:val="22"/>
                      <w:szCs w:val="22"/>
                    </w:rPr>
                    <w:t>du tribunal de première instance pour le réseau libre subventionné.</w:t>
                  </w:r>
                </w:p>
                <w:p>
                  <w:pPr>
                    <w:jc w:val="both"/>
                    <w:rPr>
                      <w:rFonts w:cs="Arial"/>
                    </w:rPr>
                  </w:pPr>
                </w:p>
                <w:p>
                  <w:pPr>
                    <w:pStyle w:val="Corpsdetexte21"/>
                    <w:numPr>
                      <w:ilvl w:val="0"/>
                      <w:numId w:val="107"/>
                    </w:numPr>
                    <w:ind w:left="426" w:hanging="284"/>
                    <w:jc w:val="both"/>
                    <w:rPr>
                      <w:rFonts w:asciiTheme="majorHAnsi" w:hAnsiTheme="majorHAnsi"/>
                      <w:sz w:val="22"/>
                      <w:szCs w:val="22"/>
                    </w:rPr>
                  </w:pPr>
                  <w:r>
                    <w:rPr>
                      <w:rFonts w:asciiTheme="majorHAnsi" w:hAnsiTheme="majorHAnsi"/>
                      <w:b/>
                      <w:sz w:val="22"/>
                      <w:szCs w:val="22"/>
                    </w:rPr>
                    <w:t>Dans l’enseignement organisé par la FWB</w:t>
                  </w:r>
                  <w:r>
                    <w:rPr>
                      <w:rFonts w:asciiTheme="majorHAnsi" w:hAnsiTheme="majorHAnsi"/>
                      <w:sz w:val="22"/>
                      <w:szCs w:val="22"/>
                    </w:rPr>
                    <w:t>, l’élève s’il est majeur, ses parents ou la personne investie de l’autorité parentale, s’il est mineur, disposent d’un droit de recours auprès du Ministre qui statue, via le Service général de l’Enseignement organisé par la Fédération Wallonie-Bruxelles, Boulevard du Jardin Botanique, 20-22 à 1000 BRUXELLES.</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Le recours est introduit par lettre recommandée dans les dix jours ouvrables qui suivent la notification de l’exclusion définitive, auprès de l’instance de recours. Le délai commence à courir le premier jour qui suit celui où le pli a été présenté au domicile du destinataire (que celui-ci soit présent ou non).L’introduction du recours n’est pas suspensive de la décision d’exclusion. </w:t>
                  </w:r>
                </w:p>
                <w:p>
                  <w:pPr>
                    <w:pStyle w:val="Corpsdetexte21"/>
                    <w:jc w:val="both"/>
                    <w:rPr>
                      <w:rFonts w:asciiTheme="majorHAnsi" w:hAnsiTheme="majorHAnsi"/>
                      <w:sz w:val="22"/>
                      <w:szCs w:val="22"/>
                    </w:rPr>
                  </w:pPr>
                </w:p>
                <w:p>
                  <w:pPr>
                    <w:pStyle w:val="Titre7"/>
                  </w:pPr>
                  <w:bookmarkStart w:id="511" w:name="_Toc291075521"/>
                  <w:bookmarkStart w:id="512" w:name="_Toc291075945"/>
                  <w:bookmarkStart w:id="513" w:name="_Toc291076369"/>
                  <w:bookmarkStart w:id="514" w:name="_Toc291076793"/>
                  <w:bookmarkStart w:id="515" w:name="_Toc291077217"/>
                  <w:bookmarkStart w:id="516" w:name="_Toc293652060"/>
                  <w:bookmarkStart w:id="517" w:name="_Toc293653642"/>
                  <w:bookmarkStart w:id="518" w:name="_Toc293654253"/>
                  <w:bookmarkStart w:id="519" w:name="_Toc294004833"/>
                  <w:bookmarkStart w:id="520" w:name="_Toc294185329"/>
                  <w:bookmarkStart w:id="521" w:name="_Toc324767195"/>
                  <w:bookmarkStart w:id="522" w:name="_Toc324768053"/>
                  <w:r>
                    <w:t>1.3.3.2.4. Le refus de réinscription de l’élève</w:t>
                  </w:r>
                  <w:bookmarkEnd w:id="511"/>
                  <w:bookmarkEnd w:id="512"/>
                  <w:bookmarkEnd w:id="513"/>
                  <w:bookmarkEnd w:id="514"/>
                  <w:bookmarkEnd w:id="515"/>
                  <w:bookmarkEnd w:id="516"/>
                  <w:bookmarkEnd w:id="517"/>
                  <w:bookmarkEnd w:id="518"/>
                  <w:bookmarkEnd w:id="519"/>
                  <w:bookmarkEnd w:id="520"/>
                  <w:bookmarkEnd w:id="521"/>
                  <w:bookmarkEnd w:id="522"/>
                  <w:r>
                    <w:t xml:space="preserve"> </w:t>
                  </w:r>
                </w:p>
                <w:p>
                  <w:pPr>
                    <w:rPr>
                      <w:rFonts w:cs="Arial"/>
                    </w:rPr>
                  </w:pPr>
                </w:p>
                <w:p>
                  <w:pPr>
                    <w:jc w:val="both"/>
                    <w:rPr>
                      <w:rFonts w:cs="Arial"/>
                    </w:rPr>
                  </w:pPr>
                  <w:r>
                    <w:rPr>
                      <w:rFonts w:cs="Arial"/>
                    </w:rPr>
                    <w:t>Dans toute école, le refus de réinscription pour l’année scolaire suivante est traité comme une exclusion définitive. Le refus de réinscription ne peut prendre effet qu’à partir du 1</w:t>
                  </w:r>
                  <w:r>
                    <w:rPr>
                      <w:rFonts w:cs="Arial"/>
                      <w:vertAlign w:val="superscript"/>
                    </w:rPr>
                    <w:t>er</w:t>
                  </w:r>
                  <w:r>
                    <w:rPr>
                      <w:rFonts w:cs="Arial"/>
                    </w:rPr>
                    <w:t xml:space="preserve"> juillet</w:t>
                  </w:r>
                  <w:r>
                    <w:rPr>
                      <w:rStyle w:val="Caractresdenotedebasdepage"/>
                      <w:rFonts w:cs="Arial"/>
                    </w:rPr>
                    <w:footnoteReference w:id="40"/>
                  </w:r>
                  <w:r>
                    <w:rPr>
                      <w:rFonts w:cs="Arial"/>
                    </w:rPr>
                    <w:t>. Il est notifié au plus tard le 5 septembre, selon les mêmes modalités : le refus de réinscription, dûment motivé, est signifié par lettre recommandée avec accusé de réception aux parents ou à la personne investie de l’autorité parentale.</w:t>
                  </w:r>
                </w:p>
                <w:p>
                  <w:pPr>
                    <w:rPr>
                      <w:rFonts w:cs="Arial"/>
                    </w:rPr>
                  </w:pPr>
                </w:p>
                <w:p>
                  <w:pPr>
                    <w:jc w:val="both"/>
                    <w:rPr>
                      <w:rFonts w:cs="Arial"/>
                    </w:rPr>
                  </w:pPr>
                  <w:r>
                    <w:rPr>
                      <w:rFonts w:cs="Arial"/>
                    </w:rPr>
                    <w:t>Quand les motifs qui justifieraient le refus de réinscription sont connus à la fin du mois de juin, ce qui est la situation la plus fréquente, rien ne s’oppose à ce que l’audition de l’élève et ses parents ou la personne investie de l’autorité parentale ait lieu avant le 5 juillet ou après le 15 août. Le conseil de classe de seconde session organisé durant les premiers jours de septembre peut alors émettre l’avis requis avant la décision du chef d’établissement.</w:t>
                  </w:r>
                </w:p>
                <w:p>
                  <w:pPr>
                    <w:jc w:val="both"/>
                    <w:rPr>
                      <w:rFonts w:cs="Arial"/>
                    </w:rPr>
                  </w:pPr>
                </w:p>
                <w:p>
                  <w:pPr>
                    <w:jc w:val="both"/>
                    <w:rPr>
                      <w:rFonts w:cs="Arial"/>
                      <w:vertAlign w:val="superscript"/>
                    </w:rPr>
                  </w:pPr>
                  <w:r>
                    <w:rPr>
                      <w:rFonts w:cs="Arial"/>
                    </w:rPr>
                    <w:t>L’existence d’un droit de recours et ses modalités doivent figurer dans la lettre de notification</w:t>
                  </w:r>
                  <w:r>
                    <w:rPr>
                      <w:rStyle w:val="Appelnotedebasdep1"/>
                    </w:rPr>
                    <w:footnoteReference w:id="41"/>
                  </w:r>
                  <w:r>
                    <w:rPr>
                      <w:rFonts w:cs="Arial"/>
                      <w:vertAlign w:val="superscript"/>
                    </w:rPr>
                    <w:t>.</w:t>
                  </w:r>
                </w:p>
                <w:p/>
                <w:p>
                  <w:pPr>
                    <w:pStyle w:val="Titre7"/>
                  </w:pPr>
                  <w:bookmarkStart w:id="523" w:name="_Toc291075522"/>
                  <w:bookmarkStart w:id="524" w:name="_Toc291075946"/>
                  <w:bookmarkStart w:id="525" w:name="_Toc291076370"/>
                  <w:bookmarkStart w:id="526" w:name="_Toc291076794"/>
                  <w:bookmarkStart w:id="527" w:name="_Toc291077218"/>
                  <w:bookmarkStart w:id="528" w:name="_Toc293652061"/>
                  <w:bookmarkStart w:id="529" w:name="_Toc293653643"/>
                  <w:bookmarkStart w:id="530" w:name="_Toc293654254"/>
                  <w:bookmarkStart w:id="531" w:name="_Toc294004834"/>
                  <w:bookmarkStart w:id="532" w:name="_Toc294185330"/>
                  <w:bookmarkStart w:id="533" w:name="_Toc324767196"/>
                  <w:bookmarkStart w:id="534" w:name="_Toc324768054"/>
                  <w:r>
                    <w:t>1.3.3.2.5. Désignation d’un autre établissement</w:t>
                  </w:r>
                  <w:bookmarkEnd w:id="523"/>
                  <w:bookmarkEnd w:id="524"/>
                  <w:bookmarkEnd w:id="525"/>
                  <w:bookmarkEnd w:id="526"/>
                  <w:bookmarkEnd w:id="527"/>
                  <w:bookmarkEnd w:id="528"/>
                  <w:bookmarkEnd w:id="529"/>
                  <w:bookmarkEnd w:id="530"/>
                  <w:bookmarkEnd w:id="531"/>
                  <w:bookmarkEnd w:id="532"/>
                  <w:bookmarkEnd w:id="533"/>
                  <w:bookmarkEnd w:id="534"/>
                </w:p>
                <w:p>
                  <w:pPr>
                    <w:jc w:val="both"/>
                    <w:rPr>
                      <w:rFonts w:cs="Arial"/>
                    </w:rPr>
                  </w:pPr>
                </w:p>
                <w:p>
                  <w:pPr>
                    <w:jc w:val="both"/>
                    <w:rPr>
                      <w:rFonts w:cs="Arial"/>
                    </w:rPr>
                  </w:pPr>
                  <w:r>
                    <w:rPr>
                      <w:rFonts w:cs="Arial"/>
                    </w:rPr>
                    <w:t xml:space="preserve">Dans l’enseignement organisé et subventionné par la Fédération Wallonie-Bruxelles, il est important que chaque chef d’établissement s’inquiète de l’inscription de l’élève exclu dans une autre école ou dans une autre institution permettant de satisfaire à l’obligation scolaire. </w:t>
                  </w:r>
                </w:p>
                <w:p>
                  <w:pPr>
                    <w:jc w:val="both"/>
                    <w:rPr>
                      <w:rFonts w:cs="Arial"/>
                    </w:rPr>
                  </w:pPr>
                </w:p>
                <w:p>
                  <w:pPr>
                    <w:jc w:val="both"/>
                    <w:rPr>
                      <w:rFonts w:cs="Arial"/>
                    </w:rPr>
                  </w:pPr>
                  <w:r>
                    <w:rPr>
                      <w:rFonts w:cs="Arial"/>
                    </w:rPr>
                    <w:t>Le CPMS de l’établissement d’enseignement de l’élève est à la disposition de ce dernier et de ses parents, de la personne investie de l’autorité parentale ou qui assume la garde en fait du mineur entre autres dans le cadre d’une aide à la recherche d’un nouvel établissement d’enseignement, en ce compris pour une éventuelle réorientation.</w:t>
                  </w:r>
                </w:p>
                <w:p/>
                <w:p>
                  <w:pPr>
                    <w:pStyle w:val="Titre7"/>
                  </w:pPr>
                  <w:bookmarkStart w:id="535" w:name="_1.3.3.2.6._Dans_l’enseignement"/>
                  <w:bookmarkStart w:id="536" w:name="_Toc291075523"/>
                  <w:bookmarkStart w:id="537" w:name="_Toc291075947"/>
                  <w:bookmarkStart w:id="538" w:name="_Toc291076371"/>
                  <w:bookmarkStart w:id="539" w:name="_Toc291076795"/>
                  <w:bookmarkStart w:id="540" w:name="_Toc291077219"/>
                  <w:bookmarkStart w:id="541" w:name="_Toc293652062"/>
                  <w:bookmarkStart w:id="542" w:name="_Toc293653644"/>
                  <w:bookmarkStart w:id="543" w:name="_Toc293654255"/>
                  <w:bookmarkStart w:id="544" w:name="_Toc294004835"/>
                  <w:bookmarkStart w:id="545" w:name="_Toc294185331"/>
                  <w:bookmarkStart w:id="546" w:name="_Toc324767197"/>
                  <w:bookmarkStart w:id="547" w:name="_Toc324768055"/>
                  <w:bookmarkEnd w:id="535"/>
                  <w:r>
                    <w:t xml:space="preserve">1.3.3.2.6. Dans l’enseignement organisé par la </w:t>
                  </w:r>
                  <w:bookmarkEnd w:id="536"/>
                  <w:bookmarkEnd w:id="537"/>
                  <w:bookmarkEnd w:id="538"/>
                  <w:bookmarkEnd w:id="539"/>
                  <w:bookmarkEnd w:id="540"/>
                  <w:bookmarkEnd w:id="541"/>
                  <w:bookmarkEnd w:id="542"/>
                  <w:bookmarkEnd w:id="543"/>
                  <w:bookmarkEnd w:id="544"/>
                  <w:bookmarkEnd w:id="545"/>
                  <w:bookmarkEnd w:id="546"/>
                  <w:bookmarkEnd w:id="547"/>
                  <w:r>
                    <w:t>Fédération Wallonie-Bruxelles</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L’école qui inscrit un élève exclu en cours d’année scolaire le signale à la Direction générale de l’Enseignement obligatoire, dès l’inscription, via le formulaire électronique adéquat. Cette formalité doit donc être accomplie pour toute inscription effectuée entre le 1</w:t>
                  </w:r>
                  <w:r>
                    <w:rPr>
                      <w:rFonts w:asciiTheme="majorHAnsi" w:hAnsiTheme="majorHAnsi"/>
                      <w:sz w:val="22"/>
                      <w:szCs w:val="22"/>
                      <w:vertAlign w:val="superscript"/>
                    </w:rPr>
                    <w:t>er</w:t>
                  </w:r>
                  <w:r>
                    <w:rPr>
                      <w:rFonts w:asciiTheme="majorHAnsi" w:hAnsiTheme="majorHAnsi"/>
                      <w:sz w:val="22"/>
                      <w:szCs w:val="22"/>
                    </w:rPr>
                    <w:t xml:space="preserve"> septembre et le 30 juin. L’objectif étant de veiller à la rescolarisation de l’élève dans les meilleurs délais. </w:t>
                  </w:r>
                </w:p>
                <w:p>
                  <w:pPr>
                    <w:jc w:val="both"/>
                    <w:rPr>
                      <w:rFonts w:cs="Arial"/>
                    </w:rPr>
                  </w:pPr>
                  <w:r>
                    <w:rPr>
                      <w:rFonts w:cs="Arial"/>
                    </w:rPr>
                    <w:t xml:space="preserve">Si, </w:t>
                  </w:r>
                  <w:r>
                    <w:rPr>
                      <w:rFonts w:cs="Arial"/>
                      <w:b/>
                      <w:u w:val="single"/>
                    </w:rPr>
                    <w:t>dans le mois suivant la notification de l’exclusion définitive</w:t>
                  </w:r>
                  <w:r>
                    <w:rPr>
                      <w:rFonts w:cs="Arial"/>
                    </w:rPr>
                    <w:t>, le chef d’établissement constate la non réinscription de l’élève qu’il a exclu dans une autre institution permettant de satisfaire à l’obligation scolaire, comme par exemple, outre un établissement scolaire, un service d’accrochage scolaire, la direction en informera l’Administration par courrier</w:t>
                  </w:r>
                  <w:r>
                    <w:rPr>
                      <w:rStyle w:val="Appelnotedebasdep1"/>
                    </w:rPr>
                    <w:footnoteReference w:id="42"/>
                  </w:r>
                  <w:r>
                    <w:rPr>
                      <w:rFonts w:cs="Arial"/>
                    </w:rPr>
                    <w:t> .</w:t>
                  </w:r>
                </w:p>
                <w:p>
                  <w:pPr>
                    <w:jc w:val="both"/>
                    <w:rPr>
                      <w:b/>
                      <w:u w:val="single"/>
                    </w:rPr>
                  </w:pPr>
                </w:p>
                <w:p>
                  <w:pPr>
                    <w:pStyle w:val="Titre7"/>
                  </w:pPr>
                  <w:bookmarkStart w:id="548" w:name="_1.3.3.2.7._Dans_l’enseignement"/>
                  <w:bookmarkStart w:id="549" w:name="_Toc291075524"/>
                  <w:bookmarkStart w:id="550" w:name="_Toc291075948"/>
                  <w:bookmarkStart w:id="551" w:name="_Toc291076372"/>
                  <w:bookmarkStart w:id="552" w:name="_Toc291076796"/>
                  <w:bookmarkStart w:id="553" w:name="_Toc291077220"/>
                  <w:bookmarkStart w:id="554" w:name="_Toc293652063"/>
                  <w:bookmarkStart w:id="555" w:name="_Toc293653645"/>
                  <w:bookmarkStart w:id="556" w:name="_Toc293654256"/>
                  <w:bookmarkStart w:id="557" w:name="_Toc294004836"/>
                  <w:bookmarkStart w:id="558" w:name="_Toc294185332"/>
                  <w:bookmarkStart w:id="559" w:name="_Toc324767198"/>
                  <w:bookmarkStart w:id="560" w:name="_Toc324768056"/>
                  <w:bookmarkEnd w:id="548"/>
                  <w:r>
                    <w:t xml:space="preserve">1.3.3.2.7. Dans l’enseignement subventionné par la </w:t>
                  </w:r>
                  <w:bookmarkEnd w:id="549"/>
                  <w:bookmarkEnd w:id="550"/>
                  <w:bookmarkEnd w:id="551"/>
                  <w:bookmarkEnd w:id="552"/>
                  <w:bookmarkEnd w:id="553"/>
                  <w:bookmarkEnd w:id="554"/>
                  <w:bookmarkEnd w:id="555"/>
                  <w:bookmarkEnd w:id="556"/>
                  <w:bookmarkEnd w:id="557"/>
                  <w:bookmarkEnd w:id="558"/>
                  <w:bookmarkEnd w:id="559"/>
                  <w:bookmarkEnd w:id="560"/>
                  <w:r>
                    <w:t>Fédération Wallonie-Bruxelles</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Inscription dans un autre établissement. Différentes possibilités ont été prévues.</w:t>
                  </w:r>
                </w:p>
                <w:p>
                  <w:pPr>
                    <w:jc w:val="both"/>
                    <w:rPr>
                      <w:rFonts w:cs="Arial"/>
                    </w:rPr>
                  </w:pPr>
                </w:p>
                <w:p>
                  <w:pPr>
                    <w:jc w:val="both"/>
                    <w:rPr>
                      <w:u w:val="single"/>
                    </w:rPr>
                  </w:pPr>
                  <w:bookmarkStart w:id="561" w:name="_Toc291075525"/>
                  <w:bookmarkStart w:id="562" w:name="_Toc291075949"/>
                  <w:bookmarkStart w:id="563" w:name="_Toc291076373"/>
                  <w:bookmarkStart w:id="564" w:name="_Toc291076797"/>
                  <w:bookmarkStart w:id="565" w:name="_Toc291077221"/>
                  <w:bookmarkStart w:id="566" w:name="_Toc293652064"/>
                  <w:bookmarkStart w:id="567" w:name="_Toc293653646"/>
                  <w:bookmarkStart w:id="568" w:name="_Toc293654257"/>
                  <w:bookmarkStart w:id="569" w:name="_Toc294004837"/>
                  <w:bookmarkStart w:id="570" w:name="_Toc294185333"/>
                  <w:bookmarkStart w:id="571" w:name="_Toc324767199"/>
                  <w:bookmarkStart w:id="572" w:name="_Toc324768057"/>
                  <w:r>
                    <w:t xml:space="preserve">- </w:t>
                  </w:r>
                  <w:r>
                    <w:rPr>
                      <w:u w:val="single"/>
                    </w:rPr>
                    <w:t>Le pouvoir organisateur propose l’inscription dans un autre établissement qu’il organise</w:t>
                  </w:r>
                  <w:bookmarkEnd w:id="561"/>
                  <w:bookmarkEnd w:id="562"/>
                  <w:bookmarkEnd w:id="563"/>
                  <w:bookmarkEnd w:id="564"/>
                  <w:bookmarkEnd w:id="565"/>
                  <w:bookmarkEnd w:id="566"/>
                  <w:bookmarkEnd w:id="567"/>
                  <w:bookmarkEnd w:id="568"/>
                  <w:bookmarkEnd w:id="569"/>
                  <w:bookmarkEnd w:id="570"/>
                  <w:bookmarkEnd w:id="571"/>
                  <w:bookmarkEnd w:id="572"/>
                </w:p>
                <w:p>
                  <w:pPr>
                    <w:pStyle w:val="2"/>
                    <w:jc w:val="both"/>
                    <w:rPr>
                      <w:rFonts w:asciiTheme="majorHAnsi" w:hAnsiTheme="majorHAnsi"/>
                      <w:sz w:val="22"/>
                      <w:szCs w:val="22"/>
                      <w:lang w:val="fr-BE"/>
                    </w:rPr>
                  </w:pPr>
                </w:p>
                <w:p>
                  <w:pPr>
                    <w:pStyle w:val="Corpsdetexte21"/>
                    <w:jc w:val="both"/>
                    <w:rPr>
                      <w:rFonts w:asciiTheme="majorHAnsi" w:hAnsiTheme="majorHAnsi"/>
                      <w:sz w:val="22"/>
                      <w:szCs w:val="22"/>
                    </w:rPr>
                  </w:pPr>
                  <w:r>
                    <w:rPr>
                      <w:rFonts w:asciiTheme="majorHAnsi" w:hAnsiTheme="majorHAnsi"/>
                      <w:sz w:val="22"/>
                      <w:szCs w:val="22"/>
                    </w:rPr>
                    <w:t>Le pouvoir organisateur ou son délégué peut proposer à l’élève exclu s’il est majeur, ou à l’élève mineur et à ses parents ou à la personne investie de l’autorité parentale son inscription dans un autre établissement qu’il organise.</w:t>
                  </w:r>
                </w:p>
                <w:p>
                  <w:pPr>
                    <w:pStyle w:val="Corpsdetexte21"/>
                    <w:jc w:val="both"/>
                    <w:rPr>
                      <w:rFonts w:asciiTheme="majorHAnsi" w:hAnsiTheme="majorHAnsi"/>
                      <w:sz w:val="22"/>
                      <w:szCs w:val="22"/>
                    </w:rPr>
                  </w:pPr>
                </w:p>
                <w:p>
                  <w:pPr>
                    <w:jc w:val="both"/>
                    <w:rPr>
                      <w:rFonts w:cs="Arial"/>
                      <w:u w:val="single"/>
                    </w:rPr>
                  </w:pPr>
                  <w:r>
                    <w:rPr>
                      <w:rFonts w:cs="Arial"/>
                    </w:rPr>
                    <w:t xml:space="preserve">- </w:t>
                  </w:r>
                  <w:r>
                    <w:rPr>
                      <w:rFonts w:cs="Arial"/>
                      <w:u w:val="single"/>
                    </w:rPr>
                    <w:t>Le pouvoir organisateur ne propose pas d’autre établissement, mais il adhère à un organe de représentation et de coordination</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Le pouvoir organisateur qui n’a pas proposé d’établissement transmet dans les 10 jours d’ouverture d’école qui suivent la date d’exclusion, l’ensemble du dossier disciplinaire de l’élève concerné à l’organe de représentation et de coordination auquel il adhère et celui-ci </w:t>
                  </w:r>
                  <w:r>
                    <w:rPr>
                      <w:rFonts w:asciiTheme="majorHAnsi" w:hAnsiTheme="majorHAnsi"/>
                      <w:b/>
                      <w:bCs/>
                      <w:sz w:val="22"/>
                      <w:szCs w:val="22"/>
                    </w:rPr>
                    <w:t>propose à l’élève l’inscription dans un autre établissement organisé par un pouvoir organisateur qu’il représente</w:t>
                  </w:r>
                  <w:r>
                    <w:rPr>
                      <w:rFonts w:asciiTheme="majorHAnsi" w:hAnsiTheme="majorHAnsi"/>
                      <w:sz w:val="22"/>
                      <w:szCs w:val="22"/>
                    </w:rPr>
                    <w:t>. L’organe de représentation et de coordination peut imposer à un des pouvoirs organisateurs qu’il représente l’obligation d’inscrire un élève exclu d’un autre établissement.</w:t>
                  </w:r>
                </w:p>
                <w:p>
                  <w:pPr>
                    <w:pStyle w:val="Corpsdetexte21"/>
                    <w:jc w:val="both"/>
                    <w:rPr>
                      <w:rFonts w:asciiTheme="majorHAnsi" w:hAnsiTheme="majorHAnsi"/>
                      <w:sz w:val="22"/>
                      <w:szCs w:val="22"/>
                    </w:rPr>
                  </w:pPr>
                </w:p>
                <w:p>
                  <w:pPr>
                    <w:jc w:val="both"/>
                    <w:rPr>
                      <w:rFonts w:cs="Arial"/>
                      <w:u w:val="single"/>
                    </w:rPr>
                  </w:pPr>
                  <w:r>
                    <w:rPr>
                      <w:rFonts w:cs="Arial"/>
                    </w:rPr>
                    <w:t xml:space="preserve">- </w:t>
                  </w:r>
                  <w:r>
                    <w:rPr>
                      <w:rFonts w:cs="Arial"/>
                      <w:u w:val="single"/>
                    </w:rPr>
                    <w:t>Le pouvoir organisateur ne propose pas d’autre établissement, et n’adhère à aucun organe de représentation et de coordination</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Dans le cas où un pouvoir organisateur n’ayant pas adhéré à un organe de représentation et de coordination ne peut proposer à l’élève exclu son inscription dans un autre établissement qu’il organise, il transmet copie de l’ensemble du dossier disciplinaire de l’élève exclu à la Direction générale de l’enseignement obligatoire.</w:t>
                  </w:r>
                </w:p>
                <w:p>
                  <w:pPr>
                    <w:pStyle w:val="Corpsdetexte21"/>
                    <w:pBdr>
                      <w:right w:val="single" w:sz="4" w:space="4" w:color="auto"/>
                    </w:pBdr>
                    <w:jc w:val="both"/>
                    <w:rPr>
                      <w:rFonts w:asciiTheme="majorHAnsi" w:hAnsiTheme="majorHAnsi"/>
                      <w:sz w:val="22"/>
                      <w:szCs w:val="22"/>
                    </w:rPr>
                  </w:pPr>
                  <w:r>
                    <w:rPr>
                      <w:rFonts w:asciiTheme="majorHAnsi" w:hAnsiTheme="majorHAnsi"/>
                      <w:b/>
                      <w:bCs/>
                      <w:sz w:val="22"/>
                      <w:szCs w:val="22"/>
                      <w:u w:val="single"/>
                    </w:rPr>
                    <w:t>Remarque</w:t>
                  </w:r>
                  <w:r>
                    <w:rPr>
                      <w:rFonts w:asciiTheme="majorHAnsi" w:hAnsiTheme="majorHAnsi"/>
                      <w:sz w:val="22"/>
                      <w:szCs w:val="22"/>
                      <w:u w:val="single"/>
                    </w:rPr>
                    <w:t> :</w:t>
                  </w:r>
                  <w:r>
                    <w:rPr>
                      <w:rFonts w:asciiTheme="majorHAnsi" w:hAnsiTheme="majorHAnsi"/>
                      <w:sz w:val="22"/>
                      <w:szCs w:val="22"/>
                    </w:rPr>
                    <w:t xml:space="preserve"> dans tous les cas, l’Administration n’est tenue de faire inscrire dans un établissement organisé par la Fédération Wallonie-Bruxelles l’élève exclu d’un établissement d’enseignement subventionné qui sollicite son inscription </w:t>
                  </w:r>
                  <w:r>
                    <w:rPr>
                      <w:rFonts w:asciiTheme="majorHAnsi" w:hAnsiTheme="majorHAnsi"/>
                      <w:b/>
                      <w:sz w:val="22"/>
                      <w:szCs w:val="22"/>
                    </w:rPr>
                    <w:t>après le 1</w:t>
                  </w:r>
                  <w:r>
                    <w:rPr>
                      <w:rFonts w:asciiTheme="majorHAnsi" w:hAnsiTheme="majorHAnsi"/>
                      <w:b/>
                      <w:sz w:val="22"/>
                      <w:szCs w:val="22"/>
                      <w:vertAlign w:val="superscript"/>
                    </w:rPr>
                    <w:t>er</w:t>
                  </w:r>
                  <w:r>
                    <w:rPr>
                      <w:rFonts w:asciiTheme="majorHAnsi" w:hAnsiTheme="majorHAnsi"/>
                      <w:b/>
                      <w:sz w:val="22"/>
                      <w:szCs w:val="22"/>
                    </w:rPr>
                    <w:t xml:space="preserve"> jour ouvrable scolaire de septembre</w:t>
                  </w:r>
                  <w:r>
                    <w:rPr>
                      <w:rFonts w:asciiTheme="majorHAnsi" w:hAnsiTheme="majorHAnsi"/>
                      <w:sz w:val="22"/>
                      <w:szCs w:val="22"/>
                    </w:rPr>
                    <w:t>, que s’il a épuisé les procédures prévues aux articles 89 et 90 du décret « missions ». (Recours et recherche d’un établissement organisé par le même pouvoir organisateur ou par un pouvoir organisateur adhérant au même organe de représentation et de coordination).</w:t>
                  </w:r>
                </w:p>
                <w:p>
                  <w:pPr>
                    <w:jc w:val="both"/>
                    <w:rPr>
                      <w:rFonts w:cs="Arial"/>
                    </w:rPr>
                  </w:pPr>
                  <w:r>
                    <w:rPr>
                      <w:rFonts w:cs="Arial"/>
                    </w:rPr>
                    <w:t>L’école qui inscrit un élève exclu en cours d’année scolaire le signale à la Direction générale de l’Enseignement obligatoire, dès l’inscription via le formulaire électronique adéquat. Cette formalité doit donc être accomplie pour toute inscription effectuée entre le 1</w:t>
                  </w:r>
                  <w:r>
                    <w:rPr>
                      <w:rFonts w:cs="Arial"/>
                      <w:vertAlign w:val="superscript"/>
                    </w:rPr>
                    <w:t>er</w:t>
                  </w:r>
                  <w:r>
                    <w:rPr>
                      <w:rFonts w:cs="Arial"/>
                    </w:rPr>
                    <w:t xml:space="preserve"> septembre et le 30 juin. L’objectif étant de veiller à la rescolarisation de l’élève dans les meilleurs délais et de procéder à l’actualisation, après le 15 janvier, du calcul du capital-période de base de l’école qui a inscrit un élève exclu. </w:t>
                  </w:r>
                </w:p>
                <w:p>
                  <w:pPr>
                    <w:jc w:val="both"/>
                    <w:rPr>
                      <w:rFonts w:cs="Arial"/>
                    </w:rPr>
                  </w:pPr>
                </w:p>
                <w:p>
                  <w:pPr>
                    <w:jc w:val="both"/>
                    <w:rPr>
                      <w:rFonts w:cs="Arial"/>
                    </w:rPr>
                  </w:pPr>
                  <w:r>
                    <w:rPr>
                      <w:rFonts w:cs="Arial"/>
                      <w:noProof/>
                      <w:lang w:val="fr-FR" w:eastAsia="fr-FR"/>
                    </w:rPr>
                    <w:t xml:space="preserve">Pour rappel, l’élève exclu définitivement d’un établissement après le 15 janvier n’entre pas en compte pour le calcul du capital-période de base de cet établissement mais bien pour celui de l’établissement qui l’accueille.  (Voir </w:t>
                  </w:r>
                  <w:hyperlink r:id="rId26" w:history="1">
                    <w:r>
                      <w:rPr>
                        <w:rStyle w:val="Lienhypertexte"/>
                        <w:rFonts w:cs="Arial"/>
                      </w:rPr>
                      <w:t>circulaire n°2080 du 24 octobre 2007</w:t>
                    </w:r>
                  </w:hyperlink>
                  <w:r>
                    <w:rPr>
                      <w:rFonts w:cs="Arial"/>
                    </w:rPr>
                    <w:t>).</w:t>
                  </w:r>
                </w:p>
                <w:p>
                  <w:pPr>
                    <w:jc w:val="both"/>
                    <w:rPr>
                      <w:rFonts w:cs="Arial"/>
                    </w:rPr>
                  </w:pPr>
                </w:p>
                <w:p>
                  <w:pPr>
                    <w:jc w:val="both"/>
                    <w:rPr>
                      <w:rFonts w:cs="Arial"/>
                    </w:rPr>
                  </w:pPr>
                  <w:r>
                    <w:rPr>
                      <w:rFonts w:cs="Arial"/>
                    </w:rPr>
                    <w:t xml:space="preserve">Dans l’enseignement subventionné par la Fédération Wallonie-Bruxelles, si, </w:t>
                  </w:r>
                  <w:r>
                    <w:rPr>
                      <w:rFonts w:cs="Arial"/>
                      <w:b/>
                      <w:u w:val="single"/>
                    </w:rPr>
                    <w:t>dans le mois suivant la notification de l’exclusion définitive</w:t>
                  </w:r>
                  <w:r>
                    <w:rPr>
                      <w:rFonts w:cs="Arial"/>
                    </w:rPr>
                    <w:t xml:space="preserve"> (dans les 30 jours calendrier à dater du lendemain du jour de la notification de l’exclusion définitive), le chef d’établissement constate la non réinscription de l’élève qu’il a exclu dans une autre institution permettant de satisfaire à l’obligation scolaire, comme par exemple, outre un établissement scolaire, un service d’accrochage scolaire, le pouvoir organisateur ou son délégué en informera l’Administration par courrier</w:t>
                  </w:r>
                  <w:r>
                    <w:rPr>
                      <w:rStyle w:val="Appelnotedebasdep1"/>
                    </w:rPr>
                    <w:footnoteReference w:id="43"/>
                  </w:r>
                  <w:r>
                    <w:rPr>
                      <w:rFonts w:cs="Arial"/>
                    </w:rPr>
                    <w:t> .</w:t>
                  </w:r>
                </w:p>
                <w:p>
                  <w:bookmarkStart w:id="573" w:name="_1.3.3.2.8._Dispositions_relatives"/>
                  <w:bookmarkEnd w:id="573"/>
                </w:p>
                <w:p>
                  <w:pPr>
                    <w:pStyle w:val="Titre7"/>
                  </w:pPr>
                  <w:r>
                    <w:t>1.3.3.2.8. Dispositions relatives aux faits graves devant figurer dans le règlement d’ordre intérieur</w:t>
                  </w:r>
                  <w:r>
                    <w:rPr>
                      <w:sz w:val="23"/>
                      <w:vertAlign w:val="superscript"/>
                    </w:rPr>
                    <w:footnoteReference w:id="44"/>
                  </w:r>
                </w:p>
                <w:p>
                  <w:pPr>
                    <w:pStyle w:val="2"/>
                    <w:jc w:val="both"/>
                    <w:rPr>
                      <w:rFonts w:asciiTheme="majorHAnsi" w:hAnsiTheme="majorHAnsi"/>
                      <w:sz w:val="22"/>
                      <w:szCs w:val="22"/>
                      <w:lang w:val="fr-BE"/>
                    </w:rPr>
                  </w:pPr>
                </w:p>
                <w:p>
                  <w:pPr>
                    <w:pStyle w:val="Corpsdetexte21"/>
                    <w:jc w:val="both"/>
                    <w:rPr>
                      <w:rFonts w:asciiTheme="majorHAnsi" w:hAnsiTheme="majorHAnsi"/>
                      <w:sz w:val="22"/>
                      <w:szCs w:val="22"/>
                    </w:rPr>
                  </w:pPr>
                  <w:r>
                    <w:rPr>
                      <w:rFonts w:asciiTheme="majorHAnsi" w:hAnsiTheme="majorHAnsi"/>
                      <w:sz w:val="22"/>
                      <w:szCs w:val="22"/>
                    </w:rPr>
                    <w:t>Les dispositions suivantes doivent être insérées dans le règlement d’ordre intérieur de tous les établissements scolaires :</w:t>
                  </w:r>
                </w:p>
                <w:p>
                  <w:pPr>
                    <w:pStyle w:val="Corpsdetexte21"/>
                    <w:jc w:val="both"/>
                    <w:rPr>
                      <w:rFonts w:asciiTheme="majorHAnsi" w:hAnsiTheme="majorHAnsi"/>
                      <w:sz w:val="22"/>
                      <w:szCs w:val="22"/>
                    </w:rPr>
                  </w:pPr>
                  <w:r>
                    <w:rPr>
                      <w:rFonts w:asciiTheme="majorHAnsi" w:hAnsiTheme="majorHAnsi"/>
                      <w:sz w:val="22"/>
                      <w:szCs w:val="22"/>
                    </w:rPr>
                    <w:t>L’arrêté du 18 janvier 2008</w:t>
                  </w:r>
                  <w:r>
                    <w:rPr>
                      <w:rStyle w:val="Caractresdenotedebasdepage"/>
                      <w:sz w:val="22"/>
                      <w:szCs w:val="22"/>
                    </w:rPr>
                    <w:footnoteReference w:id="45"/>
                  </w:r>
                  <w:r>
                    <w:rPr>
                      <w:rFonts w:asciiTheme="majorHAnsi" w:hAnsiTheme="majorHAnsi"/>
                      <w:sz w:val="22"/>
                      <w:szCs w:val="22"/>
                    </w:rPr>
                    <w:t xml:space="preserve"> impose aux établissements scolaires d’inclure dans leur règlement d’ordre intérieur les dispositions suivantes :</w:t>
                  </w:r>
                </w:p>
                <w:p>
                  <w:pPr>
                    <w:pStyle w:val="Corpsdetexte21"/>
                    <w:jc w:val="both"/>
                    <w:rPr>
                      <w:rFonts w:asciiTheme="majorHAnsi" w:hAnsiTheme="majorHAnsi"/>
                      <w:sz w:val="22"/>
                      <w:szCs w:val="22"/>
                    </w:rPr>
                  </w:pPr>
                  <w:r>
                    <w:rPr>
                      <w:rFonts w:asciiTheme="majorHAnsi" w:hAnsiTheme="majorHAnsi"/>
                      <w:sz w:val="22"/>
                      <w:szCs w:val="22"/>
                    </w:rPr>
                    <w:t xml:space="preserve">Les </w:t>
                  </w:r>
                  <w:r>
                    <w:rPr>
                      <w:rFonts w:asciiTheme="majorHAnsi" w:hAnsiTheme="majorHAnsi"/>
                      <w:b/>
                      <w:sz w:val="22"/>
                      <w:szCs w:val="22"/>
                      <w:u w:val="single"/>
                    </w:rPr>
                    <w:t>faits graves</w:t>
                  </w:r>
                  <w:r>
                    <w:rPr>
                      <w:rFonts w:asciiTheme="majorHAnsi" w:hAnsiTheme="majorHAnsi"/>
                      <w:sz w:val="22"/>
                      <w:szCs w:val="22"/>
                    </w:rPr>
                    <w:t xml:space="preserve"> suivants sont considérés comme pouvant justifier l’exclusion définitive prévue aux articles 81 et 89 du </w:t>
                  </w:r>
                  <w:hyperlink r:id="rId27" w:history="1">
                    <w:r>
                      <w:rPr>
                        <w:rStyle w:val="Lienhypertexte"/>
                        <w:rFonts w:asciiTheme="majorHAnsi" w:hAnsiTheme="majorHAnsi"/>
                        <w:sz w:val="22"/>
                        <w:szCs w:val="22"/>
                      </w:rPr>
                      <w:t>décret du 24 juillet 1997</w:t>
                    </w:r>
                  </w:hyperlink>
                  <w:r>
                    <w:rPr>
                      <w:rFonts w:asciiTheme="majorHAnsi" w:hAnsiTheme="majorHAnsi"/>
                      <w:sz w:val="22"/>
                      <w:szCs w:val="22"/>
                    </w:rPr>
                    <w:t xml:space="preserve"> définissant les missions prioritaires de l’enseignement fondamental et de l’enseignement secondaire et organisant les structures propres à les atteindre :</w:t>
                  </w:r>
                </w:p>
                <w:p>
                  <w:pPr>
                    <w:pStyle w:val="Corpsdetexte21"/>
                    <w:jc w:val="both"/>
                    <w:rPr>
                      <w:rFonts w:asciiTheme="majorHAnsi" w:hAnsiTheme="majorHAnsi"/>
                      <w:sz w:val="22"/>
                      <w:szCs w:val="22"/>
                    </w:rPr>
                  </w:pPr>
                </w:p>
                <w:p>
                  <w:pPr>
                    <w:pStyle w:val="Corpsdetexte21"/>
                    <w:numPr>
                      <w:ilvl w:val="0"/>
                      <w:numId w:val="108"/>
                    </w:numPr>
                    <w:tabs>
                      <w:tab w:val="clear" w:pos="720"/>
                    </w:tabs>
                    <w:ind w:left="0" w:firstLine="0"/>
                    <w:jc w:val="both"/>
                    <w:rPr>
                      <w:rFonts w:asciiTheme="majorHAnsi" w:hAnsiTheme="majorHAnsi"/>
                      <w:sz w:val="22"/>
                      <w:szCs w:val="22"/>
                    </w:rPr>
                  </w:pPr>
                  <w:r>
                    <w:rPr>
                      <w:rFonts w:asciiTheme="majorHAnsi" w:hAnsiTheme="majorHAnsi"/>
                      <w:sz w:val="22"/>
                      <w:szCs w:val="22"/>
                    </w:rPr>
                    <w:t>dans l’enceinte de l’établissement ou hors de celle-ci :</w:t>
                  </w:r>
                </w:p>
                <w:p>
                  <w:pPr>
                    <w:pStyle w:val="Corpsdetexte21"/>
                    <w:jc w:val="both"/>
                    <w:rPr>
                      <w:rFonts w:asciiTheme="majorHAnsi" w:hAnsiTheme="majorHAnsi"/>
                      <w:sz w:val="22"/>
                      <w:szCs w:val="22"/>
                    </w:rPr>
                  </w:pPr>
                </w:p>
                <w:p>
                  <w:pPr>
                    <w:pStyle w:val="Corpsdetexte21"/>
                    <w:numPr>
                      <w:ilvl w:val="0"/>
                      <w:numId w:val="114"/>
                    </w:numPr>
                    <w:ind w:left="927"/>
                    <w:jc w:val="both"/>
                    <w:rPr>
                      <w:rFonts w:asciiTheme="majorHAnsi" w:hAnsiTheme="majorHAnsi"/>
                      <w:sz w:val="22"/>
                      <w:szCs w:val="22"/>
                    </w:rPr>
                  </w:pPr>
                  <w:r>
                    <w:rPr>
                      <w:rFonts w:asciiTheme="majorHAnsi" w:hAnsiTheme="majorHAnsi"/>
                      <w:sz w:val="22"/>
                      <w:szCs w:val="22"/>
                    </w:rPr>
                    <w:t>tout coup et blessure porté sciemment par un élève à un autre élève ou à un membre du personnel de l’établissement ;</w:t>
                  </w:r>
                </w:p>
                <w:p>
                  <w:pPr>
                    <w:pStyle w:val="Corpsdetexte21"/>
                    <w:numPr>
                      <w:ilvl w:val="0"/>
                      <w:numId w:val="114"/>
                    </w:numPr>
                    <w:ind w:left="927"/>
                    <w:jc w:val="both"/>
                    <w:rPr>
                      <w:rFonts w:asciiTheme="majorHAnsi" w:hAnsiTheme="majorHAnsi"/>
                      <w:sz w:val="22"/>
                      <w:szCs w:val="22"/>
                    </w:rPr>
                  </w:pPr>
                  <w:r>
                    <w:rPr>
                      <w:rFonts w:asciiTheme="majorHAnsi" w:hAnsiTheme="majorHAnsi"/>
                      <w:sz w:val="22"/>
                      <w:szCs w:val="22"/>
                    </w:rPr>
                    <w:t>le fait d’exercer sciemment et de manière répétée sur un autre élève ou un membre du personnel de l’établissement une pression psychologique insupportable, par menaces, insultes, injures, calomnies ou diffamation ;</w:t>
                  </w:r>
                </w:p>
                <w:p>
                  <w:pPr>
                    <w:pStyle w:val="Corpsdetexte21"/>
                    <w:numPr>
                      <w:ilvl w:val="0"/>
                      <w:numId w:val="114"/>
                    </w:numPr>
                    <w:ind w:left="927"/>
                    <w:jc w:val="both"/>
                    <w:rPr>
                      <w:rFonts w:asciiTheme="majorHAnsi" w:hAnsiTheme="majorHAnsi"/>
                      <w:sz w:val="22"/>
                      <w:szCs w:val="22"/>
                    </w:rPr>
                  </w:pPr>
                  <w:r>
                    <w:rPr>
                      <w:rFonts w:asciiTheme="majorHAnsi" w:hAnsiTheme="majorHAnsi"/>
                      <w:sz w:val="22"/>
                      <w:szCs w:val="22"/>
                    </w:rPr>
                    <w:t>le racket à l’encontre d’un autre élève de l’établissement ;</w:t>
                  </w:r>
                </w:p>
                <w:p>
                  <w:pPr>
                    <w:pStyle w:val="Corpsdetexte21"/>
                    <w:numPr>
                      <w:ilvl w:val="0"/>
                      <w:numId w:val="114"/>
                    </w:numPr>
                    <w:ind w:left="927"/>
                    <w:jc w:val="both"/>
                    <w:rPr>
                      <w:rFonts w:asciiTheme="majorHAnsi" w:hAnsiTheme="majorHAnsi"/>
                      <w:sz w:val="22"/>
                      <w:szCs w:val="22"/>
                    </w:rPr>
                  </w:pPr>
                  <w:r>
                    <w:rPr>
                      <w:rFonts w:asciiTheme="majorHAnsi" w:hAnsiTheme="majorHAnsi"/>
                      <w:sz w:val="22"/>
                      <w:szCs w:val="22"/>
                    </w:rPr>
                    <w:t>tout acte de violence sexuelle à l’encontre d’un élève ou d’un membre du personnel de l’établissement ;</w:t>
                  </w:r>
                </w:p>
                <w:p>
                  <w:pPr>
                    <w:pStyle w:val="Corpsdetexte21"/>
                    <w:jc w:val="both"/>
                    <w:rPr>
                      <w:rFonts w:asciiTheme="majorHAnsi" w:hAnsiTheme="majorHAnsi"/>
                      <w:sz w:val="22"/>
                      <w:szCs w:val="22"/>
                    </w:rPr>
                  </w:pPr>
                </w:p>
                <w:p>
                  <w:pPr>
                    <w:pStyle w:val="Corpsdetexte21"/>
                    <w:numPr>
                      <w:ilvl w:val="0"/>
                      <w:numId w:val="108"/>
                    </w:numPr>
                    <w:tabs>
                      <w:tab w:val="clear" w:pos="720"/>
                    </w:tabs>
                    <w:ind w:left="0" w:firstLine="0"/>
                    <w:jc w:val="both"/>
                    <w:rPr>
                      <w:rFonts w:asciiTheme="majorHAnsi" w:hAnsiTheme="majorHAnsi"/>
                      <w:sz w:val="22"/>
                      <w:szCs w:val="22"/>
                    </w:rPr>
                  </w:pPr>
                  <w:r>
                    <w:rPr>
                      <w:rFonts w:asciiTheme="majorHAnsi" w:hAnsiTheme="majorHAnsi"/>
                      <w:sz w:val="22"/>
                      <w:szCs w:val="22"/>
                    </w:rPr>
                    <w:t>dans l’enceinte de l’établissement, sur le chemin de celui-ci ou dans le cadre d’activités scolaires organisées en dehors de l’enceinte de l’école :</w:t>
                  </w:r>
                </w:p>
                <w:p>
                  <w:pPr>
                    <w:pStyle w:val="Corpsdetexte21"/>
                    <w:ind w:firstLine="709"/>
                    <w:jc w:val="both"/>
                    <w:rPr>
                      <w:rFonts w:asciiTheme="majorHAnsi" w:hAnsiTheme="majorHAnsi"/>
                      <w:sz w:val="22"/>
                      <w:szCs w:val="22"/>
                    </w:rPr>
                  </w:pPr>
                  <w:r>
                    <w:rPr>
                      <w:rFonts w:asciiTheme="majorHAnsi" w:hAnsiTheme="majorHAnsi"/>
                      <w:sz w:val="22"/>
                      <w:szCs w:val="22"/>
                    </w:rPr>
                    <w:t>- la détention ou l’usage d’une arme.</w:t>
                  </w:r>
                </w:p>
                <w:p>
                  <w:pPr>
                    <w:pStyle w:val="Corpsdetexte21"/>
                    <w:jc w:val="both"/>
                    <w:rPr>
                      <w:rFonts w:asciiTheme="majorHAnsi" w:hAnsiTheme="majorHAnsi"/>
                      <w:sz w:val="22"/>
                      <w:szCs w:val="22"/>
                    </w:rPr>
                  </w:pPr>
                  <w:r>
                    <w:rPr>
                      <w:rFonts w:asciiTheme="majorHAnsi" w:hAnsiTheme="majorHAnsi"/>
                      <w:sz w:val="22"/>
                      <w:szCs w:val="22"/>
                    </w:rPr>
                    <w:t>L’élève sanctionné et ses responsables légaux sont informés des missions</w:t>
                  </w:r>
                  <w:r>
                    <w:rPr>
                      <w:rStyle w:val="Appelnotedebasdep"/>
                      <w:rFonts w:asciiTheme="majorHAnsi" w:hAnsiTheme="majorHAnsi"/>
                      <w:sz w:val="22"/>
                      <w:szCs w:val="22"/>
                    </w:rPr>
                    <w:footnoteReference w:id="46"/>
                  </w:r>
                  <w:r>
                    <w:rPr>
                      <w:rFonts w:asciiTheme="majorHAnsi" w:hAnsiTheme="majorHAnsi"/>
                      <w:sz w:val="22"/>
                      <w:szCs w:val="22"/>
                    </w:rPr>
                    <w:t xml:space="preserve"> du centre psycho-médico-social, entre autres, dans le cadre d’une aide à la recherche d’un nouvel établissement.</w:t>
                  </w:r>
                </w:p>
                <w:p>
                  <w:pPr>
                    <w:pStyle w:val="Corpsdetexte21"/>
                    <w:jc w:val="both"/>
                    <w:rPr>
                      <w:rFonts w:asciiTheme="majorHAnsi" w:hAnsiTheme="majorHAnsi"/>
                      <w:sz w:val="22"/>
                      <w:szCs w:val="22"/>
                    </w:rPr>
                  </w:pPr>
                  <w:r>
                    <w:rPr>
                      <w:rFonts w:asciiTheme="majorHAnsi" w:hAnsiTheme="majorHAnsi"/>
                      <w:sz w:val="22"/>
                      <w:szCs w:val="22"/>
                    </w:rPr>
                    <w:t>Le service compétent pour la réinscription de l’élève exclu peut, si les faits commis par l’élève le justifient, recommander la prise en charge de celui-ci, s’il est mineur, par un service d’accrochage scolaire. Si l’élève refuse cette prise en charge, il fera l’objet d’un signalement auprès du Conseiller de l’Aide à la Jeunesse. </w:t>
                  </w:r>
                </w:p>
                <w:p>
                  <w:pPr>
                    <w:pStyle w:val="Corpsdetexte21"/>
                    <w:jc w:val="both"/>
                    <w:rPr>
                      <w:rFonts w:asciiTheme="majorHAnsi" w:hAnsiTheme="majorHAnsi"/>
                      <w:sz w:val="22"/>
                      <w:szCs w:val="22"/>
                    </w:rPr>
                  </w:pPr>
                  <w:r>
                    <w:rPr>
                      <w:rFonts w:asciiTheme="majorHAnsi" w:hAnsiTheme="majorHAnsi"/>
                      <w:sz w:val="22"/>
                      <w:szCs w:val="22"/>
                    </w:rPr>
                    <w:t xml:space="preserve">Sans préjudice de l’article 30 du </w:t>
                  </w:r>
                  <w:hyperlink r:id="rId28" w:history="1">
                    <w:r>
                      <w:rPr>
                        <w:rStyle w:val="Lienhypertexte"/>
                        <w:rFonts w:asciiTheme="majorHAnsi" w:hAnsiTheme="majorHAnsi"/>
                        <w:sz w:val="22"/>
                        <w:szCs w:val="22"/>
                      </w:rPr>
                      <w:t>Code d’Instruction criminelle</w:t>
                    </w:r>
                  </w:hyperlink>
                  <w:r>
                    <w:rPr>
                      <w:rFonts w:asciiTheme="majorHAnsi" w:hAnsiTheme="majorHAnsi"/>
                      <w:sz w:val="22"/>
                      <w:szCs w:val="22"/>
                    </w:rPr>
                    <w:t>, le chef d’établissement signale les faits visés à l’alinéa 1</w:t>
                  </w:r>
                  <w:r>
                    <w:rPr>
                      <w:rFonts w:asciiTheme="majorHAnsi" w:hAnsiTheme="majorHAnsi"/>
                      <w:sz w:val="22"/>
                      <w:szCs w:val="22"/>
                      <w:vertAlign w:val="superscript"/>
                    </w:rPr>
                    <w:t>er</w:t>
                  </w:r>
                  <w:r>
                    <w:rPr>
                      <w:rFonts w:asciiTheme="majorHAnsi" w:hAnsiTheme="majorHAnsi"/>
                      <w:sz w:val="22"/>
                      <w:szCs w:val="22"/>
                    </w:rPr>
                    <w:t>, en fonction de la gravité de ceux-ci, aux services de police et conseille la victime ou ses responsables légaux sur les modalités de dépôt d’une plainte.</w:t>
                  </w:r>
                  <w:bookmarkStart w:id="574" w:name="_1.3.3.2.9._Signalement_des"/>
                  <w:bookmarkStart w:id="575" w:name="_Toc291075526"/>
                  <w:bookmarkStart w:id="576" w:name="_Toc291075950"/>
                  <w:bookmarkStart w:id="577" w:name="_Toc291076374"/>
                  <w:bookmarkStart w:id="578" w:name="_Toc291076798"/>
                  <w:bookmarkStart w:id="579" w:name="_Toc291077222"/>
                  <w:bookmarkStart w:id="580" w:name="_Toc293652065"/>
                  <w:bookmarkStart w:id="581" w:name="_Toc293653647"/>
                  <w:bookmarkStart w:id="582" w:name="_Toc293654258"/>
                  <w:bookmarkStart w:id="583" w:name="_Toc294004838"/>
                  <w:bookmarkStart w:id="584" w:name="_Toc294185334"/>
                  <w:bookmarkEnd w:id="574"/>
                </w:p>
                <w:p>
                  <w:pPr>
                    <w:jc w:val="both"/>
                  </w:pPr>
                </w:p>
                <w:p>
                  <w:pPr>
                    <w:pStyle w:val="Titre4"/>
                    <w:numPr>
                      <w:ilvl w:val="1"/>
                      <w:numId w:val="220"/>
                    </w:numPr>
                  </w:pPr>
                  <w:bookmarkStart w:id="585" w:name="_Toc324767200"/>
                  <w:bookmarkStart w:id="586" w:name="_Toc412204080"/>
                  <w:bookmarkStart w:id="587" w:name="_Toc414352888"/>
                  <w:bookmarkStart w:id="588" w:name="_Toc453836911"/>
                  <w:r>
                    <w:t>Collaboration avec les services de police</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r>
                    <w:t xml:space="preserve"> </w:t>
                  </w:r>
                </w:p>
                <w:p>
                  <w:pPr>
                    <w:jc w:val="both"/>
                    <w:rPr>
                      <w:rFonts w:cs="Arial"/>
                    </w:rPr>
                  </w:pPr>
                </w:p>
                <w:p>
                  <w:pPr>
                    <w:jc w:val="both"/>
                    <w:rPr>
                      <w:rFonts w:cs="Arial"/>
                      <w:b/>
                    </w:rPr>
                  </w:pPr>
                  <w:r>
                    <w:rPr>
                      <w:rFonts w:cs="Arial"/>
                      <w:b/>
                    </w:rPr>
                    <w:t>Conçu pour l’enseignement organisé par la Fédération Wallonie-Bruxelles, ce point est inséré à titre informatif pour l’enseignement subventionné.</w:t>
                  </w:r>
                </w:p>
                <w:p>
                  <w:pPr>
                    <w:jc w:val="both"/>
                    <w:rPr>
                      <w:rFonts w:cs="Arial"/>
                      <w:b/>
                    </w:rPr>
                  </w:pPr>
                </w:p>
                <w:p>
                  <w:pPr>
                    <w:jc w:val="both"/>
                    <w:rPr>
                      <w:rFonts w:cs="Arial"/>
                    </w:rPr>
                  </w:pPr>
                  <w:r>
                    <w:rPr>
                      <w:rFonts w:cs="Arial"/>
                    </w:rPr>
                    <w:t>En juillet 2006, le Ministre de l’Intérieur publiait une circulaire relative à la collaboration de la police avec les établissements scolaires, ci-après dénommée circulaire PLP 41</w:t>
                  </w:r>
                  <w:r>
                    <w:rPr>
                      <w:rStyle w:val="Caractresdenotedebasdepage"/>
                      <w:rFonts w:cs="Arial"/>
                    </w:rPr>
                    <w:footnoteReference w:id="47"/>
                  </w:r>
                  <w:r>
                    <w:rPr>
                      <w:rFonts w:cs="Arial"/>
                    </w:rPr>
                    <w:t>.</w:t>
                  </w:r>
                </w:p>
                <w:p>
                  <w:pPr>
                    <w:jc w:val="both"/>
                    <w:rPr>
                      <w:rFonts w:cs="Arial"/>
                    </w:rPr>
                  </w:pPr>
                </w:p>
                <w:p>
                  <w:pPr>
                    <w:jc w:val="both"/>
                    <w:rPr>
                      <w:rFonts w:cs="Arial"/>
                    </w:rPr>
                  </w:pPr>
                  <w:r>
                    <w:rPr>
                      <w:rFonts w:cs="Arial"/>
                    </w:rPr>
                    <w:t>Cette circulaire définit un certain nombre d’objectifs et de moyens pour les atteindre, parmi lesquels la conclusion de conventions (protocoles de sécurité) entre différents intervenants dont les chefs d’établissement.</w:t>
                  </w:r>
                </w:p>
                <w:p>
                  <w:pPr>
                    <w:jc w:val="both"/>
                    <w:rPr>
                      <w:rFonts w:cs="Arial"/>
                    </w:rPr>
                  </w:pPr>
                </w:p>
                <w:p>
                  <w:pPr>
                    <w:jc w:val="both"/>
                    <w:rPr>
                      <w:rFonts w:cs="Arial"/>
                    </w:rPr>
                  </w:pPr>
                  <w:r>
                    <w:rPr>
                      <w:rFonts w:cs="Arial"/>
                    </w:rPr>
                    <w:t>L’objet de ce chapitre est de définir la procédure à suivre en vue de l’éventuelle conclusion d’une telle convention ainsi que les principes qui doivent la présider.</w:t>
                  </w:r>
                </w:p>
                <w:p/>
                <w:p/>
                <w:p/>
                <w:p/>
                <w:p/>
                <w:p/>
                <w:p/>
                <w:p>
                  <w:pPr>
                    <w:pStyle w:val="Titre5"/>
                  </w:pPr>
                  <w:bookmarkStart w:id="589" w:name="_Toc291075527"/>
                  <w:bookmarkStart w:id="590" w:name="_Toc291075951"/>
                  <w:bookmarkStart w:id="591" w:name="_Toc291076375"/>
                  <w:bookmarkStart w:id="592" w:name="_Toc291076799"/>
                  <w:bookmarkStart w:id="593" w:name="_Toc291077223"/>
                  <w:bookmarkStart w:id="594" w:name="_Toc293652066"/>
                  <w:bookmarkStart w:id="595" w:name="_Toc293653648"/>
                  <w:bookmarkStart w:id="596" w:name="_Toc293654259"/>
                  <w:bookmarkStart w:id="597" w:name="_Toc294004839"/>
                  <w:bookmarkStart w:id="598" w:name="_Toc294185335"/>
                  <w:bookmarkStart w:id="599" w:name="_Toc324767201"/>
                  <w:bookmarkStart w:id="600" w:name="_Toc324768059"/>
                  <w:r>
                    <w:t>1.3.1. Principes</w:t>
                  </w:r>
                  <w:bookmarkEnd w:id="589"/>
                  <w:bookmarkEnd w:id="590"/>
                  <w:bookmarkEnd w:id="591"/>
                  <w:bookmarkEnd w:id="592"/>
                  <w:bookmarkEnd w:id="593"/>
                  <w:bookmarkEnd w:id="594"/>
                  <w:bookmarkEnd w:id="595"/>
                  <w:bookmarkEnd w:id="596"/>
                  <w:bookmarkEnd w:id="597"/>
                  <w:bookmarkEnd w:id="598"/>
                  <w:bookmarkEnd w:id="599"/>
                  <w:bookmarkEnd w:id="600"/>
                </w:p>
                <w:p>
                  <w:bookmarkStart w:id="601" w:name="_Toc291075528"/>
                  <w:bookmarkStart w:id="602" w:name="_Toc291075952"/>
                  <w:bookmarkStart w:id="603" w:name="_Toc291076376"/>
                  <w:bookmarkStart w:id="604" w:name="_Toc291076800"/>
                  <w:bookmarkStart w:id="605" w:name="_Toc291077224"/>
                  <w:bookmarkStart w:id="606" w:name="_Toc293652067"/>
                  <w:bookmarkStart w:id="607" w:name="_Toc293653649"/>
                  <w:bookmarkStart w:id="608" w:name="_Toc293654260"/>
                  <w:bookmarkStart w:id="609" w:name="_Toc294004840"/>
                  <w:bookmarkStart w:id="610" w:name="_Toc294185336"/>
                  <w:bookmarkStart w:id="611" w:name="_Toc324767202"/>
                  <w:bookmarkStart w:id="612" w:name="_Toc324768060"/>
                </w:p>
                <w:p>
                  <w:pPr>
                    <w:pStyle w:val="Titre6"/>
                  </w:pPr>
                  <w:r>
                    <w:t>1.3.1.1. Contexte</w:t>
                  </w:r>
                  <w:bookmarkEnd w:id="601"/>
                  <w:bookmarkEnd w:id="602"/>
                  <w:bookmarkEnd w:id="603"/>
                  <w:bookmarkEnd w:id="604"/>
                  <w:bookmarkEnd w:id="605"/>
                  <w:bookmarkEnd w:id="606"/>
                  <w:bookmarkEnd w:id="607"/>
                  <w:bookmarkEnd w:id="608"/>
                  <w:bookmarkEnd w:id="609"/>
                  <w:bookmarkEnd w:id="610"/>
                  <w:bookmarkEnd w:id="611"/>
                  <w:bookmarkEnd w:id="612"/>
                </w:p>
                <w:p>
                  <w:pPr>
                    <w:pStyle w:val="2"/>
                    <w:rPr>
                      <w:lang w:val="fr-BE" w:eastAsia="en-US"/>
                    </w:rPr>
                  </w:pPr>
                </w:p>
                <w:p>
                  <w:pPr>
                    <w:jc w:val="both"/>
                    <w:rPr>
                      <w:rFonts w:cs="Arial"/>
                    </w:rPr>
                  </w:pPr>
                  <w:r>
                    <w:rPr>
                      <w:rFonts w:cs="Arial"/>
                    </w:rPr>
                    <w:t>La circulaire PLP 41 s’appuie sur la notion de Community Policing</w:t>
                  </w:r>
                  <w:r>
                    <w:rPr>
                      <w:rStyle w:val="Caractresdenotedebasdepage"/>
                      <w:rFonts w:cs="Arial"/>
                    </w:rPr>
                    <w:footnoteReference w:id="48"/>
                  </w:r>
                  <w:r>
                    <w:rPr>
                      <w:rFonts w:cs="Arial"/>
                    </w:rPr>
                    <w:t xml:space="preserve"> et, dans ce cadre, prévoit le développement de partenariats avec la communauté scolaire.</w:t>
                  </w:r>
                </w:p>
                <w:p>
                  <w:pPr>
                    <w:jc w:val="both"/>
                    <w:rPr>
                      <w:rFonts w:cs="Arial"/>
                    </w:rPr>
                  </w:pPr>
                  <w:r>
                    <w:rPr>
                      <w:rFonts w:cs="Arial"/>
                    </w:rPr>
                    <w:t>Ces partenariats doivent se traduire par :</w:t>
                  </w:r>
                </w:p>
                <w:p>
                  <w:pPr>
                    <w:numPr>
                      <w:ilvl w:val="0"/>
                      <w:numId w:val="107"/>
                    </w:numPr>
                    <w:suppressAutoHyphens/>
                    <w:ind w:left="567"/>
                    <w:jc w:val="both"/>
                    <w:rPr>
                      <w:rFonts w:cs="Arial"/>
                    </w:rPr>
                  </w:pPr>
                  <w:r>
                    <w:rPr>
                      <w:rFonts w:cs="Arial"/>
                    </w:rPr>
                    <w:t>la définition, « </w:t>
                  </w:r>
                  <w:r>
                    <w:rPr>
                      <w:rFonts w:cs="Arial"/>
                      <w:i/>
                    </w:rPr>
                    <w:t>d’une manière claire et conviviale</w:t>
                  </w:r>
                  <w:r>
                    <w:rPr>
                      <w:rFonts w:cs="Arial"/>
                    </w:rPr>
                    <w:t> », de</w:t>
                  </w:r>
                  <w:r>
                    <w:rPr>
                      <w:rFonts w:cs="Arial"/>
                      <w:i/>
                    </w:rPr>
                    <w:t xml:space="preserve"> « procédures de renvoi et de collaboration entre les diverses communautés scolaires et la police</w:t>
                  </w:r>
                  <w:r>
                    <w:rPr>
                      <w:rFonts w:cs="Arial"/>
                    </w:rPr>
                    <w:t> »</w:t>
                  </w:r>
                </w:p>
                <w:p>
                  <w:pPr>
                    <w:numPr>
                      <w:ilvl w:val="0"/>
                      <w:numId w:val="107"/>
                    </w:numPr>
                    <w:suppressAutoHyphens/>
                    <w:ind w:left="567"/>
                    <w:jc w:val="both"/>
                    <w:rPr>
                      <w:rFonts w:cs="Arial"/>
                    </w:rPr>
                  </w:pPr>
                  <w:r>
                    <w:rPr>
                      <w:rFonts w:cs="Arial"/>
                    </w:rPr>
                    <w:t>l’établissement d’un « </w:t>
                  </w:r>
                  <w:r>
                    <w:rPr>
                      <w:rFonts w:cs="Arial"/>
                      <w:i/>
                    </w:rPr>
                    <w:t>point de contact permanent</w:t>
                  </w:r>
                  <w:r>
                    <w:rPr>
                      <w:rFonts w:cs="Arial"/>
                    </w:rPr>
                    <w:t> », chargé des relations avec lesdites communautés et de la conclusion d’accords portant sur différentes problématiques dont le traitement serait de nature à « </w:t>
                  </w:r>
                  <w:r>
                    <w:rPr>
                      <w:rFonts w:cs="Arial"/>
                      <w:i/>
                    </w:rPr>
                    <w:t>garantir un environnement scolaire sûr</w:t>
                  </w:r>
                  <w:r>
                    <w:rPr>
                      <w:rFonts w:cs="Arial"/>
                    </w:rPr>
                    <w:t> ».</w:t>
                  </w:r>
                </w:p>
                <w:p>
                  <w:pPr>
                    <w:ind w:left="567"/>
                    <w:jc w:val="both"/>
                    <w:rPr>
                      <w:rFonts w:cs="Arial"/>
                    </w:rPr>
                  </w:pPr>
                  <w:r>
                    <w:rPr>
                      <w:rFonts w:cs="Arial"/>
                    </w:rPr>
                    <w:t>En vertu de la circulaire PLP 41, ces accords doivent être formalisés dans des conventions écrites associant, dans l’état actuel des choses, établissements scolaires, police, procureur du Roi et bourgmestres compétents dans la zone de police concernée.</w:t>
                  </w:r>
                </w:p>
                <w:p>
                  <w:pPr>
                    <w:jc w:val="both"/>
                    <w:rPr>
                      <w:rFonts w:cs="Arial"/>
                    </w:rPr>
                  </w:pPr>
                </w:p>
                <w:p>
                  <w:pPr>
                    <w:jc w:val="both"/>
                    <w:rPr>
                      <w:rFonts w:cs="Arial"/>
                    </w:rPr>
                  </w:pPr>
                  <w:r>
                    <w:rPr>
                      <w:rFonts w:cs="Arial"/>
                    </w:rPr>
                    <w:t>Les points qui suivent sont destinés à fournir aux chefs d’établissement quelques balises qui devraient leur permettre de mener les négociations préalables à la conclusion de ces conventions.</w:t>
                  </w:r>
                </w:p>
                <w:p>
                  <w:pPr>
                    <w:rPr>
                      <w:rFonts w:cs="Arial"/>
                    </w:rPr>
                  </w:pPr>
                </w:p>
                <w:p>
                  <w:pPr>
                    <w:pStyle w:val="Titre6"/>
                  </w:pPr>
                  <w:bookmarkStart w:id="613" w:name="_Toc291075529"/>
                  <w:bookmarkStart w:id="614" w:name="_Toc291075953"/>
                  <w:bookmarkStart w:id="615" w:name="_Toc291076377"/>
                  <w:bookmarkStart w:id="616" w:name="_Toc291076801"/>
                  <w:bookmarkStart w:id="617" w:name="_Toc291077225"/>
                  <w:bookmarkStart w:id="618" w:name="_Toc293652068"/>
                  <w:bookmarkStart w:id="619" w:name="_Toc293653650"/>
                  <w:bookmarkStart w:id="620" w:name="_Toc293654261"/>
                  <w:bookmarkStart w:id="621" w:name="_Toc294004841"/>
                  <w:bookmarkStart w:id="622" w:name="_Toc294185337"/>
                  <w:bookmarkStart w:id="623" w:name="_Toc324767203"/>
                  <w:bookmarkStart w:id="624" w:name="_Toc324768061"/>
                  <w:r>
                    <w:t>1.3.1.2. Principe de base : la liberté de conclure ou de ne pas conclure</w:t>
                  </w:r>
                  <w:bookmarkEnd w:id="613"/>
                  <w:bookmarkEnd w:id="614"/>
                  <w:bookmarkEnd w:id="615"/>
                  <w:bookmarkEnd w:id="616"/>
                  <w:bookmarkEnd w:id="617"/>
                  <w:bookmarkEnd w:id="618"/>
                  <w:bookmarkEnd w:id="619"/>
                  <w:bookmarkEnd w:id="620"/>
                  <w:bookmarkEnd w:id="621"/>
                  <w:bookmarkEnd w:id="622"/>
                  <w:bookmarkEnd w:id="623"/>
                  <w:bookmarkEnd w:id="624"/>
                </w:p>
                <w:p>
                  <w:pPr>
                    <w:jc w:val="both"/>
                    <w:rPr>
                      <w:rFonts w:cs="Arial"/>
                    </w:rPr>
                  </w:pPr>
                </w:p>
                <w:p>
                  <w:pPr>
                    <w:jc w:val="both"/>
                    <w:rPr>
                      <w:rFonts w:cs="Arial"/>
                      <w:b/>
                      <w:bCs/>
                    </w:rPr>
                  </w:pPr>
                  <w:r>
                    <w:rPr>
                      <w:rFonts w:cs="Arial"/>
                      <w:b/>
                      <w:bCs/>
                    </w:rPr>
                    <w:t xml:space="preserve">Avant toute chose, l’opportunité de conclure ces conventions relève de l’appréciation du chef d’établissement. </w:t>
                  </w:r>
                </w:p>
                <w:p>
                  <w:pPr>
                    <w:jc w:val="both"/>
                    <w:rPr>
                      <w:rFonts w:cs="Arial"/>
                    </w:rPr>
                  </w:pPr>
                  <w:r>
                    <w:rPr>
                      <w:rFonts w:cs="Arial"/>
                    </w:rPr>
                    <w:t>Il s’agit d’apprécier ce que peut apporter la conclusion de la convention compte tenu du contexte dans lequel travaille l’établissement et des négociations préalables.</w:t>
                  </w:r>
                </w:p>
                <w:p>
                  <w:pPr>
                    <w:jc w:val="both"/>
                    <w:rPr>
                      <w:rFonts w:cs="Arial"/>
                    </w:rPr>
                  </w:pPr>
                  <w:r>
                    <w:rPr>
                      <w:rFonts w:cs="Arial"/>
                    </w:rPr>
                    <w:t xml:space="preserve">On notera que l’absence de convention n’exclut pas le recours au point de contact, ni des collaborations plus ponctuelles dans le cadre de campagnes de prévention. </w:t>
                  </w:r>
                </w:p>
                <w:p>
                  <w:pPr>
                    <w:jc w:val="both"/>
                    <w:rPr>
                      <w:rFonts w:cs="Arial"/>
                    </w:rPr>
                  </w:pPr>
                  <w:r>
                    <w:rPr>
                      <w:rFonts w:cs="Arial"/>
                    </w:rPr>
                    <w:t>Ces deux aspects – désignation d’un point de contact et politique préventive – sont en effet imposés aux zones de police par la circulaire PLP 41.</w:t>
                  </w:r>
                </w:p>
                <w:p>
                  <w:pPr>
                    <w:jc w:val="both"/>
                    <w:rPr>
                      <w:rFonts w:cs="Arial"/>
                    </w:rPr>
                  </w:pPr>
                </w:p>
                <w:p>
                  <w:pPr>
                    <w:pStyle w:val="Titre6"/>
                  </w:pPr>
                  <w:bookmarkStart w:id="625" w:name="_Toc291075530"/>
                  <w:bookmarkStart w:id="626" w:name="_Toc291075954"/>
                  <w:bookmarkStart w:id="627" w:name="_Toc291076378"/>
                  <w:bookmarkStart w:id="628" w:name="_Toc291076802"/>
                  <w:bookmarkStart w:id="629" w:name="_Toc291077226"/>
                  <w:bookmarkStart w:id="630" w:name="_Toc293652069"/>
                  <w:bookmarkStart w:id="631" w:name="_Toc293653651"/>
                  <w:bookmarkStart w:id="632" w:name="_Toc293654262"/>
                  <w:bookmarkStart w:id="633" w:name="_Toc294004842"/>
                  <w:bookmarkStart w:id="634" w:name="_Toc294185338"/>
                  <w:bookmarkStart w:id="635" w:name="_Toc324767204"/>
                  <w:bookmarkStart w:id="636" w:name="_Toc324768062"/>
                  <w:r>
                    <w:t>1.3.1.3. Le décrochage scolaire</w:t>
                  </w:r>
                  <w:bookmarkEnd w:id="625"/>
                  <w:bookmarkEnd w:id="626"/>
                  <w:bookmarkEnd w:id="627"/>
                  <w:bookmarkEnd w:id="628"/>
                  <w:bookmarkEnd w:id="629"/>
                  <w:bookmarkEnd w:id="630"/>
                  <w:bookmarkEnd w:id="631"/>
                  <w:bookmarkEnd w:id="632"/>
                  <w:bookmarkEnd w:id="633"/>
                  <w:bookmarkEnd w:id="634"/>
                  <w:bookmarkEnd w:id="635"/>
                  <w:bookmarkEnd w:id="636"/>
                </w:p>
                <w:p>
                  <w:pPr>
                    <w:jc w:val="both"/>
                    <w:rPr>
                      <w:rFonts w:cs="Arial"/>
                    </w:rPr>
                  </w:pPr>
                </w:p>
                <w:p>
                  <w:pPr>
                    <w:jc w:val="both"/>
                    <w:rPr>
                      <w:rFonts w:cs="Arial"/>
                    </w:rPr>
                  </w:pPr>
                  <w:r>
                    <w:rPr>
                      <w:rFonts w:cs="Arial"/>
                    </w:rPr>
                    <w:t>Tant la circulaire PLP 41 que les projets de convention examinés se réfèrent aux situations de décrochage ou d’absentéisme scolaire.</w:t>
                  </w:r>
                </w:p>
                <w:p>
                  <w:pPr>
                    <w:jc w:val="both"/>
                    <w:rPr>
                      <w:rFonts w:cs="Arial"/>
                    </w:rPr>
                  </w:pPr>
                  <w:r>
                    <w:rPr>
                      <w:rFonts w:cs="Arial"/>
                    </w:rPr>
                    <w:t>Ainsi que le rappelle la présente circulaire, la Fédération Wallonie-Bruxelles a élaboré une série de dispositifs destinés à faire face à cette problématique. Ces dispositifs s’inscrivent résolument dans une optique non répressive et s’organisent autour de l’intervention d’organismes de type social.</w:t>
                  </w:r>
                </w:p>
                <w:p>
                  <w:pPr>
                    <w:jc w:val="both"/>
                    <w:rPr>
                      <w:rFonts w:cs="Arial"/>
                    </w:rPr>
                  </w:pPr>
                  <w:r>
                    <w:rPr>
                      <w:rFonts w:cs="Arial"/>
                    </w:rPr>
                    <w:t>Les cas dans lesquels la police ou le procureur du Roi sont amenés à intervenir sont clairement définis.</w:t>
                  </w:r>
                </w:p>
                <w:p>
                  <w:pPr>
                    <w:jc w:val="both"/>
                    <w:rPr>
                      <w:rFonts w:cs="Arial"/>
                      <w:b/>
                      <w:bCs/>
                    </w:rPr>
                  </w:pPr>
                  <w:r>
                    <w:rPr>
                      <w:rFonts w:cs="Arial"/>
                      <w:b/>
                      <w:bCs/>
                    </w:rPr>
                    <w:t>La transmission de données individuelles et nominatives relatives à des élèves en décrochage scolaire est donc exclue et ne peut être prévue dans la convention.</w:t>
                  </w:r>
                </w:p>
                <w:p>
                  <w:pPr>
                    <w:jc w:val="both"/>
                    <w:rPr>
                      <w:rFonts w:cs="Arial"/>
                    </w:rPr>
                  </w:pPr>
                </w:p>
                <w:p>
                  <w:pPr>
                    <w:pStyle w:val="Titre6"/>
                  </w:pPr>
                  <w:bookmarkStart w:id="637" w:name="_Toc291075531"/>
                  <w:bookmarkStart w:id="638" w:name="_Toc291075955"/>
                  <w:bookmarkStart w:id="639" w:name="_Toc291076379"/>
                  <w:bookmarkStart w:id="640" w:name="_Toc291076803"/>
                  <w:bookmarkStart w:id="641" w:name="_Toc291077227"/>
                  <w:bookmarkStart w:id="642" w:name="_Toc293652070"/>
                  <w:bookmarkStart w:id="643" w:name="_Toc293653652"/>
                  <w:bookmarkStart w:id="644" w:name="_Toc293654263"/>
                  <w:bookmarkStart w:id="645" w:name="_Toc294004843"/>
                  <w:bookmarkStart w:id="646" w:name="_Toc294185339"/>
                  <w:bookmarkStart w:id="647" w:name="_Toc324767205"/>
                  <w:bookmarkStart w:id="648" w:name="_Toc324768063"/>
                  <w:r>
                    <w:t>1.3.1.4. Portée de la collaboration</w:t>
                  </w:r>
                  <w:bookmarkEnd w:id="637"/>
                  <w:bookmarkEnd w:id="638"/>
                  <w:bookmarkEnd w:id="639"/>
                  <w:bookmarkEnd w:id="640"/>
                  <w:bookmarkEnd w:id="641"/>
                  <w:bookmarkEnd w:id="642"/>
                  <w:bookmarkEnd w:id="643"/>
                  <w:bookmarkEnd w:id="644"/>
                  <w:bookmarkEnd w:id="645"/>
                  <w:bookmarkEnd w:id="646"/>
                  <w:bookmarkEnd w:id="647"/>
                  <w:bookmarkEnd w:id="648"/>
                </w:p>
                <w:p>
                  <w:pPr>
                    <w:jc w:val="both"/>
                    <w:rPr>
                      <w:rFonts w:cs="Arial"/>
                    </w:rPr>
                  </w:pPr>
                </w:p>
                <w:p>
                  <w:pPr>
                    <w:jc w:val="both"/>
                    <w:rPr>
                      <w:rFonts w:cs="Arial"/>
                    </w:rPr>
                  </w:pPr>
                  <w:r>
                    <w:rPr>
                      <w:rFonts w:cs="Arial"/>
                    </w:rPr>
                    <w:t>De manière générale, on peut distinguer les accords de collaboration portant sur des mesures générales de ceux portant sur des situations individuelles.</w:t>
                  </w:r>
                </w:p>
                <w:p>
                  <w:pPr>
                    <w:jc w:val="both"/>
                    <w:rPr>
                      <w:rFonts w:cs="Arial"/>
                    </w:rPr>
                  </w:pPr>
                </w:p>
                <w:p>
                  <w:pPr>
                    <w:jc w:val="both"/>
                    <w:rPr>
                      <w:rFonts w:cs="Arial"/>
                    </w:rPr>
                  </w:pPr>
                  <w:r>
                    <w:rPr>
                      <w:rFonts w:cs="Arial"/>
                    </w:rPr>
                    <w:t>Les accords peuvent en effet porter sur l’organisation de campagnes de sensibilisation, d’information ou de prévention dont les thèmes et les modalités seraient établis de commun accord, étant entendu que ce type d’intervention doit également pouvoir être organisé avec d’autres services.</w:t>
                  </w:r>
                </w:p>
                <w:p>
                  <w:pPr>
                    <w:jc w:val="both"/>
                    <w:rPr>
                      <w:rFonts w:cs="Arial"/>
                    </w:rPr>
                  </w:pPr>
                </w:p>
                <w:p>
                  <w:pPr>
                    <w:jc w:val="both"/>
                    <w:rPr>
                      <w:rFonts w:cs="Arial"/>
                    </w:rPr>
                  </w:pPr>
                  <w:r>
                    <w:rPr>
                      <w:rFonts w:cs="Arial"/>
                    </w:rPr>
                    <w:t>En ce qui concerne les situations individuelles, il faut rappeler que le Code d’instruction criminelle impose de toute façon la dénonciation de crimes ou délits dont on prendrait connaissance</w:t>
                  </w:r>
                  <w:r>
                    <w:rPr>
                      <w:rStyle w:val="Caractresdenotedebasdepage"/>
                      <w:rFonts w:cs="Arial"/>
                    </w:rPr>
                    <w:footnoteReference w:id="49"/>
                  </w:r>
                  <w:r>
                    <w:rPr>
                      <w:rFonts w:cs="Arial"/>
                    </w:rPr>
                    <w:t xml:space="preserve">. </w:t>
                  </w:r>
                </w:p>
                <w:p>
                  <w:pPr>
                    <w:jc w:val="both"/>
                    <w:rPr>
                      <w:rFonts w:cs="Arial"/>
                    </w:rPr>
                  </w:pPr>
                  <w:r>
                    <w:rPr>
                      <w:rFonts w:cs="Arial"/>
                    </w:rPr>
                    <w:t>Dans ce cadre, le chef d’établissement n’a pas à être amené à sortir de son rôle d’éducateur. Il n’est pas non plus tenu de mettre en cause sa responsabilité en dehors de ses obligations légales.</w:t>
                  </w:r>
                </w:p>
                <w:p>
                  <w:pPr>
                    <w:jc w:val="both"/>
                    <w:rPr>
                      <w:rFonts w:cs="Arial"/>
                    </w:rPr>
                  </w:pPr>
                </w:p>
                <w:p>
                  <w:pPr>
                    <w:pStyle w:val="Titre6"/>
                  </w:pPr>
                  <w:bookmarkStart w:id="649" w:name="_Toc291075532"/>
                  <w:bookmarkStart w:id="650" w:name="_Toc291075956"/>
                  <w:bookmarkStart w:id="651" w:name="_Toc291076380"/>
                  <w:bookmarkStart w:id="652" w:name="_Toc291076804"/>
                  <w:bookmarkStart w:id="653" w:name="_Toc291077228"/>
                  <w:bookmarkStart w:id="654" w:name="_Toc293652071"/>
                  <w:bookmarkStart w:id="655" w:name="_Toc293653653"/>
                  <w:bookmarkStart w:id="656" w:name="_Toc293654264"/>
                  <w:bookmarkStart w:id="657" w:name="_Toc294004844"/>
                  <w:bookmarkStart w:id="658" w:name="_Toc294185340"/>
                  <w:bookmarkStart w:id="659" w:name="_Toc324767206"/>
                  <w:bookmarkStart w:id="660" w:name="_Toc324768064"/>
                  <w:r>
                    <w:t>1.3.1.5. Procédure</w:t>
                  </w:r>
                  <w:bookmarkEnd w:id="649"/>
                  <w:bookmarkEnd w:id="650"/>
                  <w:bookmarkEnd w:id="651"/>
                  <w:bookmarkEnd w:id="652"/>
                  <w:bookmarkEnd w:id="653"/>
                  <w:bookmarkEnd w:id="654"/>
                  <w:bookmarkEnd w:id="655"/>
                  <w:bookmarkEnd w:id="656"/>
                  <w:bookmarkEnd w:id="657"/>
                  <w:bookmarkEnd w:id="658"/>
                  <w:bookmarkEnd w:id="659"/>
                  <w:bookmarkEnd w:id="660"/>
                </w:p>
                <w:p>
                  <w:pPr>
                    <w:jc w:val="both"/>
                    <w:rPr>
                      <w:rFonts w:cs="Arial"/>
                    </w:rPr>
                  </w:pPr>
                </w:p>
                <w:p>
                  <w:pPr>
                    <w:jc w:val="both"/>
                    <w:rPr>
                      <w:rFonts w:cs="Arial"/>
                    </w:rPr>
                  </w:pPr>
                  <w:r>
                    <w:rPr>
                      <w:rFonts w:cs="Arial"/>
                    </w:rPr>
                    <w:t>Puisque la décision de conclure ou non une convention relève de l’appréciation du chef d’établissement, lorsque celui-ci estime une telle convention opportune, il doit motiver par écrit sa décision. Cette motivation permettra à la Direction générale et, le cas échéant, au Ministre compétent de mieux cerner le contexte dans lequel s’inscrit la convention.</w:t>
                  </w:r>
                </w:p>
                <w:p>
                  <w:pPr>
                    <w:jc w:val="both"/>
                    <w:rPr>
                      <w:rFonts w:cs="Arial"/>
                    </w:rPr>
                  </w:pPr>
                </w:p>
                <w:p>
                  <w:pPr>
                    <w:jc w:val="both"/>
                    <w:rPr>
                      <w:rFonts w:cs="Arial"/>
                    </w:rPr>
                  </w:pPr>
                  <w:r>
                    <w:rPr>
                      <w:rFonts w:cs="Arial"/>
                    </w:rPr>
                    <w:t>Lorsqu’il a mené à bien les négociations préalables, il communique, préalablement à la signature, le projet</w:t>
                  </w:r>
                  <w:r>
                    <w:rPr>
                      <w:rStyle w:val="Caractresdenotedebasdepage"/>
                      <w:rFonts w:cs="Arial"/>
                    </w:rPr>
                    <w:footnoteReference w:id="50"/>
                  </w:r>
                  <w:r>
                    <w:rPr>
                      <w:rFonts w:cs="Arial"/>
                    </w:rPr>
                    <w:t>, accompagné de sa motivation, à la Direction générale pour accord</w:t>
                  </w:r>
                  <w:r>
                    <w:rPr>
                      <w:rStyle w:val="Caractresdenotedebasdepage"/>
                      <w:rFonts w:cs="Arial"/>
                    </w:rPr>
                    <w:footnoteReference w:id="51"/>
                  </w:r>
                  <w:r>
                    <w:rPr>
                      <w:rFonts w:cs="Arial"/>
                    </w:rPr>
                    <w:t>.</w:t>
                  </w:r>
                </w:p>
                <w:p>
                  <w:pPr>
                    <w:jc w:val="both"/>
                    <w:rPr>
                      <w:rFonts w:cs="Arial"/>
                    </w:rPr>
                  </w:pPr>
                  <w:r>
                    <w:rPr>
                      <w:rFonts w:cs="Arial"/>
                    </w:rPr>
                    <w:t>En cas de désaccord portant sur un point essentiel de la convention, celle-ci sera transmise au  Ministre qui a l’enseignement dans ses attributions, qui tranchera.</w:t>
                  </w:r>
                </w:p>
                <w:p>
                  <w:pPr>
                    <w:jc w:val="both"/>
                    <w:rPr>
                      <w:b/>
                      <w:highlight w:val="lightGray"/>
                    </w:rPr>
                  </w:pPr>
                  <w:bookmarkStart w:id="661" w:name="_1.5._Gratuité_de"/>
                  <w:bookmarkStart w:id="662" w:name="_Toc356216042"/>
                  <w:bookmarkStart w:id="663" w:name="_Toc412204081"/>
                  <w:bookmarkStart w:id="664" w:name="_Toc414352889"/>
                  <w:bookmarkStart w:id="665" w:name="_Toc453836912"/>
                  <w:bookmarkStart w:id="666" w:name="_Toc293654271"/>
                  <w:bookmarkStart w:id="667" w:name="_Toc294004851"/>
                  <w:bookmarkStart w:id="668" w:name="_Toc294185347"/>
                  <w:bookmarkStart w:id="669" w:name="_Toc324767213"/>
                  <w:bookmarkEnd w:id="661"/>
                </w:p>
                <w:p>
                  <w:pPr>
                    <w:pStyle w:val="Titre4"/>
                    <w:numPr>
                      <w:ilvl w:val="1"/>
                      <w:numId w:val="220"/>
                    </w:numPr>
                  </w:pPr>
                  <w:bookmarkStart w:id="670" w:name="_Gratuité_d’accès_à"/>
                  <w:bookmarkEnd w:id="670"/>
                  <w:r>
                    <w:t>Gratuité d’accès</w:t>
                  </w:r>
                  <w:r>
                    <w:rPr>
                      <w:color w:val="FF0000"/>
                    </w:rPr>
                    <w:t xml:space="preserve"> </w:t>
                  </w:r>
                  <w:r>
                    <w:t>à l’enseignement</w:t>
                  </w:r>
                  <w:bookmarkEnd w:id="662"/>
                  <w:r>
                    <w:rPr>
                      <w:rStyle w:val="Appelnotedebasdep"/>
                    </w:rPr>
                    <w:footnoteReference w:id="52"/>
                  </w:r>
                  <w:bookmarkEnd w:id="663"/>
                  <w:bookmarkEnd w:id="664"/>
                  <w:bookmarkEnd w:id="665"/>
                </w:p>
                <w:p>
                  <w:pPr>
                    <w:jc w:val="both"/>
                  </w:pPr>
                </w:p>
                <w:p>
                  <w:pPr>
                    <w:pStyle w:val="Titre5"/>
                  </w:pPr>
                  <w:r>
                    <w:t>1.4.1. Règles générales</w:t>
                  </w:r>
                </w:p>
                <w:p>
                  <w:pPr>
                    <w:pStyle w:val="Default"/>
                    <w:jc w:val="both"/>
                    <w:rPr>
                      <w:rFonts w:asciiTheme="majorHAnsi" w:hAnsiTheme="majorHAnsi"/>
                      <w:bCs/>
                      <w:iCs/>
                      <w:sz w:val="22"/>
                      <w:szCs w:val="22"/>
                    </w:rPr>
                  </w:pPr>
                </w:p>
                <w:p>
                  <w:pPr>
                    <w:pStyle w:val="Default"/>
                    <w:pBdr>
                      <w:right w:val="single" w:sz="4" w:space="4" w:color="auto"/>
                    </w:pBdr>
                    <w:jc w:val="both"/>
                    <w:rPr>
                      <w:rFonts w:asciiTheme="majorHAnsi" w:hAnsiTheme="majorHAnsi"/>
                      <w:sz w:val="22"/>
                      <w:szCs w:val="22"/>
                    </w:rPr>
                  </w:pPr>
                  <w:r>
                    <w:rPr>
                      <w:rFonts w:asciiTheme="majorHAnsi" w:hAnsiTheme="majorHAnsi"/>
                      <w:sz w:val="22"/>
                      <w:szCs w:val="22"/>
                    </w:rPr>
                    <w:t xml:space="preserve">L’accès à l’enseignement fondamental est gratuit dans les établissements organisés ou subventionnés par la Fédération Wallonie-Bruxelles. </w:t>
                  </w:r>
                </w:p>
                <w:p>
                  <w:pPr>
                    <w:pStyle w:val="Default"/>
                    <w:pBdr>
                      <w:right w:val="single" w:sz="4" w:space="4" w:color="auto"/>
                    </w:pBdr>
                    <w:jc w:val="both"/>
                    <w:rPr>
                      <w:rFonts w:asciiTheme="majorHAnsi" w:hAnsiTheme="majorHAnsi"/>
                      <w:sz w:val="22"/>
                      <w:szCs w:val="22"/>
                    </w:rPr>
                  </w:pPr>
                </w:p>
                <w:p>
                  <w:pPr>
                    <w:pStyle w:val="Paragraphedeliste"/>
                    <w:pBdr>
                      <w:right w:val="single" w:sz="4" w:space="4" w:color="auto"/>
                    </w:pBdr>
                    <w:ind w:left="0"/>
                    <w:jc w:val="both"/>
                    <w:rPr>
                      <w:rFonts w:asciiTheme="majorHAnsi" w:hAnsiTheme="majorHAnsi" w:cs="Calibri"/>
                      <w:sz w:val="22"/>
                      <w:szCs w:val="22"/>
                    </w:rPr>
                  </w:pPr>
                  <w:r>
                    <w:rPr>
                      <w:rFonts w:asciiTheme="majorHAnsi" w:hAnsiTheme="majorHAnsi" w:cs="Calibri"/>
                      <w:sz w:val="22"/>
                      <w:szCs w:val="22"/>
                    </w:rPr>
                    <w:t xml:space="preserve">Aucun </w:t>
                  </w:r>
                  <w:r>
                    <w:rPr>
                      <w:rFonts w:asciiTheme="majorHAnsi" w:hAnsiTheme="majorHAnsi" w:cs="Calibri"/>
                      <w:b/>
                      <w:sz w:val="22"/>
                      <w:szCs w:val="22"/>
                    </w:rPr>
                    <w:t>minerval</w:t>
                  </w:r>
                  <w:r>
                    <w:rPr>
                      <w:rStyle w:val="Appelnotedebasdep"/>
                      <w:rFonts w:asciiTheme="majorHAnsi" w:eastAsiaTheme="minorEastAsia" w:hAnsiTheme="majorHAnsi" w:cs="Calibri"/>
                      <w:sz w:val="22"/>
                      <w:szCs w:val="22"/>
                    </w:rPr>
                    <w:footnoteReference w:id="53"/>
                  </w:r>
                  <w:r>
                    <w:rPr>
                      <w:rFonts w:asciiTheme="majorHAnsi" w:hAnsiTheme="majorHAnsi" w:cs="Calibri"/>
                      <w:sz w:val="22"/>
                      <w:szCs w:val="22"/>
                    </w:rPr>
                    <w:t xml:space="preserve"> direct ou indirect ne peut être demandé préalablement, au moment et après l’inscription de tout élève. Cela signifie notamment qu’un établissement scolaire ne peut pas conditionner une inscription au versement d’une somme d’argent, que ce soit à l’établissement lui-même ou à tout autre organisme (ASBL, Amicale, Association de fait…). </w:t>
                  </w:r>
                </w:p>
                <w:p>
                  <w:pPr>
                    <w:pBdr>
                      <w:right w:val="single" w:sz="4" w:space="4" w:color="auto"/>
                    </w:pBdr>
                    <w:jc w:val="both"/>
                    <w:rPr>
                      <w:rFonts w:cs="Calibri"/>
                    </w:rPr>
                  </w:pPr>
                </w:p>
                <w:p>
                  <w:pPr>
                    <w:pBdr>
                      <w:right w:val="single" w:sz="4" w:space="4" w:color="auto"/>
                    </w:pBdr>
                    <w:jc w:val="both"/>
                    <w:rPr>
                      <w:rFonts w:cs="Calibri"/>
                    </w:rPr>
                  </w:pPr>
                  <w:r>
                    <w:rPr>
                      <w:rFonts w:cs="Calibri"/>
                    </w:rPr>
                    <w:t xml:space="preserve">Le </w:t>
                  </w:r>
                  <w:r>
                    <w:rPr>
                      <w:rFonts w:cs="Calibri"/>
                      <w:b/>
                    </w:rPr>
                    <w:t>non-paiement des frais</w:t>
                  </w:r>
                  <w:r>
                    <w:rPr>
                      <w:rFonts w:cs="Calibri"/>
                    </w:rPr>
                    <w:t xml:space="preserve"> ne peut en aucun cas constituer, pour l’élève, un motif de refus d’inscription ou d’exclusion définitive ou de toute autre sanction.</w:t>
                  </w:r>
                </w:p>
                <w:p>
                  <w:pPr>
                    <w:jc w:val="both"/>
                    <w:rPr>
                      <w:rFonts w:cs="Calibri"/>
                    </w:rPr>
                  </w:pPr>
                  <w:r>
                    <w:rPr>
                      <w:rFonts w:cs="Calibri"/>
                    </w:rPr>
                    <w:t xml:space="preserve">Les Pouvoirs organisateurs n’impliquent pas les élèves mineurs dans le processus de paiement et dans le dialogue qu’ils entretiennent avec les parents ou la personne investie de l’autorité parentale à propos des frais scolaires et des décomptes périodiques. En ce sens, il appartient au Pouvoir organisateur ou à la Direction de l’école de fixer un mode de paiement qui permette d’éviter que de l’argent liquide ne transite par l’intermédiaire d’élèves mineurs (par exemple en privilégiant le paiement par virement bancaire). </w:t>
                  </w:r>
                </w:p>
                <w:p>
                  <w:pPr>
                    <w:jc w:val="both"/>
                    <w:rPr>
                      <w:rFonts w:cs="Calibri"/>
                    </w:rPr>
                  </w:pPr>
                </w:p>
                <w:p>
                  <w:pPr>
                    <w:jc w:val="both"/>
                    <w:rPr>
                      <w:rFonts w:cs="Calibri"/>
                    </w:rPr>
                  </w:pPr>
                  <w:r>
                    <w:rPr>
                      <w:rFonts w:cs="Calibri"/>
                    </w:rPr>
                    <w:t>Les Pouvoirs organisateurs peuvent mettre en place un paiement forfaitaire correspondant au coût moyen réel des frais</w:t>
                  </w:r>
                </w:p>
                <w:p>
                  <w:pPr>
                    <w:jc w:val="both"/>
                    <w:rPr>
                      <w:rFonts w:cs="Calibri"/>
                    </w:rPr>
                  </w:pPr>
                </w:p>
                <w:p>
                  <w:pPr>
                    <w:jc w:val="both"/>
                    <w:rPr>
                      <w:rFonts w:cs="Calibri"/>
                    </w:rPr>
                  </w:pPr>
                </w:p>
                <w:p>
                  <w:pPr>
                    <w:pStyle w:val="Default"/>
                    <w:jc w:val="both"/>
                    <w:rPr>
                      <w:rFonts w:asciiTheme="majorHAnsi" w:hAnsiTheme="majorHAnsi"/>
                      <w:sz w:val="22"/>
                      <w:szCs w:val="22"/>
                    </w:rPr>
                  </w:pPr>
                </w:p>
                <w:p>
                  <w:pPr>
                    <w:pStyle w:val="Titre5"/>
                  </w:pPr>
                  <w:r>
                    <w:t>1.4.2. Frais scolaires</w:t>
                  </w:r>
                  <w:r>
                    <w:rPr>
                      <w:rStyle w:val="Appelnotedebasdep"/>
                      <w:rFonts w:cs="Calibri"/>
                    </w:rPr>
                    <w:footnoteReference w:id="54"/>
                  </w:r>
                  <w:r>
                    <w:rPr>
                      <w:rStyle w:val="Appelnotedebasdep"/>
                      <w:rFonts w:cs="Calibri"/>
                    </w:rPr>
                    <w:footnoteReference w:id="55"/>
                  </w:r>
                </w:p>
                <w:p>
                  <w:pPr>
                    <w:pStyle w:val="Paragraphedeliste"/>
                    <w:ind w:left="0"/>
                    <w:jc w:val="both"/>
                    <w:rPr>
                      <w:rFonts w:ascii="Calibri" w:hAnsi="Calibri" w:cs="Calibri"/>
                      <w:bCs/>
                      <w:iCs/>
                      <w:sz w:val="22"/>
                      <w:szCs w:val="22"/>
                    </w:rPr>
                  </w:pPr>
                </w:p>
                <w:p>
                  <w:pPr>
                    <w:pStyle w:val="Titre6"/>
                  </w:pPr>
                  <w:r>
                    <w:t xml:space="preserve">1.4.2.1. Définition </w:t>
                  </w:r>
                </w:p>
                <w:p>
                  <w:pPr>
                    <w:pStyle w:val="Paragraphedeliste"/>
                    <w:pBdr>
                      <w:right w:val="single" w:sz="4" w:space="4" w:color="auto"/>
                    </w:pBdr>
                    <w:ind w:left="0"/>
                    <w:jc w:val="both"/>
                    <w:rPr>
                      <w:rFonts w:ascii="Calibri" w:hAnsi="Calibri" w:cs="Calibri"/>
                      <w:bCs/>
                      <w:iCs/>
                      <w:sz w:val="22"/>
                      <w:szCs w:val="22"/>
                    </w:rPr>
                  </w:pPr>
                </w:p>
                <w:p>
                  <w:pPr>
                    <w:pStyle w:val="Paragraphedeliste"/>
                    <w:pBdr>
                      <w:right w:val="single" w:sz="4" w:space="4" w:color="auto"/>
                    </w:pBdr>
                    <w:ind w:left="0"/>
                    <w:jc w:val="both"/>
                    <w:rPr>
                      <w:rFonts w:asciiTheme="majorHAnsi" w:eastAsiaTheme="minorHAnsi" w:hAnsiTheme="majorHAnsi" w:cs="Calibri"/>
                      <w:sz w:val="22"/>
                      <w:szCs w:val="22"/>
                      <w:lang w:eastAsia="en-US"/>
                    </w:rPr>
                  </w:pPr>
                  <w:r>
                    <w:rPr>
                      <w:rFonts w:asciiTheme="majorHAnsi" w:eastAsiaTheme="minorHAnsi" w:hAnsiTheme="majorHAnsi" w:cs="Calibri"/>
                      <w:sz w:val="22"/>
                      <w:szCs w:val="22"/>
                      <w:lang w:eastAsia="en-US"/>
                    </w:rPr>
                    <w:t>Les frais scolaires sont définis comme étant les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droits d'accès à la piscine, les droits d’accès aux activités culturelles et sportives et les frais liés aux séjours pédagogiques avec nuitée(s)</w:t>
                  </w:r>
                  <w:r>
                    <w:rPr>
                      <w:rFonts w:asciiTheme="majorHAnsi" w:eastAsiaTheme="minorHAnsi" w:hAnsiTheme="majorHAnsi"/>
                      <w:lang w:eastAsia="en-US"/>
                    </w:rPr>
                    <w:footnoteReference w:id="56"/>
                  </w:r>
                  <w:r>
                    <w:rPr>
                      <w:rFonts w:asciiTheme="majorHAnsi" w:eastAsiaTheme="minorHAnsi" w:hAnsiTheme="majorHAnsi" w:cs="Calibri"/>
                      <w:sz w:val="22"/>
                      <w:szCs w:val="22"/>
                      <w:lang w:eastAsia="en-US"/>
                    </w:rPr>
                    <w:t>.</w:t>
                  </w:r>
                </w:p>
                <w:p>
                  <w:pPr>
                    <w:pBdr>
                      <w:right w:val="single" w:sz="4" w:space="4" w:color="auto"/>
                    </w:pBdr>
                    <w:jc w:val="both"/>
                    <w:rPr>
                      <w:rFonts w:cs="Calibri"/>
                      <w:b/>
                      <w:u w:val="single"/>
                    </w:rPr>
                  </w:pPr>
                </w:p>
                <w:p>
                  <w:pPr>
                    <w:pBdr>
                      <w:right w:val="single" w:sz="4" w:space="4" w:color="auto"/>
                    </w:pBdr>
                    <w:jc w:val="both"/>
                    <w:rPr>
                      <w:rFonts w:cs="Calibri"/>
                    </w:rPr>
                  </w:pPr>
                  <w:r>
                    <w:rPr>
                      <w:rFonts w:cs="Calibri"/>
                      <w:b/>
                    </w:rPr>
                    <w:t>Les frais extrascolaires</w:t>
                  </w:r>
                  <w:r>
                    <w:rPr>
                      <w:rFonts w:cs="Calibri"/>
                    </w:rPr>
                    <w:t xml:space="preserve">, recouvrent les frais liés aux services annexes proposés par l’école, c’est-à-dire les frais liés aux temps durant lesquels l’élève n’est pas tenu d’être présent. </w:t>
                  </w:r>
                </w:p>
                <w:p>
                  <w:pPr>
                    <w:pBdr>
                      <w:right w:val="single" w:sz="4" w:space="4" w:color="auto"/>
                    </w:pBdr>
                    <w:jc w:val="both"/>
                    <w:rPr>
                      <w:rFonts w:cs="Calibri"/>
                    </w:rPr>
                  </w:pPr>
                  <w:r>
                    <w:rPr>
                      <w:rFonts w:cs="Calibri"/>
                    </w:rPr>
                    <w:t>Dès lors, le temps de midi, les garderies du matin et du soir ne constituent pas un temps scolaire. Par conséquent, le prescrit de l’article 100 du décret du 24 juillet 1997 « Missions » n’est pas applicable à ces périodes de la journée.</w:t>
                  </w:r>
                </w:p>
                <w:p>
                  <w:pPr>
                    <w:pBdr>
                      <w:right w:val="single" w:sz="4" w:space="4" w:color="auto"/>
                    </w:pBdr>
                    <w:jc w:val="both"/>
                    <w:rPr>
                      <w:rFonts w:cs="Calibri"/>
                    </w:rPr>
                  </w:pPr>
                </w:p>
                <w:p>
                  <w:pPr>
                    <w:pBdr>
                      <w:right w:val="single" w:sz="4" w:space="4" w:color="auto"/>
                    </w:pBdr>
                    <w:jc w:val="both"/>
                    <w:rPr>
                      <w:rFonts w:cs="Calibri"/>
                    </w:rPr>
                  </w:pPr>
                  <w:r>
                    <w:rPr>
                      <w:rFonts w:cs="Calibri"/>
                    </w:rPr>
                    <w:t>Il convient de distinguer deux types de frais :</w:t>
                  </w:r>
                </w:p>
                <w:p>
                  <w:pPr>
                    <w:numPr>
                      <w:ilvl w:val="0"/>
                      <w:numId w:val="266"/>
                    </w:numPr>
                    <w:pBdr>
                      <w:right w:val="single" w:sz="4" w:space="4" w:color="auto"/>
                    </w:pBdr>
                    <w:ind w:left="708"/>
                    <w:jc w:val="both"/>
                    <w:rPr>
                      <w:rFonts w:cs="Calibri"/>
                    </w:rPr>
                  </w:pPr>
                  <w:r>
                    <w:rPr>
                      <w:rFonts w:cs="Calibri"/>
                    </w:rPr>
                    <w:t xml:space="preserve">Pour les services proposés durant le temps de midi autres que la surveillance proprement dite, une participation des parents d’élèves aux frais peut être réclamée. Il peut ainsi notamment s’agir du bol de soupe distribué ou du repas servi aux élèves. </w:t>
                  </w:r>
                </w:p>
                <w:p>
                  <w:pPr>
                    <w:numPr>
                      <w:ilvl w:val="0"/>
                      <w:numId w:val="266"/>
                    </w:numPr>
                    <w:pBdr>
                      <w:right w:val="single" w:sz="4" w:space="4" w:color="auto"/>
                    </w:pBdr>
                    <w:jc w:val="both"/>
                    <w:rPr>
                      <w:rFonts w:cs="Calibri"/>
                    </w:rPr>
                  </w:pPr>
                  <w:r>
                    <w:rPr>
                      <w:rFonts w:cs="Calibri"/>
                    </w:rPr>
                    <w:t xml:space="preserve">Pour la surveillance du temps de midi proprement dite et dans l’Enseignement fondamental uniquement, une participation aux frais peut également être réclamée lorsque le cout est supérieur à l’intervention de la Fédération Wallonie-Bruxelles. </w:t>
                  </w:r>
                </w:p>
                <w:p>
                  <w:pPr>
                    <w:pBdr>
                      <w:right w:val="single" w:sz="4" w:space="4" w:color="auto"/>
                    </w:pBdr>
                    <w:ind w:left="708"/>
                    <w:jc w:val="both"/>
                    <w:rPr>
                      <w:rFonts w:cs="Calibri"/>
                    </w:rPr>
                  </w:pPr>
                  <w:r>
                    <w:rPr>
                      <w:rFonts w:cs="Calibri"/>
                    </w:rPr>
                    <w:t xml:space="preserve">Lorsqu’une participation aux frais est demandée aux parents, elle ne peut donc pas dépasser le montant correspondant au cout réel de la surveillance, diminuée du montant correspondant à l’intervention de la Fédération Wallonie-Bruxelles. </w:t>
                  </w:r>
                </w:p>
                <w:p>
                  <w:pPr>
                    <w:pBdr>
                      <w:right w:val="single" w:sz="4" w:space="4" w:color="auto"/>
                    </w:pBdr>
                    <w:tabs>
                      <w:tab w:val="left" w:pos="2955"/>
                    </w:tabs>
                    <w:jc w:val="both"/>
                    <w:rPr>
                      <w:rFonts w:cs="Calibri"/>
                    </w:rPr>
                  </w:pPr>
                  <w:r>
                    <w:rPr>
                      <w:rFonts w:cs="Calibri"/>
                    </w:rPr>
                    <w:tab/>
                  </w:r>
                </w:p>
                <w:p>
                  <w:pPr>
                    <w:pBdr>
                      <w:right w:val="single" w:sz="4" w:space="4" w:color="auto"/>
                    </w:pBdr>
                    <w:jc w:val="both"/>
                    <w:rPr>
                      <w:rFonts w:cs="Calibri"/>
                    </w:rPr>
                  </w:pPr>
                  <w:r>
                    <w:rPr>
                      <w:rFonts w:cs="Calibri"/>
                    </w:rPr>
                    <w:t>Enfin, le temps de midi étant un temps extrascolaire, un établissement scolaire ne peut pas imposer de manière absolue la présence des élèves à l’école durant le temps de midi et que les frais de surveillance/de garderie ne peuvent être imputés qu’aux élèves qui bénéficient de cet encadrement.</w:t>
                  </w:r>
                </w:p>
                <w:p>
                  <w:pPr>
                    <w:pStyle w:val="Default"/>
                    <w:pBdr>
                      <w:right w:val="single" w:sz="4" w:space="4" w:color="auto"/>
                    </w:pBdr>
                    <w:jc w:val="both"/>
                    <w:rPr>
                      <w:rFonts w:asciiTheme="majorHAnsi" w:hAnsiTheme="majorHAnsi"/>
                      <w:sz w:val="22"/>
                      <w:szCs w:val="22"/>
                      <w:lang w:val="fr-BE"/>
                    </w:rPr>
                  </w:pPr>
                </w:p>
                <w:p>
                  <w:pPr>
                    <w:pStyle w:val="Titre6"/>
                  </w:pPr>
                  <w:r>
                    <w:t xml:space="preserve">1.4.2.2. Enseignement maternel </w:t>
                  </w:r>
                </w:p>
                <w:p>
                  <w:pPr>
                    <w:pStyle w:val="Paragraphedeliste"/>
                    <w:pBdr>
                      <w:right w:val="single" w:sz="4" w:space="4" w:color="auto"/>
                    </w:pBdr>
                    <w:rPr>
                      <w:rFonts w:ascii="Calibri" w:hAnsi="Calibri" w:cs="Calibri"/>
                      <w:bCs/>
                      <w:iCs/>
                      <w:sz w:val="22"/>
                      <w:szCs w:val="22"/>
                    </w:rPr>
                  </w:pPr>
                </w:p>
                <w:p>
                  <w:pPr>
                    <w:pStyle w:val="Paragraphedeliste"/>
                    <w:pBdr>
                      <w:right w:val="single" w:sz="4" w:space="4" w:color="auto"/>
                    </w:pBdr>
                    <w:ind w:left="0"/>
                    <w:jc w:val="both"/>
                    <w:rPr>
                      <w:rFonts w:asciiTheme="majorHAnsi" w:eastAsiaTheme="minorHAnsi" w:hAnsiTheme="majorHAnsi" w:cs="Calibri"/>
                      <w:sz w:val="22"/>
                      <w:szCs w:val="22"/>
                      <w:lang w:eastAsia="en-US"/>
                    </w:rPr>
                  </w:pPr>
                  <w:r>
                    <w:rPr>
                      <w:rFonts w:asciiTheme="majorHAnsi" w:eastAsiaTheme="minorHAnsi" w:hAnsiTheme="majorHAnsi" w:cs="Calibri"/>
                      <w:sz w:val="22"/>
                      <w:szCs w:val="22"/>
                      <w:lang w:eastAsia="en-US"/>
                    </w:rPr>
                    <w:t xml:space="preserve">Les  écoles bénéficient, à partir de septembre 2019, d’une subvention spécifique à la gratuité destinée </w:t>
                  </w:r>
                  <w:r>
                    <w:rPr>
                      <w:rFonts w:asciiTheme="majorHAnsi" w:eastAsiaTheme="minorHAnsi" w:hAnsiTheme="majorHAnsi" w:cs="Calibri"/>
                      <w:b/>
                      <w:sz w:val="22"/>
                      <w:szCs w:val="22"/>
                      <w:lang w:eastAsia="en-US"/>
                    </w:rPr>
                    <w:t>prioritairement à l’achat des fournitures scolaires</w:t>
                  </w:r>
                  <w:r>
                    <w:rPr>
                      <w:rFonts w:asciiTheme="majorHAnsi" w:eastAsiaTheme="minorHAnsi" w:hAnsiTheme="majorHAnsi" w:cs="Calibri"/>
                      <w:sz w:val="22"/>
                      <w:szCs w:val="22"/>
                      <w:lang w:eastAsia="en-US"/>
                    </w:rPr>
                    <w:t xml:space="preserve">. Rappelons que ces dernières sont </w:t>
                  </w:r>
                  <w:r>
                    <w:rPr>
                      <w:rFonts w:asciiTheme="majorHAnsi" w:eastAsiaTheme="minorHAnsi" w:hAnsiTheme="majorHAnsi" w:cs="Calibri"/>
                      <w:sz w:val="22"/>
                      <w:szCs w:val="22"/>
                      <w:u w:val="single"/>
                      <w:lang w:eastAsia="en-US"/>
                    </w:rPr>
                    <w:t>définies comme étant tous les matériels nécessaires pour atteindre les compétences</w:t>
                  </w:r>
                  <w:r>
                    <w:rPr>
                      <w:rFonts w:asciiTheme="majorHAnsi" w:eastAsiaTheme="minorHAnsi" w:hAnsiTheme="majorHAnsi" w:cs="Calibri"/>
                      <w:sz w:val="22"/>
                      <w:szCs w:val="22"/>
                      <w:lang w:eastAsia="en-US"/>
                    </w:rPr>
                    <w:t xml:space="preserve"> telles qu’énoncées dans le référentiel des compétences initiales.</w:t>
                  </w:r>
                </w:p>
                <w:p>
                  <w:pPr>
                    <w:pStyle w:val="Paragraphedeliste"/>
                    <w:pBdr>
                      <w:right w:val="single" w:sz="4" w:space="4" w:color="auto"/>
                    </w:pBdr>
                    <w:ind w:left="0"/>
                    <w:jc w:val="both"/>
                    <w:rPr>
                      <w:rFonts w:asciiTheme="majorHAnsi" w:hAnsiTheme="majorHAnsi" w:cs="Calibri"/>
                      <w:sz w:val="22"/>
                      <w:szCs w:val="22"/>
                    </w:rPr>
                  </w:pPr>
                  <w:r>
                    <w:rPr>
                      <w:rFonts w:asciiTheme="majorHAnsi" w:hAnsiTheme="majorHAnsi" w:cs="Calibri"/>
                      <w:sz w:val="22"/>
                      <w:szCs w:val="22"/>
                    </w:rPr>
                    <w:t xml:space="preserve">Si cette subvention spécifique destinée à l’ensemble des élèves inscrits au niveau maternel porte prioritairement sur l’achat de fournitures scolaires, elle peut également couvrir les frais scolaires liés à l’organisation d’activités scolaires ou de séjours pédagogiques avec nuitée(s). </w:t>
                  </w:r>
                </w:p>
                <w:p>
                  <w:pPr>
                    <w:pStyle w:val="Paragraphedeliste"/>
                    <w:pBdr>
                      <w:right w:val="single" w:sz="4" w:space="4" w:color="auto"/>
                    </w:pBdr>
                    <w:ind w:left="0"/>
                    <w:jc w:val="both"/>
                    <w:rPr>
                      <w:rFonts w:asciiTheme="majorHAnsi" w:hAnsiTheme="majorHAnsi" w:cs="Calibri"/>
                      <w:sz w:val="22"/>
                      <w:szCs w:val="22"/>
                    </w:rPr>
                  </w:pPr>
                </w:p>
                <w:p>
                  <w:pPr>
                    <w:pStyle w:val="Paragraphedeliste"/>
                    <w:pBdr>
                      <w:right w:val="single" w:sz="4" w:space="4" w:color="auto"/>
                    </w:pBdr>
                    <w:ind w:left="0"/>
                    <w:jc w:val="both"/>
                    <w:rPr>
                      <w:rFonts w:asciiTheme="majorHAnsi" w:hAnsiTheme="majorHAnsi" w:cs="Calibri"/>
                      <w:sz w:val="22"/>
                      <w:szCs w:val="22"/>
                    </w:rPr>
                  </w:pPr>
                  <w:r>
                    <w:rPr>
                      <w:rFonts w:asciiTheme="majorHAnsi" w:hAnsiTheme="majorHAnsi" w:cs="Calibri"/>
                      <w:sz w:val="22"/>
                      <w:szCs w:val="22"/>
                    </w:rPr>
                    <w:t xml:space="preserve">Le montant affecté aux frais et fournitures scolaires est versé au plus tard le 31 mars en vue de l’achat des fournitures scolaires de l’année scolaires suivantes et doit être dépensé au plus tard le 31 janvier de l’année suivant l’année scolaire en cours (la subvention versée en mars 2019 doit être dépensée pour le 31 janvier 2021). </w:t>
                  </w:r>
                </w:p>
                <w:p>
                  <w:pPr>
                    <w:pStyle w:val="Paragraphedeliste"/>
                    <w:pBdr>
                      <w:right w:val="single" w:sz="4" w:space="4" w:color="auto"/>
                    </w:pBdr>
                    <w:ind w:left="0"/>
                    <w:jc w:val="both"/>
                    <w:rPr>
                      <w:rFonts w:asciiTheme="majorHAnsi" w:hAnsiTheme="majorHAnsi" w:cs="Calibri"/>
                      <w:sz w:val="22"/>
                      <w:szCs w:val="22"/>
                    </w:rPr>
                  </w:pPr>
                </w:p>
                <w:p>
                  <w:pPr>
                    <w:pStyle w:val="Paragraphedeliste"/>
                    <w:pBdr>
                      <w:right w:val="single" w:sz="4" w:space="4" w:color="auto"/>
                    </w:pBdr>
                    <w:ind w:left="0"/>
                    <w:jc w:val="both"/>
                    <w:rPr>
                      <w:rFonts w:asciiTheme="majorHAnsi" w:hAnsiTheme="majorHAnsi" w:cs="Calibri"/>
                      <w:sz w:val="22"/>
                      <w:szCs w:val="22"/>
                    </w:rPr>
                  </w:pPr>
                  <w:r>
                    <w:rPr>
                      <w:rFonts w:asciiTheme="majorHAnsi" w:hAnsiTheme="majorHAnsi" w:cs="Calibri"/>
                      <w:sz w:val="22"/>
                      <w:szCs w:val="22"/>
                    </w:rPr>
                    <w:t xml:space="preserve">Ce montant est calculé sur la base du nombre d’élèves régulièrement inscrits dans l’enseignement maternel au sein de l’école à la date du 30 septembre de l’année précédente, multiplié par un montant forfaitaire de 50 euros indexé annuellement et multiplié par un coefficient de 1,2. </w:t>
                  </w:r>
                </w:p>
                <w:p>
                  <w:pPr>
                    <w:pStyle w:val="Paragraphedeliste"/>
                    <w:pBdr>
                      <w:right w:val="single" w:sz="4" w:space="4" w:color="auto"/>
                    </w:pBdr>
                    <w:ind w:left="0"/>
                    <w:jc w:val="both"/>
                    <w:rPr>
                      <w:rFonts w:asciiTheme="majorHAnsi" w:hAnsiTheme="majorHAnsi" w:cs="Calibri"/>
                      <w:sz w:val="22"/>
                      <w:szCs w:val="22"/>
                    </w:rPr>
                  </w:pPr>
                </w:p>
                <w:p>
                  <w:pPr>
                    <w:pBdr>
                      <w:right w:val="single" w:sz="4" w:space="4" w:color="auto"/>
                    </w:pBdr>
                    <w:autoSpaceDE w:val="0"/>
                    <w:autoSpaceDN w:val="0"/>
                    <w:adjustRightInd w:val="0"/>
                    <w:jc w:val="both"/>
                    <w:rPr>
                      <w:rFonts w:cs="Calibri"/>
                      <w:bCs/>
                    </w:rPr>
                  </w:pPr>
                  <w:r>
                    <w:rPr>
                      <w:rFonts w:cs="Calibri"/>
                      <w:b/>
                    </w:rPr>
                    <w:t>Seuls les 3 types de frais suivants</w:t>
                  </w:r>
                  <w:r>
                    <w:rPr>
                      <w:rFonts w:cs="Calibri"/>
                    </w:rPr>
                    <w:t xml:space="preserve"> peuvent être demandés aux</w:t>
                  </w:r>
                  <w:r>
                    <w:rPr>
                      <w:rFonts w:cs="Calibri"/>
                      <w:bCs/>
                    </w:rPr>
                    <w:t xml:space="preserve"> parents ou à la personne investie de l’autorité parentale :</w:t>
                  </w:r>
                </w:p>
                <w:p>
                  <w:pPr>
                    <w:pBdr>
                      <w:right w:val="single" w:sz="4" w:space="4" w:color="auto"/>
                    </w:pBdr>
                    <w:autoSpaceDE w:val="0"/>
                    <w:autoSpaceDN w:val="0"/>
                    <w:adjustRightInd w:val="0"/>
                    <w:jc w:val="both"/>
                    <w:rPr>
                      <w:rFonts w:cs="Calibri"/>
                      <w:bCs/>
                    </w:rPr>
                  </w:pPr>
                </w:p>
                <w:p>
                  <w:pPr>
                    <w:pStyle w:val="Paragraphedeliste"/>
                    <w:numPr>
                      <w:ilvl w:val="2"/>
                      <w:numId w:val="267"/>
                    </w:numPr>
                    <w:pBdr>
                      <w:right w:val="single" w:sz="4" w:space="4" w:color="auto"/>
                    </w:pBdr>
                    <w:suppressAutoHyphens w:val="0"/>
                    <w:autoSpaceDE w:val="0"/>
                    <w:autoSpaceDN w:val="0"/>
                    <w:adjustRightInd w:val="0"/>
                    <w:ind w:left="720"/>
                    <w:contextualSpacing/>
                    <w:jc w:val="both"/>
                    <w:rPr>
                      <w:rFonts w:asciiTheme="majorHAnsi" w:hAnsiTheme="majorHAnsi" w:cs="Calibri"/>
                      <w:bCs/>
                      <w:sz w:val="22"/>
                      <w:szCs w:val="22"/>
                    </w:rPr>
                  </w:pPr>
                  <w:r>
                    <w:rPr>
                      <w:rFonts w:asciiTheme="majorHAnsi" w:hAnsiTheme="majorHAnsi" w:cs="Calibri"/>
                      <w:bCs/>
                      <w:sz w:val="22"/>
                      <w:szCs w:val="22"/>
                    </w:rPr>
                    <w:t xml:space="preserve">les </w:t>
                  </w:r>
                  <w:r>
                    <w:rPr>
                      <w:rFonts w:asciiTheme="majorHAnsi" w:hAnsiTheme="majorHAnsi" w:cs="Calibri"/>
                      <w:b/>
                      <w:bCs/>
                      <w:sz w:val="22"/>
                      <w:szCs w:val="22"/>
                    </w:rPr>
                    <w:t>droits d'accès à la piscine</w:t>
                  </w:r>
                  <w:r>
                    <w:rPr>
                      <w:rFonts w:asciiTheme="majorHAnsi" w:hAnsiTheme="majorHAnsi" w:cs="Calibri"/>
                      <w:sz w:val="22"/>
                      <w:szCs w:val="22"/>
                    </w:rPr>
                    <w:t xml:space="preserve"> </w:t>
                  </w:r>
                  <w:r>
                    <w:rPr>
                      <w:rFonts w:asciiTheme="majorHAnsi" w:hAnsiTheme="majorHAnsi" w:cs="Calibri"/>
                      <w:bCs/>
                      <w:sz w:val="22"/>
                      <w:szCs w:val="22"/>
                    </w:rPr>
                    <w:t>ainsi que les déplacements qui y sont liés ;</w:t>
                  </w:r>
                </w:p>
                <w:p>
                  <w:pPr>
                    <w:pStyle w:val="Paragraphedeliste"/>
                    <w:numPr>
                      <w:ilvl w:val="2"/>
                      <w:numId w:val="267"/>
                    </w:numPr>
                    <w:pBdr>
                      <w:right w:val="single" w:sz="4" w:space="4" w:color="auto"/>
                    </w:pBdr>
                    <w:suppressAutoHyphens w:val="0"/>
                    <w:autoSpaceDE w:val="0"/>
                    <w:autoSpaceDN w:val="0"/>
                    <w:adjustRightInd w:val="0"/>
                    <w:ind w:left="720"/>
                    <w:contextualSpacing/>
                    <w:jc w:val="both"/>
                    <w:rPr>
                      <w:rFonts w:asciiTheme="majorHAnsi" w:hAnsiTheme="majorHAnsi" w:cs="Calibri"/>
                      <w:bCs/>
                      <w:sz w:val="22"/>
                      <w:szCs w:val="22"/>
                    </w:rPr>
                  </w:pPr>
                  <w:r>
                    <w:rPr>
                      <w:rFonts w:asciiTheme="majorHAnsi" w:hAnsiTheme="majorHAnsi" w:cs="Calibri"/>
                      <w:bCs/>
                      <w:sz w:val="22"/>
                      <w:szCs w:val="22"/>
                    </w:rPr>
                    <w:t xml:space="preserve">les </w:t>
                  </w:r>
                  <w:r>
                    <w:rPr>
                      <w:rFonts w:asciiTheme="majorHAnsi" w:hAnsiTheme="majorHAnsi" w:cs="Calibri"/>
                      <w:b/>
                      <w:bCs/>
                      <w:sz w:val="22"/>
                      <w:szCs w:val="22"/>
                    </w:rPr>
                    <w:t>droits d’accès aux activités culturelles et sportives</w:t>
                  </w:r>
                  <w:r>
                    <w:rPr>
                      <w:rFonts w:asciiTheme="majorHAnsi" w:hAnsiTheme="majorHAnsi" w:cs="Calibri"/>
                      <w:bCs/>
                      <w:sz w:val="22"/>
                      <w:szCs w:val="22"/>
                    </w:rPr>
                    <w:t xml:space="preserve"> s'inscrivant dans le projet pédagogique du pouvoir organisateur ou dans le projet d'établissement ainsi que les déplacements qui y sont liés, dans les limites des plafonds fixés par le Gouvernement (45€ par élève par année scolaire) ;</w:t>
                  </w:r>
                </w:p>
                <w:p>
                  <w:pPr>
                    <w:pStyle w:val="Paragraphedeliste"/>
                    <w:numPr>
                      <w:ilvl w:val="2"/>
                      <w:numId w:val="267"/>
                    </w:numPr>
                    <w:pBdr>
                      <w:right w:val="single" w:sz="4" w:space="4" w:color="auto"/>
                    </w:pBdr>
                    <w:suppressAutoHyphens w:val="0"/>
                    <w:autoSpaceDE w:val="0"/>
                    <w:autoSpaceDN w:val="0"/>
                    <w:adjustRightInd w:val="0"/>
                    <w:ind w:left="720"/>
                    <w:contextualSpacing/>
                    <w:jc w:val="both"/>
                    <w:rPr>
                      <w:rFonts w:asciiTheme="majorHAnsi" w:hAnsiTheme="majorHAnsi" w:cs="Calibri"/>
                      <w:bCs/>
                      <w:sz w:val="22"/>
                      <w:szCs w:val="22"/>
                    </w:rPr>
                  </w:pPr>
                  <w:r>
                    <w:rPr>
                      <w:rFonts w:asciiTheme="majorHAnsi" w:hAnsiTheme="majorHAnsi" w:cs="Calibri"/>
                      <w:bCs/>
                      <w:sz w:val="22"/>
                      <w:szCs w:val="22"/>
                    </w:rPr>
                    <w:t xml:space="preserve">les </w:t>
                  </w:r>
                  <w:r>
                    <w:rPr>
                      <w:rFonts w:asciiTheme="majorHAnsi" w:hAnsiTheme="majorHAnsi" w:cs="Calibri"/>
                      <w:b/>
                      <w:bCs/>
                      <w:sz w:val="22"/>
                      <w:szCs w:val="22"/>
                    </w:rPr>
                    <w:t>frais liés aux séjours pédagogiques avec nuitée(s),</w:t>
                  </w:r>
                  <w:r>
                    <w:rPr>
                      <w:rFonts w:asciiTheme="majorHAnsi" w:hAnsiTheme="majorHAnsi" w:cs="Calibri"/>
                      <w:bCs/>
                      <w:sz w:val="22"/>
                      <w:szCs w:val="22"/>
                    </w:rPr>
                    <w:t xml:space="preserve"> organisés par l’école et s'inscrivant dans le projet pédagogique du pouvoir organisateur ou dans le projet d'établissement ainsi que les déplacements qui y sont liés, dans les limites des plafonds fixés par le Gouvernement (100€ par élève pour la durée totale de la scolarité maternelle).</w:t>
                  </w:r>
                </w:p>
                <w:p>
                  <w:pPr>
                    <w:pBdr>
                      <w:right w:val="single" w:sz="4" w:space="4" w:color="auto"/>
                    </w:pBdr>
                    <w:autoSpaceDE w:val="0"/>
                    <w:autoSpaceDN w:val="0"/>
                    <w:adjustRightInd w:val="0"/>
                    <w:jc w:val="both"/>
                    <w:rPr>
                      <w:rFonts w:cs="Calibri"/>
                      <w:bCs/>
                    </w:rPr>
                  </w:pPr>
                </w:p>
                <w:p>
                  <w:pPr>
                    <w:pBdr>
                      <w:right w:val="single" w:sz="4" w:space="4" w:color="auto"/>
                    </w:pBdr>
                    <w:autoSpaceDE w:val="0"/>
                    <w:autoSpaceDN w:val="0"/>
                    <w:adjustRightInd w:val="0"/>
                    <w:jc w:val="both"/>
                    <w:rPr>
                      <w:rFonts w:cs="Calibri"/>
                      <w:bCs/>
                    </w:rPr>
                  </w:pPr>
                  <w:r>
                    <w:rPr>
                      <w:rFonts w:cs="Calibri"/>
                      <w:bCs/>
                    </w:rPr>
                    <w:t xml:space="preserve">Pour rappel, la subvention spécifique aux frais et fournitures scolaires peut, à titre subsidiaire, être utilisée pour diminuer l’intervention financière des parents d’élèves dans les frais liés aux activités scolaires, culturelles, sportives, séjours pédagogiques avec nuitée(s) et aux déplacements qui y sont liés. </w:t>
                  </w:r>
                </w:p>
                <w:p>
                  <w:pPr>
                    <w:pBdr>
                      <w:right w:val="single" w:sz="4" w:space="4" w:color="auto"/>
                    </w:pBdr>
                    <w:autoSpaceDE w:val="0"/>
                    <w:autoSpaceDN w:val="0"/>
                    <w:adjustRightInd w:val="0"/>
                    <w:jc w:val="both"/>
                    <w:rPr>
                      <w:rFonts w:cs="Calibri"/>
                      <w:bCs/>
                    </w:rPr>
                  </w:pPr>
                </w:p>
                <w:p>
                  <w:pPr>
                    <w:pBdr>
                      <w:right w:val="single" w:sz="4" w:space="4" w:color="auto"/>
                    </w:pBdr>
                    <w:autoSpaceDE w:val="0"/>
                    <w:autoSpaceDN w:val="0"/>
                    <w:adjustRightInd w:val="0"/>
                    <w:jc w:val="both"/>
                    <w:rPr>
                      <w:rFonts w:cs="Calibri"/>
                      <w:bCs/>
                    </w:rPr>
                  </w:pPr>
                  <w:r>
                    <w:rPr>
                      <w:rFonts w:cs="Calibri"/>
                      <w:bCs/>
                    </w:rPr>
                    <w:t xml:space="preserve">Les frais scolaires visés ci-dessus ne peuvent </w:t>
                  </w:r>
                  <w:r>
                    <w:rPr>
                      <w:rFonts w:cs="Calibri"/>
                      <w:b/>
                      <w:bCs/>
                    </w:rPr>
                    <w:t>en aucun cas être cumulés en vue d’un paiement forfaitaire et unique.</w:t>
                  </w:r>
                  <w:r>
                    <w:rPr>
                      <w:rFonts w:cs="Calibri"/>
                      <w:bCs/>
                    </w:rPr>
                    <w:t xml:space="preserve"> Ils sont imputés à des </w:t>
                  </w:r>
                  <w:r>
                    <w:rPr>
                      <w:rFonts w:cs="Calibri"/>
                      <w:b/>
                      <w:bCs/>
                    </w:rPr>
                    <w:t>services précis et effectivement organisés</w:t>
                  </w:r>
                  <w:r>
                    <w:rPr>
                      <w:rFonts w:cs="Calibri"/>
                      <w:bCs/>
                    </w:rPr>
                    <w:t xml:space="preserve">. En d’autres termes, chaque plafond doit rester attribué au poste prévu. </w:t>
                  </w:r>
                </w:p>
                <w:p>
                  <w:pPr>
                    <w:pBdr>
                      <w:right w:val="single" w:sz="4" w:space="4" w:color="auto"/>
                    </w:pBdr>
                    <w:autoSpaceDE w:val="0"/>
                    <w:autoSpaceDN w:val="0"/>
                    <w:adjustRightInd w:val="0"/>
                    <w:jc w:val="both"/>
                    <w:rPr>
                      <w:rFonts w:cs="Calibri"/>
                      <w:bCs/>
                      <w:color w:val="2E74B5"/>
                    </w:rPr>
                  </w:pPr>
                </w:p>
                <w:p>
                  <w:pPr>
                    <w:pBdr>
                      <w:right w:val="single" w:sz="4" w:space="4" w:color="auto"/>
                    </w:pBdr>
                    <w:autoSpaceDE w:val="0"/>
                    <w:autoSpaceDN w:val="0"/>
                    <w:adjustRightInd w:val="0"/>
                    <w:jc w:val="both"/>
                    <w:rPr>
                      <w:rFonts w:cs="Calibri"/>
                      <w:bCs/>
                    </w:rPr>
                  </w:pPr>
                  <w:r>
                    <w:rPr>
                      <w:rFonts w:cs="Calibri"/>
                      <w:bCs/>
                    </w:rPr>
                    <w:t>Seules les fournitures scolaires suivantes</w:t>
                  </w:r>
                  <w:r>
                    <w:rPr>
                      <w:rFonts w:cs="Calibri"/>
                      <w:b/>
                      <w:bCs/>
                    </w:rPr>
                    <w:t xml:space="preserve"> ne sont pas fournies par les écoles</w:t>
                  </w:r>
                  <w:r>
                    <w:rPr>
                      <w:rFonts w:cs="Calibri"/>
                      <w:bCs/>
                    </w:rPr>
                    <w:t xml:space="preserve"> et restent donc à charge des responsables légaux de l’élève : le cartable non garni,  le plumier non garni ainsi que les tenues vestimentaires et sportives usuelles de l’élève. La fourniture </w:t>
                  </w:r>
                  <w:r>
                    <w:rPr>
                      <w:rFonts w:cs="Calibri"/>
                    </w:rPr>
                    <w:t xml:space="preserve">des langes, des mouchoirs, des collations éventuelles et des repas reste de la prérogative des parents. </w:t>
                  </w:r>
                </w:p>
                <w:p>
                  <w:pPr>
                    <w:pBdr>
                      <w:right w:val="single" w:sz="4" w:space="4" w:color="auto"/>
                    </w:pBdr>
                    <w:autoSpaceDE w:val="0"/>
                    <w:autoSpaceDN w:val="0"/>
                    <w:adjustRightInd w:val="0"/>
                    <w:jc w:val="both"/>
                    <w:rPr>
                      <w:rFonts w:cs="Calibri"/>
                      <w:bCs/>
                    </w:rPr>
                  </w:pPr>
                </w:p>
                <w:p>
                  <w:pPr>
                    <w:pBdr>
                      <w:right w:val="single" w:sz="4" w:space="4" w:color="auto"/>
                    </w:pBdr>
                    <w:autoSpaceDE w:val="0"/>
                    <w:autoSpaceDN w:val="0"/>
                    <w:adjustRightInd w:val="0"/>
                    <w:jc w:val="both"/>
                    <w:rPr>
                      <w:rFonts w:cs="Calibri"/>
                      <w:bCs/>
                    </w:rPr>
                  </w:pPr>
                  <w:r>
                    <w:rPr>
                      <w:rFonts w:cs="Calibri"/>
                      <w:bCs/>
                    </w:rPr>
                    <w:t>Aucun fournisseur ou marque de fournitures scolaires, de tenues vestimentaires ou sportives usuelles ne peut être imposé aux parents ou à la personne investie de l’autorité parentale.</w:t>
                  </w:r>
                </w:p>
                <w:p>
                  <w:pPr>
                    <w:pStyle w:val="Paragraphedeliste"/>
                    <w:pBdr>
                      <w:right w:val="single" w:sz="4" w:space="4" w:color="auto"/>
                    </w:pBdr>
                    <w:jc w:val="both"/>
                    <w:rPr>
                      <w:rFonts w:ascii="Calibri" w:hAnsi="Calibri" w:cs="Calibri"/>
                      <w:color w:val="2E74B5"/>
                      <w:sz w:val="22"/>
                      <w:szCs w:val="22"/>
                    </w:rPr>
                  </w:pPr>
                </w:p>
                <w:p>
                  <w:pPr>
                    <w:pBdr>
                      <w:right w:val="single" w:sz="4" w:space="4" w:color="auto"/>
                    </w:pBdr>
                    <w:autoSpaceDE w:val="0"/>
                    <w:autoSpaceDN w:val="0"/>
                    <w:adjustRightInd w:val="0"/>
                    <w:jc w:val="both"/>
                    <w:rPr>
                      <w:rFonts w:cs="Calibri"/>
                      <w:b/>
                      <w:bCs/>
                    </w:rPr>
                  </w:pPr>
                  <w:r>
                    <w:rPr>
                      <w:rFonts w:cs="Calibri"/>
                      <w:b/>
                      <w:bCs/>
                    </w:rPr>
                    <w:t xml:space="preserve">En résumé, tous frais scolaires autres que ceux repris précédemment sont interdits et ne peuvent donc être réclamés à la personne investie de l’autorité parentale. </w:t>
                  </w:r>
                </w:p>
                <w:p>
                  <w:pPr>
                    <w:pBdr>
                      <w:right w:val="single" w:sz="4" w:space="4" w:color="auto"/>
                    </w:pBdr>
                    <w:jc w:val="both"/>
                    <w:rPr>
                      <w:rFonts w:cs="Calibri"/>
                      <w:color w:val="2E74B5"/>
                    </w:rPr>
                  </w:pPr>
                </w:p>
                <w:p>
                  <w:pPr>
                    <w:pStyle w:val="Titre6"/>
                  </w:pPr>
                  <w:r>
                    <w:t xml:space="preserve">1.4.2.3. Enseignement primaire </w:t>
                  </w:r>
                </w:p>
                <w:p>
                  <w:pPr>
                    <w:pStyle w:val="Paragraphedeliste"/>
                    <w:pBdr>
                      <w:right w:val="single" w:sz="4" w:space="4" w:color="auto"/>
                    </w:pBdr>
                    <w:jc w:val="both"/>
                    <w:rPr>
                      <w:rFonts w:asciiTheme="majorHAnsi" w:hAnsiTheme="majorHAnsi" w:cs="Calibri"/>
                      <w:color w:val="2E74B5"/>
                      <w:sz w:val="22"/>
                      <w:szCs w:val="22"/>
                    </w:rPr>
                  </w:pPr>
                </w:p>
                <w:p>
                  <w:pPr>
                    <w:pBdr>
                      <w:right w:val="single" w:sz="4" w:space="4" w:color="auto"/>
                    </w:pBdr>
                    <w:autoSpaceDE w:val="0"/>
                    <w:autoSpaceDN w:val="0"/>
                    <w:adjustRightInd w:val="0"/>
                    <w:jc w:val="both"/>
                    <w:rPr>
                      <w:rFonts w:cs="Calibri"/>
                      <w:bCs/>
                    </w:rPr>
                  </w:pPr>
                  <w:r>
                    <w:rPr>
                      <w:rFonts w:cs="Calibri"/>
                      <w:b/>
                    </w:rPr>
                    <w:t>Seuls les 3 types de frais suivants</w:t>
                  </w:r>
                  <w:r>
                    <w:rPr>
                      <w:rFonts w:cs="Calibri"/>
                    </w:rPr>
                    <w:t xml:space="preserve"> peuvent être demandés aux</w:t>
                  </w:r>
                  <w:r>
                    <w:rPr>
                      <w:rFonts w:cs="Calibri"/>
                      <w:bCs/>
                    </w:rPr>
                    <w:t xml:space="preserve"> parents ou à la personne investie de l’autorité parentale :</w:t>
                  </w:r>
                </w:p>
                <w:p>
                  <w:pPr>
                    <w:pBdr>
                      <w:right w:val="single" w:sz="4" w:space="4" w:color="auto"/>
                    </w:pBdr>
                    <w:autoSpaceDE w:val="0"/>
                    <w:autoSpaceDN w:val="0"/>
                    <w:adjustRightInd w:val="0"/>
                    <w:jc w:val="both"/>
                    <w:rPr>
                      <w:rFonts w:cs="Calibri"/>
                      <w:bCs/>
                    </w:rPr>
                  </w:pPr>
                </w:p>
                <w:p>
                  <w:pPr>
                    <w:pStyle w:val="Paragraphedeliste"/>
                    <w:numPr>
                      <w:ilvl w:val="2"/>
                      <w:numId w:val="268"/>
                    </w:numPr>
                    <w:pBdr>
                      <w:right w:val="single" w:sz="4" w:space="4" w:color="auto"/>
                    </w:pBdr>
                    <w:suppressAutoHyphens w:val="0"/>
                    <w:autoSpaceDE w:val="0"/>
                    <w:autoSpaceDN w:val="0"/>
                    <w:adjustRightInd w:val="0"/>
                    <w:ind w:left="720"/>
                    <w:contextualSpacing/>
                    <w:jc w:val="both"/>
                    <w:rPr>
                      <w:rFonts w:asciiTheme="majorHAnsi" w:hAnsiTheme="majorHAnsi" w:cs="Calibri"/>
                      <w:bCs/>
                      <w:sz w:val="22"/>
                      <w:szCs w:val="22"/>
                    </w:rPr>
                  </w:pPr>
                  <w:r>
                    <w:rPr>
                      <w:rFonts w:asciiTheme="majorHAnsi" w:hAnsiTheme="majorHAnsi" w:cs="Calibri"/>
                      <w:bCs/>
                      <w:sz w:val="22"/>
                      <w:szCs w:val="22"/>
                    </w:rPr>
                    <w:t xml:space="preserve">les </w:t>
                  </w:r>
                  <w:r>
                    <w:rPr>
                      <w:rFonts w:asciiTheme="majorHAnsi" w:hAnsiTheme="majorHAnsi" w:cs="Calibri"/>
                      <w:b/>
                      <w:bCs/>
                      <w:sz w:val="22"/>
                      <w:szCs w:val="22"/>
                    </w:rPr>
                    <w:t>droits d'accès à la piscine</w:t>
                  </w:r>
                  <w:r>
                    <w:rPr>
                      <w:rFonts w:asciiTheme="majorHAnsi" w:hAnsiTheme="majorHAnsi" w:cs="Calibri"/>
                      <w:sz w:val="22"/>
                      <w:szCs w:val="22"/>
                    </w:rPr>
                    <w:t xml:space="preserve"> </w:t>
                  </w:r>
                  <w:r>
                    <w:rPr>
                      <w:rFonts w:asciiTheme="majorHAnsi" w:hAnsiTheme="majorHAnsi" w:cs="Calibri"/>
                      <w:bCs/>
                      <w:sz w:val="22"/>
                      <w:szCs w:val="22"/>
                    </w:rPr>
                    <w:t>ainsi que les déplacements qui y sont liés ;</w:t>
                  </w:r>
                </w:p>
                <w:p>
                  <w:pPr>
                    <w:pStyle w:val="Paragraphedeliste"/>
                    <w:numPr>
                      <w:ilvl w:val="2"/>
                      <w:numId w:val="268"/>
                    </w:numPr>
                    <w:pBdr>
                      <w:right w:val="single" w:sz="4" w:space="4" w:color="auto"/>
                    </w:pBdr>
                    <w:suppressAutoHyphens w:val="0"/>
                    <w:autoSpaceDE w:val="0"/>
                    <w:autoSpaceDN w:val="0"/>
                    <w:adjustRightInd w:val="0"/>
                    <w:ind w:left="720"/>
                    <w:contextualSpacing/>
                    <w:jc w:val="both"/>
                    <w:rPr>
                      <w:rFonts w:asciiTheme="majorHAnsi" w:hAnsiTheme="majorHAnsi" w:cs="Calibri"/>
                      <w:bCs/>
                      <w:sz w:val="22"/>
                      <w:szCs w:val="22"/>
                    </w:rPr>
                  </w:pPr>
                  <w:r>
                    <w:rPr>
                      <w:rFonts w:asciiTheme="majorHAnsi" w:hAnsiTheme="majorHAnsi" w:cs="Calibri"/>
                      <w:bCs/>
                      <w:sz w:val="22"/>
                      <w:szCs w:val="22"/>
                    </w:rPr>
                    <w:t xml:space="preserve">les </w:t>
                  </w:r>
                  <w:r>
                    <w:rPr>
                      <w:rFonts w:asciiTheme="majorHAnsi" w:hAnsiTheme="majorHAnsi" w:cs="Calibri"/>
                      <w:b/>
                      <w:bCs/>
                      <w:sz w:val="22"/>
                      <w:szCs w:val="22"/>
                    </w:rPr>
                    <w:t>droits d’accès aux activités culturelles et sportives</w:t>
                  </w:r>
                  <w:r>
                    <w:rPr>
                      <w:rFonts w:asciiTheme="majorHAnsi" w:hAnsiTheme="majorHAnsi" w:cs="Calibri"/>
                      <w:bCs/>
                      <w:sz w:val="22"/>
                      <w:szCs w:val="22"/>
                    </w:rPr>
                    <w:t xml:space="preserve"> s'inscrivant dans le projet pédagogique du pouvoir organisateur ou dans le projet d'établissement ainsi que les déplacements qui y sont liés, dans les limites des plafonds qui seront ultérieurement fixés par le Gouvernement ;</w:t>
                  </w:r>
                </w:p>
                <w:p>
                  <w:pPr>
                    <w:pStyle w:val="Paragraphedeliste"/>
                    <w:numPr>
                      <w:ilvl w:val="2"/>
                      <w:numId w:val="268"/>
                    </w:numPr>
                    <w:pBdr>
                      <w:right w:val="single" w:sz="4" w:space="4" w:color="auto"/>
                    </w:pBdr>
                    <w:suppressAutoHyphens w:val="0"/>
                    <w:autoSpaceDE w:val="0"/>
                    <w:autoSpaceDN w:val="0"/>
                    <w:adjustRightInd w:val="0"/>
                    <w:ind w:left="720"/>
                    <w:contextualSpacing/>
                    <w:jc w:val="both"/>
                    <w:rPr>
                      <w:rFonts w:asciiTheme="majorHAnsi" w:hAnsiTheme="majorHAnsi" w:cs="Calibri"/>
                      <w:bCs/>
                      <w:sz w:val="22"/>
                      <w:szCs w:val="22"/>
                    </w:rPr>
                  </w:pPr>
                  <w:r>
                    <w:rPr>
                      <w:rFonts w:asciiTheme="majorHAnsi" w:hAnsiTheme="majorHAnsi" w:cs="Calibri"/>
                      <w:bCs/>
                      <w:sz w:val="22"/>
                      <w:szCs w:val="22"/>
                    </w:rPr>
                    <w:t xml:space="preserve">les </w:t>
                  </w:r>
                  <w:r>
                    <w:rPr>
                      <w:rFonts w:asciiTheme="majorHAnsi" w:hAnsiTheme="majorHAnsi" w:cs="Calibri"/>
                      <w:b/>
                      <w:bCs/>
                      <w:sz w:val="22"/>
                      <w:szCs w:val="22"/>
                    </w:rPr>
                    <w:t>frais liés aux séjours pédagogiques avec nuitée(s),</w:t>
                  </w:r>
                  <w:r>
                    <w:rPr>
                      <w:rFonts w:asciiTheme="majorHAnsi" w:hAnsiTheme="majorHAnsi" w:cs="Calibri"/>
                      <w:bCs/>
                      <w:sz w:val="22"/>
                      <w:szCs w:val="22"/>
                    </w:rPr>
                    <w:t xml:space="preserve"> organisés par l’école et s'inscrivant dans le projet pédagogique du pouvoir organisateur ou dans le projet d'établissement ainsi que les déplacements qui y sont liés, dans les limites des plafonds qui seront ultérieurement fixés par le Gouvernement.</w:t>
                  </w:r>
                </w:p>
                <w:p>
                  <w:pPr>
                    <w:pStyle w:val="Paragraphedeliste"/>
                    <w:numPr>
                      <w:ilvl w:val="2"/>
                      <w:numId w:val="268"/>
                    </w:numPr>
                    <w:pBdr>
                      <w:right w:val="single" w:sz="4" w:space="4" w:color="auto"/>
                    </w:pBdr>
                    <w:suppressAutoHyphens w:val="0"/>
                    <w:autoSpaceDE w:val="0"/>
                    <w:autoSpaceDN w:val="0"/>
                    <w:adjustRightInd w:val="0"/>
                    <w:ind w:left="720"/>
                    <w:contextualSpacing/>
                    <w:jc w:val="both"/>
                    <w:rPr>
                      <w:rFonts w:asciiTheme="majorHAnsi" w:hAnsiTheme="majorHAnsi" w:cs="Calibri"/>
                      <w:bCs/>
                      <w:sz w:val="22"/>
                      <w:szCs w:val="22"/>
                    </w:rPr>
                  </w:pPr>
                </w:p>
                <w:p>
                  <w:pPr>
                    <w:pBdr>
                      <w:right w:val="single" w:sz="4" w:space="4" w:color="auto"/>
                    </w:pBdr>
                    <w:autoSpaceDE w:val="0"/>
                    <w:autoSpaceDN w:val="0"/>
                    <w:adjustRightInd w:val="0"/>
                    <w:jc w:val="both"/>
                    <w:rPr>
                      <w:rFonts w:cs="Calibri"/>
                      <w:bCs/>
                    </w:rPr>
                  </w:pPr>
                  <w:r>
                    <w:rPr>
                      <w:rFonts w:cs="Calibri"/>
                      <w:bCs/>
                    </w:rPr>
                    <w:t xml:space="preserve">Les frais scolaires autorisés visés ci-dessus ne peuvent en aucun cas être cumulés en vue d’un paiement forfaitaire et unique. Ils sont imputés à des services précis et effectivement organisés. </w:t>
                  </w:r>
                </w:p>
                <w:p>
                  <w:pPr>
                    <w:pBdr>
                      <w:right w:val="single" w:sz="4" w:space="4" w:color="auto"/>
                    </w:pBdr>
                    <w:autoSpaceDE w:val="0"/>
                    <w:autoSpaceDN w:val="0"/>
                    <w:adjustRightInd w:val="0"/>
                    <w:jc w:val="both"/>
                    <w:rPr>
                      <w:rFonts w:cs="Calibri"/>
                      <w:bCs/>
                    </w:rPr>
                  </w:pPr>
                </w:p>
                <w:p>
                  <w:pPr>
                    <w:pBdr>
                      <w:right w:val="single" w:sz="4" w:space="4" w:color="auto"/>
                    </w:pBdr>
                    <w:autoSpaceDE w:val="0"/>
                    <w:autoSpaceDN w:val="0"/>
                    <w:adjustRightInd w:val="0"/>
                    <w:jc w:val="both"/>
                    <w:rPr>
                      <w:rFonts w:cs="Calibri"/>
                      <w:bCs/>
                    </w:rPr>
                  </w:pPr>
                  <w:r>
                    <w:rPr>
                      <w:rFonts w:cs="Calibri"/>
                      <w:bCs/>
                    </w:rPr>
                    <w:t>Aucun fournisseur ou marque de fournitures scolaires, de tenues vestimentaires ou sportives usuelles ne peut être imposé aux parents ou à la personne investie de l’autorité parentale.</w:t>
                  </w:r>
                </w:p>
                <w:p>
                  <w:pPr>
                    <w:pBdr>
                      <w:right w:val="single" w:sz="4" w:space="4" w:color="auto"/>
                    </w:pBdr>
                    <w:autoSpaceDE w:val="0"/>
                    <w:autoSpaceDN w:val="0"/>
                    <w:adjustRightInd w:val="0"/>
                    <w:jc w:val="both"/>
                    <w:rPr>
                      <w:rFonts w:cs="Calibri"/>
                      <w:bCs/>
                      <w:u w:val="single"/>
                    </w:rPr>
                  </w:pPr>
                </w:p>
                <w:p>
                  <w:pPr>
                    <w:pBdr>
                      <w:right w:val="single" w:sz="4" w:space="4" w:color="auto"/>
                    </w:pBdr>
                    <w:autoSpaceDE w:val="0"/>
                    <w:autoSpaceDN w:val="0"/>
                    <w:adjustRightInd w:val="0"/>
                    <w:jc w:val="both"/>
                    <w:rPr>
                      <w:rFonts w:cs="Calibri"/>
                      <w:bCs/>
                    </w:rPr>
                  </w:pPr>
                  <w:r>
                    <w:rPr>
                      <w:rFonts w:cs="Calibri"/>
                      <w:bCs/>
                    </w:rPr>
                    <w:t xml:space="preserve">Aucun droit ou frais, direct ou indirect, ne peut non plus être demandé à la personne investie de l'autorité parentale pour la délivrance de </w:t>
                  </w:r>
                  <w:r>
                    <w:rPr>
                      <w:rFonts w:cs="Calibri"/>
                      <w:b/>
                      <w:bCs/>
                    </w:rPr>
                    <w:t>diplômes</w:t>
                  </w:r>
                  <w:r>
                    <w:rPr>
                      <w:rFonts w:cs="Calibri"/>
                      <w:bCs/>
                    </w:rPr>
                    <w:t xml:space="preserve">, </w:t>
                  </w:r>
                  <w:r>
                    <w:rPr>
                      <w:rFonts w:cs="Calibri"/>
                      <w:b/>
                      <w:bCs/>
                    </w:rPr>
                    <w:t>certificats d'enseignement</w:t>
                  </w:r>
                  <w:r>
                    <w:rPr>
                      <w:rFonts w:cs="Calibri"/>
                      <w:bCs/>
                    </w:rPr>
                    <w:t xml:space="preserve"> et </w:t>
                  </w:r>
                  <w:r>
                    <w:rPr>
                      <w:rFonts w:cs="Calibri"/>
                      <w:b/>
                      <w:bCs/>
                    </w:rPr>
                    <w:t>bulletins scolaires</w:t>
                  </w:r>
                  <w:r>
                    <w:rPr>
                      <w:rFonts w:cs="Calibri"/>
                      <w:bCs/>
                    </w:rPr>
                    <w:t>.</w:t>
                  </w:r>
                </w:p>
                <w:p>
                  <w:pPr>
                    <w:pBdr>
                      <w:right w:val="single" w:sz="4" w:space="4" w:color="auto"/>
                    </w:pBdr>
                    <w:autoSpaceDE w:val="0"/>
                    <w:autoSpaceDN w:val="0"/>
                    <w:adjustRightInd w:val="0"/>
                    <w:jc w:val="both"/>
                    <w:rPr>
                      <w:rFonts w:cs="Calibri"/>
                      <w:bCs/>
                    </w:rPr>
                  </w:pPr>
                </w:p>
                <w:p>
                  <w:pPr>
                    <w:pBdr>
                      <w:right w:val="single" w:sz="4" w:space="4" w:color="auto"/>
                    </w:pBdr>
                    <w:autoSpaceDE w:val="0"/>
                    <w:autoSpaceDN w:val="0"/>
                    <w:adjustRightInd w:val="0"/>
                    <w:jc w:val="both"/>
                    <w:rPr>
                      <w:rFonts w:cs="Calibri"/>
                      <w:b/>
                      <w:bCs/>
                    </w:rPr>
                  </w:pPr>
                  <w:r>
                    <w:rPr>
                      <w:rFonts w:cs="Calibri"/>
                      <w:b/>
                      <w:bCs/>
                    </w:rPr>
                    <w:t xml:space="preserve">En résumé, tous frais scolaires autres que ceux repris précédemment sont interdits et ne peuvent donc être réclamés à la personne investie de l’autorité parentale. </w:t>
                  </w:r>
                </w:p>
                <w:p>
                  <w:pPr>
                    <w:pBdr>
                      <w:right w:val="single" w:sz="4" w:space="4" w:color="auto"/>
                    </w:pBdr>
                    <w:autoSpaceDE w:val="0"/>
                    <w:autoSpaceDN w:val="0"/>
                    <w:adjustRightInd w:val="0"/>
                    <w:jc w:val="both"/>
                    <w:rPr>
                      <w:rFonts w:cs="Calibri"/>
                      <w:b/>
                      <w:bCs/>
                    </w:rPr>
                  </w:pPr>
                </w:p>
                <w:p>
                  <w:pPr>
                    <w:pStyle w:val="Titre6"/>
                  </w:pPr>
                  <w:r>
                    <w:t>1.4.2.4. Frais autorisés à caractère facultatif</w:t>
                  </w:r>
                </w:p>
                <w:p>
                  <w:pPr>
                    <w:pBdr>
                      <w:right w:val="single" w:sz="4" w:space="4" w:color="auto"/>
                    </w:pBdr>
                    <w:autoSpaceDE w:val="0"/>
                    <w:autoSpaceDN w:val="0"/>
                    <w:adjustRightInd w:val="0"/>
                    <w:jc w:val="both"/>
                    <w:rPr>
                      <w:rFonts w:cs="Calibri"/>
                      <w:bCs/>
                    </w:rPr>
                  </w:pPr>
                </w:p>
                <w:p>
                  <w:pPr>
                    <w:pStyle w:val="Paragraphedeliste"/>
                    <w:pBdr>
                      <w:right w:val="single" w:sz="4" w:space="4" w:color="auto"/>
                    </w:pBdr>
                    <w:ind w:left="0"/>
                    <w:jc w:val="both"/>
                    <w:rPr>
                      <w:rFonts w:asciiTheme="majorHAnsi" w:hAnsiTheme="majorHAnsi" w:cs="Calibri"/>
                      <w:bCs/>
                      <w:sz w:val="22"/>
                      <w:szCs w:val="22"/>
                    </w:rPr>
                  </w:pPr>
                  <w:r>
                    <w:rPr>
                      <w:rFonts w:asciiTheme="majorHAnsi" w:hAnsiTheme="majorHAnsi" w:cs="Calibri"/>
                      <w:bCs/>
                      <w:sz w:val="22"/>
                      <w:szCs w:val="22"/>
                    </w:rPr>
                    <w:t xml:space="preserve">Dans l’enseignement </w:t>
                  </w:r>
                  <w:r>
                    <w:rPr>
                      <w:rFonts w:asciiTheme="majorHAnsi" w:hAnsiTheme="majorHAnsi" w:cs="Calibri"/>
                      <w:b/>
                      <w:bCs/>
                      <w:sz w:val="22"/>
                      <w:szCs w:val="22"/>
                    </w:rPr>
                    <w:t>primaire</w:t>
                  </w:r>
                  <w:r>
                    <w:rPr>
                      <w:rFonts w:asciiTheme="majorHAnsi" w:hAnsiTheme="majorHAnsi" w:cs="Calibri"/>
                      <w:bCs/>
                      <w:sz w:val="22"/>
                      <w:szCs w:val="22"/>
                    </w:rPr>
                    <w:t xml:space="preserve">, les frais scolaires suivants peuvent être proposés aux personnes investies de l’autorité parentale ou à l’élève majeur pour autant que le </w:t>
                  </w:r>
                  <w:r>
                    <w:rPr>
                      <w:rFonts w:asciiTheme="majorHAnsi" w:hAnsiTheme="majorHAnsi" w:cs="Calibri"/>
                      <w:b/>
                      <w:bCs/>
                      <w:sz w:val="22"/>
                      <w:szCs w:val="22"/>
                    </w:rPr>
                    <w:t>caractère facultatif</w:t>
                  </w:r>
                  <w:r>
                    <w:rPr>
                      <w:rFonts w:asciiTheme="majorHAnsi" w:hAnsiTheme="majorHAnsi" w:cs="Calibri"/>
                      <w:bCs/>
                      <w:sz w:val="22"/>
                      <w:szCs w:val="22"/>
                    </w:rPr>
                    <w:t xml:space="preserve"> ait été explicitement été porté à leur connaissance : </w:t>
                  </w:r>
                </w:p>
                <w:p>
                  <w:pPr>
                    <w:pStyle w:val="Paragraphedeliste"/>
                    <w:numPr>
                      <w:ilvl w:val="1"/>
                      <w:numId w:val="269"/>
                    </w:numPr>
                    <w:pBdr>
                      <w:right w:val="single" w:sz="4" w:space="4" w:color="auto"/>
                    </w:pBdr>
                    <w:suppressAutoHyphens w:val="0"/>
                    <w:autoSpaceDE w:val="0"/>
                    <w:autoSpaceDN w:val="0"/>
                    <w:adjustRightInd w:val="0"/>
                    <w:contextualSpacing/>
                    <w:jc w:val="both"/>
                    <w:rPr>
                      <w:rFonts w:asciiTheme="majorHAnsi" w:hAnsiTheme="majorHAnsi" w:cs="Calibri"/>
                      <w:sz w:val="22"/>
                      <w:szCs w:val="22"/>
                    </w:rPr>
                  </w:pPr>
                  <w:r>
                    <w:rPr>
                      <w:rFonts w:asciiTheme="majorHAnsi" w:hAnsiTheme="majorHAnsi" w:cs="Calibri"/>
                      <w:sz w:val="22"/>
                      <w:szCs w:val="22"/>
                    </w:rPr>
                    <w:t>les achats groupés : en prévision de la rentrée scolaire, il est intéressant de proposer un achat groupé de ressources pédagogiques de fournitures scolaires ou autres afin de bénéficier de prix avantageux et de s’assurer de ce que chaque élève dispose de ressources similaires, conformes aux priorités pédagogiques convenues par l’équipe éducative et complémentaires d’une année à l’autre ;</w:t>
                  </w:r>
                </w:p>
                <w:p>
                  <w:pPr>
                    <w:pStyle w:val="Paragraphedeliste"/>
                    <w:numPr>
                      <w:ilvl w:val="1"/>
                      <w:numId w:val="269"/>
                    </w:numPr>
                    <w:pBdr>
                      <w:right w:val="single" w:sz="4" w:space="4" w:color="auto"/>
                    </w:pBdr>
                    <w:suppressAutoHyphens w:val="0"/>
                    <w:autoSpaceDE w:val="0"/>
                    <w:autoSpaceDN w:val="0"/>
                    <w:adjustRightInd w:val="0"/>
                    <w:contextualSpacing/>
                    <w:jc w:val="both"/>
                    <w:rPr>
                      <w:rFonts w:asciiTheme="majorHAnsi" w:hAnsiTheme="majorHAnsi" w:cs="Calibri"/>
                      <w:sz w:val="22"/>
                      <w:szCs w:val="22"/>
                    </w:rPr>
                  </w:pPr>
                  <w:r>
                    <w:rPr>
                      <w:rFonts w:asciiTheme="majorHAnsi" w:hAnsiTheme="majorHAnsi" w:cs="Calibri"/>
                      <w:sz w:val="22"/>
                      <w:szCs w:val="22"/>
                    </w:rPr>
                    <w:t>les frais de participation à des activités facultatives : l’activité qui n’est pas obligatoire doit être organisée en dehors du temps de cours ;</w:t>
                  </w:r>
                </w:p>
                <w:p>
                  <w:pPr>
                    <w:pStyle w:val="Paragraphedeliste"/>
                    <w:numPr>
                      <w:ilvl w:val="1"/>
                      <w:numId w:val="269"/>
                    </w:numPr>
                    <w:pBdr>
                      <w:right w:val="single" w:sz="4" w:space="4" w:color="auto"/>
                    </w:pBdr>
                    <w:suppressAutoHyphens w:val="0"/>
                    <w:autoSpaceDE w:val="0"/>
                    <w:autoSpaceDN w:val="0"/>
                    <w:adjustRightInd w:val="0"/>
                    <w:contextualSpacing/>
                    <w:jc w:val="both"/>
                    <w:rPr>
                      <w:rFonts w:asciiTheme="majorHAnsi" w:hAnsiTheme="majorHAnsi" w:cs="Calibri"/>
                      <w:sz w:val="22"/>
                      <w:szCs w:val="22"/>
                    </w:rPr>
                  </w:pPr>
                  <w:r>
                    <w:rPr>
                      <w:rFonts w:asciiTheme="majorHAnsi" w:hAnsiTheme="majorHAnsi" w:cs="Calibri"/>
                      <w:sz w:val="22"/>
                      <w:szCs w:val="22"/>
                    </w:rPr>
                    <w:t>les abonnements à des revues : un abonnement à une revue éducative peut être très utile aux apprentissages, mais son usage en classe doit s’organiser selon les modalités prévues au dernier alinéa.</w:t>
                  </w:r>
                </w:p>
                <w:p>
                  <w:pPr>
                    <w:pStyle w:val="Paragraphedeliste"/>
                    <w:pBdr>
                      <w:right w:val="single" w:sz="4" w:space="4" w:color="auto"/>
                    </w:pBdr>
                    <w:suppressAutoHyphens w:val="0"/>
                    <w:autoSpaceDE w:val="0"/>
                    <w:autoSpaceDN w:val="0"/>
                    <w:adjustRightInd w:val="0"/>
                    <w:ind w:left="1440"/>
                    <w:contextualSpacing/>
                    <w:jc w:val="both"/>
                    <w:rPr>
                      <w:rFonts w:asciiTheme="majorHAnsi" w:hAnsiTheme="majorHAnsi" w:cs="Calibri"/>
                      <w:sz w:val="22"/>
                      <w:szCs w:val="22"/>
                    </w:rPr>
                  </w:pPr>
                </w:p>
                <w:p>
                  <w:pPr>
                    <w:pBdr>
                      <w:right w:val="single" w:sz="4" w:space="4" w:color="auto"/>
                    </w:pBdr>
                    <w:jc w:val="both"/>
                    <w:rPr>
                      <w:rFonts w:cs="Calibri"/>
                      <w:bCs/>
                    </w:rPr>
                  </w:pPr>
                  <w:r>
                    <w:rPr>
                      <w:rFonts w:cs="Calibri"/>
                    </w:rPr>
                    <w:t xml:space="preserve">Ils sont </w:t>
                  </w:r>
                  <w:r>
                    <w:rPr>
                      <w:rFonts w:cs="Calibri"/>
                      <w:b/>
                    </w:rPr>
                    <w:t>proposés</w:t>
                  </w:r>
                  <w:r>
                    <w:rPr>
                      <w:rFonts w:cs="Calibri"/>
                    </w:rPr>
                    <w:t xml:space="preserve"> à leur coût réel pour autant qu'ils soient liés au projet pédagogique.</w:t>
                  </w:r>
                  <w:r>
                    <w:rPr>
                      <w:rFonts w:cs="Calibri"/>
                      <w:bCs/>
                    </w:rPr>
                    <w:t xml:space="preserve"> </w:t>
                  </w:r>
                </w:p>
                <w:p>
                  <w:pPr>
                    <w:jc w:val="both"/>
                    <w:rPr>
                      <w:rFonts w:eastAsia="Times New Roman" w:cs="Arial"/>
                      <w:b/>
                      <w:u w:val="single"/>
                      <w:lang w:eastAsia="ar-SA"/>
                    </w:rPr>
                  </w:pPr>
                  <w:bookmarkStart w:id="671" w:name="_1.5.2.2._Frais_que"/>
                  <w:bookmarkEnd w:id="671"/>
                </w:p>
                <w:p>
                  <w:pPr>
                    <w:jc w:val="both"/>
                    <w:rPr>
                      <w:rFonts w:eastAsia="Times New Roman" w:cs="Arial"/>
                      <w:lang w:eastAsia="ar-SA"/>
                    </w:rPr>
                  </w:pPr>
                  <w:r>
                    <w:rPr>
                      <w:rFonts w:eastAsia="Times New Roman" w:cs="Arial"/>
                      <w:lang w:eastAsia="ar-SA"/>
                    </w:rPr>
                    <w:t>Nous insistons particulièrement pour que l’équipe pédagogique soit attentive à limiter ses dépenses, à ne relayer que celles qui ont un objectif éducatif et à les présenter clairement aux parents comme des dépenses tout à fait facultatives. Lorsqu’un manuel scolaire ou un cahier d’exercices pré imprimé est proposé dans un achat groupé facultatif ou lorsqu’une revue faisant l’objet d’un abonnement sert de support pédagogique lors d’un cours, l’école est tenue de mettre le support concerné à disposition des élèves dont les parents n’y ont pas souscrit (mise à disposition gratuite dans l’enseignement primaire)</w:t>
                  </w:r>
                </w:p>
                <w:p>
                  <w:pPr>
                    <w:jc w:val="both"/>
                    <w:rPr>
                      <w:rFonts w:eastAsia="Times New Roman" w:cs="Arial"/>
                      <w:b/>
                      <w:u w:val="single"/>
                      <w:lang w:eastAsia="ar-SA"/>
                    </w:rPr>
                  </w:pPr>
                </w:p>
                <w:p>
                  <w:pPr>
                    <w:pStyle w:val="Titre5"/>
                  </w:pPr>
                  <w:r>
                    <w:t>1.4.3. Informations aux parents</w:t>
                  </w:r>
                </w:p>
                <w:p>
                  <w:pPr>
                    <w:jc w:val="both"/>
                    <w:rPr>
                      <w:b/>
                      <w:u w:val="single"/>
                    </w:rPr>
                  </w:pPr>
                </w:p>
                <w:p>
                  <w:pPr>
                    <w:pBdr>
                      <w:right w:val="single" w:sz="4" w:space="1" w:color="auto"/>
                    </w:pBdr>
                    <w:autoSpaceDE w:val="0"/>
                    <w:autoSpaceDN w:val="0"/>
                    <w:adjustRightInd w:val="0"/>
                    <w:jc w:val="both"/>
                    <w:rPr>
                      <w:rFonts w:cs="Calibri"/>
                    </w:rPr>
                  </w:pPr>
                  <w:r>
                    <w:rPr>
                      <w:rFonts w:cs="Calibri"/>
                    </w:rPr>
                    <w:t xml:space="preserve">Dès septembre 2019, la </w:t>
                  </w:r>
                  <w:r>
                    <w:rPr>
                      <w:rFonts w:cs="Calibri"/>
                      <w:b/>
                    </w:rPr>
                    <w:t>référence légale et le texte intégral de l’article 100</w:t>
                  </w:r>
                  <w:r>
                    <w:rPr>
                      <w:rFonts w:cs="Calibri"/>
                    </w:rPr>
                    <w:t xml:space="preserve"> du décret du </w:t>
                  </w:r>
                  <w:hyperlink r:id="rId29" w:history="1">
                    <w:r>
                      <w:rPr>
                        <w:rStyle w:val="Lienhypertexte"/>
                        <w:rFonts w:cs="Calibri"/>
                      </w:rPr>
                      <w:t>24 juillet 1997</w:t>
                    </w:r>
                  </w:hyperlink>
                  <w:r>
                    <w:rPr>
                      <w:rFonts w:cs="Calibri"/>
                    </w:rPr>
                    <w:t xml:space="preserve"> définissant les missions prioritaires de l’enseignement fondamental et de l’enseignement secondaire et organisant les structures propres à les atteindre doivent être reproduites dans le</w:t>
                  </w:r>
                  <w:r>
                    <w:rPr>
                      <w:rFonts w:cs="Calibri"/>
                      <w:b/>
                    </w:rPr>
                    <w:t xml:space="preserve"> règlement d’ordre intérieur </w:t>
                  </w:r>
                  <w:r>
                    <w:rPr>
                      <w:rFonts w:cs="Calibri"/>
                    </w:rPr>
                    <w:t xml:space="preserve">de chaque école. Il en sera de même au </w:t>
                  </w:r>
                  <w:r>
                    <w:rPr>
                      <w:rFonts w:cs="Calibri"/>
                      <w:b/>
                    </w:rPr>
                    <w:t xml:space="preserve">verso de chaque estimation de frais </w:t>
                  </w:r>
                  <w:r>
                    <w:rPr>
                      <w:rFonts w:cs="Calibri"/>
                    </w:rPr>
                    <w:t>réclamés aux parents</w:t>
                  </w:r>
                  <w:r>
                    <w:rPr>
                      <w:rFonts w:cs="Calibri"/>
                      <w:b/>
                    </w:rPr>
                    <w:t xml:space="preserve"> </w:t>
                  </w:r>
                  <w:r>
                    <w:rPr>
                      <w:rFonts w:cs="Calibri"/>
                    </w:rPr>
                    <w:t>ainsi que</w:t>
                  </w:r>
                  <w:r>
                    <w:rPr>
                      <w:rFonts w:cs="Calibri"/>
                      <w:b/>
                    </w:rPr>
                    <w:t xml:space="preserve"> des décomptes périodiques</w:t>
                  </w:r>
                  <w:r>
                    <w:rPr>
                      <w:rFonts w:cs="Calibri"/>
                    </w:rPr>
                    <w:t xml:space="preserve">. </w:t>
                  </w:r>
                </w:p>
                <w:p>
                  <w:pPr>
                    <w:pBdr>
                      <w:right w:val="single" w:sz="4" w:space="1" w:color="auto"/>
                    </w:pBdr>
                    <w:jc w:val="both"/>
                    <w:rPr>
                      <w:b/>
                      <w:u w:val="single"/>
                    </w:rPr>
                  </w:pPr>
                </w:p>
                <w:p>
                  <w:pPr>
                    <w:pBdr>
                      <w:right w:val="single" w:sz="4" w:space="1" w:color="auto"/>
                    </w:pBdr>
                    <w:jc w:val="both"/>
                    <w:rPr>
                      <w:b/>
                    </w:rPr>
                  </w:pPr>
                  <w:r>
                    <w:rPr>
                      <w:b/>
                    </w:rPr>
                    <w:t xml:space="preserve">Conformément à l’article 76 du Décrêt missions du 24 juillet 1997, « avant de prendre l’inscription d’un élève, le chef de l’établissement porte à sa connaissance ainsi qu’à celle de ses parents ou de la personne investie de l’autorité parentale s’il est mineur, les documents suivants : (…) </w:t>
                  </w:r>
                  <w:r>
                    <w:rPr>
                      <w:b/>
                      <w:u w:val="single"/>
                    </w:rPr>
                    <w:t>un document informatif relatif à la gratuité d’accès à l’enseignement</w:t>
                  </w:r>
                  <w:r>
                    <w:rPr>
                      <w:b/>
                    </w:rPr>
                    <w:t xml:space="preserve"> établi et mis à disposition des écoles par le service du gouvernement ».</w:t>
                  </w:r>
                </w:p>
                <w:p>
                  <w:pPr>
                    <w:pBdr>
                      <w:right w:val="single" w:sz="4" w:space="1" w:color="auto"/>
                    </w:pBdr>
                    <w:jc w:val="both"/>
                    <w:rPr>
                      <w:b/>
                    </w:rPr>
                  </w:pPr>
                </w:p>
                <w:p>
                  <w:pPr>
                    <w:pBdr>
                      <w:right w:val="single" w:sz="4" w:space="1" w:color="auto"/>
                    </w:pBdr>
                    <w:jc w:val="both"/>
                    <w:rPr>
                      <w:b/>
                    </w:rPr>
                  </w:pPr>
                  <w:r>
                    <w:rPr>
                      <w:b/>
                    </w:rPr>
                    <w:t xml:space="preserve">Ce document, à distribuer aux parents ou à la personne investie de l’autorité parentale, est disponible en </w:t>
                  </w:r>
                  <w:hyperlink w:anchor="_Annexe_19_:" w:history="1">
                    <w:r>
                      <w:rPr>
                        <w:rStyle w:val="Lienhypertexte"/>
                        <w:rFonts w:cstheme="minorBidi"/>
                        <w:b/>
                      </w:rPr>
                      <w:t>annexe 19</w:t>
                    </w:r>
                  </w:hyperlink>
                  <w:r>
                    <w:rPr>
                      <w:b/>
                    </w:rPr>
                    <w:t xml:space="preserve"> pour l’enseignement maternel et en </w:t>
                  </w:r>
                  <w:hyperlink w:anchor="_Annexe_20_:_1" w:history="1">
                    <w:r>
                      <w:rPr>
                        <w:rStyle w:val="Lienhypertexte"/>
                        <w:rFonts w:cstheme="minorBidi"/>
                        <w:b/>
                      </w:rPr>
                      <w:t>annexe 20</w:t>
                    </w:r>
                  </w:hyperlink>
                  <w:r>
                    <w:rPr>
                      <w:b/>
                    </w:rPr>
                    <w:t xml:space="preserve"> pour l’enseignement primaire  et sur le site </w:t>
                  </w:r>
                  <w:hyperlink r:id="rId30" w:history="1">
                    <w:r>
                      <w:rPr>
                        <w:rStyle w:val="Lienhypertexte"/>
                        <w:rFonts w:cstheme="minorBidi"/>
                        <w:b/>
                      </w:rPr>
                      <w:t>www.enseignement.be</w:t>
                    </w:r>
                  </w:hyperlink>
                  <w:r>
                    <w:rPr>
                      <w:b/>
                    </w:rPr>
                    <w:t xml:space="preserve"> </w:t>
                  </w:r>
                </w:p>
                <w:p>
                  <w:pPr>
                    <w:jc w:val="both"/>
                    <w:rPr>
                      <w:b/>
                      <w:u w:val="single"/>
                    </w:rPr>
                  </w:pPr>
                </w:p>
                <w:p>
                  <w:pPr>
                    <w:jc w:val="both"/>
                    <w:rPr>
                      <w:b/>
                      <w:u w:val="single"/>
                    </w:rPr>
                  </w:pPr>
                  <w:r>
                    <w:rPr>
                      <w:b/>
                      <w:u w:val="single"/>
                    </w:rPr>
                    <w:t xml:space="preserve">Remarques pour les élèves inscrits dans l’enseignement maternel : </w:t>
                  </w:r>
                </w:p>
                <w:p>
                  <w:pPr>
                    <w:jc w:val="both"/>
                    <w:rPr>
                      <w:b/>
                      <w:u w:val="single"/>
                    </w:rPr>
                  </w:pPr>
                </w:p>
                <w:p>
                  <w:pPr>
                    <w:pStyle w:val="Paragraphedeliste"/>
                    <w:numPr>
                      <w:ilvl w:val="0"/>
                      <w:numId w:val="277"/>
                    </w:numPr>
                    <w:jc w:val="both"/>
                    <w:rPr>
                      <w:rFonts w:asciiTheme="majorHAnsi" w:hAnsiTheme="majorHAnsi"/>
                      <w:b/>
                      <w:sz w:val="22"/>
                    </w:rPr>
                  </w:pPr>
                  <w:r>
                    <w:rPr>
                      <w:rFonts w:asciiTheme="majorHAnsi" w:hAnsiTheme="majorHAnsi"/>
                      <w:b/>
                      <w:sz w:val="22"/>
                    </w:rPr>
                    <w:t xml:space="preserve">l’Administration fournira le document informatif en version papier aux établissements scolaires ; </w:t>
                  </w:r>
                </w:p>
                <w:p>
                  <w:pPr>
                    <w:pStyle w:val="Paragraphedeliste"/>
                    <w:numPr>
                      <w:ilvl w:val="0"/>
                      <w:numId w:val="277"/>
                    </w:numPr>
                    <w:jc w:val="both"/>
                    <w:rPr>
                      <w:rFonts w:asciiTheme="majorHAnsi" w:hAnsiTheme="majorHAnsi"/>
                      <w:b/>
                      <w:sz w:val="22"/>
                    </w:rPr>
                  </w:pPr>
                  <w:r>
                    <w:rPr>
                      <w:rFonts w:asciiTheme="majorHAnsi" w:hAnsiTheme="majorHAnsi"/>
                      <w:b/>
                      <w:sz w:val="22"/>
                    </w:rPr>
                    <w:t>dans le cas où l’établissement scolaire peut se prévaloir de la dérogation transitoire aux plafonds (</w:t>
                  </w:r>
                  <w:r>
                    <w:rPr>
                      <w:rFonts w:asciiTheme="majorHAnsi" w:hAnsiTheme="majorHAnsi"/>
                      <w:b/>
                      <w:i/>
                      <w:sz w:val="22"/>
                    </w:rPr>
                    <w:t>lors d’un contrat conclu avant le 14 mars 2019 pour l’organisation d’une activité culturelle, sportive ou d’un séjour pédagogique avec nuitée(s) prévue au cours des années scolaires 2019-2020, 2020-2021 et 2021-2022</w:t>
                  </w:r>
                  <w:r>
                    <w:rPr>
                      <w:rFonts w:asciiTheme="majorHAnsi" w:hAnsiTheme="majorHAnsi"/>
                      <w:b/>
                      <w:sz w:val="22"/>
                    </w:rPr>
                    <w:t xml:space="preserve">), il lui appartient également de compléter ce document informatif par un document complémentaire explicitant la situation. </w:t>
                  </w:r>
                </w:p>
                <w:p>
                  <w:pPr>
                    <w:jc w:val="both"/>
                    <w:rPr>
                      <w:b/>
                      <w:u w:val="single"/>
                    </w:rPr>
                  </w:pPr>
                </w:p>
                <w:p>
                  <w:pPr>
                    <w:pStyle w:val="Titre6"/>
                  </w:pPr>
                  <w:r>
                    <w:t>1.4.3.1. Estimation et ventilation des frais</w:t>
                  </w:r>
                </w:p>
                <w:p>
                  <w:pPr>
                    <w:jc w:val="both"/>
                  </w:pPr>
                </w:p>
                <w:p>
                  <w:pPr>
                    <w:pBdr>
                      <w:right w:val="single" w:sz="4" w:space="4" w:color="auto"/>
                    </w:pBdr>
                    <w:jc w:val="both"/>
                    <w:rPr>
                      <w:rFonts w:cs="Calibri"/>
                    </w:rPr>
                  </w:pPr>
                  <w:r>
                    <w:rPr>
                      <w:rFonts w:cs="Calibri"/>
                    </w:rPr>
                    <w:t xml:space="preserve">Avant le début de l’année scolaire ou au moment de l’inscription de l’élève, chaque école est tenue de fournir aux parents ou à l’élève majeur, une </w:t>
                  </w:r>
                  <w:r>
                    <w:rPr>
                      <w:rFonts w:cs="Calibri"/>
                      <w:bCs/>
                    </w:rPr>
                    <w:t xml:space="preserve">estimation du montant des frais réclamés </w:t>
                  </w:r>
                  <w:r>
                    <w:rPr>
                      <w:rFonts w:cs="Calibri"/>
                    </w:rPr>
                    <w:t xml:space="preserve">et de </w:t>
                  </w:r>
                  <w:r>
                    <w:rPr>
                      <w:rFonts w:cs="Calibri"/>
                      <w:bCs/>
                    </w:rPr>
                    <w:t>leur ventilation</w:t>
                  </w:r>
                  <w:r>
                    <w:rPr>
                      <w:rFonts w:cs="Calibri"/>
                    </w:rPr>
                    <w:t xml:space="preserve">. Cette information, </w:t>
                  </w:r>
                  <w:r>
                    <w:rPr>
                      <w:rFonts w:cs="Calibri"/>
                      <w:bCs/>
                    </w:rPr>
                    <w:t xml:space="preserve">par écrit, </w:t>
                  </w:r>
                  <w:r>
                    <w:rPr>
                      <w:rFonts w:cs="Calibri"/>
                    </w:rPr>
                    <w:t>doit renseigner un montant unique par rubrique qui se rapproche le plus possible de ce que sera la dépense réelle.</w:t>
                  </w:r>
                </w:p>
                <w:p>
                  <w:pPr>
                    <w:pBdr>
                      <w:right w:val="single" w:sz="4" w:space="4" w:color="auto"/>
                    </w:pBdr>
                    <w:jc w:val="both"/>
                  </w:pPr>
                </w:p>
                <w:p>
                  <w:pPr>
                    <w:pStyle w:val="Titre6"/>
                  </w:pPr>
                  <w:r>
                    <w:t>1.4.3.2. Les décomptes périodiques </w:t>
                  </w:r>
                </w:p>
                <w:p>
                  <w:pPr>
                    <w:jc w:val="both"/>
                  </w:pPr>
                </w:p>
                <w:p>
                  <w:pPr>
                    <w:pStyle w:val="Paragraphedeliste"/>
                    <w:pBdr>
                      <w:right w:val="single" w:sz="4" w:space="4" w:color="auto"/>
                    </w:pBdr>
                    <w:ind w:left="0"/>
                    <w:jc w:val="both"/>
                    <w:rPr>
                      <w:rFonts w:asciiTheme="majorHAnsi" w:hAnsiTheme="majorHAnsi" w:cs="Calibri"/>
                      <w:sz w:val="22"/>
                      <w:szCs w:val="22"/>
                    </w:rPr>
                  </w:pPr>
                  <w:r>
                    <w:rPr>
                      <w:rFonts w:asciiTheme="majorHAnsi" w:hAnsiTheme="majorHAnsi" w:cs="Calibri"/>
                      <w:sz w:val="22"/>
                      <w:szCs w:val="22"/>
                    </w:rPr>
                    <w:t xml:space="preserve">Les décomptes périodiques sont transmis aux responsables légaux selon une périodicité choisie par le pouvoir organisateur. Ceux-ci peuvent couvrir une période allant d’un mois à quatre mois. </w:t>
                  </w:r>
                </w:p>
                <w:p>
                  <w:pPr>
                    <w:pStyle w:val="Paragraphedeliste"/>
                    <w:pBdr>
                      <w:right w:val="single" w:sz="4" w:space="4" w:color="auto"/>
                    </w:pBdr>
                    <w:ind w:left="0"/>
                    <w:jc w:val="both"/>
                    <w:rPr>
                      <w:rFonts w:asciiTheme="majorHAnsi" w:hAnsiTheme="majorHAnsi" w:cs="Calibri"/>
                      <w:sz w:val="22"/>
                      <w:szCs w:val="22"/>
                    </w:rPr>
                  </w:pPr>
                  <w:r>
                    <w:rPr>
                      <w:rFonts w:asciiTheme="majorHAnsi" w:hAnsiTheme="majorHAnsi" w:cs="Calibri"/>
                      <w:sz w:val="22"/>
                      <w:szCs w:val="22"/>
                    </w:rPr>
                    <w:t>Ces décomptes détaillent au minimum pour chacun des élèves l’ensemble des frais qui sont dus à l’établissement à savoir leurs montants, leurs objets et leur caractère obligatoire ou facultatif. Ces documents mentionnent en outre les modalités et les éventuelles facilités de paiement. Dès que le montant excède cinquante euros, les pouvoirs organisateurs, à la demande des parents, doivent prévoir la possibilité d’un échelonnement sur plusieurs décomptes périodiques. Seuls les frais renseignés sur les décomptes périodiques peuvent  être réclamés.</w:t>
                  </w:r>
                </w:p>
                <w:p/>
                <w:p>
                  <w:pPr>
                    <w:pStyle w:val="Titre6"/>
                  </w:pPr>
                  <w:r>
                    <w:t>1.4.3.3. En cas de non-paiement : le recouvrement des frais impayés</w:t>
                  </w:r>
                </w:p>
                <w:p>
                  <w:pPr>
                    <w:pStyle w:val="Default"/>
                    <w:ind w:right="-113"/>
                    <w:jc w:val="both"/>
                    <w:rPr>
                      <w:rFonts w:asciiTheme="majorHAnsi" w:hAnsiTheme="majorHAnsi"/>
                      <w:sz w:val="22"/>
                      <w:szCs w:val="22"/>
                    </w:rPr>
                  </w:pPr>
                </w:p>
                <w:p>
                  <w:pPr>
                    <w:pStyle w:val="Default"/>
                    <w:ind w:right="-113"/>
                    <w:jc w:val="both"/>
                    <w:rPr>
                      <w:rFonts w:asciiTheme="majorHAnsi" w:hAnsiTheme="majorHAnsi"/>
                      <w:sz w:val="22"/>
                      <w:szCs w:val="22"/>
                    </w:rPr>
                  </w:pPr>
                  <w:r>
                    <w:rPr>
                      <w:rFonts w:asciiTheme="majorHAnsi" w:hAnsiTheme="majorHAnsi"/>
                      <w:sz w:val="22"/>
                      <w:szCs w:val="22"/>
                    </w:rPr>
                    <w:t>Si un établissement scolaire est confronté à des difficultés de recouvrement de frais dus par des parents d’élèves, il convient d’abord de prendre le temps et l’espace d’un dialogue avec la famille pour comprendre l’ensemble du problème et tenter de trouver des solutions avec ou sans l’intervention de tiers.</w:t>
                  </w:r>
                </w:p>
                <w:p>
                  <w:pPr>
                    <w:pStyle w:val="Default"/>
                    <w:ind w:right="-113"/>
                    <w:jc w:val="both"/>
                    <w:rPr>
                      <w:rFonts w:asciiTheme="majorHAnsi" w:hAnsiTheme="majorHAnsi"/>
                      <w:sz w:val="22"/>
                      <w:szCs w:val="22"/>
                    </w:rPr>
                  </w:pPr>
                </w:p>
                <w:p>
                  <w:pPr>
                    <w:pStyle w:val="Default"/>
                    <w:ind w:right="-113"/>
                    <w:jc w:val="both"/>
                    <w:rPr>
                      <w:rFonts w:asciiTheme="majorHAnsi" w:hAnsiTheme="majorHAnsi"/>
                      <w:sz w:val="22"/>
                      <w:szCs w:val="22"/>
                    </w:rPr>
                  </w:pPr>
                  <w:r>
                    <w:rPr>
                      <w:rFonts w:asciiTheme="majorHAnsi" w:hAnsiTheme="majorHAnsi"/>
                      <w:sz w:val="22"/>
                      <w:szCs w:val="22"/>
                    </w:rPr>
                    <w:t xml:space="preserve">Si malgré les tentatives de dialogue et de médiation, des parents refusaient de payer les frais réclamés, les voies légales de recouvrement sont évidemment ouvertes. </w:t>
                  </w:r>
                </w:p>
                <w:p>
                  <w:pPr>
                    <w:pStyle w:val="Default"/>
                    <w:ind w:right="-113"/>
                    <w:jc w:val="both"/>
                    <w:rPr>
                      <w:rFonts w:asciiTheme="majorHAnsi" w:hAnsiTheme="majorHAnsi"/>
                      <w:sz w:val="22"/>
                      <w:szCs w:val="22"/>
                    </w:rPr>
                  </w:pPr>
                </w:p>
                <w:p>
                  <w:pPr>
                    <w:pStyle w:val="Default"/>
                    <w:ind w:right="-113"/>
                    <w:jc w:val="both"/>
                    <w:rPr>
                      <w:rFonts w:asciiTheme="majorHAnsi" w:hAnsiTheme="majorHAnsi"/>
                      <w:sz w:val="22"/>
                      <w:szCs w:val="22"/>
                    </w:rPr>
                  </w:pPr>
                  <w:r>
                    <w:rPr>
                      <w:rFonts w:asciiTheme="majorHAnsi" w:hAnsiTheme="majorHAnsi"/>
                      <w:sz w:val="22"/>
                      <w:szCs w:val="22"/>
                    </w:rPr>
                    <w:t xml:space="preserve">Les établissements de l’enseignement organisés par la Fédération Wallonie-Bruxelles peuvent recourir aux procédures prévues par la </w:t>
                  </w:r>
                  <w:hyperlink r:id="rId31" w:history="1">
                    <w:r>
                      <w:rPr>
                        <w:rStyle w:val="Lienhypertexte"/>
                        <w:rFonts w:asciiTheme="majorHAnsi" w:hAnsiTheme="majorHAnsi"/>
                        <w:sz w:val="22"/>
                        <w:szCs w:val="22"/>
                      </w:rPr>
                      <w:t>circulaire n°426 du 29 novembre 2002</w:t>
                    </w:r>
                  </w:hyperlink>
                  <w:r>
                    <w:rPr>
                      <w:rFonts w:asciiTheme="majorHAnsi" w:hAnsiTheme="majorHAnsi"/>
                      <w:sz w:val="22"/>
                      <w:szCs w:val="22"/>
                    </w:rPr>
                    <w:t xml:space="preserve">. </w:t>
                  </w:r>
                </w:p>
                <w:p>
                  <w:pPr>
                    <w:pStyle w:val="Default"/>
                    <w:ind w:right="-113"/>
                    <w:jc w:val="both"/>
                    <w:rPr>
                      <w:rFonts w:asciiTheme="majorHAnsi" w:hAnsiTheme="majorHAnsi"/>
                      <w:sz w:val="22"/>
                      <w:szCs w:val="22"/>
                    </w:rPr>
                  </w:pPr>
                </w:p>
                <w:p>
                  <w:pPr>
                    <w:pStyle w:val="Default"/>
                    <w:ind w:right="-113"/>
                    <w:jc w:val="both"/>
                    <w:rPr>
                      <w:rFonts w:asciiTheme="majorHAnsi" w:hAnsiTheme="majorHAnsi"/>
                      <w:sz w:val="22"/>
                      <w:szCs w:val="22"/>
                    </w:rPr>
                  </w:pPr>
                  <w:r>
                    <w:rPr>
                      <w:rFonts w:asciiTheme="majorHAnsi" w:hAnsiTheme="majorHAnsi"/>
                      <w:sz w:val="22"/>
                      <w:szCs w:val="22"/>
                    </w:rPr>
                    <w:t>Les pouvoirs organisateurs de l’enseignement subventionné par la Fédération Wallonie-Bruxelles sont quant à eux susceptibles d’utiliser toutes les voies de droit qu’ils estimeraient utiles pour obtenir le recouvrement des sommes dues.</w:t>
                  </w:r>
                </w:p>
                <w:p/>
                <w:p>
                  <w:pPr>
                    <w:pStyle w:val="Titre5"/>
                  </w:pPr>
                  <w:r>
                    <w:t xml:space="preserve">1.4.4. Contrôle du respect de la réglementation </w:t>
                  </w:r>
                </w:p>
                <w:p>
                  <w:pPr>
                    <w:rPr>
                      <w:highlight w:val="yellow"/>
                    </w:rPr>
                  </w:pPr>
                </w:p>
                <w:p>
                  <w:pPr>
                    <w:pBdr>
                      <w:right w:val="single" w:sz="4" w:space="4" w:color="auto"/>
                    </w:pBdr>
                    <w:jc w:val="both"/>
                    <w:rPr>
                      <w:rFonts w:cs="Calibri"/>
                      <w:bCs/>
                    </w:rPr>
                  </w:pPr>
                  <w:r>
                    <w:rPr>
                      <w:rFonts w:cs="Calibri"/>
                      <w:bCs/>
                    </w:rPr>
                    <w:t>Si le non-respect de la règlementation en vigueur est constaté soit lors d’un contrôle</w:t>
                  </w:r>
                  <w:r>
                    <w:rPr>
                      <w:rStyle w:val="Appelnotedebasdep"/>
                      <w:rFonts w:cs="Calibri"/>
                      <w:bCs/>
                    </w:rPr>
                    <w:footnoteReference w:id="57"/>
                  </w:r>
                  <w:r>
                    <w:rPr>
                      <w:rFonts w:cs="Calibri"/>
                      <w:bCs/>
                    </w:rPr>
                    <w:t>, soit dans le cadre d’une plainte, le Gouvernement peut prononcer une des sanctions suivantes :</w:t>
                  </w:r>
                </w:p>
                <w:p>
                  <w:pPr>
                    <w:pStyle w:val="Paragraphedeliste"/>
                    <w:numPr>
                      <w:ilvl w:val="0"/>
                      <w:numId w:val="271"/>
                    </w:numPr>
                    <w:pBdr>
                      <w:right w:val="single" w:sz="4" w:space="4" w:color="auto"/>
                    </w:pBdr>
                    <w:suppressAutoHyphens w:val="0"/>
                    <w:contextualSpacing/>
                    <w:jc w:val="both"/>
                    <w:rPr>
                      <w:rFonts w:asciiTheme="majorHAnsi" w:hAnsiTheme="majorHAnsi" w:cs="Calibri"/>
                      <w:bCs/>
                      <w:sz w:val="22"/>
                      <w:szCs w:val="22"/>
                    </w:rPr>
                  </w:pPr>
                  <w:r>
                    <w:rPr>
                      <w:rFonts w:asciiTheme="majorHAnsi" w:hAnsiTheme="majorHAnsi" w:cs="Calibri"/>
                      <w:bCs/>
                      <w:sz w:val="22"/>
                      <w:szCs w:val="22"/>
                    </w:rPr>
                    <w:t>un avertissement ;</w:t>
                  </w:r>
                </w:p>
                <w:p>
                  <w:pPr>
                    <w:pStyle w:val="Paragraphedeliste"/>
                    <w:numPr>
                      <w:ilvl w:val="0"/>
                      <w:numId w:val="271"/>
                    </w:numPr>
                    <w:pBdr>
                      <w:right w:val="single" w:sz="4" w:space="4" w:color="auto"/>
                    </w:pBdr>
                    <w:suppressAutoHyphens w:val="0"/>
                    <w:contextualSpacing/>
                    <w:jc w:val="both"/>
                    <w:rPr>
                      <w:rFonts w:asciiTheme="majorHAnsi" w:hAnsiTheme="majorHAnsi" w:cs="Calibri"/>
                      <w:bCs/>
                      <w:sz w:val="22"/>
                      <w:szCs w:val="22"/>
                    </w:rPr>
                  </w:pPr>
                  <w:r>
                    <w:rPr>
                      <w:rFonts w:asciiTheme="majorHAnsi" w:hAnsiTheme="majorHAnsi" w:cs="Calibri"/>
                      <w:bCs/>
                      <w:sz w:val="22"/>
                      <w:szCs w:val="22"/>
                    </w:rPr>
                    <w:t>une amende dont le montant ne peut être inférieur à 250 euros ni excéder 2500 euros ;</w:t>
                  </w:r>
                </w:p>
                <w:p>
                  <w:pPr>
                    <w:pStyle w:val="Paragraphedeliste"/>
                    <w:numPr>
                      <w:ilvl w:val="0"/>
                      <w:numId w:val="270"/>
                    </w:numPr>
                    <w:pBdr>
                      <w:right w:val="single" w:sz="4" w:space="4" w:color="auto"/>
                    </w:pBdr>
                    <w:suppressAutoHyphens w:val="0"/>
                    <w:contextualSpacing/>
                    <w:jc w:val="both"/>
                    <w:rPr>
                      <w:rFonts w:asciiTheme="majorHAnsi" w:hAnsiTheme="majorHAnsi" w:cs="Calibri"/>
                      <w:bCs/>
                      <w:sz w:val="22"/>
                      <w:szCs w:val="22"/>
                    </w:rPr>
                  </w:pPr>
                  <w:r>
                    <w:rPr>
                      <w:rFonts w:asciiTheme="majorHAnsi" w:hAnsiTheme="majorHAnsi" w:cs="Calibri"/>
                      <w:bCs/>
                      <w:sz w:val="22"/>
                      <w:szCs w:val="22"/>
                    </w:rPr>
                    <w:t>en cas de récidive dans un délai de cinq ans, le retrait</w:t>
                  </w:r>
                  <w:r>
                    <w:rPr>
                      <w:rFonts w:asciiTheme="majorHAnsi" w:hAnsiTheme="majorHAnsi" w:cs="Calibri"/>
                      <w:sz w:val="22"/>
                      <w:szCs w:val="22"/>
                    </w:rPr>
                    <w:t xml:space="preserve"> pour l'année scolaire en cours, de la totalité des dotations ou des subventions de fonctionnement de l'école en cause.</w:t>
                  </w:r>
                </w:p>
                <w:p>
                  <w:pPr>
                    <w:pBdr>
                      <w:right w:val="single" w:sz="4" w:space="4" w:color="auto"/>
                    </w:pBdr>
                    <w:rPr>
                      <w:rFonts w:cs="Calibri"/>
                      <w:bCs/>
                    </w:rPr>
                  </w:pPr>
                </w:p>
                <w:p>
                  <w:pPr>
                    <w:pBdr>
                      <w:right w:val="single" w:sz="4" w:space="4" w:color="auto"/>
                    </w:pBdr>
                    <w:jc w:val="both"/>
                    <w:rPr>
                      <w:rFonts w:cs="Calibri"/>
                      <w:b/>
                      <w:u w:val="single"/>
                    </w:rPr>
                  </w:pPr>
                  <w:r>
                    <w:rPr>
                      <w:rFonts w:cs="Calibri"/>
                      <w:bCs/>
                    </w:rPr>
                    <w:t>Le pouvoir organisateur se verra également contraint de rembourser intégralement les montants trop perçus.</w:t>
                  </w:r>
                </w:p>
                <w:p>
                  <w:pPr>
                    <w:pStyle w:val="Default"/>
                    <w:pBdr>
                      <w:right w:val="single" w:sz="4" w:space="4" w:color="auto"/>
                    </w:pBdr>
                    <w:jc w:val="both"/>
                    <w:rPr>
                      <w:rFonts w:asciiTheme="majorHAnsi" w:hAnsiTheme="majorHAnsi" w:cs="Calibri"/>
                      <w:bCs/>
                      <w:iCs/>
                      <w:sz w:val="22"/>
                      <w:szCs w:val="22"/>
                    </w:rPr>
                  </w:pPr>
                </w:p>
                <w:p>
                  <w:pPr>
                    <w:ind w:left="1418"/>
                    <w:rPr>
                      <w:b/>
                      <w:u w:val="single"/>
                    </w:rPr>
                  </w:pPr>
                  <w:r>
                    <w:rPr>
                      <w:b/>
                      <w:u w:val="single"/>
                    </w:rPr>
                    <w:t>CONSEIL DE PARTICIPATION </w:t>
                  </w:r>
                </w:p>
                <w:p>
                  <w:pPr>
                    <w:pStyle w:val="Default"/>
                    <w:pBdr>
                      <w:right w:val="single" w:sz="4" w:space="4" w:color="auto"/>
                    </w:pBdr>
                    <w:jc w:val="both"/>
                    <w:rPr>
                      <w:rFonts w:asciiTheme="majorHAnsi" w:hAnsiTheme="majorHAnsi" w:cs="Calibri"/>
                      <w:bCs/>
                      <w:iCs/>
                      <w:sz w:val="22"/>
                      <w:szCs w:val="22"/>
                    </w:rPr>
                  </w:pPr>
                </w:p>
                <w:p>
                  <w:pPr>
                    <w:pBdr>
                      <w:right w:val="single" w:sz="4" w:space="4" w:color="auto"/>
                    </w:pBdr>
                    <w:jc w:val="both"/>
                    <w:rPr>
                      <w:rFonts w:cs="Calibri"/>
                      <w:bCs/>
                    </w:rPr>
                  </w:pPr>
                  <w:r>
                    <w:rPr>
                      <w:rFonts w:cs="Calibri"/>
                      <w:bCs/>
                    </w:rPr>
                    <w:t>Chaque établissement est tenu de mettre en place un Conseil de participation</w:t>
                  </w:r>
                  <w:r>
                    <w:rPr>
                      <w:rStyle w:val="Appelnotedebasdep"/>
                      <w:rFonts w:cs="Calibri"/>
                      <w:bCs/>
                    </w:rPr>
                    <w:footnoteReference w:id="58"/>
                  </w:r>
                  <w:r>
                    <w:rPr>
                      <w:rFonts w:cs="Calibri"/>
                      <w:bCs/>
                    </w:rPr>
                    <w:t xml:space="preserve"> dont plusieurs missions sont en lien avec la gratuité d’accès à l’enseignement : </w:t>
                  </w:r>
                </w:p>
                <w:p>
                  <w:pPr>
                    <w:pStyle w:val="Paragraphedeliste"/>
                    <w:numPr>
                      <w:ilvl w:val="0"/>
                      <w:numId w:val="272"/>
                    </w:numPr>
                    <w:pBdr>
                      <w:right w:val="single" w:sz="4" w:space="4" w:color="auto"/>
                    </w:pBdr>
                    <w:suppressAutoHyphens w:val="0"/>
                    <w:contextualSpacing/>
                    <w:jc w:val="both"/>
                    <w:rPr>
                      <w:rFonts w:asciiTheme="majorHAnsi" w:hAnsiTheme="majorHAnsi" w:cs="Calibri"/>
                      <w:bCs/>
                      <w:sz w:val="22"/>
                      <w:szCs w:val="22"/>
                    </w:rPr>
                  </w:pPr>
                  <w:r>
                    <w:rPr>
                      <w:rFonts w:asciiTheme="majorHAnsi" w:hAnsiTheme="majorHAnsi" w:cs="Calibri"/>
                      <w:bCs/>
                      <w:sz w:val="22"/>
                      <w:szCs w:val="22"/>
                    </w:rPr>
                    <w:t xml:space="preserve">mener </w:t>
                  </w:r>
                  <w:r>
                    <w:rPr>
                      <w:rFonts w:asciiTheme="majorHAnsi" w:hAnsiTheme="majorHAnsi" w:cs="Calibri"/>
                      <w:bCs/>
                      <w:iCs/>
                      <w:sz w:val="22"/>
                      <w:szCs w:val="22"/>
                      <w:lang w:val="fr-FR" w:eastAsia="fr-BE"/>
                    </w:rPr>
                    <w:t xml:space="preserve">une </w:t>
                  </w:r>
                  <w:r>
                    <w:rPr>
                      <w:rFonts w:asciiTheme="majorHAnsi" w:hAnsiTheme="majorHAnsi" w:cs="Calibri"/>
                      <w:bCs/>
                      <w:iCs/>
                      <w:sz w:val="22"/>
                      <w:szCs w:val="22"/>
                      <w:u w:val="single"/>
                      <w:lang w:val="fr-FR" w:eastAsia="fr-BE"/>
                    </w:rPr>
                    <w:t>réflexion globale</w:t>
                  </w:r>
                  <w:r>
                    <w:rPr>
                      <w:rFonts w:asciiTheme="majorHAnsi" w:hAnsiTheme="majorHAnsi" w:cs="Calibri"/>
                      <w:bCs/>
                      <w:iCs/>
                      <w:sz w:val="22"/>
                      <w:szCs w:val="22"/>
                      <w:lang w:val="fr-FR" w:eastAsia="fr-BE"/>
                    </w:rPr>
                    <w:t xml:space="preserve"> sur les frais réclamés en cours d'année </w:t>
                  </w:r>
                  <w:r>
                    <w:rPr>
                      <w:rFonts w:asciiTheme="majorHAnsi" w:hAnsiTheme="majorHAnsi" w:cs="Calibri"/>
                      <w:iCs/>
                      <w:sz w:val="22"/>
                      <w:szCs w:val="22"/>
                      <w:lang w:val="fr-FR" w:eastAsia="fr-BE"/>
                    </w:rPr>
                    <w:t xml:space="preserve">; </w:t>
                  </w:r>
                </w:p>
                <w:p>
                  <w:pPr>
                    <w:pStyle w:val="Paragraphedeliste"/>
                    <w:numPr>
                      <w:ilvl w:val="0"/>
                      <w:numId w:val="272"/>
                    </w:numPr>
                    <w:pBdr>
                      <w:right w:val="single" w:sz="4" w:space="4" w:color="auto"/>
                    </w:pBdr>
                    <w:suppressAutoHyphens w:val="0"/>
                    <w:contextualSpacing/>
                    <w:jc w:val="both"/>
                    <w:rPr>
                      <w:rFonts w:asciiTheme="majorHAnsi" w:hAnsiTheme="majorHAnsi" w:cs="Calibri"/>
                      <w:iCs/>
                      <w:sz w:val="22"/>
                      <w:szCs w:val="22"/>
                      <w:lang w:val="fr-FR" w:eastAsia="fr-BE"/>
                    </w:rPr>
                  </w:pPr>
                  <w:r>
                    <w:rPr>
                      <w:rFonts w:asciiTheme="majorHAnsi" w:hAnsiTheme="majorHAnsi" w:cs="Calibri"/>
                      <w:bCs/>
                      <w:iCs/>
                      <w:sz w:val="22"/>
                      <w:szCs w:val="22"/>
                      <w:lang w:val="fr-FR" w:eastAsia="fr-BE"/>
                    </w:rPr>
                    <w:t xml:space="preserve">étudier et proposer la mise en place d'un </w:t>
                  </w:r>
                  <w:r>
                    <w:rPr>
                      <w:rFonts w:asciiTheme="majorHAnsi" w:hAnsiTheme="majorHAnsi" w:cs="Calibri"/>
                      <w:bCs/>
                      <w:iCs/>
                      <w:sz w:val="22"/>
                      <w:szCs w:val="22"/>
                      <w:u w:val="single"/>
                      <w:lang w:val="fr-FR" w:eastAsia="fr-BE"/>
                    </w:rPr>
                    <w:t>mécanisme de solidarité</w:t>
                  </w:r>
                  <w:r>
                    <w:rPr>
                      <w:rFonts w:asciiTheme="majorHAnsi" w:hAnsiTheme="majorHAnsi" w:cs="Calibri"/>
                      <w:bCs/>
                      <w:iCs/>
                      <w:sz w:val="22"/>
                      <w:szCs w:val="22"/>
                      <w:lang w:val="fr-FR" w:eastAsia="fr-BE"/>
                    </w:rPr>
                    <w:t xml:space="preserve"> </w:t>
                  </w:r>
                  <w:r>
                    <w:rPr>
                      <w:rFonts w:asciiTheme="majorHAnsi" w:hAnsiTheme="majorHAnsi" w:cs="Calibri"/>
                      <w:iCs/>
                      <w:sz w:val="22"/>
                      <w:szCs w:val="22"/>
                      <w:lang w:val="fr-FR" w:eastAsia="fr-BE"/>
                    </w:rPr>
                    <w:t>entre les élèves pour le paiement des frais à charge de la personne investie de l’autorité parentale ou de l’élève majeur ;</w:t>
                  </w:r>
                </w:p>
                <w:p>
                  <w:pPr>
                    <w:pStyle w:val="Paragraphedeliste"/>
                    <w:numPr>
                      <w:ilvl w:val="0"/>
                      <w:numId w:val="272"/>
                    </w:numPr>
                    <w:pBdr>
                      <w:right w:val="single" w:sz="4" w:space="4" w:color="auto"/>
                    </w:pBdr>
                    <w:suppressAutoHyphens w:val="0"/>
                    <w:contextualSpacing/>
                    <w:jc w:val="both"/>
                    <w:rPr>
                      <w:rFonts w:asciiTheme="majorHAnsi" w:hAnsiTheme="majorHAnsi" w:cs="Calibri"/>
                      <w:bCs/>
                      <w:sz w:val="22"/>
                      <w:szCs w:val="22"/>
                    </w:rPr>
                  </w:pPr>
                  <w:r>
                    <w:rPr>
                      <w:rFonts w:asciiTheme="majorHAnsi" w:hAnsiTheme="majorHAnsi" w:cs="Calibri"/>
                      <w:sz w:val="22"/>
                      <w:szCs w:val="22"/>
                      <w:u w:val="single"/>
                    </w:rPr>
                    <w:t>informer les parents ou l’élève majeur</w:t>
                  </w:r>
                  <w:r>
                    <w:rPr>
                      <w:rFonts w:asciiTheme="majorHAnsi" w:hAnsiTheme="majorHAnsi" w:cs="Calibri"/>
                      <w:sz w:val="22"/>
                      <w:szCs w:val="22"/>
                    </w:rPr>
                    <w:t xml:space="preserve"> </w:t>
                  </w:r>
                  <w:r>
                    <w:rPr>
                      <w:rFonts w:asciiTheme="majorHAnsi" w:hAnsiTheme="majorHAnsi" w:cs="Calibri"/>
                      <w:bCs/>
                      <w:sz w:val="22"/>
                      <w:szCs w:val="22"/>
                    </w:rPr>
                    <w:t>sur les dispositions décrétales et règlementaires applicables en matière de gratuité d’accès à l’enseignement et de veiller à leur bonne application au sein de l’établissement.</w:t>
                  </w:r>
                </w:p>
                <w:p>
                  <w:pPr>
                    <w:pBdr>
                      <w:right w:val="single" w:sz="4" w:space="4" w:color="auto"/>
                    </w:pBdr>
                    <w:rPr>
                      <w:rFonts w:cs="Calibri"/>
                    </w:rPr>
                  </w:pPr>
                  <w:bookmarkStart w:id="672" w:name="_1.5.2.4._Le_cas"/>
                  <w:bookmarkEnd w:id="672"/>
                </w:p>
                <w:p>
                  <w:pPr>
                    <w:ind w:left="1418"/>
                    <w:rPr>
                      <w:b/>
                      <w:u w:val="single"/>
                    </w:rPr>
                  </w:pPr>
                  <w:r>
                    <w:rPr>
                      <w:b/>
                      <w:u w:val="single"/>
                    </w:rPr>
                    <w:t>Questions-réponses relatives à la gratuité de l’enseignement</w:t>
                  </w:r>
                </w:p>
                <w:p>
                  <w:pPr>
                    <w:pBdr>
                      <w:right w:val="single" w:sz="4" w:space="4" w:color="auto"/>
                    </w:pBdr>
                    <w:jc w:val="both"/>
                    <w:rPr>
                      <w:rFonts w:cs="Calibri"/>
                    </w:rPr>
                  </w:pPr>
                </w:p>
                <w:p>
                  <w:pPr>
                    <w:tabs>
                      <w:tab w:val="left" w:pos="1418"/>
                    </w:tabs>
                    <w:ind w:left="1418"/>
                    <w:rPr>
                      <w:b/>
                      <w:u w:val="single"/>
                    </w:rPr>
                  </w:pPr>
                  <w:r>
                    <w:rPr>
                      <w:b/>
                      <w:u w:val="single"/>
                    </w:rPr>
                    <w:t>Quelles sont les bases légales ?</w:t>
                  </w:r>
                </w:p>
                <w:p>
                  <w:pPr>
                    <w:pBdr>
                      <w:right w:val="single" w:sz="4" w:space="4" w:color="auto"/>
                    </w:pBdr>
                    <w:jc w:val="both"/>
                    <w:rPr>
                      <w:rFonts w:cs="Calibri"/>
                    </w:rPr>
                  </w:pPr>
                </w:p>
                <w:p>
                  <w:pPr>
                    <w:pStyle w:val="Corpsdetexte21"/>
                    <w:numPr>
                      <w:ilvl w:val="0"/>
                      <w:numId w:val="195"/>
                    </w:numPr>
                    <w:pBdr>
                      <w:right w:val="single" w:sz="4" w:space="4" w:color="auto"/>
                    </w:pBdr>
                    <w:ind w:left="567" w:hanging="567"/>
                    <w:jc w:val="both"/>
                    <w:rPr>
                      <w:rFonts w:asciiTheme="majorHAnsi" w:hAnsiTheme="majorHAnsi" w:cs="Calibri"/>
                      <w:sz w:val="22"/>
                      <w:szCs w:val="22"/>
                    </w:rPr>
                  </w:pPr>
                  <w:hyperlink r:id="rId32" w:history="1">
                    <w:r>
                      <w:rPr>
                        <w:rStyle w:val="Lienhypertexte"/>
                        <w:rFonts w:asciiTheme="majorHAnsi" w:eastAsiaTheme="majorEastAsia" w:hAnsiTheme="majorHAnsi" w:cs="Calibri"/>
                        <w:sz w:val="22"/>
                        <w:szCs w:val="22"/>
                      </w:rPr>
                      <w:t>Loi du 29 mai 1959 modifiant certaines dispositions de la législation de l’enseignement</w:t>
                    </w:r>
                  </w:hyperlink>
                  <w:r>
                    <w:rPr>
                      <w:rFonts w:asciiTheme="majorHAnsi" w:hAnsiTheme="majorHAnsi" w:cs="Calibri"/>
                      <w:sz w:val="22"/>
                      <w:szCs w:val="22"/>
                    </w:rPr>
                    <w:t>, article 12 §1</w:t>
                  </w:r>
                  <w:r>
                    <w:rPr>
                      <w:rFonts w:asciiTheme="majorHAnsi" w:hAnsiTheme="majorHAnsi" w:cs="Calibri"/>
                      <w:sz w:val="22"/>
                      <w:szCs w:val="22"/>
                      <w:vertAlign w:val="superscript"/>
                    </w:rPr>
                    <w:t>er</w:t>
                  </w:r>
                  <w:r>
                    <w:rPr>
                      <w:rFonts w:asciiTheme="majorHAnsi" w:hAnsiTheme="majorHAnsi" w:cs="Calibri"/>
                      <w:sz w:val="22"/>
                      <w:szCs w:val="22"/>
                    </w:rPr>
                    <w:t> ;</w:t>
                  </w:r>
                </w:p>
                <w:p>
                  <w:pPr>
                    <w:pStyle w:val="Corpsdetexte21"/>
                    <w:numPr>
                      <w:ilvl w:val="0"/>
                      <w:numId w:val="195"/>
                    </w:numPr>
                    <w:pBdr>
                      <w:right w:val="single" w:sz="4" w:space="4" w:color="auto"/>
                    </w:pBdr>
                    <w:ind w:left="567" w:hanging="567"/>
                    <w:jc w:val="both"/>
                    <w:rPr>
                      <w:rFonts w:asciiTheme="majorHAnsi" w:hAnsiTheme="majorHAnsi" w:cs="Calibri"/>
                      <w:sz w:val="22"/>
                      <w:szCs w:val="22"/>
                    </w:rPr>
                  </w:pPr>
                  <w:hyperlink r:id="rId33" w:history="1">
                    <w:r>
                      <w:rPr>
                        <w:rStyle w:val="Lienhypertexte"/>
                        <w:rFonts w:asciiTheme="majorHAnsi" w:eastAsiaTheme="majorEastAsia" w:hAnsiTheme="majorHAnsi" w:cs="Calibri"/>
                        <w:sz w:val="22"/>
                        <w:szCs w:val="22"/>
                      </w:rPr>
                      <w:t>Décret du 24 juillet 1997 définissant les missions prioritaires de l’enseignement fondamental et de l’enseignement secondaire et organisant les structures propres à les atteindre</w:t>
                    </w:r>
                  </w:hyperlink>
                  <w:r>
                    <w:rPr>
                      <w:rFonts w:asciiTheme="majorHAnsi" w:hAnsiTheme="majorHAnsi" w:cs="Calibri"/>
                      <w:sz w:val="22"/>
                      <w:szCs w:val="22"/>
                    </w:rPr>
                    <w:t xml:space="preserve"> ;</w:t>
                  </w:r>
                </w:p>
                <w:p>
                  <w:pPr>
                    <w:pStyle w:val="Corpsdetexte21"/>
                    <w:numPr>
                      <w:ilvl w:val="0"/>
                      <w:numId w:val="195"/>
                    </w:numPr>
                    <w:pBdr>
                      <w:right w:val="single" w:sz="4" w:space="4" w:color="auto"/>
                    </w:pBdr>
                    <w:ind w:left="567" w:hanging="567"/>
                    <w:jc w:val="both"/>
                    <w:rPr>
                      <w:rFonts w:asciiTheme="majorHAnsi" w:hAnsiTheme="majorHAnsi" w:cs="Calibri"/>
                      <w:sz w:val="22"/>
                      <w:szCs w:val="22"/>
                    </w:rPr>
                  </w:pPr>
                  <w:hyperlink r:id="rId34" w:history="1">
                    <w:r>
                      <w:rPr>
                        <w:rStyle w:val="Lienhypertexte"/>
                        <w:rFonts w:asciiTheme="majorHAnsi" w:eastAsiaTheme="majorEastAsia" w:hAnsiTheme="majorHAnsi" w:cs="Calibri"/>
                        <w:sz w:val="22"/>
                        <w:szCs w:val="22"/>
                      </w:rPr>
                      <w:t>Loi du 21 juin 1985 concernant l’enseignement</w:t>
                    </w:r>
                  </w:hyperlink>
                  <w:r>
                    <w:rPr>
                      <w:rFonts w:asciiTheme="majorHAnsi" w:hAnsiTheme="majorHAnsi" w:cs="Calibri"/>
                      <w:sz w:val="22"/>
                      <w:szCs w:val="22"/>
                    </w:rPr>
                    <w:t>, articles 58 à 62 ;</w:t>
                  </w:r>
                </w:p>
                <w:p>
                  <w:pPr>
                    <w:pStyle w:val="Corpsdetexte21"/>
                    <w:numPr>
                      <w:ilvl w:val="0"/>
                      <w:numId w:val="195"/>
                    </w:numPr>
                    <w:pBdr>
                      <w:right w:val="single" w:sz="4" w:space="4" w:color="auto"/>
                    </w:pBdr>
                    <w:ind w:left="567" w:hanging="567"/>
                    <w:jc w:val="both"/>
                    <w:rPr>
                      <w:rFonts w:asciiTheme="majorHAnsi" w:hAnsiTheme="majorHAnsi" w:cs="Calibri"/>
                      <w:sz w:val="22"/>
                      <w:szCs w:val="22"/>
                    </w:rPr>
                  </w:pPr>
                  <w:hyperlink r:id="rId35" w:history="1">
                    <w:r>
                      <w:rPr>
                        <w:rStyle w:val="Lienhypertexte"/>
                        <w:rFonts w:asciiTheme="majorHAnsi" w:eastAsiaTheme="majorEastAsia" w:hAnsiTheme="majorHAnsi" w:cs="Calibri"/>
                        <w:sz w:val="22"/>
                        <w:szCs w:val="22"/>
                      </w:rPr>
                      <w:t>Arrêté de l’Exécutif de la Communauté française du 25 septembre 1991 portant exécution des articles 59, 60 et 61 de la loi du 21 juin 1985 concernant l’enseignement</w:t>
                    </w:r>
                  </w:hyperlink>
                  <w:r>
                    <w:rPr>
                      <w:rFonts w:asciiTheme="majorHAnsi" w:hAnsiTheme="majorHAnsi" w:cs="Calibri"/>
                      <w:sz w:val="22"/>
                      <w:szCs w:val="22"/>
                    </w:rPr>
                    <w:t>.</w:t>
                  </w:r>
                </w:p>
                <w:p>
                  <w:pPr>
                    <w:pStyle w:val="Corpsdetexte21"/>
                    <w:numPr>
                      <w:ilvl w:val="0"/>
                      <w:numId w:val="195"/>
                    </w:numPr>
                    <w:pBdr>
                      <w:right w:val="single" w:sz="4" w:space="4" w:color="auto"/>
                    </w:pBdr>
                    <w:ind w:left="567" w:hanging="567"/>
                    <w:jc w:val="both"/>
                    <w:rPr>
                      <w:rFonts w:asciiTheme="majorHAnsi" w:hAnsiTheme="majorHAnsi" w:cs="Calibri"/>
                      <w:sz w:val="22"/>
                      <w:szCs w:val="22"/>
                    </w:rPr>
                  </w:pPr>
                  <w:hyperlink r:id="rId36" w:history="1">
                    <w:r>
                      <w:rPr>
                        <w:rStyle w:val="Lienhypertexte"/>
                        <w:rFonts w:asciiTheme="majorHAnsi" w:hAnsiTheme="majorHAnsi" w:cs="Calibri"/>
                        <w:sz w:val="22"/>
                        <w:szCs w:val="22"/>
                      </w:rPr>
                      <w:t>Circulaire n° 7134 du 17 mai 2019 concernant la mise en œuvre de la gratuité scolaire au niveau maternel.</w:t>
                    </w:r>
                  </w:hyperlink>
                  <w:r>
                    <w:rPr>
                      <w:rFonts w:asciiTheme="majorHAnsi" w:hAnsiTheme="majorHAnsi" w:cs="Calibri"/>
                      <w:sz w:val="22"/>
                      <w:szCs w:val="22"/>
                    </w:rPr>
                    <w:t xml:space="preserve"> </w:t>
                  </w:r>
                </w:p>
                <w:p>
                  <w:pPr>
                    <w:pStyle w:val="Corpsdetexte21"/>
                    <w:numPr>
                      <w:ilvl w:val="0"/>
                      <w:numId w:val="195"/>
                    </w:numPr>
                    <w:pBdr>
                      <w:right w:val="single" w:sz="4" w:space="4" w:color="auto"/>
                    </w:pBdr>
                    <w:ind w:left="567" w:hanging="567"/>
                    <w:jc w:val="both"/>
                    <w:rPr>
                      <w:rFonts w:asciiTheme="majorHAnsi" w:hAnsiTheme="majorHAnsi" w:cs="Calibri"/>
                      <w:sz w:val="22"/>
                      <w:szCs w:val="22"/>
                    </w:rPr>
                  </w:pPr>
                  <w:hyperlink r:id="rId37" w:history="1">
                    <w:r>
                      <w:rPr>
                        <w:rStyle w:val="Lienhypertexte"/>
                        <w:rFonts w:asciiTheme="majorHAnsi" w:hAnsiTheme="majorHAnsi" w:cs="Calibri"/>
                        <w:sz w:val="22"/>
                        <w:szCs w:val="22"/>
                      </w:rPr>
                      <w:t>Circulaire n° 7135 du 17 mai 2019 concernant la mise en œuvre de la gratuité scolaire au niveau primaire.</w:t>
                    </w:r>
                  </w:hyperlink>
                  <w:r>
                    <w:rPr>
                      <w:rFonts w:asciiTheme="majorHAnsi" w:hAnsiTheme="majorHAnsi" w:cs="Calibri"/>
                      <w:sz w:val="22"/>
                      <w:szCs w:val="22"/>
                    </w:rPr>
                    <w:t xml:space="preserve"> </w:t>
                  </w:r>
                </w:p>
                <w:p>
                  <w:pPr>
                    <w:pStyle w:val="Default"/>
                    <w:ind w:right="-113"/>
                    <w:jc w:val="both"/>
                    <w:rPr>
                      <w:rFonts w:asciiTheme="majorHAnsi" w:hAnsiTheme="majorHAnsi"/>
                      <w:sz w:val="22"/>
                      <w:szCs w:val="22"/>
                    </w:rPr>
                  </w:pPr>
                </w:p>
                <w:p>
                  <w:pPr>
                    <w:pStyle w:val="Titre4"/>
                    <w:numPr>
                      <w:ilvl w:val="1"/>
                      <w:numId w:val="220"/>
                    </w:numPr>
                  </w:pPr>
                  <w:bookmarkStart w:id="673" w:name="_Toc412204082"/>
                  <w:bookmarkStart w:id="674" w:name="_Toc414352890"/>
                  <w:bookmarkStart w:id="675" w:name="_Toc453836913"/>
                  <w:r>
                    <w:t>Assistance en justice et/ou assistance psychologique  en faveur des personnes liées à un établissement scolaire ou à un centre psycho-médico-social</w:t>
                  </w:r>
                  <w:bookmarkEnd w:id="666"/>
                  <w:bookmarkEnd w:id="667"/>
                  <w:bookmarkEnd w:id="668"/>
                  <w:bookmarkEnd w:id="669"/>
                  <w:bookmarkEnd w:id="673"/>
                  <w:r>
                    <w:rPr>
                      <w:rStyle w:val="Appelnotedebasdep"/>
                    </w:rPr>
                    <w:footnoteReference w:id="59"/>
                  </w:r>
                  <w:bookmarkEnd w:id="674"/>
                  <w:bookmarkEnd w:id="675"/>
                  <w:r>
                    <w:t xml:space="preserve">  </w:t>
                  </w:r>
                </w:p>
                <w:p>
                  <w:pPr>
                    <w:tabs>
                      <w:tab w:val="left" w:pos="1440"/>
                    </w:tabs>
                    <w:jc w:val="both"/>
                    <w:rPr>
                      <w:rFonts w:cs="Arial"/>
                    </w:rPr>
                  </w:pPr>
                </w:p>
                <w:p>
                  <w:pPr>
                    <w:pStyle w:val="Titre5"/>
                  </w:pPr>
                  <w:bookmarkStart w:id="676" w:name="_Toc291075540"/>
                  <w:bookmarkStart w:id="677" w:name="_Toc291075964"/>
                  <w:bookmarkStart w:id="678" w:name="_Toc291076388"/>
                  <w:bookmarkStart w:id="679" w:name="_Toc291076812"/>
                  <w:bookmarkStart w:id="680" w:name="_Toc291077236"/>
                  <w:bookmarkStart w:id="681" w:name="_Toc293652078"/>
                  <w:bookmarkStart w:id="682" w:name="_Toc293653660"/>
                  <w:bookmarkStart w:id="683" w:name="_Toc293654272"/>
                  <w:bookmarkStart w:id="684" w:name="_Toc294004852"/>
                  <w:bookmarkStart w:id="685" w:name="_Toc294185348"/>
                  <w:bookmarkStart w:id="686" w:name="_Toc324767214"/>
                  <w:bookmarkStart w:id="687" w:name="_Toc324768072"/>
                  <w:r>
                    <w:t>1.5.1. Préambule</w:t>
                  </w:r>
                  <w:bookmarkEnd w:id="676"/>
                  <w:bookmarkEnd w:id="677"/>
                  <w:bookmarkEnd w:id="678"/>
                  <w:bookmarkEnd w:id="679"/>
                  <w:bookmarkEnd w:id="680"/>
                  <w:bookmarkEnd w:id="681"/>
                  <w:bookmarkEnd w:id="682"/>
                  <w:bookmarkEnd w:id="683"/>
                  <w:bookmarkEnd w:id="684"/>
                  <w:bookmarkEnd w:id="685"/>
                  <w:bookmarkEnd w:id="686"/>
                  <w:bookmarkEnd w:id="687"/>
                </w:p>
                <w:p>
                  <w:pPr>
                    <w:pStyle w:val="Corpsdetexte21"/>
                    <w:jc w:val="both"/>
                    <w:rPr>
                      <w:rFonts w:asciiTheme="majorHAnsi" w:hAnsiTheme="majorHAnsi"/>
                      <w:b/>
                      <w:sz w:val="22"/>
                      <w:szCs w:val="22"/>
                    </w:rPr>
                  </w:pPr>
                </w:p>
                <w:p>
                  <w:pPr>
                    <w:pStyle w:val="Corpsdetexte21"/>
                    <w:jc w:val="both"/>
                    <w:rPr>
                      <w:rFonts w:asciiTheme="majorHAnsi" w:hAnsiTheme="majorHAnsi"/>
                      <w:sz w:val="22"/>
                      <w:szCs w:val="22"/>
                    </w:rPr>
                  </w:pPr>
                  <w:r>
                    <w:rPr>
                      <w:rFonts w:asciiTheme="majorHAnsi" w:hAnsiTheme="majorHAnsi"/>
                      <w:sz w:val="22"/>
                      <w:szCs w:val="22"/>
                    </w:rPr>
                    <w:t>Conscient des conséquences pouvant résulter d’une agression, le législateur a instauré des mesures d’assistance en justice et/ou d’assistance psychologique  en faveur des personnes liées à un établissement scolaire ou à un centre psycho-médico-social.</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L’introduction de la demande d’assistance doit se faire en respectant un certain nombre de conditions décrites ci-dessous.</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Les demandes d’assistance sont à adresser par lettre recommandée avec accusé de réception au service suivant :</w:t>
                  </w:r>
                </w:p>
                <w:p>
                  <w:pPr>
                    <w:pStyle w:val="Corpsdetexte21"/>
                    <w:rPr>
                      <w:rFonts w:asciiTheme="majorHAnsi" w:hAnsiTheme="majorHAnsi"/>
                      <w:sz w:val="22"/>
                      <w:szCs w:val="22"/>
                    </w:rPr>
                  </w:pPr>
                </w:p>
                <w:p>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Pr>
                      <w:rFonts w:asciiTheme="majorHAnsi" w:hAnsiTheme="majorHAnsi"/>
                      <w:sz w:val="22"/>
                      <w:szCs w:val="22"/>
                    </w:rPr>
                    <w:t>Direction générale de l’Enseignement obligatoire</w:t>
                  </w:r>
                </w:p>
                <w:p>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Pr>
                      <w:rFonts w:asciiTheme="majorHAnsi" w:hAnsiTheme="majorHAnsi"/>
                      <w:sz w:val="22"/>
                      <w:szCs w:val="22"/>
                    </w:rPr>
                    <w:t>Service des Inscriptions et de l’Assistance aux établissements scolaires</w:t>
                  </w:r>
                </w:p>
                <w:p>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Pr>
                      <w:rFonts w:asciiTheme="majorHAnsi" w:hAnsiTheme="majorHAnsi"/>
                      <w:sz w:val="22"/>
                      <w:szCs w:val="22"/>
                    </w:rPr>
                    <w:t xml:space="preserve">Rue Adolphe Lavallée, 1 </w:t>
                  </w:r>
                </w:p>
                <w:p>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Pr>
                      <w:rFonts w:asciiTheme="majorHAnsi" w:hAnsiTheme="majorHAnsi"/>
                      <w:sz w:val="22"/>
                      <w:szCs w:val="22"/>
                    </w:rPr>
                    <w:t>1080   BRUXELLES</w:t>
                  </w:r>
                </w:p>
                <w:p>
                  <w:pPr>
                    <w:pStyle w:val="Corpsdetexte21"/>
                    <w:rPr>
                      <w:rFonts w:asciiTheme="majorHAnsi" w:hAnsiTheme="majorHAnsi"/>
                      <w:sz w:val="22"/>
                      <w:szCs w:val="22"/>
                    </w:rPr>
                  </w:pPr>
                </w:p>
                <w:p>
                  <w:pPr>
                    <w:pStyle w:val="Corpsdetexte21"/>
                    <w:jc w:val="both"/>
                    <w:rPr>
                      <w:rFonts w:asciiTheme="majorHAnsi" w:hAnsiTheme="majorHAnsi"/>
                      <w:b/>
                      <w:sz w:val="22"/>
                      <w:szCs w:val="22"/>
                    </w:rPr>
                  </w:pPr>
                  <w:r>
                    <w:rPr>
                      <w:rFonts w:asciiTheme="majorHAnsi" w:hAnsiTheme="majorHAnsi"/>
                      <w:sz w:val="22"/>
                      <w:szCs w:val="22"/>
                    </w:rPr>
                    <w:t>La victime veillera cependant à ne pas confondre demande d’assistance en justice et/ou assistance psychologique avec la demande d’affectation prioritaire </w:t>
                  </w:r>
                  <w:r>
                    <w:rPr>
                      <w:rStyle w:val="Caractresdenotedebasdepage"/>
                      <w:sz w:val="22"/>
                      <w:szCs w:val="22"/>
                    </w:rPr>
                    <w:footnoteReference w:id="60"/>
                  </w:r>
                  <w:r>
                    <w:rPr>
                      <w:rFonts w:asciiTheme="majorHAnsi" w:hAnsiTheme="majorHAnsi"/>
                      <w:sz w:val="22"/>
                      <w:szCs w:val="22"/>
                    </w:rPr>
                    <w:t>.</w:t>
                  </w:r>
                </w:p>
                <w:p>
                  <w:pPr>
                    <w:jc w:val="both"/>
                    <w:rPr>
                      <w:b/>
                      <w:u w:val="single"/>
                    </w:rPr>
                  </w:pPr>
                  <w:bookmarkStart w:id="688" w:name="_Toc291075541"/>
                  <w:bookmarkStart w:id="689" w:name="_Toc291075965"/>
                  <w:bookmarkStart w:id="690" w:name="_Toc291076389"/>
                  <w:bookmarkStart w:id="691" w:name="_Toc291076813"/>
                  <w:bookmarkStart w:id="692" w:name="_Toc291077237"/>
                  <w:bookmarkStart w:id="693" w:name="_Toc293652079"/>
                  <w:bookmarkStart w:id="694" w:name="_Toc293653661"/>
                  <w:bookmarkStart w:id="695" w:name="_Toc293654273"/>
                  <w:bookmarkStart w:id="696" w:name="_Toc294004853"/>
                  <w:bookmarkStart w:id="697" w:name="_Toc294185349"/>
                  <w:bookmarkStart w:id="698" w:name="_Toc324767215"/>
                  <w:bookmarkStart w:id="699" w:name="_Toc324768073"/>
                </w:p>
                <w:p>
                  <w:pPr>
                    <w:pStyle w:val="Titre5"/>
                  </w:pPr>
                  <w:r>
                    <w:t>1.5.2. Définitions, conditions et procédure d’octroi, recours, dépenses admissibles et pièces justificatives :</w:t>
                  </w:r>
                  <w:bookmarkEnd w:id="688"/>
                  <w:bookmarkEnd w:id="689"/>
                  <w:bookmarkEnd w:id="690"/>
                  <w:bookmarkEnd w:id="691"/>
                  <w:bookmarkEnd w:id="692"/>
                  <w:bookmarkEnd w:id="693"/>
                  <w:bookmarkEnd w:id="694"/>
                  <w:bookmarkEnd w:id="695"/>
                  <w:bookmarkEnd w:id="696"/>
                  <w:bookmarkEnd w:id="697"/>
                  <w:bookmarkEnd w:id="698"/>
                  <w:bookmarkEnd w:id="699"/>
                </w:p>
                <w:p>
                  <w:pPr>
                    <w:rPr>
                      <w:b/>
                      <w:color w:val="008000"/>
                      <w:u w:val="single"/>
                    </w:rPr>
                  </w:pPr>
                </w:p>
                <w:p>
                  <w:pPr>
                    <w:pStyle w:val="Titre6"/>
                  </w:pPr>
                  <w:r>
                    <w:t>1.5.2.1. En quoi consiste l’assistance en justice et/ou psychologique ?</w:t>
                  </w:r>
                </w:p>
                <w:p>
                  <w:pPr>
                    <w:pStyle w:val="Corpsdetexte21"/>
                    <w:jc w:val="both"/>
                    <w:rPr>
                      <w:rFonts w:asciiTheme="majorHAnsi" w:hAnsiTheme="majorHAnsi"/>
                      <w:sz w:val="22"/>
                      <w:szCs w:val="22"/>
                    </w:rPr>
                  </w:pPr>
                </w:p>
                <w:p>
                  <w:pPr>
                    <w:pStyle w:val="Corpsdetexte21"/>
                    <w:numPr>
                      <w:ilvl w:val="0"/>
                      <w:numId w:val="221"/>
                    </w:numPr>
                    <w:ind w:left="284" w:hanging="284"/>
                    <w:jc w:val="both"/>
                    <w:rPr>
                      <w:rFonts w:asciiTheme="majorHAnsi" w:hAnsiTheme="majorHAnsi"/>
                      <w:b/>
                      <w:sz w:val="22"/>
                      <w:szCs w:val="22"/>
                    </w:rPr>
                  </w:pPr>
                  <w:r>
                    <w:rPr>
                      <w:rFonts w:asciiTheme="majorHAnsi" w:hAnsiTheme="majorHAnsi"/>
                      <w:b/>
                      <w:sz w:val="22"/>
                      <w:szCs w:val="22"/>
                    </w:rPr>
                    <w:t>Définitions :</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1. « Assistance en justice » : prise en charge partielle ou totale des honoraires et des frais d’avocat et de procédure</w:t>
                  </w:r>
                  <w:r>
                    <w:rPr>
                      <w:rStyle w:val="Caractresdenotedebasdepage"/>
                      <w:sz w:val="22"/>
                      <w:szCs w:val="22"/>
                    </w:rPr>
                    <w:footnoteReference w:id="61"/>
                  </w:r>
                  <w:r>
                    <w:rPr>
                      <w:rFonts w:asciiTheme="majorHAnsi" w:hAnsiTheme="majorHAnsi"/>
                      <w:sz w:val="22"/>
                      <w:szCs w:val="22"/>
                    </w:rPr>
                    <w:t>.</w:t>
                  </w:r>
                </w:p>
                <w:p>
                  <w:pPr>
                    <w:pStyle w:val="Corpsdetexte21"/>
                    <w:jc w:val="both"/>
                    <w:rPr>
                      <w:rFonts w:asciiTheme="majorHAnsi" w:hAnsiTheme="majorHAnsi"/>
                      <w:sz w:val="22"/>
                      <w:szCs w:val="22"/>
                    </w:rPr>
                  </w:pPr>
                  <w:r>
                    <w:rPr>
                      <w:rFonts w:asciiTheme="majorHAnsi" w:hAnsiTheme="majorHAnsi"/>
                      <w:sz w:val="22"/>
                      <w:szCs w:val="22"/>
                    </w:rPr>
                    <w:t>2. « Assistance psychologique » : assistance (avec un maximum de 12 séances) d’un psychologue et/ou d’un psychiatre dans le but de fournir une aide immédiate à la victime d’une agression.</w:t>
                  </w:r>
                </w:p>
                <w:p>
                  <w:pPr>
                    <w:pStyle w:val="Corpsdetexte21"/>
                    <w:jc w:val="both"/>
                    <w:rPr>
                      <w:rFonts w:asciiTheme="majorHAnsi" w:hAnsiTheme="majorHAnsi"/>
                      <w:b/>
                      <w:sz w:val="22"/>
                      <w:szCs w:val="22"/>
                    </w:rPr>
                  </w:pPr>
                </w:p>
                <w:p>
                  <w:pPr>
                    <w:pStyle w:val="Corpsdetexte21"/>
                    <w:jc w:val="both"/>
                    <w:rPr>
                      <w:rFonts w:asciiTheme="majorHAnsi" w:hAnsiTheme="majorHAnsi"/>
                      <w:b/>
                      <w:sz w:val="22"/>
                      <w:szCs w:val="22"/>
                    </w:rPr>
                  </w:pPr>
                  <w:r>
                    <w:rPr>
                      <w:rFonts w:asciiTheme="majorHAnsi" w:hAnsiTheme="majorHAnsi"/>
                      <w:b/>
                      <w:sz w:val="22"/>
                      <w:szCs w:val="22"/>
                    </w:rPr>
                    <w:t>B) Etendue :</w:t>
                  </w:r>
                </w:p>
                <w:p>
                  <w:pPr>
                    <w:pStyle w:val="Corpsdetexte21"/>
                    <w:jc w:val="both"/>
                    <w:rPr>
                      <w:rFonts w:asciiTheme="majorHAnsi" w:hAnsiTheme="majorHAnsi"/>
                      <w:b/>
                      <w:sz w:val="22"/>
                      <w:szCs w:val="22"/>
                    </w:rPr>
                  </w:pPr>
                </w:p>
                <w:p>
                  <w:pPr>
                    <w:pStyle w:val="Corpsdetexte21"/>
                    <w:jc w:val="both"/>
                    <w:rPr>
                      <w:rFonts w:asciiTheme="majorHAnsi" w:hAnsiTheme="majorHAnsi"/>
                      <w:sz w:val="22"/>
                      <w:szCs w:val="22"/>
                    </w:rPr>
                  </w:pPr>
                  <w:r>
                    <w:rPr>
                      <w:rFonts w:asciiTheme="majorHAnsi" w:hAnsiTheme="majorHAnsi"/>
                      <w:sz w:val="22"/>
                      <w:szCs w:val="22"/>
                    </w:rPr>
                    <w:t>1. « Prise en charge ordinaire » : la prise en charge des honoraires et des frais d’avocat, de procédure et de consultation psychologique et/ou psychiatrique d’urgence se limite en principe à un montant global de 3718,40 Euros.</w:t>
                  </w:r>
                </w:p>
                <w:p>
                  <w:pPr>
                    <w:pStyle w:val="Corpsdetexte21"/>
                    <w:jc w:val="both"/>
                    <w:rPr>
                      <w:rFonts w:asciiTheme="majorHAnsi" w:hAnsiTheme="majorHAnsi"/>
                      <w:sz w:val="22"/>
                      <w:szCs w:val="22"/>
                    </w:rPr>
                  </w:pPr>
                  <w:r>
                    <w:rPr>
                      <w:rFonts w:asciiTheme="majorHAnsi" w:hAnsiTheme="majorHAnsi"/>
                      <w:sz w:val="22"/>
                      <w:szCs w:val="22"/>
                    </w:rPr>
                    <w:t>2. « Prise en charge exceptionnelle » : cependant, à titre exceptionnel et sur demande dûment motivée, la victime peut être autorisée par la Direction des Affaires juridiques et contentieuses</w:t>
                  </w:r>
                  <w:r>
                    <w:rPr>
                      <w:rStyle w:val="Caractresdenotedebasdepage"/>
                      <w:sz w:val="22"/>
                      <w:szCs w:val="22"/>
                    </w:rPr>
                    <w:footnoteReference w:id="62"/>
                  </w:r>
                  <w:r>
                    <w:rPr>
                      <w:rFonts w:asciiTheme="majorHAnsi" w:hAnsiTheme="majorHAnsi"/>
                      <w:sz w:val="22"/>
                      <w:szCs w:val="22"/>
                    </w:rPr>
                    <w:t>, à dépasser le seuil de 3718,40 Euros.</w:t>
                  </w:r>
                </w:p>
                <w:p>
                  <w:pPr>
                    <w:pStyle w:val="Corpsdetexte21"/>
                    <w:jc w:val="both"/>
                    <w:rPr>
                      <w:rFonts w:asciiTheme="majorHAnsi" w:hAnsiTheme="majorHAnsi"/>
                      <w:sz w:val="22"/>
                      <w:szCs w:val="22"/>
                    </w:rPr>
                  </w:pPr>
                </w:p>
                <w:p>
                  <w:pPr>
                    <w:pStyle w:val="Corpsdetexte21"/>
                    <w:jc w:val="both"/>
                    <w:rPr>
                      <w:rFonts w:asciiTheme="majorHAnsi" w:hAnsiTheme="majorHAnsi"/>
                      <w:b/>
                      <w:sz w:val="22"/>
                      <w:szCs w:val="22"/>
                    </w:rPr>
                  </w:pPr>
                  <w:r>
                    <w:rPr>
                      <w:rFonts w:asciiTheme="majorHAnsi" w:hAnsiTheme="majorHAnsi"/>
                      <w:b/>
                      <w:sz w:val="22"/>
                      <w:szCs w:val="22"/>
                    </w:rPr>
                    <w:t>C) Choix du prestataire :</w:t>
                  </w:r>
                </w:p>
                <w:p>
                  <w:pPr>
                    <w:pStyle w:val="Corpsdetexte21"/>
                    <w:jc w:val="both"/>
                    <w:rPr>
                      <w:rFonts w:asciiTheme="majorHAnsi" w:hAnsiTheme="majorHAnsi"/>
                      <w:b/>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Le prestataire est la personne qui fournit à la victime de l’agression l’assistance en justice ou psychologique. La victime </w:t>
                  </w:r>
                  <w:r>
                    <w:rPr>
                      <w:rFonts w:asciiTheme="majorHAnsi" w:hAnsiTheme="majorHAnsi"/>
                      <w:b/>
                      <w:sz w:val="22"/>
                      <w:szCs w:val="22"/>
                    </w:rPr>
                    <w:t>choisit librement</w:t>
                  </w:r>
                  <w:r>
                    <w:rPr>
                      <w:rFonts w:asciiTheme="majorHAnsi" w:hAnsiTheme="majorHAnsi"/>
                      <w:sz w:val="22"/>
                      <w:szCs w:val="22"/>
                    </w:rPr>
                    <w:t xml:space="preserve"> le(les) prestataire(s) au(x)quel(s) elle souhaite recourir. </w:t>
                  </w:r>
                </w:p>
                <w:p>
                  <w:pPr>
                    <w:pStyle w:val="Corpsdetexte21"/>
                    <w:rPr>
                      <w:rFonts w:asciiTheme="majorHAnsi" w:hAnsiTheme="majorHAnsi"/>
                      <w:sz w:val="22"/>
                      <w:szCs w:val="22"/>
                    </w:rPr>
                  </w:pPr>
                </w:p>
                <w:p>
                  <w:pPr>
                    <w:pStyle w:val="Titre6"/>
                  </w:pPr>
                  <w:bookmarkStart w:id="700" w:name="_1.6.2.2._Qui_peut"/>
                  <w:bookmarkStart w:id="701" w:name="_1.5.2.2._Qui_peut"/>
                  <w:bookmarkEnd w:id="700"/>
                  <w:bookmarkEnd w:id="701"/>
                  <w:r>
                    <w:t>1.5.2.2. Qui peut bénéficier de l’assistance en justice et/ou psychologique ?</w:t>
                  </w:r>
                </w:p>
                <w:p>
                  <w:pPr>
                    <w:pStyle w:val="Corpsdetexte21"/>
                    <w:jc w:val="both"/>
                    <w:rPr>
                      <w:rFonts w:asciiTheme="majorHAnsi" w:hAnsiTheme="majorHAnsi"/>
                      <w:b/>
                      <w:sz w:val="22"/>
                      <w:szCs w:val="22"/>
                    </w:rPr>
                  </w:pPr>
                </w:p>
                <w:p>
                  <w:pPr>
                    <w:pStyle w:val="Corpsdetexte21"/>
                    <w:numPr>
                      <w:ilvl w:val="0"/>
                      <w:numId w:val="222"/>
                    </w:numPr>
                    <w:ind w:left="284" w:hanging="284"/>
                    <w:jc w:val="both"/>
                    <w:rPr>
                      <w:rFonts w:asciiTheme="majorHAnsi" w:hAnsiTheme="majorHAnsi"/>
                      <w:b/>
                      <w:sz w:val="22"/>
                      <w:szCs w:val="22"/>
                    </w:rPr>
                  </w:pPr>
                  <w:r>
                    <w:rPr>
                      <w:rFonts w:asciiTheme="majorHAnsi" w:hAnsiTheme="majorHAnsi"/>
                      <w:b/>
                      <w:sz w:val="22"/>
                      <w:szCs w:val="22"/>
                    </w:rPr>
                    <w:t>Bénéficiaires :</w:t>
                  </w:r>
                </w:p>
                <w:p>
                  <w:pPr>
                    <w:pStyle w:val="Corpsdetexte21"/>
                    <w:jc w:val="both"/>
                    <w:rPr>
                      <w:rFonts w:asciiTheme="majorHAnsi" w:hAnsiTheme="majorHAnsi"/>
                      <w:b/>
                      <w:sz w:val="22"/>
                      <w:szCs w:val="22"/>
                    </w:rPr>
                  </w:pPr>
                </w:p>
                <w:p>
                  <w:pPr>
                    <w:pStyle w:val="Corpsdetexte21"/>
                    <w:jc w:val="both"/>
                    <w:rPr>
                      <w:rFonts w:asciiTheme="majorHAnsi" w:hAnsiTheme="majorHAnsi"/>
                      <w:sz w:val="22"/>
                      <w:szCs w:val="22"/>
                    </w:rPr>
                  </w:pPr>
                  <w:r>
                    <w:rPr>
                      <w:rFonts w:asciiTheme="majorHAnsi" w:hAnsiTheme="majorHAnsi"/>
                      <w:sz w:val="22"/>
                      <w:szCs w:val="22"/>
                    </w:rPr>
                    <w:t>Toute personne exerçant sa fonction en tout ou en partie ou chargé d’une mission dans un établissement d’enseignement fondamental ou secondaire, ordinaire ou spécialisé, organisé ou subventionné par la Communauté française, ainsi que dans un centre psycho-médico-social organisé ou subventionné par la Communauté française . </w:t>
                  </w:r>
                </w:p>
                <w:p>
                  <w:pPr>
                    <w:pStyle w:val="Corpsdetexte21"/>
                    <w:jc w:val="both"/>
                    <w:rPr>
                      <w:rFonts w:asciiTheme="majorHAnsi" w:hAnsiTheme="majorHAnsi"/>
                      <w:sz w:val="22"/>
                      <w:szCs w:val="22"/>
                    </w:rPr>
                  </w:pPr>
                </w:p>
                <w:p>
                  <w:pPr>
                    <w:pStyle w:val="Corpsdetexte21"/>
                    <w:jc w:val="both"/>
                    <w:rPr>
                      <w:rFonts w:asciiTheme="majorHAnsi" w:hAnsiTheme="majorHAnsi"/>
                      <w:b/>
                      <w:sz w:val="22"/>
                      <w:szCs w:val="22"/>
                    </w:rPr>
                  </w:pPr>
                  <w:r>
                    <w:rPr>
                      <w:rFonts w:asciiTheme="majorHAnsi" w:hAnsiTheme="majorHAnsi"/>
                      <w:b/>
                      <w:sz w:val="22"/>
                      <w:szCs w:val="22"/>
                    </w:rPr>
                    <w:t>B) Le bénéficiaire doit avoir été victime d’une agression, c’est-à-dire :</w:t>
                  </w:r>
                </w:p>
                <w:p>
                  <w:pPr>
                    <w:pStyle w:val="Corpsdetexte21"/>
                    <w:jc w:val="both"/>
                    <w:rPr>
                      <w:rFonts w:asciiTheme="majorHAnsi" w:hAnsiTheme="majorHAnsi"/>
                      <w:b/>
                      <w:sz w:val="22"/>
                      <w:szCs w:val="22"/>
                    </w:rPr>
                  </w:pPr>
                </w:p>
                <w:p>
                  <w:pPr>
                    <w:pStyle w:val="Corpsdetexte21"/>
                    <w:numPr>
                      <w:ilvl w:val="1"/>
                      <w:numId w:val="99"/>
                    </w:numPr>
                    <w:tabs>
                      <w:tab w:val="clear" w:pos="1440"/>
                    </w:tabs>
                    <w:ind w:left="850" w:hanging="283"/>
                    <w:jc w:val="both"/>
                    <w:rPr>
                      <w:rFonts w:asciiTheme="majorHAnsi" w:hAnsiTheme="majorHAnsi"/>
                      <w:sz w:val="22"/>
                      <w:szCs w:val="22"/>
                    </w:rPr>
                  </w:pPr>
                  <w:r>
                    <w:rPr>
                      <w:rFonts w:asciiTheme="majorHAnsi" w:hAnsiTheme="majorHAnsi"/>
                      <w:sz w:val="22"/>
                      <w:szCs w:val="22"/>
                    </w:rPr>
                    <w:t xml:space="preserve">D’une atteinte physique et/ou psychologique contre sa personne ou d’une détérioration de ses biens…  </w:t>
                  </w:r>
                </w:p>
                <w:p>
                  <w:pPr>
                    <w:pStyle w:val="Corpsdetexte21"/>
                    <w:numPr>
                      <w:ilvl w:val="1"/>
                      <w:numId w:val="99"/>
                    </w:numPr>
                    <w:tabs>
                      <w:tab w:val="clear" w:pos="1440"/>
                    </w:tabs>
                    <w:ind w:left="850" w:hanging="283"/>
                    <w:jc w:val="both"/>
                    <w:rPr>
                      <w:rFonts w:asciiTheme="majorHAnsi" w:hAnsiTheme="majorHAnsi"/>
                      <w:sz w:val="22"/>
                      <w:szCs w:val="22"/>
                    </w:rPr>
                  </w:pPr>
                  <w:r>
                    <w:rPr>
                      <w:rFonts w:asciiTheme="majorHAnsi" w:hAnsiTheme="majorHAnsi"/>
                      <w:sz w:val="22"/>
                      <w:szCs w:val="22"/>
                    </w:rPr>
                    <w:t>…commise :</w:t>
                  </w:r>
                </w:p>
                <w:p>
                  <w:pPr>
                    <w:pStyle w:val="Corpsdetexte21"/>
                    <w:numPr>
                      <w:ilvl w:val="0"/>
                      <w:numId w:val="255"/>
                    </w:numPr>
                    <w:jc w:val="both"/>
                    <w:rPr>
                      <w:rFonts w:asciiTheme="majorHAnsi" w:hAnsiTheme="majorHAnsi"/>
                      <w:sz w:val="22"/>
                      <w:szCs w:val="22"/>
                    </w:rPr>
                  </w:pPr>
                  <w:r>
                    <w:rPr>
                      <w:rFonts w:asciiTheme="majorHAnsi" w:hAnsiTheme="majorHAnsi"/>
                      <w:sz w:val="22"/>
                      <w:szCs w:val="22"/>
                    </w:rPr>
                    <w:t>dans le cadre de son service ou en relation directe avec celui-ci :</w:t>
                  </w:r>
                </w:p>
                <w:p>
                  <w:pPr>
                    <w:pStyle w:val="Corpsdetexte21"/>
                    <w:numPr>
                      <w:ilvl w:val="0"/>
                      <w:numId w:val="115"/>
                    </w:numPr>
                    <w:tabs>
                      <w:tab w:val="clear" w:pos="360"/>
                    </w:tabs>
                    <w:ind w:left="2268" w:hanging="283"/>
                    <w:jc w:val="both"/>
                    <w:rPr>
                      <w:rFonts w:asciiTheme="majorHAnsi" w:hAnsiTheme="majorHAnsi"/>
                      <w:sz w:val="22"/>
                      <w:szCs w:val="22"/>
                    </w:rPr>
                  </w:pPr>
                  <w:r>
                    <w:rPr>
                      <w:rFonts w:asciiTheme="majorHAnsi" w:hAnsiTheme="majorHAnsi"/>
                      <w:sz w:val="22"/>
                      <w:szCs w:val="22"/>
                    </w:rPr>
                    <w:t>soit par un élève ;</w:t>
                  </w:r>
                </w:p>
                <w:p>
                  <w:pPr>
                    <w:pStyle w:val="Corpsdetexte21"/>
                    <w:numPr>
                      <w:ilvl w:val="0"/>
                      <w:numId w:val="115"/>
                    </w:numPr>
                    <w:tabs>
                      <w:tab w:val="clear" w:pos="360"/>
                    </w:tabs>
                    <w:ind w:left="2268" w:hanging="283"/>
                    <w:jc w:val="both"/>
                    <w:rPr>
                      <w:rFonts w:asciiTheme="majorHAnsi" w:hAnsiTheme="majorHAnsi"/>
                      <w:sz w:val="22"/>
                      <w:szCs w:val="22"/>
                    </w:rPr>
                  </w:pPr>
                  <w:r>
                    <w:rPr>
                      <w:rFonts w:asciiTheme="majorHAnsi" w:hAnsiTheme="majorHAnsi"/>
                      <w:sz w:val="22"/>
                      <w:szCs w:val="22"/>
                    </w:rPr>
                    <w:t>soit par un tiers sur instigation ou avec complicité d’un élève :</w:t>
                  </w:r>
                </w:p>
                <w:p>
                  <w:pPr>
                    <w:pStyle w:val="Corpsdetexte21"/>
                    <w:ind w:left="2268"/>
                    <w:jc w:val="both"/>
                    <w:rPr>
                      <w:rFonts w:asciiTheme="majorHAnsi" w:hAnsiTheme="majorHAnsi"/>
                      <w:i/>
                      <w:sz w:val="22"/>
                      <w:szCs w:val="22"/>
                    </w:rPr>
                  </w:pPr>
                  <w:r>
                    <w:rPr>
                      <w:rFonts w:asciiTheme="majorHAnsi" w:hAnsiTheme="majorHAnsi"/>
                      <w:i/>
                      <w:sz w:val="22"/>
                      <w:szCs w:val="22"/>
                    </w:rPr>
                    <w:t>Dans cette hypothèse, l’atteinte n’est pas nécessairement commise par l’élève mais par une autre personne sur incitation de l’élève ou avec la participation de ce dernier.</w:t>
                  </w:r>
                </w:p>
                <w:p>
                  <w:pPr>
                    <w:pStyle w:val="Corpsdetexte21"/>
                    <w:numPr>
                      <w:ilvl w:val="0"/>
                      <w:numId w:val="116"/>
                    </w:numPr>
                    <w:tabs>
                      <w:tab w:val="clear" w:pos="360"/>
                    </w:tabs>
                    <w:ind w:left="2268" w:hanging="283"/>
                    <w:jc w:val="both"/>
                    <w:rPr>
                      <w:rFonts w:asciiTheme="majorHAnsi" w:hAnsiTheme="majorHAnsi"/>
                      <w:sz w:val="22"/>
                      <w:szCs w:val="22"/>
                    </w:rPr>
                  </w:pPr>
                  <w:r>
                    <w:rPr>
                      <w:rFonts w:asciiTheme="majorHAnsi" w:hAnsiTheme="majorHAnsi"/>
                      <w:sz w:val="22"/>
                      <w:szCs w:val="22"/>
                    </w:rPr>
                    <w:t>soit par un membre de la famille d’un élève ou toute personne habitant sous le même toit ;</w:t>
                  </w:r>
                </w:p>
                <w:p>
                  <w:pPr>
                    <w:pStyle w:val="Corpsdetexte21"/>
                    <w:ind w:left="2268"/>
                    <w:jc w:val="both"/>
                    <w:rPr>
                      <w:rFonts w:asciiTheme="majorHAnsi" w:hAnsiTheme="majorHAnsi"/>
                      <w:i/>
                      <w:sz w:val="22"/>
                      <w:szCs w:val="22"/>
                    </w:rPr>
                  </w:pPr>
                  <w:r>
                    <w:rPr>
                      <w:rFonts w:asciiTheme="majorHAnsi" w:hAnsiTheme="majorHAnsi"/>
                      <w:i/>
                      <w:sz w:val="22"/>
                      <w:szCs w:val="22"/>
                    </w:rPr>
                    <w:t>Par personne habitant sous le même toit : on entend par là toute personne qui a sa résidence au même domicile que l’élève. En cas de discussions, il appartiendra au juge de trancher.</w:t>
                  </w:r>
                </w:p>
                <w:p>
                  <w:pPr>
                    <w:pStyle w:val="Corpsdetexte21"/>
                    <w:ind w:left="1984"/>
                    <w:jc w:val="both"/>
                    <w:rPr>
                      <w:rFonts w:asciiTheme="majorHAnsi" w:hAnsiTheme="majorHAnsi"/>
                      <w:i/>
                      <w:sz w:val="22"/>
                      <w:szCs w:val="22"/>
                    </w:rPr>
                  </w:pPr>
                </w:p>
                <w:p>
                  <w:pPr>
                    <w:pStyle w:val="Corpsdetexte21"/>
                    <w:numPr>
                      <w:ilvl w:val="0"/>
                      <w:numId w:val="255"/>
                    </w:numPr>
                    <w:jc w:val="both"/>
                    <w:rPr>
                      <w:rFonts w:asciiTheme="majorHAnsi" w:hAnsiTheme="majorHAnsi"/>
                      <w:sz w:val="22"/>
                      <w:szCs w:val="22"/>
                    </w:rPr>
                  </w:pPr>
                  <w:r>
                    <w:rPr>
                      <w:rFonts w:asciiTheme="majorHAnsi" w:hAnsiTheme="majorHAnsi"/>
                      <w:sz w:val="22"/>
                      <w:szCs w:val="22"/>
                    </w:rPr>
                    <w:t>par toute autre personne n’appartenant pas au personnel de l’établissement, pour autant qu’il soit démontré par la victime que l’agression est en relation directe avec le service.</w:t>
                  </w:r>
                </w:p>
                <w:p>
                  <w:pPr>
                    <w:pStyle w:val="Corpsdetexte21"/>
                    <w:jc w:val="both"/>
                    <w:rPr>
                      <w:rFonts w:asciiTheme="majorHAnsi" w:hAnsiTheme="majorHAnsi"/>
                      <w:b/>
                      <w:i/>
                      <w:sz w:val="22"/>
                      <w:szCs w:val="22"/>
                    </w:rPr>
                  </w:pPr>
                </w:p>
                <w:p>
                  <w:pPr>
                    <w:pStyle w:val="Corpsdetexte21"/>
                    <w:jc w:val="both"/>
                    <w:rPr>
                      <w:rFonts w:asciiTheme="majorHAnsi" w:hAnsiTheme="majorHAnsi"/>
                      <w:b/>
                      <w:sz w:val="22"/>
                      <w:szCs w:val="22"/>
                    </w:rPr>
                  </w:pPr>
                  <w:r>
                    <w:rPr>
                      <w:rFonts w:asciiTheme="majorHAnsi" w:hAnsiTheme="majorHAnsi"/>
                      <w:b/>
                      <w:sz w:val="22"/>
                      <w:szCs w:val="22"/>
                    </w:rPr>
                    <w:t>C) Dépôt d’une plainte auprès des autorités judiciaires :</w:t>
                  </w:r>
                </w:p>
                <w:p>
                  <w:pPr>
                    <w:pStyle w:val="Corpsdetexte21"/>
                    <w:rPr>
                      <w:rFonts w:asciiTheme="majorHAnsi" w:hAnsiTheme="majorHAnsi"/>
                      <w:b/>
                      <w:sz w:val="22"/>
                      <w:szCs w:val="22"/>
                    </w:rPr>
                  </w:pPr>
                </w:p>
                <w:p>
                  <w:pPr>
                    <w:pStyle w:val="Corpsdetexte21"/>
                    <w:jc w:val="both"/>
                    <w:rPr>
                      <w:rFonts w:asciiTheme="majorHAnsi" w:hAnsiTheme="majorHAnsi"/>
                      <w:sz w:val="22"/>
                      <w:szCs w:val="22"/>
                    </w:rPr>
                  </w:pPr>
                  <w:r>
                    <w:rPr>
                      <w:rFonts w:asciiTheme="majorHAnsi" w:hAnsiTheme="majorHAnsi"/>
                      <w:sz w:val="22"/>
                      <w:szCs w:val="22"/>
                    </w:rPr>
                    <w:t>Pour pouvoir bénéficier de l’assistance en justice et/ou psychologique, la victime doit avoir porté plainte auprès des autorités judiciaires.</w:t>
                  </w:r>
                </w:p>
                <w:p>
                  <w:pPr>
                    <w:pStyle w:val="Corpsdetexte21"/>
                    <w:pBdr>
                      <w:right w:val="single" w:sz="4" w:space="4" w:color="auto"/>
                    </w:pBdr>
                    <w:jc w:val="both"/>
                    <w:rPr>
                      <w:rFonts w:asciiTheme="majorHAnsi" w:hAnsiTheme="majorHAnsi"/>
                      <w:sz w:val="22"/>
                      <w:szCs w:val="22"/>
                    </w:rPr>
                  </w:pPr>
                  <w:r>
                    <w:rPr>
                      <w:rFonts w:asciiTheme="majorHAnsi" w:hAnsiTheme="majorHAnsi"/>
                      <w:sz w:val="22"/>
                      <w:szCs w:val="22"/>
                    </w:rPr>
                    <w:t>Quand on parle d’autorité judiciaire, on vise le Parquet et non la Police. Néanmoins, si la victime a adressé sa plainte auprès de la Police, l’administration accepte ce document.</w:t>
                  </w:r>
                </w:p>
                <w:p>
                  <w:pPr>
                    <w:pStyle w:val="Corpsdetexte21"/>
                    <w:jc w:val="both"/>
                    <w:rPr>
                      <w:rFonts w:asciiTheme="majorHAnsi" w:hAnsiTheme="majorHAnsi"/>
                      <w:sz w:val="22"/>
                      <w:szCs w:val="22"/>
                    </w:rPr>
                  </w:pPr>
                </w:p>
                <w:p>
                  <w:pPr>
                    <w:pStyle w:val="Corpsdetexte21"/>
                    <w:jc w:val="both"/>
                    <w:rPr>
                      <w:rFonts w:asciiTheme="majorHAnsi" w:hAnsiTheme="majorHAnsi"/>
                      <w:b/>
                      <w:sz w:val="22"/>
                      <w:szCs w:val="22"/>
                    </w:rPr>
                  </w:pPr>
                  <w:r>
                    <w:rPr>
                      <w:rFonts w:asciiTheme="majorHAnsi" w:hAnsiTheme="majorHAnsi"/>
                      <w:b/>
                      <w:sz w:val="22"/>
                      <w:szCs w:val="22"/>
                    </w:rPr>
                    <w:t>D) Attestation de la Direction des Accidents du travail des personnels de l’Enseignement :</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Pour pouvoir bénéficier de cette aide, l’intéressé doit avoir été reconnu victime d’un accident de travail résultant de l’acte de violence par la Direction des Accidents du travail des personnels de l’Enseignement.</w:t>
                  </w:r>
                </w:p>
                <w:p>
                  <w:pPr>
                    <w:pStyle w:val="2"/>
                    <w:jc w:val="both"/>
                    <w:rPr>
                      <w:sz w:val="22"/>
                      <w:szCs w:val="22"/>
                      <w:lang w:val="fr-BE"/>
                    </w:rPr>
                  </w:pPr>
                </w:p>
                <w:p>
                  <w:pPr>
                    <w:pStyle w:val="Titre6"/>
                  </w:pPr>
                  <w:r>
                    <w:t xml:space="preserve">1.5.2.3. Comment bénéficier de l’assistance en justice et/ou psychologique   </w:t>
                  </w:r>
                </w:p>
                <w:p>
                  <w:pPr>
                    <w:jc w:val="both"/>
                    <w:rPr>
                      <w:b/>
                      <w:u w:val="single"/>
                    </w:rPr>
                  </w:pPr>
                </w:p>
                <w:p>
                  <w:pPr>
                    <w:pStyle w:val="Titre7"/>
                  </w:pPr>
                  <w:bookmarkStart w:id="702" w:name="_1.6.2.3.1._Introduction_de"/>
                  <w:bookmarkEnd w:id="702"/>
                  <w:r>
                    <w:t xml:space="preserve">1.5.2.3.1. </w:t>
                  </w:r>
                  <w:r>
                    <w:rPr>
                      <w:rStyle w:val="Titre6Car"/>
                      <w:b/>
                      <w:szCs w:val="22"/>
                    </w:rPr>
                    <w:t>Introduction de la demande</w:t>
                  </w:r>
                </w:p>
                <w:p>
                  <w:pPr>
                    <w:pStyle w:val="Corpsdetexte21"/>
                    <w:jc w:val="both"/>
                    <w:rPr>
                      <w:rFonts w:asciiTheme="majorHAnsi" w:hAnsiTheme="majorHAnsi"/>
                      <w:b/>
                      <w: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Pour formuler valablement une demande d’assistance en justice et/ou psychologique, la victime doit respecter l’ensemble des conditions suivantes : </w:t>
                  </w:r>
                </w:p>
                <w:p>
                  <w:pPr>
                    <w:pStyle w:val="Corpsdetexte21"/>
                    <w:jc w:val="both"/>
                    <w:rPr>
                      <w:rFonts w:asciiTheme="majorHAnsi" w:hAnsiTheme="majorHAnsi"/>
                      <w:sz w:val="22"/>
                      <w:szCs w:val="22"/>
                    </w:rPr>
                  </w:pPr>
                </w:p>
                <w:p>
                  <w:pPr>
                    <w:pStyle w:val="Corpsdetexte21"/>
                    <w:numPr>
                      <w:ilvl w:val="0"/>
                      <w:numId w:val="117"/>
                    </w:numPr>
                    <w:ind w:left="643"/>
                    <w:jc w:val="both"/>
                    <w:rPr>
                      <w:rFonts w:asciiTheme="majorHAnsi" w:hAnsiTheme="majorHAnsi"/>
                      <w:sz w:val="22"/>
                      <w:szCs w:val="22"/>
                    </w:rPr>
                  </w:pPr>
                  <w:r>
                    <w:rPr>
                      <w:rFonts w:asciiTheme="majorHAnsi" w:hAnsiTheme="majorHAnsi"/>
                      <w:sz w:val="22"/>
                      <w:szCs w:val="22"/>
                    </w:rPr>
                    <w:t xml:space="preserve">La </w:t>
                  </w:r>
                  <w:r>
                    <w:rPr>
                      <w:rFonts w:asciiTheme="majorHAnsi" w:hAnsiTheme="majorHAnsi"/>
                      <w:b/>
                      <w:sz w:val="22"/>
                      <w:szCs w:val="22"/>
                    </w:rPr>
                    <w:t>demande</w:t>
                  </w:r>
                  <w:r>
                    <w:rPr>
                      <w:rFonts w:asciiTheme="majorHAnsi" w:hAnsiTheme="majorHAnsi"/>
                      <w:sz w:val="22"/>
                      <w:szCs w:val="22"/>
                    </w:rPr>
                    <w:t xml:space="preserve"> (sauf cas de force majeure dûment justifié) doit être adressée par la victime à la Direction générale de l’Enseignement obligatoire, Service des inscriptions et de l’assistance aux établissements scolaires, </w:t>
                  </w:r>
                  <w:r>
                    <w:rPr>
                      <w:rFonts w:asciiTheme="majorHAnsi" w:hAnsiTheme="majorHAnsi"/>
                      <w:b/>
                      <w:sz w:val="22"/>
                      <w:szCs w:val="22"/>
                    </w:rPr>
                    <w:t>rue Adolphe Lavallée, 1 à 1080 BRUXELLES </w:t>
                  </w:r>
                  <w:r>
                    <w:rPr>
                      <w:rFonts w:asciiTheme="majorHAnsi" w:hAnsiTheme="majorHAnsi"/>
                      <w:sz w:val="22"/>
                      <w:szCs w:val="22"/>
                    </w:rPr>
                    <w:t>:</w:t>
                  </w:r>
                </w:p>
                <w:p>
                  <w:pPr>
                    <w:pStyle w:val="Corpsdetexte21"/>
                    <w:tabs>
                      <w:tab w:val="left" w:pos="1276"/>
                    </w:tabs>
                    <w:ind w:left="992" w:hanging="425"/>
                    <w:jc w:val="both"/>
                    <w:rPr>
                      <w:rFonts w:asciiTheme="majorHAnsi" w:hAnsiTheme="majorHAnsi"/>
                      <w:sz w:val="22"/>
                      <w:szCs w:val="22"/>
                    </w:rPr>
                  </w:pPr>
                  <w:r>
                    <w:rPr>
                      <w:rFonts w:asciiTheme="majorHAnsi" w:hAnsiTheme="majorHAnsi"/>
                      <w:sz w:val="22"/>
                      <w:szCs w:val="22"/>
                    </w:rPr>
                    <w:t xml:space="preserve">a) </w:t>
                  </w:r>
                  <w:r>
                    <w:rPr>
                      <w:rFonts w:asciiTheme="majorHAnsi" w:hAnsiTheme="majorHAnsi"/>
                      <w:b/>
                      <w:sz w:val="22"/>
                      <w:szCs w:val="22"/>
                    </w:rPr>
                    <w:t>par recommandé</w:t>
                  </w:r>
                  <w:r>
                    <w:rPr>
                      <w:rFonts w:asciiTheme="majorHAnsi" w:hAnsiTheme="majorHAnsi"/>
                      <w:sz w:val="22"/>
                      <w:szCs w:val="22"/>
                    </w:rPr>
                    <w:t xml:space="preserve"> </w:t>
                  </w:r>
                  <w:r>
                    <w:rPr>
                      <w:rFonts w:asciiTheme="majorHAnsi" w:hAnsiTheme="majorHAnsi"/>
                      <w:b/>
                      <w:sz w:val="22"/>
                      <w:szCs w:val="22"/>
                    </w:rPr>
                    <w:t>avec accusé de réception</w:t>
                  </w:r>
                  <w:r>
                    <w:rPr>
                      <w:rFonts w:asciiTheme="majorHAnsi" w:hAnsiTheme="majorHAnsi"/>
                      <w:sz w:val="22"/>
                      <w:szCs w:val="22"/>
                    </w:rPr>
                    <w:t> ;</w:t>
                  </w:r>
                </w:p>
                <w:p>
                  <w:pPr>
                    <w:pStyle w:val="Corpsdetexte21"/>
                    <w:tabs>
                      <w:tab w:val="left" w:pos="1276"/>
                    </w:tabs>
                    <w:ind w:left="992" w:hanging="425"/>
                    <w:jc w:val="both"/>
                    <w:rPr>
                      <w:rFonts w:asciiTheme="majorHAnsi" w:hAnsiTheme="majorHAnsi"/>
                      <w:sz w:val="22"/>
                      <w:szCs w:val="22"/>
                    </w:rPr>
                  </w:pPr>
                  <w:r>
                    <w:rPr>
                      <w:rFonts w:asciiTheme="majorHAnsi" w:hAnsiTheme="majorHAnsi"/>
                      <w:sz w:val="22"/>
                      <w:szCs w:val="22"/>
                    </w:rPr>
                    <w:t xml:space="preserve">b) </w:t>
                  </w:r>
                  <w:r>
                    <w:rPr>
                      <w:rFonts w:asciiTheme="majorHAnsi" w:hAnsiTheme="majorHAnsi"/>
                      <w:b/>
                      <w:sz w:val="22"/>
                      <w:szCs w:val="22"/>
                    </w:rPr>
                    <w:t xml:space="preserve">dans le mois qui suit </w:t>
                  </w:r>
                  <w:r>
                    <w:rPr>
                      <w:rFonts w:asciiTheme="majorHAnsi" w:hAnsiTheme="majorHAnsi"/>
                      <w:sz w:val="22"/>
                      <w:szCs w:val="22"/>
                    </w:rPr>
                    <w:t>(dans les 30 jours calendrier à dater du lendemain du jour de la notification) de la survenance des faits ;</w:t>
                  </w:r>
                </w:p>
                <w:p>
                  <w:pPr>
                    <w:pStyle w:val="Corpsdetexte21"/>
                    <w:tabs>
                      <w:tab w:val="left" w:pos="1276"/>
                    </w:tabs>
                    <w:ind w:left="992" w:hanging="425"/>
                    <w:jc w:val="both"/>
                    <w:rPr>
                      <w:rFonts w:asciiTheme="majorHAnsi" w:hAnsiTheme="majorHAnsi"/>
                      <w:sz w:val="22"/>
                      <w:szCs w:val="22"/>
                    </w:rPr>
                  </w:pPr>
                  <w:r>
                    <w:rPr>
                      <w:rFonts w:asciiTheme="majorHAnsi" w:hAnsiTheme="majorHAnsi"/>
                      <w:sz w:val="22"/>
                      <w:szCs w:val="22"/>
                    </w:rPr>
                    <w:t xml:space="preserve">c) </w:t>
                  </w:r>
                  <w:r>
                    <w:rPr>
                      <w:rFonts w:asciiTheme="majorHAnsi" w:hAnsiTheme="majorHAnsi"/>
                      <w:b/>
                      <w:sz w:val="22"/>
                      <w:szCs w:val="22"/>
                    </w:rPr>
                    <w:t>en indiquant</w:t>
                  </w:r>
                  <w:r>
                    <w:rPr>
                      <w:rFonts w:asciiTheme="majorHAnsi" w:hAnsiTheme="majorHAnsi"/>
                      <w:sz w:val="22"/>
                      <w:szCs w:val="22"/>
                    </w:rPr>
                    <w:t xml:space="preserve">, dans la mesure du possible, les causes, les circonstances et les conséquences probables de l’agression et en y joignant </w:t>
                  </w:r>
                  <w:r>
                    <w:rPr>
                      <w:rFonts w:asciiTheme="majorHAnsi" w:hAnsiTheme="majorHAnsi"/>
                      <w:b/>
                      <w:sz w:val="22"/>
                      <w:szCs w:val="22"/>
                    </w:rPr>
                    <w:t>copie de la plainte</w:t>
                  </w:r>
                  <w:r>
                    <w:rPr>
                      <w:rFonts w:asciiTheme="majorHAnsi" w:hAnsiTheme="majorHAnsi"/>
                      <w:sz w:val="22"/>
                      <w:szCs w:val="22"/>
                    </w:rPr>
                    <w:t xml:space="preserve"> déposée auprès des autorités judiciaires ainsi qu’une copie de l’attestation de la Direction des Accidents du Travail des personnels de l’Enseignement reconnaissant la victime d’un accident de travail résultant de l’acte de violence ;</w:t>
                  </w:r>
                </w:p>
                <w:p>
                  <w:pPr>
                    <w:pStyle w:val="Corpsdetexte21"/>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Remarque : il importe peu que la victime possède ou non tous les documents requis au moment de l’introduction de sa demande, le principal étant que la demande soit envoyée dans le mois de la survenance des faits.  Les documents manquants seront transmis dans les plus brefs délais.</w:t>
                  </w:r>
                </w:p>
                <w:p>
                  <w:pPr>
                    <w:pStyle w:val="Corpsdetexte21"/>
                    <w:ind w:hanging="12"/>
                    <w:jc w:val="both"/>
                    <w:rPr>
                      <w:rFonts w:asciiTheme="majorHAnsi" w:hAnsiTheme="majorHAnsi"/>
                      <w:sz w:val="22"/>
                      <w:szCs w:val="22"/>
                    </w:rPr>
                  </w:pPr>
                </w:p>
                <w:p>
                  <w:pPr>
                    <w:pStyle w:val="Corpsdetexte21"/>
                    <w:ind w:left="566" w:hanging="283"/>
                    <w:jc w:val="both"/>
                    <w:rPr>
                      <w:rFonts w:asciiTheme="majorHAnsi" w:hAnsiTheme="majorHAnsi"/>
                      <w:sz w:val="22"/>
                      <w:szCs w:val="22"/>
                    </w:rPr>
                  </w:pPr>
                  <w:r>
                    <w:rPr>
                      <w:rFonts w:asciiTheme="majorHAnsi" w:hAnsiTheme="majorHAnsi"/>
                      <w:sz w:val="22"/>
                      <w:szCs w:val="22"/>
                    </w:rPr>
                    <w:t>2</w:t>
                  </w:r>
                  <w:r>
                    <w:rPr>
                      <w:rFonts w:asciiTheme="majorHAnsi" w:hAnsiTheme="majorHAnsi"/>
                      <w:b/>
                      <w:sz w:val="22"/>
                      <w:szCs w:val="22"/>
                    </w:rPr>
                    <w:t>) Copie de la demande</w:t>
                  </w:r>
                  <w:r>
                    <w:rPr>
                      <w:rFonts w:asciiTheme="majorHAnsi" w:hAnsiTheme="majorHAnsi"/>
                      <w:sz w:val="22"/>
                      <w:szCs w:val="22"/>
                    </w:rPr>
                    <w:t xml:space="preserve"> doit être adressée par la victime selon son statut au chef d’établissement pour les établissements organisés par la Fédération Wallonie-Bruxelles ou au pouvoir organisateur  pour les établissements et les centres PMS subventionnés par la Fédération Wallonie-Bruxelles ou au directeur du centre PMS pour les centres organisés par la Fédération Wallonie-Bruxelles :</w:t>
                  </w:r>
                </w:p>
                <w:p>
                  <w:pPr>
                    <w:pStyle w:val="Corpsdetexte21"/>
                    <w:ind w:firstLine="708"/>
                    <w:jc w:val="both"/>
                    <w:rPr>
                      <w:rFonts w:asciiTheme="majorHAnsi" w:hAnsiTheme="majorHAnsi"/>
                      <w:sz w:val="22"/>
                      <w:szCs w:val="22"/>
                    </w:rPr>
                  </w:pPr>
                  <w:r>
                    <w:rPr>
                      <w:rFonts w:asciiTheme="majorHAnsi" w:hAnsiTheme="majorHAnsi"/>
                      <w:sz w:val="22"/>
                      <w:szCs w:val="22"/>
                    </w:rPr>
                    <w:t xml:space="preserve">a) </w:t>
                  </w:r>
                  <w:r>
                    <w:rPr>
                      <w:rFonts w:asciiTheme="majorHAnsi" w:hAnsiTheme="majorHAnsi"/>
                      <w:b/>
                      <w:sz w:val="22"/>
                      <w:szCs w:val="22"/>
                    </w:rPr>
                    <w:t>par recommandé</w:t>
                  </w:r>
                  <w:r>
                    <w:rPr>
                      <w:rFonts w:asciiTheme="majorHAnsi" w:hAnsiTheme="majorHAnsi"/>
                      <w:sz w:val="22"/>
                      <w:szCs w:val="22"/>
                    </w:rPr>
                    <w:t xml:space="preserve"> avec accusé de réception ;</w:t>
                  </w:r>
                </w:p>
                <w:p>
                  <w:pPr>
                    <w:pStyle w:val="Corpsdetexte21"/>
                    <w:ind w:firstLine="708"/>
                    <w:jc w:val="both"/>
                    <w:rPr>
                      <w:rFonts w:asciiTheme="majorHAnsi" w:hAnsiTheme="majorHAnsi"/>
                      <w:sz w:val="22"/>
                      <w:szCs w:val="22"/>
                    </w:rPr>
                  </w:pPr>
                  <w:r>
                    <w:rPr>
                      <w:rFonts w:asciiTheme="majorHAnsi" w:hAnsiTheme="majorHAnsi"/>
                      <w:sz w:val="22"/>
                      <w:szCs w:val="22"/>
                    </w:rPr>
                    <w:t xml:space="preserve">b) </w:t>
                  </w:r>
                  <w:r>
                    <w:rPr>
                      <w:rFonts w:asciiTheme="majorHAnsi" w:hAnsiTheme="majorHAnsi"/>
                      <w:b/>
                      <w:sz w:val="22"/>
                      <w:szCs w:val="22"/>
                    </w:rPr>
                    <w:t xml:space="preserve">dans le mois qui suit </w:t>
                  </w:r>
                  <w:r>
                    <w:rPr>
                      <w:rFonts w:asciiTheme="majorHAnsi" w:hAnsiTheme="majorHAnsi"/>
                      <w:sz w:val="22"/>
                      <w:szCs w:val="22"/>
                    </w:rPr>
                    <w:t>(dans les 30 jours calendrier à dater du lendemain du jour de la notification de l’exclusion définitive),</w:t>
                  </w:r>
                  <w:r>
                    <w:t xml:space="preserve"> </w:t>
                  </w:r>
                  <w:r>
                    <w:rPr>
                      <w:rFonts w:asciiTheme="majorHAnsi" w:hAnsiTheme="majorHAnsi"/>
                      <w:b/>
                      <w:sz w:val="22"/>
                      <w:szCs w:val="22"/>
                    </w:rPr>
                    <w:t xml:space="preserve"> </w:t>
                  </w:r>
                  <w:r>
                    <w:rPr>
                      <w:rFonts w:asciiTheme="majorHAnsi" w:hAnsiTheme="majorHAnsi"/>
                      <w:sz w:val="22"/>
                      <w:szCs w:val="22"/>
                    </w:rPr>
                    <w:t>la survenance des faits;</w:t>
                  </w:r>
                </w:p>
                <w:p>
                  <w:pPr>
                    <w:pStyle w:val="Corpsdetexte21"/>
                    <w:ind w:firstLine="708"/>
                    <w:jc w:val="both"/>
                    <w:rPr>
                      <w:rFonts w:asciiTheme="majorHAnsi" w:hAnsiTheme="majorHAnsi"/>
                      <w:sz w:val="22"/>
                      <w:szCs w:val="22"/>
                    </w:rPr>
                  </w:pPr>
                </w:p>
                <w:p>
                  <w:pPr>
                    <w:pStyle w:val="Titre7"/>
                  </w:pPr>
                  <w:r>
                    <w:t>1.5.2.3.2. Rôle du chef d’établissement ou du pouvoir organisateur ou du directeur du centre PMS</w:t>
                  </w:r>
                </w:p>
                <w:p>
                  <w:pPr>
                    <w:pStyle w:val="Paragraphedeliste"/>
                    <w:ind w:left="1080"/>
                    <w:jc w:val="both"/>
                    <w:rPr>
                      <w:rFonts w:asciiTheme="majorHAnsi" w:hAnsiTheme="majorHAnsi"/>
                      <w:b/>
                      <w:sz w:val="22"/>
                      <w:szCs w:val="22"/>
                      <w:u w:val="single"/>
                    </w:rPr>
                  </w:pPr>
                </w:p>
                <w:p>
                  <w:pPr>
                    <w:jc w:val="both"/>
                    <w:rPr>
                      <w:b/>
                      <w:u w:val="single"/>
                    </w:rPr>
                  </w:pPr>
                  <w:r>
                    <w:rPr>
                      <w:b/>
                    </w:rPr>
                    <w:t>Dans les 3 jours ouvrables</w:t>
                  </w:r>
                  <w:r>
                    <w:t xml:space="preserve"> de la réception de la copie de la demande d’assistance, le chef d’établissement, le PO ou le directeur du CPMS fait parvenir </w:t>
                  </w:r>
                  <w:r>
                    <w:rPr>
                      <w:b/>
                    </w:rPr>
                    <w:t>son avis</w:t>
                  </w:r>
                  <w:r>
                    <w:t xml:space="preserve"> sur la demande à la Direction générale de l’Enseignement</w:t>
                  </w:r>
                  <w:r>
                    <w:rPr>
                      <w:rStyle w:val="Caractresdenotedebasdepage"/>
                      <w:sz w:val="22"/>
                    </w:rPr>
                    <w:footnoteReference w:id="63"/>
                  </w:r>
                  <w:r>
                    <w:t xml:space="preserve"> obligatoire et une copie de son avis à la victime.</w:t>
                  </w:r>
                </w:p>
                <w:p>
                  <w:pPr>
                    <w:pStyle w:val="Corpsdetexte21"/>
                    <w:jc w:val="both"/>
                    <w:rPr>
                      <w:rFonts w:asciiTheme="majorHAnsi" w:hAnsiTheme="majorHAnsi"/>
                      <w:sz w:val="22"/>
                      <w:szCs w:val="22"/>
                    </w:rPr>
                  </w:pPr>
                </w:p>
                <w:p>
                  <w:pPr>
                    <w:pStyle w:val="Titre7"/>
                  </w:pPr>
                  <w:r>
                    <w:t xml:space="preserve">1.5.2.3.3. De la décision d’octroi ou non de l’assistance </w:t>
                  </w:r>
                </w:p>
                <w:p>
                  <w:pPr>
                    <w:jc w:val="both"/>
                    <w:rPr>
                      <w:b/>
                      <w:u w:val="single"/>
                    </w:rPr>
                  </w:pPr>
                </w:p>
                <w:p>
                  <w:pPr>
                    <w:pStyle w:val="Corpsdetexte21"/>
                    <w:jc w:val="both"/>
                    <w:rPr>
                      <w:rFonts w:asciiTheme="majorHAnsi" w:hAnsiTheme="majorHAnsi"/>
                      <w:sz w:val="22"/>
                      <w:szCs w:val="22"/>
                    </w:rPr>
                  </w:pPr>
                  <w:r>
                    <w:rPr>
                      <w:rFonts w:asciiTheme="majorHAnsi" w:hAnsiTheme="majorHAnsi"/>
                      <w:sz w:val="22"/>
                      <w:szCs w:val="22"/>
                    </w:rPr>
                    <w:t>La décision d’octroi de l’assistance est prise dans les 15 jours ouvrables qui suivent la réception de la demande introduite par la victime d’une agression, par la Direction générale de l’Enseignement obligatoire.</w:t>
                  </w:r>
                </w:p>
                <w:p>
                  <w:pPr>
                    <w:pStyle w:val="Corpsdetexte21"/>
                    <w:jc w:val="both"/>
                    <w:rPr>
                      <w:rFonts w:asciiTheme="majorHAnsi" w:hAnsiTheme="majorHAnsi"/>
                      <w:sz w:val="22"/>
                      <w:szCs w:val="22"/>
                    </w:rPr>
                  </w:pPr>
                </w:p>
                <w:p>
                  <w:pPr>
                    <w:pStyle w:val="Titre7"/>
                  </w:pPr>
                  <w:r>
                    <w:t xml:space="preserve">1.5.2.3.4. Du recours auprès du Ministre </w:t>
                  </w:r>
                </w:p>
                <w:p>
                  <w:pPr>
                    <w:pStyle w:val="Corpsdetexte21"/>
                    <w:jc w:val="both"/>
                    <w:rPr>
                      <w:rFonts w:asciiTheme="majorHAnsi" w:hAnsiTheme="majorHAnsi"/>
                      <w:b/>
                      <w:i/>
                      <w:sz w:val="22"/>
                      <w:szCs w:val="22"/>
                    </w:rPr>
                  </w:pPr>
                </w:p>
                <w:p>
                  <w:pPr>
                    <w:pStyle w:val="Corpsdetexte21"/>
                    <w:jc w:val="both"/>
                    <w:rPr>
                      <w:rFonts w:asciiTheme="majorHAnsi" w:hAnsiTheme="majorHAnsi"/>
                      <w:sz w:val="22"/>
                      <w:szCs w:val="22"/>
                    </w:rPr>
                  </w:pPr>
                  <w:r>
                    <w:rPr>
                      <w:rFonts w:asciiTheme="majorHAnsi" w:hAnsiTheme="majorHAnsi"/>
                      <w:sz w:val="22"/>
                      <w:szCs w:val="22"/>
                    </w:rPr>
                    <w:t>Si la décision de la Direction générale de l’Enseignement obligatoire est négative, la victime de l’agression peut introduire un recours auprès du Ministre qui a l’Enseignement obligatoire dans ses attributions.</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Bien que ce soit le Ministre qui statue sur le recours, celui-ci doit être adressé :</w:t>
                  </w:r>
                </w:p>
                <w:p>
                  <w:pPr>
                    <w:pStyle w:val="Corpsdetexte21"/>
                    <w:jc w:val="both"/>
                    <w:rPr>
                      <w:rFonts w:asciiTheme="majorHAnsi" w:hAnsiTheme="majorHAnsi"/>
                      <w:sz w:val="22"/>
                      <w:szCs w:val="22"/>
                    </w:rPr>
                  </w:pPr>
                </w:p>
                <w:p>
                  <w:pPr>
                    <w:pStyle w:val="Corpsdetexte21"/>
                    <w:ind w:left="851" w:hanging="284"/>
                    <w:jc w:val="both"/>
                    <w:rPr>
                      <w:rFonts w:asciiTheme="majorHAnsi" w:hAnsiTheme="majorHAnsi"/>
                      <w:sz w:val="22"/>
                      <w:szCs w:val="22"/>
                    </w:rPr>
                  </w:pPr>
                  <w:r>
                    <w:rPr>
                      <w:rFonts w:asciiTheme="majorHAnsi" w:hAnsiTheme="majorHAnsi"/>
                      <w:sz w:val="22"/>
                      <w:szCs w:val="22"/>
                    </w:rPr>
                    <w:t xml:space="preserve">1) à </w:t>
                  </w:r>
                  <w:r>
                    <w:rPr>
                      <w:rFonts w:asciiTheme="majorHAnsi" w:hAnsiTheme="majorHAnsi"/>
                      <w:b/>
                      <w:sz w:val="22"/>
                      <w:szCs w:val="22"/>
                    </w:rPr>
                    <w:t>la Direction générale de l’Enseignement obligatoire</w:t>
                  </w:r>
                  <w:r>
                    <w:rPr>
                      <w:rFonts w:asciiTheme="majorHAnsi" w:hAnsiTheme="majorHAnsi"/>
                      <w:sz w:val="22"/>
                      <w:szCs w:val="22"/>
                    </w:rPr>
                    <w:t>, Service des Inscriptions et de l’Assistance aux Etablissements scolaires, rue Adolphe Lavallée, 1 à 1080 BRUXELLES ;</w:t>
                  </w:r>
                </w:p>
                <w:p>
                  <w:pPr>
                    <w:pStyle w:val="Corpsdetexte21"/>
                    <w:ind w:left="851" w:hanging="284"/>
                    <w:jc w:val="both"/>
                    <w:rPr>
                      <w:rFonts w:asciiTheme="majorHAnsi" w:hAnsiTheme="majorHAnsi"/>
                      <w:sz w:val="22"/>
                      <w:szCs w:val="22"/>
                    </w:rPr>
                  </w:pPr>
                  <w:r>
                    <w:rPr>
                      <w:rFonts w:asciiTheme="majorHAnsi" w:hAnsiTheme="majorHAnsi"/>
                      <w:sz w:val="22"/>
                      <w:szCs w:val="22"/>
                    </w:rPr>
                    <w:t xml:space="preserve">2) par </w:t>
                  </w:r>
                  <w:r>
                    <w:rPr>
                      <w:rFonts w:asciiTheme="majorHAnsi" w:hAnsiTheme="majorHAnsi"/>
                      <w:b/>
                      <w:sz w:val="22"/>
                      <w:szCs w:val="22"/>
                    </w:rPr>
                    <w:t>lettre recommandée</w:t>
                  </w:r>
                  <w:r>
                    <w:rPr>
                      <w:rFonts w:asciiTheme="majorHAnsi" w:hAnsiTheme="majorHAnsi"/>
                      <w:sz w:val="22"/>
                      <w:szCs w:val="22"/>
                    </w:rPr>
                    <w:t> ;</w:t>
                  </w:r>
                </w:p>
                <w:p>
                  <w:pPr>
                    <w:pStyle w:val="Corpsdetexte21"/>
                    <w:ind w:left="851" w:hanging="284"/>
                    <w:jc w:val="both"/>
                    <w:rPr>
                      <w:rFonts w:asciiTheme="majorHAnsi" w:hAnsiTheme="majorHAnsi"/>
                      <w:sz w:val="22"/>
                      <w:szCs w:val="22"/>
                    </w:rPr>
                  </w:pPr>
                  <w:r>
                    <w:rPr>
                      <w:rFonts w:asciiTheme="majorHAnsi" w:hAnsiTheme="majorHAnsi"/>
                      <w:sz w:val="22"/>
                      <w:szCs w:val="22"/>
                    </w:rPr>
                    <w:t xml:space="preserve">3) dans les </w:t>
                  </w:r>
                  <w:r>
                    <w:rPr>
                      <w:rFonts w:asciiTheme="majorHAnsi" w:hAnsiTheme="majorHAnsi"/>
                      <w:b/>
                      <w:sz w:val="22"/>
                      <w:szCs w:val="22"/>
                    </w:rPr>
                    <w:t>15 jours ouvrables</w:t>
                  </w:r>
                  <w:r>
                    <w:rPr>
                      <w:rFonts w:asciiTheme="majorHAnsi" w:hAnsiTheme="majorHAnsi"/>
                      <w:sz w:val="22"/>
                      <w:szCs w:val="22"/>
                    </w:rPr>
                    <w:t xml:space="preserve"> qui suivent la notification du refus d’octroi d’assistance.</w:t>
                  </w:r>
                </w:p>
                <w:p>
                  <w:pPr>
                    <w:pStyle w:val="Corpsdetexte21"/>
                    <w:jc w:val="both"/>
                    <w:rPr>
                      <w:rFonts w:asciiTheme="majorHAnsi" w:hAnsiTheme="majorHAnsi"/>
                      <w:sz w:val="22"/>
                      <w:szCs w:val="22"/>
                    </w:rPr>
                  </w:pPr>
                </w:p>
                <w:p>
                  <w:pPr>
                    <w:pStyle w:val="Titre7"/>
                  </w:pPr>
                  <w:r>
                    <w:t xml:space="preserve">1.5.2.3.5. De la gestion du dossier par la Direction des Affaires juridiques et contentieuses </w:t>
                  </w:r>
                </w:p>
                <w:p>
                  <w:pPr>
                    <w:pStyle w:val="Corpsdetexte21"/>
                    <w:jc w:val="both"/>
                    <w:rPr>
                      <w:rFonts w:asciiTheme="majorHAnsi" w:hAnsiTheme="majorHAnsi"/>
                      <w:b/>
                      <w:i/>
                      <w:sz w:val="22"/>
                      <w:szCs w:val="22"/>
                    </w:rPr>
                  </w:pPr>
                </w:p>
                <w:p>
                  <w:pPr>
                    <w:pStyle w:val="Corpsdetexte21"/>
                    <w:numPr>
                      <w:ilvl w:val="0"/>
                      <w:numId w:val="223"/>
                    </w:numPr>
                    <w:jc w:val="both"/>
                    <w:rPr>
                      <w:rFonts w:asciiTheme="majorHAnsi" w:hAnsiTheme="majorHAnsi"/>
                      <w:sz w:val="22"/>
                      <w:szCs w:val="22"/>
                    </w:rPr>
                  </w:pPr>
                  <w:r>
                    <w:rPr>
                      <w:rFonts w:asciiTheme="majorHAnsi" w:hAnsiTheme="majorHAnsi"/>
                      <w:sz w:val="22"/>
                      <w:szCs w:val="22"/>
                    </w:rPr>
                    <w:t xml:space="preserve">De la gestion du dossier. </w:t>
                  </w:r>
                </w:p>
                <w:p>
                  <w:pPr>
                    <w:pStyle w:val="Corpsdetexte21"/>
                    <w:jc w:val="both"/>
                    <w:rPr>
                      <w:rFonts w:asciiTheme="majorHAnsi" w:hAnsiTheme="majorHAnsi"/>
                      <w:b/>
                      <w:sz w:val="22"/>
                      <w:szCs w:val="22"/>
                    </w:rPr>
                  </w:pPr>
                  <w:r>
                    <w:rPr>
                      <w:rFonts w:asciiTheme="majorHAnsi" w:hAnsiTheme="majorHAnsi"/>
                      <w:sz w:val="22"/>
                      <w:szCs w:val="22"/>
                    </w:rPr>
                    <w:t xml:space="preserve">Une fois que la décision d’octroi ou de refus a été prise par la Direction générale de l’Enseignement obligatoire, le dossier est géré par la Direction des Affaires juridiques et contentieuses, </w:t>
                  </w:r>
                  <w:r>
                    <w:rPr>
                      <w:rFonts w:asciiTheme="majorHAnsi" w:hAnsiTheme="majorHAnsi"/>
                      <w:b/>
                      <w:sz w:val="22"/>
                      <w:szCs w:val="22"/>
                    </w:rPr>
                    <w:t>Boulevard Léopold II, 44 à 1080 BRUXELLES.</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Cette Direction est compétente pour :</w:t>
                  </w:r>
                </w:p>
                <w:p>
                  <w:pPr>
                    <w:pStyle w:val="Corpsdetexte21"/>
                    <w:numPr>
                      <w:ilvl w:val="0"/>
                      <w:numId w:val="66"/>
                    </w:numPr>
                    <w:tabs>
                      <w:tab w:val="clear" w:pos="360"/>
                      <w:tab w:val="num" w:pos="993"/>
                    </w:tabs>
                    <w:ind w:left="993" w:hanging="426"/>
                    <w:jc w:val="both"/>
                    <w:rPr>
                      <w:rFonts w:asciiTheme="majorHAnsi" w:hAnsiTheme="majorHAnsi"/>
                      <w:sz w:val="22"/>
                      <w:szCs w:val="22"/>
                    </w:rPr>
                  </w:pPr>
                  <w:r>
                    <w:rPr>
                      <w:rFonts w:asciiTheme="majorHAnsi" w:hAnsiTheme="majorHAnsi"/>
                      <w:sz w:val="22"/>
                      <w:szCs w:val="22"/>
                    </w:rPr>
                    <w:t>gérer l’assistance en justice et/ou psychologique d’urgence ;</w:t>
                  </w:r>
                </w:p>
                <w:p>
                  <w:pPr>
                    <w:pStyle w:val="Corpsdetexte21"/>
                    <w:numPr>
                      <w:ilvl w:val="0"/>
                      <w:numId w:val="66"/>
                    </w:numPr>
                    <w:tabs>
                      <w:tab w:val="clear" w:pos="360"/>
                      <w:tab w:val="num" w:pos="993"/>
                    </w:tabs>
                    <w:ind w:left="993" w:hanging="426"/>
                    <w:jc w:val="both"/>
                    <w:rPr>
                      <w:rFonts w:asciiTheme="majorHAnsi" w:hAnsiTheme="majorHAnsi"/>
                      <w:sz w:val="22"/>
                      <w:szCs w:val="22"/>
                    </w:rPr>
                  </w:pPr>
                  <w:r>
                    <w:rPr>
                      <w:rFonts w:asciiTheme="majorHAnsi" w:hAnsiTheme="majorHAnsi"/>
                      <w:sz w:val="22"/>
                      <w:szCs w:val="22"/>
                    </w:rPr>
                    <w:t>recevoir et statuer sur la demande de la victime sollicitant l’autorisation de dépasser le seuil de 3718,40 Euros relatif à la prise en charge des honoraires et frais d’avocat, de procédure et de consultation psychologique et/ou psychiatrique ;</w:t>
                  </w:r>
                </w:p>
                <w:p>
                  <w:pPr>
                    <w:pStyle w:val="Corpsdetexte21"/>
                    <w:numPr>
                      <w:ilvl w:val="0"/>
                      <w:numId w:val="66"/>
                    </w:numPr>
                    <w:tabs>
                      <w:tab w:val="clear" w:pos="360"/>
                      <w:tab w:val="num" w:pos="993"/>
                    </w:tabs>
                    <w:ind w:left="993" w:hanging="426"/>
                    <w:jc w:val="both"/>
                    <w:rPr>
                      <w:rFonts w:asciiTheme="majorHAnsi" w:hAnsiTheme="majorHAnsi"/>
                      <w:sz w:val="22"/>
                      <w:szCs w:val="22"/>
                    </w:rPr>
                  </w:pPr>
                  <w:r>
                    <w:rPr>
                      <w:rFonts w:asciiTheme="majorHAnsi" w:hAnsiTheme="majorHAnsi"/>
                      <w:sz w:val="22"/>
                      <w:szCs w:val="22"/>
                    </w:rPr>
                    <w:t>apprécier les états de frais et d’honoraires ordinaires ou exceptionnels ;</w:t>
                  </w:r>
                </w:p>
                <w:p>
                  <w:pPr>
                    <w:pStyle w:val="Corpsdetexte21"/>
                    <w:numPr>
                      <w:ilvl w:val="0"/>
                      <w:numId w:val="66"/>
                    </w:numPr>
                    <w:tabs>
                      <w:tab w:val="clear" w:pos="360"/>
                      <w:tab w:val="num" w:pos="993"/>
                    </w:tabs>
                    <w:ind w:left="993" w:hanging="426"/>
                    <w:jc w:val="both"/>
                    <w:rPr>
                      <w:rFonts w:asciiTheme="majorHAnsi" w:hAnsiTheme="majorHAnsi"/>
                      <w:sz w:val="22"/>
                      <w:szCs w:val="22"/>
                    </w:rPr>
                  </w:pPr>
                  <w:r>
                    <w:rPr>
                      <w:rFonts w:asciiTheme="majorHAnsi" w:hAnsiTheme="majorHAnsi"/>
                      <w:sz w:val="22"/>
                      <w:szCs w:val="22"/>
                    </w:rPr>
                    <w:t>décider de refuser ou d’interrompre son intervention.</w:t>
                  </w:r>
                </w:p>
                <w:p>
                  <w:pPr>
                    <w:pStyle w:val="Corpsdetexte21"/>
                    <w:jc w:val="both"/>
                    <w:rPr>
                      <w:rFonts w:asciiTheme="majorHAnsi" w:hAnsiTheme="majorHAnsi"/>
                      <w:sz w:val="22"/>
                      <w:szCs w:val="22"/>
                    </w:rPr>
                  </w:pPr>
                </w:p>
                <w:p>
                  <w:pPr>
                    <w:pStyle w:val="Corpsdetexte21"/>
                    <w:numPr>
                      <w:ilvl w:val="0"/>
                      <w:numId w:val="223"/>
                    </w:numPr>
                    <w:jc w:val="both"/>
                    <w:rPr>
                      <w:rFonts w:asciiTheme="majorHAnsi" w:hAnsiTheme="majorHAnsi"/>
                      <w:sz w:val="22"/>
                      <w:szCs w:val="22"/>
                    </w:rPr>
                  </w:pPr>
                  <w:r>
                    <w:rPr>
                      <w:rFonts w:asciiTheme="majorHAnsi" w:hAnsiTheme="majorHAnsi"/>
                      <w:sz w:val="22"/>
                      <w:szCs w:val="22"/>
                    </w:rPr>
                    <w:t xml:space="preserve">Des pièces justificatives </w:t>
                  </w:r>
                </w:p>
                <w:p>
                  <w:pPr>
                    <w:pStyle w:val="Corpsdetexte21"/>
                    <w:jc w:val="both"/>
                    <w:rPr>
                      <w:rFonts w:asciiTheme="majorHAnsi" w:hAnsiTheme="majorHAnsi"/>
                      <w:sz w:val="22"/>
                      <w:szCs w:val="22"/>
                    </w:rPr>
                  </w:pPr>
                  <w:r>
                    <w:rPr>
                      <w:rFonts w:asciiTheme="majorHAnsi" w:hAnsiTheme="majorHAnsi"/>
                      <w:sz w:val="22"/>
                      <w:szCs w:val="22"/>
                    </w:rPr>
                    <w:t>Tout document attestant d’une dépense relative à l’assistance en justice et/ou psychologique doit être remis à la Direction des Affaires juridiques et contentieuses dans les 10 jours.</w:t>
                  </w:r>
                </w:p>
                <w:p>
                  <w:pPr>
                    <w:pStyle w:val="Corpsdetexte21"/>
                    <w:jc w:val="both"/>
                    <w:rPr>
                      <w:rFonts w:asciiTheme="majorHAnsi" w:hAnsiTheme="majorHAnsi"/>
                      <w:sz w:val="22"/>
                      <w:szCs w:val="22"/>
                    </w:rPr>
                  </w:pPr>
                  <w:r>
                    <w:rPr>
                      <w:rFonts w:asciiTheme="majorHAnsi" w:hAnsiTheme="majorHAnsi"/>
                      <w:sz w:val="22"/>
                      <w:szCs w:val="22"/>
                    </w:rPr>
                    <w:t>Il est conseillé à la victime de garder une copie de tout son dossier.</w:t>
                  </w:r>
                </w:p>
                <w:p>
                  <w:pPr>
                    <w:pStyle w:val="Corpsdetexte21"/>
                    <w:jc w:val="both"/>
                    <w:rPr>
                      <w:rFonts w:asciiTheme="majorHAnsi" w:hAnsiTheme="majorHAnsi"/>
                      <w:sz w:val="22"/>
                      <w:szCs w:val="22"/>
                    </w:rPr>
                  </w:pPr>
                </w:p>
                <w:p>
                  <w:pPr>
                    <w:pStyle w:val="Titre7"/>
                  </w:pPr>
                  <w:r>
                    <w:t>1.5.2.3.6. De la prise en charge exceptionnelle</w:t>
                  </w:r>
                </w:p>
                <w:p>
                  <w:pPr>
                    <w:pStyle w:val="Corpsdetexte21"/>
                    <w:jc w:val="both"/>
                    <w:rPr>
                      <w:rFonts w:asciiTheme="majorHAnsi" w:hAnsiTheme="majorHAnsi"/>
                      <w:b/>
                      <w:i/>
                      <w:sz w:val="22"/>
                      <w:szCs w:val="22"/>
                    </w:rPr>
                  </w:pPr>
                </w:p>
                <w:p>
                  <w:pPr>
                    <w:pStyle w:val="Corpsdetexte21"/>
                    <w:jc w:val="both"/>
                    <w:rPr>
                      <w:rFonts w:asciiTheme="majorHAnsi" w:hAnsiTheme="majorHAnsi"/>
                      <w:sz w:val="22"/>
                      <w:szCs w:val="22"/>
                    </w:rPr>
                  </w:pPr>
                  <w:r>
                    <w:rPr>
                      <w:rFonts w:asciiTheme="majorHAnsi" w:hAnsiTheme="majorHAnsi"/>
                      <w:sz w:val="22"/>
                      <w:szCs w:val="22"/>
                    </w:rPr>
                    <w:t>Pour bénéficier d’une prise en charge des frais d’assistance supérieure à 3718,40 euros telle que mentionnée au point I.B.2 de la présente circulaire, la victime doit introduire :</w:t>
                  </w:r>
                </w:p>
                <w:p>
                  <w:pPr>
                    <w:pStyle w:val="Corpsdetexte21"/>
                    <w:jc w:val="both"/>
                    <w:rPr>
                      <w:rFonts w:asciiTheme="majorHAnsi" w:hAnsiTheme="majorHAnsi"/>
                      <w:sz w:val="22"/>
                      <w:szCs w:val="22"/>
                    </w:rPr>
                  </w:pPr>
                </w:p>
                <w:p>
                  <w:pPr>
                    <w:pStyle w:val="Corpsdetexte21"/>
                    <w:ind w:left="579" w:hanging="12"/>
                    <w:jc w:val="both"/>
                    <w:rPr>
                      <w:rFonts w:asciiTheme="majorHAnsi" w:hAnsiTheme="majorHAnsi"/>
                      <w:sz w:val="22"/>
                      <w:szCs w:val="22"/>
                    </w:rPr>
                  </w:pPr>
                  <w:r>
                    <w:rPr>
                      <w:rFonts w:asciiTheme="majorHAnsi" w:hAnsiTheme="majorHAnsi"/>
                      <w:sz w:val="22"/>
                      <w:szCs w:val="22"/>
                    </w:rPr>
                    <w:t>1) une demande dûment motivée ;</w:t>
                  </w:r>
                </w:p>
                <w:p>
                  <w:pPr>
                    <w:pStyle w:val="Corpsdetexte21"/>
                    <w:ind w:left="579" w:hanging="12"/>
                    <w:jc w:val="both"/>
                    <w:rPr>
                      <w:rFonts w:asciiTheme="majorHAnsi" w:hAnsiTheme="majorHAnsi"/>
                      <w:sz w:val="22"/>
                      <w:szCs w:val="22"/>
                    </w:rPr>
                  </w:pPr>
                  <w:r>
                    <w:rPr>
                      <w:rFonts w:asciiTheme="majorHAnsi" w:hAnsiTheme="majorHAnsi"/>
                      <w:sz w:val="22"/>
                      <w:szCs w:val="22"/>
                    </w:rPr>
                    <w:t xml:space="preserve">2) auprès de la Direction des Affaires juridiques et contentieuses, </w:t>
                  </w:r>
                  <w:r>
                    <w:rPr>
                      <w:rFonts w:asciiTheme="majorHAnsi" w:hAnsiTheme="majorHAnsi"/>
                      <w:b/>
                      <w:sz w:val="22"/>
                      <w:szCs w:val="22"/>
                    </w:rPr>
                    <w:t>Boulevard Léopold II, 44 à 1080 BRUXELLES</w:t>
                  </w:r>
                </w:p>
                <w:p>
                  <w:pPr>
                    <w:pStyle w:val="Corpsdetexte21"/>
                    <w:ind w:hanging="12"/>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En cas de décision de refus de la Direction des Affaires juridiques et contentieuses, d’autoriser la victime à dépasser le seuil de 3718,40 euros, la victime ou, en cas de force majeure dûment justifié, son représentant, peut introduire un </w:t>
                  </w:r>
                  <w:r>
                    <w:rPr>
                      <w:rFonts w:asciiTheme="majorHAnsi" w:hAnsiTheme="majorHAnsi"/>
                      <w:b/>
                      <w:sz w:val="22"/>
                      <w:szCs w:val="22"/>
                    </w:rPr>
                    <w:t>recours auprès du Ministre</w:t>
                  </w:r>
                  <w:r>
                    <w:rPr>
                      <w:rFonts w:asciiTheme="majorHAnsi" w:hAnsiTheme="majorHAnsi"/>
                      <w:sz w:val="22"/>
                      <w:szCs w:val="22"/>
                    </w:rPr>
                    <w:t xml:space="preserve"> ayant la </w:t>
                  </w:r>
                  <w:r>
                    <w:rPr>
                      <w:rFonts w:asciiTheme="majorHAnsi" w:hAnsiTheme="majorHAnsi"/>
                      <w:b/>
                      <w:sz w:val="22"/>
                      <w:szCs w:val="22"/>
                    </w:rPr>
                    <w:t>Fonction publique</w:t>
                  </w:r>
                  <w:r>
                    <w:rPr>
                      <w:rFonts w:asciiTheme="majorHAnsi" w:hAnsiTheme="majorHAnsi"/>
                      <w:sz w:val="22"/>
                      <w:szCs w:val="22"/>
                    </w:rPr>
                    <w:t xml:space="preserve"> dans ses attributions </w:t>
                  </w:r>
                  <w:r>
                    <w:rPr>
                      <w:rFonts w:asciiTheme="majorHAnsi" w:hAnsiTheme="majorHAnsi"/>
                      <w:b/>
                      <w:sz w:val="22"/>
                      <w:szCs w:val="22"/>
                    </w:rPr>
                    <w:t>dans un délai de 20 jours ouvrables</w:t>
                  </w:r>
                  <w:r>
                    <w:rPr>
                      <w:rFonts w:asciiTheme="majorHAnsi" w:hAnsiTheme="majorHAnsi"/>
                      <w:sz w:val="22"/>
                      <w:szCs w:val="22"/>
                    </w:rPr>
                    <w:t>, à dater de la réception de la décision.</w:t>
                  </w:r>
                </w:p>
                <w:p>
                  <w:pPr>
                    <w:pStyle w:val="Corpsdetexte21"/>
                    <w:jc w:val="both"/>
                    <w:rPr>
                      <w:rFonts w:asciiTheme="majorHAnsi" w:hAnsiTheme="majorHAnsi"/>
                      <w:sz w:val="22"/>
                      <w:szCs w:val="22"/>
                    </w:rPr>
                  </w:pPr>
                </w:p>
                <w:p>
                  <w:pPr>
                    <w:pStyle w:val="Titre4"/>
                    <w:numPr>
                      <w:ilvl w:val="1"/>
                      <w:numId w:val="220"/>
                    </w:numPr>
                  </w:pPr>
                  <w:bookmarkStart w:id="703" w:name="_1.7_Collaboration_avec"/>
                  <w:bookmarkStart w:id="704" w:name="_1.7._Collaboration_avec"/>
                  <w:bookmarkStart w:id="705" w:name="_Collaboration_avec_les"/>
                  <w:bookmarkStart w:id="706" w:name="_Toc412204083"/>
                  <w:bookmarkStart w:id="707" w:name="_Toc414352891"/>
                  <w:bookmarkStart w:id="708" w:name="_Toc453836914"/>
                  <w:bookmarkEnd w:id="703"/>
                  <w:bookmarkEnd w:id="704"/>
                  <w:bookmarkEnd w:id="705"/>
                  <w:r>
                    <w:t>Collaboration avec les parents et les Associations de parents</w:t>
                  </w:r>
                  <w:bookmarkEnd w:id="706"/>
                  <w:bookmarkEnd w:id="707"/>
                  <w:bookmarkEnd w:id="708"/>
                  <w:r>
                    <w:rPr>
                      <w:rStyle w:val="Appelnotedebasdep"/>
                    </w:rPr>
                    <w:footnoteReference w:id="64"/>
                  </w:r>
                </w:p>
                <w:p>
                  <w:pPr>
                    <w:pStyle w:val="Corpsdetexte"/>
                  </w:pPr>
                </w:p>
                <w:p>
                  <w:pPr>
                    <w:pStyle w:val="Corpsdetexte"/>
                  </w:pPr>
                  <w:r>
                    <w:t>La participation parentale est indéniablement un avantage, un atout pour donner aux élèves le maximum de chance dans la réussite de leur cursus scolaire. Cette nécessité est soulignée par de nombreuses études traitant de la question. Une véritable « alliance éducative » entre les parents, l’équipe pédagogique et les jeunes contribue à une meilleure compréhension réciproque, favorisant ainsi les apprentissages et l’épanouissement des élèves.</w:t>
                  </w:r>
                </w:p>
                <w:p>
                  <w:pPr>
                    <w:pStyle w:val="Corpsdetexte"/>
                  </w:pPr>
                  <w:r>
                    <w:t xml:space="preserve">Les parents d’élèves régulièrement inscrits peuvent se réunir en une Association de parents, destinée à les représenter, au sein de tout établissement d’enseignement maternel, primaire, fondamental ou secondaire organisé ou subventionné par la Fédération Wallonie-Bruxelles. </w:t>
                  </w:r>
                </w:p>
                <w:p>
                  <w:pPr>
                    <w:pStyle w:val="Corpsdetexte"/>
                  </w:pPr>
                  <w:r>
                    <w:t>La circulaire n° 4182 du 11 octobre 2012 recense toutes les informations utiles et concrètes relative à cette possibilité offerte aux parents.</w:t>
                  </w:r>
                </w:p>
                <w:p>
                  <w:pPr>
                    <w:pStyle w:val="Corpsdetexte"/>
                  </w:pPr>
                  <w:r>
                    <w:t>Le chef d’établissement ou le pouvoir organisateur ou son délégué dans l’enseignement subventionné est le garant de cette liberté et à ce titre, il est chargé soit :</w:t>
                  </w:r>
                </w:p>
                <w:p>
                  <w:pPr>
                    <w:pStyle w:val="Corpsdetexte"/>
                    <w:numPr>
                      <w:ilvl w:val="0"/>
                      <w:numId w:val="224"/>
                    </w:numPr>
                  </w:pPr>
                  <w:r>
                    <w:t>d’organiser, dans le cas où il n’y a pas d’Association de parent et si aucun parent de l’établissement ne prend cette initiative, une première assemblée des parents avant le 1</w:t>
                  </w:r>
                  <w:r>
                    <w:rPr>
                      <w:vertAlign w:val="superscript"/>
                    </w:rPr>
                    <w:t>er</w:t>
                  </w:r>
                  <w:r>
                    <w:t xml:space="preserve"> novembre de chaque année scolaire en vue de la création d’une telle Association. Le chef d’établissement peut organiser cette assemblée selon des modalités liées à des contraintes propres à l’école ou selon des pratiques déjà existantes comme celles prévues pour l’organisation de comités scolaires, des ASBL, des amicales,... </w:t>
                  </w:r>
                </w:p>
                <w:p>
                  <w:pPr>
                    <w:pStyle w:val="Corpsdetexte"/>
                  </w:pPr>
                  <w:r>
                    <w:t>Une collaboration avec le conseil de participation et l’organisation représentative des parents d’élèves au niveau communautaire sera sollicitée dans cette démarche.</w:t>
                  </w:r>
                </w:p>
                <w:p>
                  <w:pPr>
                    <w:pStyle w:val="Corpsdetexte"/>
                  </w:pPr>
                  <w:r>
                    <w:t>Les organisations représentatives d’Association de parents d’élèves disposent d’outils pour animer cette première réunion.</w:t>
                  </w:r>
                </w:p>
                <w:p>
                  <w:pPr>
                    <w:pStyle w:val="Corpsdetexte"/>
                    <w:numPr>
                      <w:ilvl w:val="0"/>
                      <w:numId w:val="224"/>
                    </w:numPr>
                  </w:pPr>
                  <w:r>
                    <w:t>de convoquer, dans le cas où une Association de parents existe déjà au sein de l’établissement, une assemblée générale des parents au moins une fois par an, avant le 1</w:t>
                  </w:r>
                  <w:r>
                    <w:rPr>
                      <w:vertAlign w:val="superscript"/>
                    </w:rPr>
                    <w:t>er</w:t>
                  </w:r>
                  <w:r>
                    <w:t xml:space="preserve"> novembre et de l’organiser conjointement avec le comité de l’Association de parents. Lors de cette assemblée, le chef d’établissement ou le pouvoir organisateur ou son délégué dans l’enseignement subventionné y est tenu d’évoquer le rôle et le fonctionnement du Conseil de participation et le rôle d’une Association de parents. </w:t>
                  </w:r>
                </w:p>
                <w:p>
                  <w:pPr>
                    <w:pStyle w:val="Corpsdetexte"/>
                  </w:pPr>
                  <w:r>
                    <w:t>Par conséquent, le chef d’établissement ne peut pas s’opposer à la création d’une Association de parents au sein de son école, ni refuser de convoquer une assemblée générale des parents au moins une fois par an, avant le 1</w:t>
                  </w:r>
                  <w:r>
                    <w:rPr>
                      <w:vertAlign w:val="superscript"/>
                    </w:rPr>
                    <w:t>er</w:t>
                  </w:r>
                  <w:r>
                    <w:t xml:space="preserve"> novembre.</w:t>
                  </w:r>
                </w:p>
                <w:p>
                  <w:pPr>
                    <w:pStyle w:val="Corpsdetexte"/>
                  </w:pPr>
                  <w:r>
                    <w:t>Il appartient également au chef d’établissement dans l’enseignement organisé par la Communauté française, au pouvoir organisateur ou son délégué dans l’enseignement subventionné, à l’Administration et au Gouvernement, de s’assurer de :</w:t>
                  </w:r>
                </w:p>
                <w:p>
                  <w:pPr>
                    <w:pStyle w:val="Corpsdetexte"/>
                    <w:numPr>
                      <w:ilvl w:val="0"/>
                      <w:numId w:val="225"/>
                    </w:numPr>
                  </w:pPr>
                  <w:r>
                    <w:t xml:space="preserve">Mettre à disposition des infrastructures et du matériel nécessaires à la réalisation des missions de l’Association de parents, sans nuire au bon fonctionnement de l’établissement et selon les modalités concertées entre le Comité de l’Association de Parents et le chef d’établissement dans l’enseignement organisé par la Fédération Wallonie-Bruxelles ou selon des critères définis par le pouvoir organisateur ou son délégué dans l’enseignement subventionné par la Fédération Wallonie-Bruxelles, notamment en matière de convention et d’assurance pour ce qui concerne l’occupation des locaux. </w:t>
                  </w:r>
                </w:p>
                <w:p>
                  <w:pPr>
                    <w:pStyle w:val="Corpsdetexte"/>
                    <w:numPr>
                      <w:ilvl w:val="0"/>
                      <w:numId w:val="225"/>
                    </w:numPr>
                  </w:pPr>
                  <w:r>
                    <w:t xml:space="preserve">Transmettre, en temps utile, les circulaires et directives qui les concernent au comité de l’Association de parents, dans les mêmes conditions que les autres partenaires de la communauté éducative. </w:t>
                  </w:r>
                </w:p>
                <w:p>
                  <w:pPr>
                    <w:pStyle w:val="Corpsdetexte"/>
                    <w:numPr>
                      <w:ilvl w:val="0"/>
                      <w:numId w:val="225"/>
                    </w:numPr>
                  </w:pPr>
                  <w:r>
                    <w:t>Diffuser les documents de l’Association de parents qui seront identifiés clairement comme tels selon des modalités définies en concertation entre le comité de l’Association de parents et le chef d’établissement dans l’enseignement organisé par la Fédération Wallonie-Bruxelles ou par le pouvoir Organisateur ou son délégué dans l’enseignement subventionné par la Fédération Wallonie-Bruxelles. Si celui-ci refuse de diffuser un document émanant de l’Association de parents, il motivera sa décision</w:t>
                  </w:r>
                  <w:r>
                    <w:rPr>
                      <w:vertAlign w:val="superscript"/>
                    </w:rPr>
                    <w:footnoteReference w:id="65"/>
                  </w:r>
                  <w:r>
                    <w:t xml:space="preserve"> auprès de l’Association de parents. Tout document devra être clairement identifié comme émanant de ladite association de parents. </w:t>
                  </w:r>
                </w:p>
                <w:p>
                  <w:pPr>
                    <w:pStyle w:val="Corpsdetexte"/>
                    <w:numPr>
                      <w:ilvl w:val="0"/>
                      <w:numId w:val="225"/>
                    </w:numPr>
                  </w:pPr>
                  <w:r>
                    <w:t>Mettre à disposition de l’Association de parents un tableau d’affichage dans un endroit facilement accessible aux parents, avec le cas échéant, la mention des noms et coordonnées des membres du comité de l’association de parents.</w:t>
                  </w:r>
                </w:p>
                <w:p>
                  <w:pPr>
                    <w:pStyle w:val="Corpsdetexte"/>
                    <w:numPr>
                      <w:ilvl w:val="0"/>
                      <w:numId w:val="225"/>
                    </w:numPr>
                  </w:pPr>
                  <w:r>
                    <w:t>Porter à la connaissance de tous les parents d’élèves de l’établissement en début d’année scolaire, les coordonnées des membres du comité de l’Association de parents ;</w:t>
                  </w:r>
                </w:p>
                <w:p>
                  <w:pPr>
                    <w:pStyle w:val="Corpsdetexte"/>
                  </w:pPr>
                  <w:r>
                    <w:t>Par ailleurs, le chef d’établissement ou le pouvoir organisateur ou son délégué dans l’enseignement subventionné ne peut exercer aucun contrôle sur les comptes éventuels de l’Association de parents. Cependant, les organisations représentatives peuvent, pour leurs membres, édicter en cette matière, des règles de bonne conduite.</w:t>
                  </w:r>
                </w:p>
                <w:p>
                  <w:pPr>
                    <w:pStyle w:val="Corpsdetexte"/>
                  </w:pPr>
                  <w:r>
                    <w:t xml:space="preserve">En cas de conflit au sein d’une Association de parents ou de problèmes liés à son bon fonctionnement, le chef d’établissement ou le pouvoir organisateur ou son délégué dans l’enseignement subventionné peut demander à l’organisation représentative au niveau communautaire d’exercer une mission de conciliation. </w:t>
                  </w:r>
                </w:p>
                <w:p/>
                <w:p/>
                <w:p>
                  <w:pPr>
                    <w:pStyle w:val="Titre3"/>
                    <w:numPr>
                      <w:ilvl w:val="0"/>
                      <w:numId w:val="220"/>
                    </w:numPr>
                  </w:pPr>
                  <w:bookmarkStart w:id="709" w:name="__RefHeading__321_957262308"/>
                  <w:bookmarkStart w:id="710" w:name="_Toc291075542"/>
                  <w:bookmarkStart w:id="711" w:name="_Toc291075966"/>
                  <w:bookmarkStart w:id="712" w:name="_Toc291076390"/>
                  <w:bookmarkStart w:id="713" w:name="_Toc291076814"/>
                  <w:bookmarkStart w:id="714" w:name="_Toc291077238"/>
                  <w:bookmarkStart w:id="715" w:name="_Toc293652080"/>
                  <w:bookmarkStart w:id="716" w:name="_Toc293653662"/>
                  <w:bookmarkStart w:id="717" w:name="_Toc293654274"/>
                  <w:bookmarkStart w:id="718" w:name="_Toc294004854"/>
                  <w:bookmarkStart w:id="719" w:name="_Toc294185350"/>
                  <w:bookmarkStart w:id="720" w:name="_Toc324767216"/>
                  <w:bookmarkStart w:id="721" w:name="_Toc412204084"/>
                  <w:bookmarkStart w:id="722" w:name="_Toc414352892"/>
                  <w:bookmarkStart w:id="723" w:name="_Toc453836915"/>
                  <w:bookmarkStart w:id="724" w:name="_Toc18914413"/>
                  <w:bookmarkEnd w:id="709"/>
                  <w:r>
                    <w:t>Questions-réponses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pPr>
                    <w:jc w:val="both"/>
                  </w:pPr>
                </w:p>
                <w:p>
                  <w:pPr>
                    <w:pStyle w:val="Titre4"/>
                  </w:pPr>
                  <w:bookmarkStart w:id="725" w:name="_Toc291075543"/>
                  <w:bookmarkStart w:id="726" w:name="_Toc291075967"/>
                  <w:bookmarkStart w:id="727" w:name="_Toc291076391"/>
                  <w:bookmarkStart w:id="728" w:name="_Toc291076815"/>
                  <w:bookmarkStart w:id="729" w:name="_Toc291077239"/>
                  <w:bookmarkStart w:id="730" w:name="_Toc293652081"/>
                  <w:bookmarkStart w:id="731" w:name="_Toc293653663"/>
                  <w:bookmarkStart w:id="732" w:name="_Toc293654275"/>
                  <w:bookmarkStart w:id="733" w:name="_Toc294004855"/>
                  <w:bookmarkStart w:id="734" w:name="_Toc294185351"/>
                  <w:bookmarkStart w:id="735" w:name="_Toc324767217"/>
                  <w:bookmarkStart w:id="736" w:name="_Toc412204085"/>
                  <w:bookmarkStart w:id="737" w:name="_Toc414352893"/>
                  <w:bookmarkStart w:id="738" w:name="_Toc453836916"/>
                  <w:r>
                    <w:t>2.1. Questions-réponses relatives à l’obligation scolaire</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pPr>
                    <w:jc w:val="both"/>
                  </w:pPr>
                </w:p>
                <w:p>
                  <w:pPr>
                    <w:pStyle w:val="Titre5"/>
                  </w:pPr>
                  <w:bookmarkStart w:id="739" w:name="_2.1.1._Quelles_sont"/>
                  <w:bookmarkStart w:id="740" w:name="_Toc291075544"/>
                  <w:bookmarkStart w:id="741" w:name="_Toc291075968"/>
                  <w:bookmarkStart w:id="742" w:name="_Toc291076392"/>
                  <w:bookmarkStart w:id="743" w:name="_Toc291076816"/>
                  <w:bookmarkStart w:id="744" w:name="_Toc291077240"/>
                  <w:bookmarkStart w:id="745" w:name="_Toc293652082"/>
                  <w:bookmarkStart w:id="746" w:name="_Toc293653664"/>
                  <w:bookmarkStart w:id="747" w:name="_Toc293654276"/>
                  <w:bookmarkStart w:id="748" w:name="_Toc294004856"/>
                  <w:bookmarkStart w:id="749" w:name="_Toc294185352"/>
                  <w:bookmarkStart w:id="750" w:name="_Toc324767218"/>
                  <w:bookmarkStart w:id="751" w:name="_Toc324768076"/>
                  <w:bookmarkEnd w:id="739"/>
                  <w:r>
                    <w:t>2.1.1. Quelles sont les bases légales concernant l’obligation scolaire ?</w:t>
                  </w:r>
                  <w:bookmarkEnd w:id="740"/>
                  <w:bookmarkEnd w:id="741"/>
                  <w:bookmarkEnd w:id="742"/>
                  <w:bookmarkEnd w:id="743"/>
                  <w:bookmarkEnd w:id="744"/>
                  <w:bookmarkEnd w:id="745"/>
                  <w:bookmarkEnd w:id="746"/>
                  <w:bookmarkEnd w:id="747"/>
                  <w:bookmarkEnd w:id="748"/>
                  <w:bookmarkEnd w:id="749"/>
                  <w:bookmarkEnd w:id="750"/>
                  <w:bookmarkEnd w:id="751"/>
                </w:p>
                <w:p>
                  <w:pPr>
                    <w:jc w:val="both"/>
                    <w:rPr>
                      <w:rFonts w:cs="Arial"/>
                    </w:rPr>
                  </w:pPr>
                </w:p>
                <w:p>
                  <w:pPr>
                    <w:pStyle w:val="Corpsdetexte"/>
                  </w:pPr>
                  <w:r>
                    <w:t xml:space="preserve">Le droit à l’instruction est un droit fondamental consacré non seulement par la Constitution belge en son article 24, mais également par différents textes internationaux. </w:t>
                  </w:r>
                </w:p>
                <w:p>
                  <w:pPr>
                    <w:pStyle w:val="Corpsdetexte"/>
                  </w:pPr>
                  <w:r>
                    <w:t>Ainsi, la Convention du 20 novembre 1989 relative aux droits de l’enfant, ratifiée par la Belgique en 1991, prévoit en son article 28 que les Etats parties reconnaissent le droit de l’enfant à l’éducation.</w:t>
                  </w:r>
                </w:p>
                <w:p>
                  <w:pPr>
                    <w:pStyle w:val="Corpsdetexte"/>
                  </w:pPr>
                  <w:r>
                    <w:t>En Belgique, tous les mineurs  en âge d’obligation scolaire (voir section 2.1.2.), y compris ceux de nationalité étrangère qui y séjournent, sont soumis à l’obligation scolaire. Cette obligation incombe aux parents, à la personne investie de l’autorité parentale ou à la personne qui assume la garde en fait du mineur</w:t>
                  </w:r>
                  <w:r>
                    <w:rPr>
                      <w:rStyle w:val="Caractresdenotedebasdepage"/>
                    </w:rPr>
                    <w:footnoteReference w:id="66"/>
                  </w:r>
                  <w:r>
                    <w:t>.</w:t>
                  </w:r>
                </w:p>
                <w:p>
                  <w:pPr>
                    <w:rPr>
                      <w:lang w:eastAsia="ar-SA"/>
                    </w:rPr>
                  </w:pPr>
                </w:p>
                <w:p>
                  <w:pPr>
                    <w:pStyle w:val="Corpsdetexte"/>
                  </w:pPr>
                  <w:r>
                    <w:t>Bases légales :</w:t>
                  </w:r>
                </w:p>
                <w:p>
                  <w:pPr>
                    <w:pStyle w:val="Corpsdetexte"/>
                    <w:numPr>
                      <w:ilvl w:val="0"/>
                      <w:numId w:val="191"/>
                    </w:numPr>
                  </w:pPr>
                  <w:hyperlink r:id="rId38" w:history="1">
                    <w:r>
                      <w:rPr>
                        <w:rStyle w:val="Lienhypertexte"/>
                      </w:rPr>
                      <w:t>Constitution, article 24, §3 </w:t>
                    </w:r>
                  </w:hyperlink>
                  <w:r>
                    <w:t>;</w:t>
                  </w:r>
                </w:p>
                <w:p>
                  <w:pPr>
                    <w:pStyle w:val="Corpsdetexte"/>
                    <w:numPr>
                      <w:ilvl w:val="0"/>
                      <w:numId w:val="191"/>
                    </w:numPr>
                  </w:pPr>
                  <w:hyperlink r:id="rId39" w:history="1">
                    <w:r>
                      <w:rPr>
                        <w:rStyle w:val="Lienhypertexte"/>
                      </w:rPr>
                      <w:t>Lois sur l’enseignement primaire, coordonnées le 20 août 1957, articles 8 et 10</w:t>
                    </w:r>
                  </w:hyperlink>
                  <w:r>
                    <w:t> ;</w:t>
                  </w:r>
                </w:p>
                <w:p>
                  <w:pPr>
                    <w:pStyle w:val="Corpsdetexte"/>
                    <w:numPr>
                      <w:ilvl w:val="0"/>
                      <w:numId w:val="191"/>
                    </w:numPr>
                  </w:pPr>
                  <w:hyperlink r:id="rId40" w:history="1">
                    <w:r>
                      <w:rPr>
                        <w:rStyle w:val="Lienhypertexte"/>
                      </w:rPr>
                      <w:t>Loi concernant l’obligation scolaire du 29 juin 1983, articles 1 à 5 </w:t>
                    </w:r>
                  </w:hyperlink>
                  <w:r>
                    <w:t>;</w:t>
                  </w:r>
                </w:p>
                <w:p>
                  <w:pPr>
                    <w:pStyle w:val="Corpsdetexte"/>
                    <w:numPr>
                      <w:ilvl w:val="0"/>
                      <w:numId w:val="191"/>
                    </w:numPr>
                  </w:pPr>
                  <w:hyperlink r:id="rId41" w:history="1">
                    <w:r>
                      <w:rPr>
                        <w:rStyle w:val="Lienhypertexte"/>
                      </w:rPr>
                      <w:t>Décret du 18 décembre 1984 organisant l’enseignement à distance</w:t>
                    </w:r>
                  </w:hyperlink>
                  <w:r>
                    <w:t> ;</w:t>
                  </w:r>
                </w:p>
                <w:p>
                  <w:pPr>
                    <w:pStyle w:val="Corpsdetexte"/>
                    <w:numPr>
                      <w:ilvl w:val="0"/>
                      <w:numId w:val="191"/>
                    </w:numPr>
                  </w:pPr>
                  <w:hyperlink r:id="rId42" w:history="1">
                    <w:r>
                      <w:rPr>
                        <w:rStyle w:val="Lienhypertexte"/>
                      </w:rPr>
                      <w:t>Loi du 19 janvier 1990 abaissant à 18 ans l’âge de la majorité civile </w:t>
                    </w:r>
                  </w:hyperlink>
                  <w:r>
                    <w:t>;</w:t>
                  </w:r>
                </w:p>
                <w:p>
                  <w:pPr>
                    <w:pStyle w:val="Corpsdetexte"/>
                    <w:numPr>
                      <w:ilvl w:val="0"/>
                      <w:numId w:val="191"/>
                    </w:numPr>
                  </w:pPr>
                  <w:hyperlink r:id="rId43" w:history="1">
                    <w:r>
                      <w:rPr>
                        <w:rStyle w:val="Lienhypertexte"/>
                      </w:rPr>
                      <w:t>Décret du 3 juillet 1991 organisant l’enseignement en alternance </w:t>
                    </w:r>
                  </w:hyperlink>
                  <w:r>
                    <w:t>;</w:t>
                  </w:r>
                </w:p>
                <w:p>
                  <w:pPr>
                    <w:pStyle w:val="Corpsdetexte"/>
                    <w:numPr>
                      <w:ilvl w:val="0"/>
                      <w:numId w:val="191"/>
                    </w:numPr>
                  </w:pPr>
                  <w:hyperlink r:id="rId44" w:history="1">
                    <w:r>
                      <w:rPr>
                        <w:rStyle w:val="Lienhypertexte"/>
                      </w:rPr>
                      <w:t>Arrêté du Gouvernement de la Communauté française du 24 mai 1995 déterminant la composition et le fonctionnement de la Commission instituée par l’article 2 de la loi du 29 juin 1983 concernant l’obligation scolaire </w:t>
                    </w:r>
                  </w:hyperlink>
                  <w:r>
                    <w:t>;</w:t>
                  </w:r>
                </w:p>
                <w:p>
                  <w:pPr>
                    <w:pStyle w:val="Corpsdetexte"/>
                    <w:numPr>
                      <w:ilvl w:val="0"/>
                      <w:numId w:val="191"/>
                    </w:numPr>
                  </w:pPr>
                  <w:hyperlink r:id="rId45" w:history="1">
                    <w:r>
                      <w:rPr>
                        <w:rStyle w:val="Lienhypertexte"/>
                      </w:rPr>
                      <w:t>Décret du 3 mars 2004 organisant l’enseignement spécialisé</w:t>
                    </w:r>
                  </w:hyperlink>
                  <w:r>
                    <w:t> ;</w:t>
                  </w:r>
                </w:p>
                <w:p>
                  <w:pPr>
                    <w:pStyle w:val="Corpsdetexte"/>
                    <w:numPr>
                      <w:ilvl w:val="0"/>
                      <w:numId w:val="191"/>
                    </w:numPr>
                  </w:pPr>
                  <w:hyperlink r:id="rId46" w:history="1">
                    <w:r>
                      <w:rPr>
                        <w:rStyle w:val="Lienhypertexte"/>
                      </w:rPr>
                      <w:t>Décret du 25 avril 2008 fixant les conditions pour pouvoir satisfaire à l’obligation scolaire en dehors de l’enseignement organisé ou subventionné par la Communauté française</w:t>
                    </w:r>
                  </w:hyperlink>
                  <w:r>
                    <w:t>.</w:t>
                  </w:r>
                </w:p>
                <w:p>
                  <w:pPr>
                    <w:pStyle w:val="Paragraphedeliste"/>
                    <w:numPr>
                      <w:ilvl w:val="0"/>
                      <w:numId w:val="191"/>
                    </w:numPr>
                    <w:jc w:val="both"/>
                    <w:rPr>
                      <w:rFonts w:asciiTheme="majorHAnsi" w:hAnsiTheme="majorHAnsi"/>
                      <w:sz w:val="22"/>
                      <w:szCs w:val="22"/>
                    </w:rPr>
                  </w:pPr>
                  <w:hyperlink r:id="rId47" w:history="1">
                    <w:r>
                      <w:rPr>
                        <w:rStyle w:val="Lienhypertexte"/>
                        <w:rFonts w:asciiTheme="majorHAnsi" w:hAnsiTheme="majorHAnsi"/>
                        <w:sz w:val="22"/>
                        <w:szCs w:val="22"/>
                      </w:rPr>
                      <w:t>Arrêté du Gouvernement de la Communauté française du 1/02/2017 fixant les modalités de la scolarisation à temps partiel visée au paragraphe 4bis, 4°, de l’article 1erde la loi du 29 juin 1983 concernant l’obligation scolaire</w:t>
                    </w:r>
                  </w:hyperlink>
                </w:p>
                <w:p>
                  <w:pPr>
                    <w:jc w:val="both"/>
                    <w:rPr>
                      <w:b/>
                    </w:rPr>
                  </w:pPr>
                </w:p>
                <w:p>
                  <w:pPr>
                    <w:pStyle w:val="Titre5"/>
                  </w:pPr>
                  <w:bookmarkStart w:id="752" w:name="_Toc291075545"/>
                  <w:bookmarkStart w:id="753" w:name="_Toc291075969"/>
                  <w:bookmarkStart w:id="754" w:name="_Toc291076393"/>
                  <w:bookmarkStart w:id="755" w:name="_Toc291076817"/>
                  <w:bookmarkStart w:id="756" w:name="_Toc291077241"/>
                  <w:bookmarkStart w:id="757" w:name="_Toc293652083"/>
                  <w:bookmarkStart w:id="758" w:name="_Toc293653665"/>
                  <w:bookmarkStart w:id="759" w:name="_Toc293654277"/>
                  <w:bookmarkStart w:id="760" w:name="_Toc294004857"/>
                  <w:bookmarkStart w:id="761" w:name="_Toc294185353"/>
                  <w:bookmarkStart w:id="762" w:name="_Toc324767219"/>
                  <w:bookmarkStart w:id="763" w:name="_Toc324768077"/>
                  <w:r>
                    <w:t>2.1.2. Quelle est la durée de l’obligation scolaire ?</w:t>
                  </w:r>
                  <w:bookmarkEnd w:id="752"/>
                  <w:bookmarkEnd w:id="753"/>
                  <w:bookmarkEnd w:id="754"/>
                  <w:bookmarkEnd w:id="755"/>
                  <w:bookmarkEnd w:id="756"/>
                  <w:bookmarkEnd w:id="757"/>
                  <w:bookmarkEnd w:id="758"/>
                  <w:bookmarkEnd w:id="759"/>
                  <w:bookmarkEnd w:id="760"/>
                  <w:bookmarkEnd w:id="761"/>
                  <w:bookmarkEnd w:id="762"/>
                  <w:bookmarkEnd w:id="763"/>
                </w:p>
                <w:p>
                  <w:pPr>
                    <w:jc w:val="both"/>
                    <w:rPr>
                      <w:rFonts w:cs="Arial"/>
                    </w:rPr>
                  </w:pPr>
                </w:p>
                <w:p>
                  <w:pPr>
                    <w:pStyle w:val="Corpsdetexte"/>
                  </w:pPr>
                  <w:r>
                    <w:t>« Le mineur est soumis à l’obligation scolaire pendant une période de douze années commençant avec l’année scolaire qui prend cours dans l’année où il atteint l’âge de six ans et se terminant à la fin de l’année scolaire, dans l’année au cours de laquelle il atteint l’âge de dix-huit ans » (</w:t>
                  </w:r>
                  <w:hyperlink r:id="rId48" w:history="1">
                    <w:r>
                      <w:rPr>
                        <w:rStyle w:val="Lienhypertexte"/>
                      </w:rPr>
                      <w:t>Loi du 29 juin 1983 concernant l’obligation scolaire</w:t>
                    </w:r>
                  </w:hyperlink>
                  <w:r>
                    <w:t>, article 1</w:t>
                  </w:r>
                  <w:r>
                    <w:rPr>
                      <w:vertAlign w:val="superscript"/>
                    </w:rPr>
                    <w:t>er</w:t>
                  </w:r>
                  <w:r>
                    <w:t>, § 1</w:t>
                  </w:r>
                  <w:r>
                    <w:rPr>
                      <w:vertAlign w:val="superscript"/>
                    </w:rPr>
                    <w:t>er</w:t>
                  </w:r>
                  <w:r>
                    <w:t>, al. 1</w:t>
                  </w:r>
                  <w:r>
                    <w:rPr>
                      <w:vertAlign w:val="superscript"/>
                    </w:rPr>
                    <w:t>er</w:t>
                  </w:r>
                  <w:r>
                    <w:t>).</w:t>
                  </w:r>
                </w:p>
                <w:p>
                  <w:pPr>
                    <w:pStyle w:val="Corpsdetexte"/>
                  </w:pPr>
                  <w:r>
                    <w:t>Il résulte de cette disposition que 2 conditions cumulatives doivent être remplies pour que s’impose l’obligation scolaire :</w:t>
                  </w:r>
                </w:p>
                <w:p>
                  <w:pPr>
                    <w:rPr>
                      <w:lang w:eastAsia="ar-SA"/>
                    </w:rPr>
                  </w:pPr>
                </w:p>
                <w:p>
                  <w:pPr>
                    <w:pStyle w:val="Paragraphedeliste"/>
                    <w:numPr>
                      <w:ilvl w:val="0"/>
                      <w:numId w:val="226"/>
                    </w:numPr>
                    <w:jc w:val="both"/>
                    <w:rPr>
                      <w:rFonts w:asciiTheme="majorHAnsi" w:hAnsiTheme="majorHAnsi"/>
                      <w:b/>
                      <w:sz w:val="22"/>
                      <w:szCs w:val="22"/>
                      <w:u w:val="single"/>
                    </w:rPr>
                  </w:pPr>
                  <w:bookmarkStart w:id="764" w:name="_Toc291075546"/>
                  <w:bookmarkStart w:id="765" w:name="_Toc291075970"/>
                  <w:bookmarkStart w:id="766" w:name="_Toc291076394"/>
                  <w:bookmarkStart w:id="767" w:name="_Toc291076818"/>
                  <w:bookmarkStart w:id="768" w:name="_Toc291077242"/>
                  <w:bookmarkStart w:id="769" w:name="_Toc293652084"/>
                  <w:bookmarkStart w:id="770" w:name="_Toc293653666"/>
                  <w:bookmarkStart w:id="771" w:name="_Toc293654278"/>
                  <w:bookmarkStart w:id="772" w:name="_Toc294004858"/>
                  <w:bookmarkStart w:id="773" w:name="_Toc294185354"/>
                  <w:bookmarkStart w:id="774" w:name="_Toc324767220"/>
                  <w:bookmarkStart w:id="775" w:name="_Toc324768078"/>
                  <w:r>
                    <w:rPr>
                      <w:rFonts w:asciiTheme="majorHAnsi" w:hAnsiTheme="majorHAnsi"/>
                      <w:b/>
                      <w:sz w:val="22"/>
                      <w:szCs w:val="22"/>
                      <w:u w:val="single"/>
                    </w:rPr>
                    <w:t>La minorité</w:t>
                  </w:r>
                  <w:bookmarkEnd w:id="764"/>
                  <w:bookmarkEnd w:id="765"/>
                  <w:bookmarkEnd w:id="766"/>
                  <w:bookmarkEnd w:id="767"/>
                  <w:bookmarkEnd w:id="768"/>
                  <w:bookmarkEnd w:id="769"/>
                  <w:bookmarkEnd w:id="770"/>
                  <w:bookmarkEnd w:id="771"/>
                  <w:bookmarkEnd w:id="772"/>
                  <w:bookmarkEnd w:id="773"/>
                  <w:bookmarkEnd w:id="774"/>
                  <w:bookmarkEnd w:id="775"/>
                </w:p>
                <w:p>
                  <w:pPr>
                    <w:jc w:val="both"/>
                    <w:rPr>
                      <w:rFonts w:cs="Arial"/>
                    </w:rPr>
                  </w:pPr>
                </w:p>
                <w:p>
                  <w:pPr>
                    <w:pStyle w:val="Corpsdetexte"/>
                    <w:numPr>
                      <w:ilvl w:val="0"/>
                      <w:numId w:val="92"/>
                    </w:numPr>
                  </w:pPr>
                  <w:r>
                    <w:t>seuls les mineurs d’âge sont soumis à l’obligation scolaire ;</w:t>
                  </w:r>
                </w:p>
                <w:p>
                  <w:pPr>
                    <w:pStyle w:val="Corpsdetexte"/>
                    <w:numPr>
                      <w:ilvl w:val="0"/>
                      <w:numId w:val="92"/>
                    </w:numPr>
                  </w:pPr>
                  <w:r>
                    <w:t>il découle donc de la loi du 19 janvier 1990 abaissant l’âge de la majorité civile à 18 ans que l’élève devenu majeur n’est plus soumis à l’obligation scolaire dès le jour anniversaire de ses 18 ans.</w:t>
                  </w:r>
                </w:p>
                <w:p>
                  <w:pPr>
                    <w:rPr>
                      <w:lang w:eastAsia="ar-SA"/>
                    </w:rPr>
                  </w:pPr>
                </w:p>
                <w:p>
                  <w:pPr>
                    <w:pStyle w:val="Paragraphedeliste"/>
                    <w:numPr>
                      <w:ilvl w:val="0"/>
                      <w:numId w:val="226"/>
                    </w:numPr>
                    <w:jc w:val="both"/>
                    <w:rPr>
                      <w:rFonts w:asciiTheme="majorHAnsi" w:hAnsiTheme="majorHAnsi"/>
                      <w:b/>
                      <w:sz w:val="22"/>
                      <w:szCs w:val="22"/>
                      <w:u w:val="single"/>
                    </w:rPr>
                  </w:pPr>
                  <w:bookmarkStart w:id="776" w:name="_Toc291075547"/>
                  <w:bookmarkStart w:id="777" w:name="_Toc291075971"/>
                  <w:bookmarkStart w:id="778" w:name="_Toc291076395"/>
                  <w:bookmarkStart w:id="779" w:name="_Toc291076819"/>
                  <w:bookmarkStart w:id="780" w:name="_Toc291077243"/>
                  <w:bookmarkStart w:id="781" w:name="_Toc293652085"/>
                  <w:bookmarkStart w:id="782" w:name="_Toc293653667"/>
                  <w:bookmarkStart w:id="783" w:name="_Toc293654279"/>
                  <w:bookmarkStart w:id="784" w:name="_Toc294004859"/>
                  <w:bookmarkStart w:id="785" w:name="_Toc294185355"/>
                  <w:bookmarkStart w:id="786" w:name="_Toc324767221"/>
                  <w:bookmarkStart w:id="787" w:name="_Toc324768079"/>
                  <w:r>
                    <w:rPr>
                      <w:rFonts w:asciiTheme="majorHAnsi" w:hAnsiTheme="majorHAnsi"/>
                      <w:b/>
                      <w:sz w:val="22"/>
                      <w:szCs w:val="22"/>
                      <w:u w:val="single"/>
                    </w:rPr>
                    <w:t>La condition d’âge</w:t>
                  </w:r>
                  <w:bookmarkEnd w:id="776"/>
                  <w:bookmarkEnd w:id="777"/>
                  <w:bookmarkEnd w:id="778"/>
                  <w:bookmarkEnd w:id="779"/>
                  <w:bookmarkEnd w:id="780"/>
                  <w:bookmarkEnd w:id="781"/>
                  <w:bookmarkEnd w:id="782"/>
                  <w:bookmarkEnd w:id="783"/>
                  <w:bookmarkEnd w:id="784"/>
                  <w:bookmarkEnd w:id="785"/>
                  <w:bookmarkEnd w:id="786"/>
                  <w:bookmarkEnd w:id="787"/>
                  <w:r>
                    <w:rPr>
                      <w:rFonts w:asciiTheme="majorHAnsi" w:hAnsiTheme="majorHAnsi"/>
                      <w:b/>
                      <w:sz w:val="22"/>
                      <w:szCs w:val="22"/>
                      <w:u w:val="single"/>
                    </w:rPr>
                    <w:t> </w:t>
                  </w:r>
                </w:p>
                <w:p>
                  <w:pPr>
                    <w:jc w:val="both"/>
                    <w:rPr>
                      <w:rFonts w:cs="Arial"/>
                    </w:rPr>
                  </w:pPr>
                </w:p>
                <w:p>
                  <w:pPr>
                    <w:pStyle w:val="Corpsdetexte"/>
                    <w:numPr>
                      <w:ilvl w:val="0"/>
                      <w:numId w:val="85"/>
                    </w:numPr>
                  </w:pPr>
                  <w:r>
                    <w:t>l’obligation scolaire commence au début de l’année scolaire qui prend cours dans l’année civile où le mineur atteint l’âge de 6 ans ;</w:t>
                  </w:r>
                </w:p>
                <w:p>
                  <w:pPr>
                    <w:pStyle w:val="Corpsdetexte"/>
                    <w:numPr>
                      <w:ilvl w:val="0"/>
                      <w:numId w:val="85"/>
                    </w:numPr>
                  </w:pPr>
                  <w:r>
                    <w:t>l’obligation scolaire se termine à la fin de l’année scolaire, dans l’année civile au cours de laquelle le mineur atteint l’âge de 18 ans. Ce qui signifie que tout mineur qui atteindra l’âge de 18 ans dans l’année civile n’est plus tenu de s’inscrire dans un établissement scolaire à la rentrée scolaire considérée.</w:t>
                  </w:r>
                </w:p>
                <w:p>
                  <w:pPr>
                    <w:rPr>
                      <w:lang w:eastAsia="ar-SA"/>
                    </w:rPr>
                  </w:pPr>
                </w:p>
                <w:p>
                  <w:pPr>
                    <w:pStyle w:val="Corpsdetexte31"/>
                    <w:spacing w:line="240" w:lineRule="auto"/>
                    <w:jc w:val="both"/>
                    <w:rPr>
                      <w:rFonts w:asciiTheme="majorHAnsi" w:hAnsiTheme="majorHAnsi"/>
                      <w:szCs w:val="22"/>
                    </w:rPr>
                  </w:pPr>
                  <w:r>
                    <w:rPr>
                      <w:rFonts w:asciiTheme="majorHAnsi" w:hAnsiTheme="majorHAnsi"/>
                      <w:szCs w:val="22"/>
                    </w:rPr>
                    <w:t>La période d’obligation scolaire comprend deux parties, une période à temps plein et une période à temps partiel :</w:t>
                  </w:r>
                </w:p>
                <w:p>
                  <w:pPr>
                    <w:pStyle w:val="Corpsdetexte31"/>
                    <w:spacing w:line="240" w:lineRule="auto"/>
                    <w:jc w:val="both"/>
                    <w:rPr>
                      <w:rFonts w:asciiTheme="majorHAnsi" w:hAnsiTheme="majorHAnsi"/>
                      <w:szCs w:val="22"/>
                    </w:rPr>
                  </w:pPr>
                </w:p>
                <w:p>
                  <w:pPr>
                    <w:jc w:val="both"/>
                    <w:rPr>
                      <w:rFonts w:cs="Arial"/>
                    </w:rPr>
                  </w:pPr>
                  <w:r>
                    <w:rPr>
                      <w:rFonts w:cs="Arial"/>
                    </w:rPr>
                    <w:t xml:space="preserve">La période d’obligation scolaire à </w:t>
                  </w:r>
                  <w:r>
                    <w:rPr>
                      <w:rFonts w:cs="Arial"/>
                      <w:b/>
                      <w:u w:val="single"/>
                    </w:rPr>
                    <w:t>temps plein</w:t>
                  </w:r>
                  <w:r>
                    <w:rPr>
                      <w:rFonts w:cs="Arial"/>
                    </w:rPr>
                    <w:t xml:space="preserve"> s’étend jusqu’à l’âge de 15 ans, pour autant que le mineur ait effectué au minimum les deux premières années de l’enseignement secondaire de plein exercice. Dans tous les cas, l’obligation scolaire à temps plein cesse quand l’élève atteint l’âge de 16 ans ;</w:t>
                  </w:r>
                </w:p>
                <w:p>
                  <w:pPr>
                    <w:jc w:val="both"/>
                    <w:rPr>
                      <w:rFonts w:cs="Arial"/>
                    </w:rPr>
                  </w:pPr>
                </w:p>
                <w:p>
                  <w:pPr>
                    <w:jc w:val="both"/>
                    <w:rPr>
                      <w:rFonts w:cs="Arial"/>
                    </w:rPr>
                  </w:pPr>
                  <w:r>
                    <w:rPr>
                      <w:rFonts w:cs="Arial"/>
                    </w:rPr>
                    <w:t xml:space="preserve">La période d’obligation scolaire à </w:t>
                  </w:r>
                  <w:r>
                    <w:rPr>
                      <w:rFonts w:cs="Arial"/>
                      <w:b/>
                      <w:u w:val="single"/>
                    </w:rPr>
                    <w:t>temps partiel</w:t>
                  </w:r>
                  <w:r>
                    <w:rPr>
                      <w:rFonts w:cs="Arial"/>
                    </w:rPr>
                    <w:t xml:space="preserve"> s’étend jusqu’à la fin de la période d’obligation scolaire.</w:t>
                  </w:r>
                </w:p>
                <w:p>
                  <w:pPr>
                    <w:jc w:val="both"/>
                    <w:rPr>
                      <w:rFonts w:cs="Arial"/>
                    </w:rPr>
                  </w:pPr>
                </w:p>
                <w:p>
                  <w:pPr>
                    <w:pStyle w:val="Corpsdetexte21"/>
                    <w:jc w:val="both"/>
                    <w:rPr>
                      <w:rFonts w:asciiTheme="majorHAnsi" w:hAnsiTheme="majorHAnsi"/>
                      <w:sz w:val="22"/>
                      <w:szCs w:val="22"/>
                    </w:rPr>
                  </w:pPr>
                  <w:r>
                    <w:rPr>
                      <w:rFonts w:asciiTheme="majorHAnsi" w:hAnsiTheme="majorHAnsi"/>
                      <w:sz w:val="22"/>
                      <w:szCs w:val="22"/>
                    </w:rPr>
                    <w:t xml:space="preserve">Le jeune soumis à l’obligation scolaire à </w:t>
                  </w:r>
                  <w:r>
                    <w:rPr>
                      <w:rFonts w:asciiTheme="majorHAnsi" w:hAnsiTheme="majorHAnsi"/>
                      <w:b/>
                      <w:sz w:val="22"/>
                      <w:szCs w:val="22"/>
                      <w:u w:val="single"/>
                    </w:rPr>
                    <w:t>temps partiel</w:t>
                  </w:r>
                  <w:r>
                    <w:rPr>
                      <w:rFonts w:asciiTheme="majorHAnsi" w:hAnsiTheme="majorHAnsi"/>
                      <w:sz w:val="22"/>
                      <w:szCs w:val="22"/>
                    </w:rPr>
                    <w:t>, peut continuer sa scolarité à temps plein ou s’orienter vers d’autres filières :</w:t>
                  </w:r>
                </w:p>
                <w:p>
                  <w:pPr>
                    <w:pStyle w:val="Corpsdetexte21"/>
                    <w:jc w:val="both"/>
                    <w:rPr>
                      <w:rFonts w:asciiTheme="majorHAnsi" w:hAnsiTheme="majorHAnsi"/>
                      <w:sz w:val="22"/>
                      <w:szCs w:val="22"/>
                    </w:rPr>
                  </w:pPr>
                </w:p>
                <w:p>
                  <w:pPr>
                    <w:numPr>
                      <w:ilvl w:val="0"/>
                      <w:numId w:val="82"/>
                    </w:numPr>
                    <w:tabs>
                      <w:tab w:val="clear" w:pos="360"/>
                      <w:tab w:val="num" w:pos="720"/>
                    </w:tabs>
                    <w:suppressAutoHyphens/>
                    <w:ind w:left="567" w:firstLine="0"/>
                    <w:jc w:val="both"/>
                    <w:rPr>
                      <w:rFonts w:cs="Arial"/>
                    </w:rPr>
                  </w:pPr>
                  <w:r>
                    <w:rPr>
                      <w:rFonts w:cs="Arial"/>
                    </w:rPr>
                    <w:t>L’enseignement secondaire en alternance ;</w:t>
                  </w:r>
                </w:p>
                <w:p>
                  <w:pPr>
                    <w:numPr>
                      <w:ilvl w:val="0"/>
                      <w:numId w:val="82"/>
                    </w:numPr>
                    <w:tabs>
                      <w:tab w:val="clear" w:pos="360"/>
                      <w:tab w:val="num" w:pos="720"/>
                    </w:tabs>
                    <w:suppressAutoHyphens/>
                    <w:ind w:left="567" w:firstLine="0"/>
                    <w:jc w:val="both"/>
                    <w:rPr>
                      <w:rFonts w:cs="Arial"/>
                    </w:rPr>
                  </w:pPr>
                  <w:r>
                    <w:rPr>
                      <w:rFonts w:cs="Arial"/>
                    </w:rPr>
                    <w:t>Une formation reconnue par la Fédération Wallonie-Bruxelles comme répondant aux exigences de l’obligation scolaire</w:t>
                  </w:r>
                  <w:r>
                    <w:rPr>
                      <w:rStyle w:val="Caractresdenotedebasdepage"/>
                      <w:rFonts w:cs="Arial"/>
                    </w:rPr>
                    <w:footnoteReference w:id="67"/>
                  </w:r>
                  <w:r>
                    <w:rPr>
                      <w:rFonts w:cs="Arial"/>
                    </w:rPr>
                    <w:t>.</w:t>
                  </w:r>
                </w:p>
                <w:p>
                  <w:pPr>
                    <w:jc w:val="both"/>
                    <w:rPr>
                      <w:rFonts w:cs="Arial"/>
                    </w:rPr>
                  </w:pPr>
                </w:p>
                <w:p>
                  <w:pPr>
                    <w:jc w:val="both"/>
                    <w:rPr>
                      <w:rFonts w:cs="Arial"/>
                    </w:rPr>
                  </w:pPr>
                </w:p>
                <w:p>
                  <w:pPr>
                    <w:jc w:val="both"/>
                    <w:rPr>
                      <w:rFonts w:cs="Arial"/>
                    </w:rPr>
                  </w:pPr>
                </w:p>
                <w:p>
                  <w:pPr>
                    <w:jc w:val="both"/>
                    <w:rPr>
                      <w:rFonts w:cs="Arial"/>
                    </w:rPr>
                  </w:pPr>
                </w:p>
                <w:p>
                  <w:pPr>
                    <w:jc w:val="both"/>
                    <w:rPr>
                      <w:rFonts w:cs="Arial"/>
                    </w:rPr>
                  </w:pPr>
                </w:p>
                <w:p>
                  <w:pPr>
                    <w:pStyle w:val="Titre5"/>
                  </w:pPr>
                  <w:bookmarkStart w:id="788" w:name="_2.1.3.__Quelles"/>
                  <w:bookmarkStart w:id="789" w:name="_Toc291075548"/>
                  <w:bookmarkStart w:id="790" w:name="_Toc291075972"/>
                  <w:bookmarkStart w:id="791" w:name="_Toc291076396"/>
                  <w:bookmarkStart w:id="792" w:name="_Toc291076820"/>
                  <w:bookmarkStart w:id="793" w:name="_Toc291077244"/>
                  <w:bookmarkStart w:id="794" w:name="_Toc293652086"/>
                  <w:bookmarkStart w:id="795" w:name="_Toc293653668"/>
                  <w:bookmarkStart w:id="796" w:name="_Toc293654280"/>
                  <w:bookmarkStart w:id="797" w:name="_Toc294004860"/>
                  <w:bookmarkStart w:id="798" w:name="_Toc294185356"/>
                  <w:bookmarkStart w:id="799" w:name="_Toc324767222"/>
                  <w:bookmarkStart w:id="800" w:name="_Toc324768080"/>
                  <w:bookmarkEnd w:id="788"/>
                  <w:r>
                    <w:t>2.1.3. Quelles sont les filières qui répondent à l’obligation scolaire ?</w:t>
                  </w:r>
                  <w:bookmarkEnd w:id="789"/>
                  <w:bookmarkEnd w:id="790"/>
                  <w:bookmarkEnd w:id="791"/>
                  <w:bookmarkEnd w:id="792"/>
                  <w:bookmarkEnd w:id="793"/>
                  <w:bookmarkEnd w:id="794"/>
                  <w:bookmarkEnd w:id="795"/>
                  <w:bookmarkEnd w:id="796"/>
                  <w:bookmarkEnd w:id="797"/>
                  <w:bookmarkEnd w:id="798"/>
                  <w:bookmarkEnd w:id="799"/>
                  <w:bookmarkEnd w:id="800"/>
                </w:p>
                <w:p>
                  <w:pPr>
                    <w:jc w:val="both"/>
                  </w:pPr>
                </w:p>
                <w:p>
                  <w:pPr>
                    <w:jc w:val="both"/>
                    <w:rPr>
                      <w:rFonts w:cs="Arial"/>
                    </w:rPr>
                  </w:pPr>
                  <w:r>
                    <w:rPr>
                      <w:rFonts w:cs="Arial"/>
                    </w:rPr>
                    <w:t xml:space="preserve">Pour répondre à l’obligation scolaire, les parents, la personne investie de l’autorité parentale ou la personne qui assume la garde en fait du mineur doivent tout d’abord veiller à ce que le mineur dont ils ont la responsabilité soit : </w:t>
                  </w:r>
                </w:p>
                <w:p>
                  <w:pPr>
                    <w:jc w:val="both"/>
                    <w:rPr>
                      <w:rFonts w:cs="Arial"/>
                    </w:rPr>
                  </w:pPr>
                  <w:r>
                    <w:rPr>
                      <w:rFonts w:cs="Arial"/>
                    </w:rPr>
                    <w:t xml:space="preserve"> </w:t>
                  </w:r>
                </w:p>
                <w:p>
                  <w:pPr>
                    <w:numPr>
                      <w:ilvl w:val="1"/>
                      <w:numId w:val="77"/>
                    </w:numPr>
                    <w:tabs>
                      <w:tab w:val="clear" w:pos="1080"/>
                    </w:tabs>
                    <w:suppressAutoHyphens/>
                    <w:ind w:left="567"/>
                    <w:jc w:val="both"/>
                    <w:rPr>
                      <w:rFonts w:cs="Arial"/>
                    </w:rPr>
                  </w:pPr>
                  <w:r>
                    <w:rPr>
                      <w:rFonts w:cs="Arial"/>
                    </w:rPr>
                    <w:t xml:space="preserve">inscrit dans un établissement scolaire organisé ou subventionné par la Fédération Wallonie-Bruxelles </w:t>
                  </w:r>
                  <w:r>
                    <w:rPr>
                      <w:rStyle w:val="Appelnotedebasdep1"/>
                    </w:rPr>
                    <w:footnoteReference w:id="68"/>
                  </w:r>
                  <w:r>
                    <w:rPr>
                      <w:rFonts w:cs="Arial"/>
                    </w:rPr>
                    <w:t xml:space="preserve"> et fréquente celui-ci régulièrement et assidûment ;</w:t>
                  </w:r>
                </w:p>
                <w:p>
                  <w:pPr>
                    <w:numPr>
                      <w:ilvl w:val="1"/>
                      <w:numId w:val="77"/>
                    </w:numPr>
                    <w:tabs>
                      <w:tab w:val="clear" w:pos="1080"/>
                    </w:tabs>
                    <w:suppressAutoHyphens/>
                    <w:ind w:left="567"/>
                    <w:jc w:val="both"/>
                    <w:rPr>
                      <w:rFonts w:cs="Arial"/>
                    </w:rPr>
                  </w:pPr>
                  <w:r>
                    <w:rPr>
                      <w:rFonts w:cs="Arial"/>
                    </w:rPr>
                    <w:t>accueilli ou formé dans une institution répondant aux exigences de l’obligation scolaire (ex : service d’accrochage scolaire</w:t>
                  </w:r>
                  <w:r>
                    <w:rPr>
                      <w:rStyle w:val="Appelnotedebasdep"/>
                    </w:rPr>
                    <w:footnoteReference w:id="69"/>
                  </w:r>
                  <w:r>
                    <w:rPr>
                      <w:rFonts w:cs="Arial"/>
                    </w:rPr>
                    <w:t>, formations</w:t>
                  </w:r>
                  <w:r>
                    <w:rPr>
                      <w:rStyle w:val="Appelnotedebasdep"/>
                    </w:rPr>
                    <w:footnoteReference w:id="70"/>
                  </w:r>
                  <w:r>
                    <w:rPr>
                      <w:rFonts w:cs="Arial"/>
                    </w:rPr>
                    <w:t>IFAPME</w:t>
                  </w:r>
                  <w:r>
                    <w:rPr>
                      <w:rStyle w:val="Appelnotedebasdep"/>
                    </w:rPr>
                    <w:footnoteReference w:id="71"/>
                  </w:r>
                  <w:r>
                    <w:rPr>
                      <w:rFonts w:cs="Arial"/>
                    </w:rPr>
                    <w:t xml:space="preserve"> ou SFPME</w:t>
                  </w:r>
                  <w:r>
                    <w:rPr>
                      <w:rStyle w:val="Appelnotedebasdep"/>
                    </w:rPr>
                    <w:footnoteReference w:id="72"/>
                  </w:r>
                  <w:r>
                    <w:rPr>
                      <w:rFonts w:cs="Arial"/>
                    </w:rPr>
                    <w:t>.</w:t>
                  </w:r>
                </w:p>
                <w:p>
                  <w:pPr>
                    <w:numPr>
                      <w:ilvl w:val="1"/>
                      <w:numId w:val="77"/>
                    </w:numPr>
                    <w:tabs>
                      <w:tab w:val="clear" w:pos="1080"/>
                      <w:tab w:val="num" w:pos="720"/>
                    </w:tabs>
                    <w:suppressAutoHyphens/>
                    <w:ind w:left="567"/>
                    <w:jc w:val="both"/>
                    <w:rPr>
                      <w:rFonts w:cs="Arial"/>
                    </w:rPr>
                  </w:pPr>
                  <w:r>
                    <w:rPr>
                      <w:rFonts w:cs="Arial"/>
                    </w:rPr>
                    <w:t xml:space="preserve">inscrit dans un établissement scolaire dépendant de l’une des deux autres Communautés ou dans un autre établissement scolaire ne dépendant pas de la Fédération Wallonie-Bruxelles mais dont la fréquentation soit : </w:t>
                  </w:r>
                </w:p>
                <w:p>
                  <w:pPr>
                    <w:numPr>
                      <w:ilvl w:val="0"/>
                      <w:numId w:val="111"/>
                    </w:numPr>
                    <w:tabs>
                      <w:tab w:val="clear" w:pos="357"/>
                      <w:tab w:val="num" w:pos="900"/>
                    </w:tabs>
                    <w:suppressAutoHyphens/>
                    <w:ind w:left="1134" w:firstLine="0"/>
                    <w:jc w:val="both"/>
                    <w:rPr>
                      <w:rFonts w:cs="Arial"/>
                    </w:rPr>
                  </w:pPr>
                  <w:r>
                    <w:rPr>
                      <w:rFonts w:cs="Arial"/>
                    </w:rPr>
                    <w:t>peut mener à l’obtention d’un titre étranger qui bénéficie d’une décision d’équivalence par voie de disposition générale ;</w:t>
                  </w:r>
                </w:p>
                <w:p>
                  <w:pPr>
                    <w:numPr>
                      <w:ilvl w:val="0"/>
                      <w:numId w:val="111"/>
                    </w:numPr>
                    <w:tabs>
                      <w:tab w:val="clear" w:pos="357"/>
                      <w:tab w:val="num" w:pos="900"/>
                    </w:tabs>
                    <w:suppressAutoHyphens/>
                    <w:ind w:left="1134" w:firstLine="0"/>
                    <w:jc w:val="both"/>
                    <w:rPr>
                      <w:rFonts w:cs="Arial"/>
                    </w:rPr>
                  </w:pPr>
                  <w:r>
                    <w:rPr>
                      <w:rFonts w:cs="Arial"/>
                    </w:rPr>
                    <w:t>peut mener à l’obtention d’un titre étranger et dont l’enseignement est reconnu par le Gouvernement de la Fédération Wallonie-Bruxelles comme satisfaisant à l’obligation scolaire ;</w:t>
                  </w:r>
                </w:p>
                <w:p>
                  <w:pPr>
                    <w:numPr>
                      <w:ilvl w:val="1"/>
                      <w:numId w:val="93"/>
                    </w:numPr>
                    <w:tabs>
                      <w:tab w:val="clear" w:pos="1080"/>
                    </w:tabs>
                    <w:suppressAutoHyphens/>
                    <w:ind w:left="567"/>
                    <w:jc w:val="both"/>
                    <w:rPr>
                      <w:rFonts w:cs="Arial"/>
                    </w:rPr>
                  </w:pPr>
                  <w:r>
                    <w:rPr>
                      <w:rFonts w:cs="Arial"/>
                    </w:rPr>
                    <w:t>scolarisé par le biais de l’enseignement à domicile</w:t>
                  </w:r>
                  <w:r>
                    <w:rPr>
                      <w:rStyle w:val="Appelnotedebasdep1"/>
                    </w:rPr>
                    <w:footnoteReference w:id="73"/>
                  </w:r>
                  <w:r>
                    <w:rPr>
                      <w:rFonts w:cs="Arial"/>
                    </w:rPr>
                    <w:t> ;</w:t>
                  </w:r>
                </w:p>
                <w:p>
                  <w:pPr>
                    <w:jc w:val="both"/>
                    <w:rPr>
                      <w:rFonts w:cs="Arial"/>
                    </w:rPr>
                  </w:pPr>
                </w:p>
                <w:p>
                  <w:pPr>
                    <w:jc w:val="both"/>
                    <w:rPr>
                      <w:rFonts w:cs="Arial"/>
                    </w:rPr>
                  </w:pPr>
                  <w:r>
                    <w:rPr>
                      <w:rFonts w:cs="Arial"/>
                    </w:rPr>
                    <w:t xml:space="preserve">Dans ces deux dernières hypothèses, la situation est régie par le décret du 25 avril 2008 fixant les conditions pour pouvoir satisfaire à l’obligation scolaire en dehors de l’enseignement organisé ou subventionné par la Fédération Wallonie-Bruxelles. (Cf. </w:t>
                  </w:r>
                  <w:hyperlink w:anchor="_2.1.4._Qu’est-ce_que" w:history="1">
                    <w:r>
                      <w:rPr>
                        <w:rStyle w:val="Lienhypertexte"/>
                        <w:rFonts w:cs="Arial"/>
                      </w:rPr>
                      <w:t>point 2.1.4</w:t>
                    </w:r>
                  </w:hyperlink>
                  <w:r>
                    <w:rPr>
                      <w:rFonts w:cs="Arial"/>
                    </w:rPr>
                    <w:t>)</w:t>
                  </w:r>
                </w:p>
                <w:p>
                  <w:pPr>
                    <w:jc w:val="both"/>
                    <w:rPr>
                      <w:rFonts w:cs="Arial"/>
                    </w:rPr>
                  </w:pPr>
                </w:p>
                <w:p>
                  <w:pPr>
                    <w:jc w:val="both"/>
                    <w:rPr>
                      <w:rFonts w:cs="Arial"/>
                    </w:rPr>
                  </w:pPr>
                  <w:r>
                    <w:rPr>
                      <w:rFonts w:cs="Arial"/>
                    </w:rPr>
                    <w:t>En outre, le Ministre peut, selon les modalités fixées par le Gouvernement, autoriser un enfant à fréquenter à temps partiel une structure subventionnée et agréée par l’AViQ, par la Commission Communautaire française ou par l’INAMI. La prise en charge de l’élève par ce type de structure ne peut être supérieure à 4 demi-jours par semaine</w:t>
                  </w:r>
                  <w:r>
                    <w:rPr>
                      <w:rFonts w:cs="Arial"/>
                      <w:vertAlign w:val="superscript"/>
                    </w:rPr>
                    <w:footnoteReference w:id="74"/>
                  </w:r>
                  <w:r>
                    <w:rPr>
                      <w:rFonts w:cs="Arial"/>
                    </w:rPr>
                    <w:t>. Pour chaque élève concerné, le projet de scolarisation à temps partiel fera l’objet d’une convention entre l’établissement d’enseignement spécialisé, la structure subventionnée ou agréée par l’AViQ, par la Commission Communautaire française ou par l’INAMI, le CPMS et les parents ou la personne exerçant l’autorité parentale.</w:t>
                  </w:r>
                  <w:r>
                    <w:rPr>
                      <w:rFonts w:eastAsia="Times New Roman" w:cs="Times New Roman"/>
                      <w:spacing w:val="-4"/>
                      <w:vertAlign w:val="superscript"/>
                      <w:lang w:val="fr-FR" w:eastAsia="fr-FR"/>
                    </w:rPr>
                    <w:footnoteReference w:id="75"/>
                  </w:r>
                </w:p>
                <w:p>
                  <w:pPr>
                    <w:jc w:val="both"/>
                    <w:rPr>
                      <w:rFonts w:cs="Arial"/>
                    </w:rPr>
                  </w:pPr>
                  <w:r>
                    <w:rPr>
                      <w:rFonts w:cs="Arial"/>
                    </w:rPr>
                    <w:t>Le cas échéant, l’enfant ou l’adolescent à besoins spécifiques peut également être couvert par une dispense de l’obligation scolaire</w:t>
                  </w:r>
                  <w:r>
                    <w:rPr>
                      <w:rStyle w:val="Appelnotedebasdep"/>
                    </w:rPr>
                    <w:footnoteReference w:id="76"/>
                  </w:r>
                  <w:r>
                    <w:rPr>
                      <w:rFonts w:cs="Arial"/>
                    </w:rPr>
                    <w:t>.</w:t>
                  </w:r>
                </w:p>
                <w:p>
                  <w:pPr>
                    <w:jc w:val="both"/>
                    <w:rPr>
                      <w:rFonts w:cs="Arial"/>
                    </w:rPr>
                  </w:pPr>
                  <w:r>
                    <w:rPr>
                      <w:rFonts w:cs="Arial"/>
                    </w:rPr>
                    <w:t xml:space="preserve">Le responsable légal dont l’enfant réside à l’étranger, bien qu’il soit encore officiellement domicilié en Belgique, transmettra à l’administration en chaque début d’année scolaire une preuve écrite de cette situation, c’est-à-dire un document émanant de toute instance officielle habilitée à le délivrer (Ex. : Consulat, Administration communale, Mairie, etc.) ou une attestation d’inscription d’une école située dans le pays de résidence. </w:t>
                  </w:r>
                </w:p>
                <w:p>
                  <w:pPr>
                    <w:jc w:val="both"/>
                    <w:rPr>
                      <w:rFonts w:eastAsia="Times New Roman" w:cs="Arial"/>
                      <w:b/>
                      <w:u w:val="single"/>
                      <w:lang w:eastAsia="ar-SA"/>
                    </w:rPr>
                  </w:pPr>
                  <w:bookmarkStart w:id="801" w:name="_2.1.4._Qu’est-ce_que"/>
                  <w:bookmarkStart w:id="802" w:name="_Toc291075549"/>
                  <w:bookmarkStart w:id="803" w:name="_Toc291075973"/>
                  <w:bookmarkStart w:id="804" w:name="_Toc291076397"/>
                  <w:bookmarkStart w:id="805" w:name="_Toc291076821"/>
                  <w:bookmarkStart w:id="806" w:name="_Toc291077245"/>
                  <w:bookmarkStart w:id="807" w:name="_Toc293652087"/>
                  <w:bookmarkStart w:id="808" w:name="_Toc293653669"/>
                  <w:bookmarkStart w:id="809" w:name="_Toc293654281"/>
                  <w:bookmarkStart w:id="810" w:name="_Toc294004861"/>
                  <w:bookmarkStart w:id="811" w:name="_Toc294185357"/>
                  <w:bookmarkStart w:id="812" w:name="_Toc324767223"/>
                  <w:bookmarkStart w:id="813" w:name="_Toc324768081"/>
                  <w:bookmarkEnd w:id="801"/>
                </w:p>
                <w:p>
                  <w:pPr>
                    <w:jc w:val="both"/>
                    <w:rPr>
                      <w:rFonts w:eastAsia="Times New Roman" w:cs="Arial"/>
                      <w:b/>
                      <w:u w:val="single"/>
                      <w:lang w:eastAsia="ar-SA"/>
                    </w:rPr>
                  </w:pPr>
                </w:p>
                <w:p>
                  <w:pPr>
                    <w:jc w:val="both"/>
                    <w:rPr>
                      <w:rFonts w:eastAsia="Times New Roman" w:cs="Arial"/>
                      <w:b/>
                      <w:u w:val="single"/>
                      <w:lang w:eastAsia="ar-SA"/>
                    </w:rPr>
                  </w:pPr>
                </w:p>
                <w:p>
                  <w:pPr>
                    <w:jc w:val="both"/>
                    <w:rPr>
                      <w:rFonts w:eastAsia="Times New Roman" w:cs="Arial"/>
                      <w:b/>
                      <w:u w:val="single"/>
                      <w:lang w:eastAsia="ar-SA"/>
                    </w:rPr>
                  </w:pPr>
                </w:p>
                <w:p>
                  <w:pPr>
                    <w:pStyle w:val="Titre5"/>
                  </w:pPr>
                  <w:bookmarkStart w:id="814" w:name="_2.1.4._Qu’est-ce_que_1"/>
                  <w:bookmarkEnd w:id="814"/>
                  <w:r>
                    <w:t>2.1.4. Qu’est-ce que l’enseignement à domicile ?</w:t>
                  </w:r>
                  <w:bookmarkEnd w:id="802"/>
                  <w:bookmarkEnd w:id="803"/>
                  <w:bookmarkEnd w:id="804"/>
                  <w:bookmarkEnd w:id="805"/>
                  <w:bookmarkEnd w:id="806"/>
                  <w:bookmarkEnd w:id="807"/>
                  <w:bookmarkEnd w:id="808"/>
                  <w:bookmarkEnd w:id="809"/>
                  <w:bookmarkEnd w:id="810"/>
                  <w:bookmarkEnd w:id="811"/>
                  <w:bookmarkEnd w:id="812"/>
                  <w:bookmarkEnd w:id="813"/>
                </w:p>
                <w:p>
                  <w:pPr>
                    <w:jc w:val="both"/>
                    <w:rPr>
                      <w:rFonts w:cs="Arial"/>
                    </w:rPr>
                  </w:pPr>
                </w:p>
                <w:p>
                  <w:pPr>
                    <w:pStyle w:val="Corpsdetexte21"/>
                    <w:pBdr>
                      <w:top w:val="single" w:sz="4" w:space="1" w:color="000000"/>
                      <w:left w:val="single" w:sz="4" w:space="4" w:color="000000"/>
                      <w:bottom w:val="single" w:sz="4" w:space="1" w:color="000000"/>
                      <w:right w:val="single" w:sz="4" w:space="4" w:color="000000"/>
                    </w:pBdr>
                    <w:jc w:val="both"/>
                    <w:rPr>
                      <w:rFonts w:asciiTheme="majorHAnsi" w:hAnsiTheme="majorHAnsi"/>
                      <w:b/>
                      <w:sz w:val="22"/>
                      <w:szCs w:val="22"/>
                      <w:u w:val="single"/>
                    </w:rPr>
                  </w:pPr>
                  <w:r>
                    <w:rPr>
                      <w:rFonts w:asciiTheme="majorHAnsi" w:hAnsiTheme="majorHAnsi"/>
                      <w:b/>
                      <w:sz w:val="22"/>
                      <w:szCs w:val="22"/>
                      <w:u w:val="single"/>
                    </w:rPr>
                    <w:t xml:space="preserve">Remarque : </w:t>
                  </w:r>
                </w:p>
                <w:p>
                  <w:pPr>
                    <w:pStyle w:val="Corpsdetexte21"/>
                    <w:pBdr>
                      <w:top w:val="single" w:sz="4" w:space="1" w:color="000000"/>
                      <w:left w:val="single" w:sz="4" w:space="4" w:color="000000"/>
                      <w:bottom w:val="single" w:sz="4" w:space="1" w:color="000000"/>
                      <w:right w:val="single" w:sz="4" w:space="4" w:color="000000"/>
                    </w:pBdr>
                    <w:jc w:val="both"/>
                    <w:rPr>
                      <w:rFonts w:asciiTheme="majorHAnsi" w:hAnsiTheme="majorHAnsi"/>
                      <w:sz w:val="22"/>
                      <w:szCs w:val="22"/>
                    </w:rPr>
                  </w:pPr>
                  <w:r>
                    <w:rPr>
                      <w:rFonts w:asciiTheme="majorHAnsi" w:hAnsiTheme="majorHAnsi"/>
                      <w:sz w:val="22"/>
                      <w:szCs w:val="22"/>
                    </w:rPr>
                    <w:t>Il y a deux types d’enseignement à domicile, l’un excluant l’autre.</w:t>
                  </w:r>
                </w:p>
                <w:p>
                  <w:pPr>
                    <w:pStyle w:val="Corpsdetexte21"/>
                    <w:pBdr>
                      <w:top w:val="single" w:sz="4" w:space="1" w:color="000000"/>
                      <w:left w:val="single" w:sz="4" w:space="4" w:color="000000"/>
                      <w:bottom w:val="single" w:sz="4" w:space="1" w:color="000000"/>
                      <w:right w:val="single" w:sz="4" w:space="4" w:color="000000"/>
                    </w:pBdr>
                    <w:jc w:val="both"/>
                    <w:rPr>
                      <w:rFonts w:asciiTheme="majorHAnsi" w:hAnsiTheme="majorHAnsi"/>
                      <w:b/>
                      <w:sz w:val="22"/>
                      <w:szCs w:val="22"/>
                    </w:rPr>
                  </w:pPr>
                  <w:r>
                    <w:rPr>
                      <w:rFonts w:asciiTheme="majorHAnsi" w:hAnsiTheme="majorHAnsi"/>
                      <w:b/>
                      <w:sz w:val="22"/>
                      <w:szCs w:val="22"/>
                    </w:rPr>
                    <w:t xml:space="preserve">Il ne faut pas confondre </w:t>
                  </w:r>
                  <w:r>
                    <w:rPr>
                      <w:rFonts w:asciiTheme="majorHAnsi" w:hAnsiTheme="majorHAnsi"/>
                      <w:b/>
                      <w:sz w:val="22"/>
                      <w:szCs w:val="22"/>
                      <w:u w:val="single"/>
                    </w:rPr>
                    <w:t>enseignement à domicile</w:t>
                  </w:r>
                  <w:r>
                    <w:rPr>
                      <w:rFonts w:asciiTheme="majorHAnsi" w:hAnsiTheme="majorHAnsi"/>
                      <w:b/>
                      <w:sz w:val="22"/>
                      <w:szCs w:val="22"/>
                    </w:rPr>
                    <w:t xml:space="preserve"> et </w:t>
                  </w:r>
                  <w:r>
                    <w:rPr>
                      <w:rFonts w:asciiTheme="majorHAnsi" w:hAnsiTheme="majorHAnsi"/>
                      <w:b/>
                      <w:sz w:val="22"/>
                      <w:szCs w:val="22"/>
                      <w:u w:val="single"/>
                    </w:rPr>
                    <w:t>enseignement spécialisé dispensé à domicile</w:t>
                  </w:r>
                  <w:r>
                    <w:rPr>
                      <w:rStyle w:val="Caractresdenotedebasdepage"/>
                      <w:b/>
                      <w:sz w:val="22"/>
                      <w:szCs w:val="22"/>
                    </w:rPr>
                    <w:footnoteReference w:id="77"/>
                  </w:r>
                  <w:r>
                    <w:rPr>
                      <w:rFonts w:asciiTheme="majorHAnsi" w:hAnsiTheme="majorHAnsi"/>
                      <w:b/>
                      <w:sz w:val="22"/>
                      <w:szCs w:val="22"/>
                    </w:rPr>
                    <w:t xml:space="preserve"> avec </w:t>
                  </w:r>
                  <w:r>
                    <w:rPr>
                      <w:rFonts w:asciiTheme="majorHAnsi" w:hAnsiTheme="majorHAnsi"/>
                      <w:b/>
                      <w:sz w:val="22"/>
                      <w:szCs w:val="22"/>
                      <w:u w:val="single"/>
                    </w:rPr>
                    <w:t>enseignement à distance</w:t>
                  </w:r>
                  <w:r>
                    <w:rPr>
                      <w:rStyle w:val="Caractresdenotedebasdepage"/>
                      <w:b/>
                      <w:sz w:val="22"/>
                      <w:szCs w:val="22"/>
                    </w:rPr>
                    <w:footnoteReference w:id="78"/>
                  </w:r>
                  <w:r>
                    <w:rPr>
                      <w:rFonts w:asciiTheme="majorHAnsi" w:hAnsiTheme="majorHAnsi"/>
                      <w:b/>
                      <w:sz w:val="22"/>
                      <w:szCs w:val="22"/>
                    </w:rPr>
                    <w:t xml:space="preserve">. </w:t>
                  </w:r>
                </w:p>
                <w:p>
                  <w:pPr>
                    <w:pStyle w:val="Corpsdetexte21"/>
                    <w:pBdr>
                      <w:top w:val="single" w:sz="4" w:space="1" w:color="000000"/>
                      <w:left w:val="single" w:sz="4" w:space="4" w:color="000000"/>
                      <w:bottom w:val="single" w:sz="4" w:space="1" w:color="000000"/>
                      <w:right w:val="single" w:sz="4" w:space="4" w:color="000000"/>
                    </w:pBdr>
                    <w:jc w:val="both"/>
                    <w:rPr>
                      <w:rFonts w:asciiTheme="majorHAnsi" w:hAnsiTheme="majorHAnsi"/>
                      <w:sz w:val="22"/>
                      <w:szCs w:val="22"/>
                    </w:rPr>
                  </w:pPr>
                  <w:r>
                    <w:rPr>
                      <w:rFonts w:asciiTheme="majorHAnsi" w:hAnsiTheme="majorHAnsi"/>
                      <w:sz w:val="22"/>
                      <w:szCs w:val="22"/>
                    </w:rPr>
                    <w:t xml:space="preserve">L’enseignement à domicile et l’enseignement spécialisé dispensé à domicile répondent à l’obligation scolaire. </w:t>
                  </w:r>
                </w:p>
                <w:p>
                  <w:pPr>
                    <w:pStyle w:val="Corpsdetexte21"/>
                    <w:pBdr>
                      <w:top w:val="single" w:sz="4" w:space="1" w:color="000000"/>
                      <w:left w:val="single" w:sz="4" w:space="4" w:color="000000"/>
                      <w:bottom w:val="single" w:sz="4" w:space="1" w:color="000000"/>
                      <w:right w:val="single" w:sz="4" w:space="4" w:color="000000"/>
                    </w:pBdr>
                    <w:jc w:val="both"/>
                    <w:rPr>
                      <w:rFonts w:asciiTheme="majorHAnsi" w:hAnsiTheme="majorHAnsi"/>
                      <w:sz w:val="22"/>
                      <w:szCs w:val="22"/>
                    </w:rPr>
                  </w:pPr>
                  <w:r>
                    <w:rPr>
                      <w:rFonts w:asciiTheme="majorHAnsi" w:hAnsiTheme="majorHAnsi"/>
                      <w:sz w:val="22"/>
                      <w:szCs w:val="22"/>
                    </w:rPr>
                    <w:t>Par contre, l’inscription à l’enseignement à distance organisé par la Fédération Wallonie-Bruxelles nécessite une déclaration d’enseignement à domicile pour être en règle avec l’obligation scolaire.</w:t>
                  </w:r>
                </w:p>
                <w:p>
                  <w:pPr>
                    <w:jc w:val="both"/>
                    <w:rPr>
                      <w:rFonts w:cs="Arial"/>
                    </w:rPr>
                  </w:pPr>
                </w:p>
                <w:p>
                  <w:pPr>
                    <w:pStyle w:val="Corpsdetexte21"/>
                    <w:jc w:val="both"/>
                    <w:rPr>
                      <w:rFonts w:asciiTheme="majorHAnsi" w:hAnsiTheme="majorHAnsi"/>
                      <w:sz w:val="22"/>
                      <w:szCs w:val="22"/>
                    </w:rPr>
                  </w:pPr>
                  <w:bookmarkStart w:id="815" w:name="_Toc291075551"/>
                  <w:bookmarkStart w:id="816" w:name="_Toc291075975"/>
                  <w:bookmarkStart w:id="817" w:name="_Toc291076399"/>
                  <w:bookmarkStart w:id="818" w:name="_Toc291076823"/>
                  <w:bookmarkStart w:id="819" w:name="_Toc291077247"/>
                  <w:bookmarkStart w:id="820" w:name="_Toc293652089"/>
                  <w:bookmarkStart w:id="821" w:name="_Toc293653671"/>
                  <w:bookmarkStart w:id="822" w:name="_Toc293654283"/>
                  <w:bookmarkStart w:id="823" w:name="_Toc294004863"/>
                  <w:bookmarkStart w:id="824" w:name="_Toc294185359"/>
                  <w:bookmarkStart w:id="825" w:name="_Toc324767225"/>
                  <w:bookmarkStart w:id="826" w:name="_Toc324768083"/>
                  <w:r>
                    <w:rPr>
                      <w:rFonts w:asciiTheme="majorHAnsi" w:hAnsiTheme="majorHAnsi"/>
                      <w:sz w:val="22"/>
                      <w:szCs w:val="22"/>
                    </w:rPr>
                    <w:t>Comme mentionné plus haut, un mineur soumis à l’obligation scolaire et qui est inscrit dans un établissement scolaire qui n’est ni organisé ou subventionné par la Fédération Wallonie-Bruxelles ou qui suit l’enseignement à domicile relève du décret du 25 avril 2008 fixant les conditions pour pouvoir satisfaire à l’obligation scolaire en dehors de l’enseignement organisé ou subventionné par Communauté française.</w:t>
                  </w:r>
                </w:p>
                <w:p>
                  <w:pPr>
                    <w:pStyle w:val="Corpsdetexte21"/>
                    <w:jc w:val="both"/>
                    <w:rPr>
                      <w:rFonts w:asciiTheme="majorHAnsi" w:hAnsiTheme="majorHAnsi"/>
                      <w:sz w:val="22"/>
                      <w:szCs w:val="22"/>
                    </w:rPr>
                  </w:pPr>
                </w:p>
                <w:p>
                  <w:pPr>
                    <w:pStyle w:val="Corpsdetexte21"/>
                    <w:pBdr>
                      <w:right w:val="single" w:sz="4" w:space="4" w:color="auto"/>
                    </w:pBdr>
                    <w:jc w:val="both"/>
                    <w:rPr>
                      <w:rFonts w:asciiTheme="majorHAnsi" w:hAnsiTheme="majorHAnsi"/>
                      <w:sz w:val="22"/>
                      <w:szCs w:val="22"/>
                    </w:rPr>
                  </w:pPr>
                  <w:r>
                    <w:rPr>
                      <w:rFonts w:asciiTheme="majorHAnsi" w:hAnsiTheme="majorHAnsi"/>
                      <w:sz w:val="22"/>
                      <w:szCs w:val="22"/>
                    </w:rPr>
                    <w:t xml:space="preserve">Dans ce cas, les parents, la personne investie de l’autorité parentale ou la personne qui assume la garde en fait de l’enfant envoient directement au service de l’enseignement à domicile (voir </w:t>
                  </w:r>
                  <w:hyperlink w:anchor="_9._Matières_traitées" w:history="1">
                    <w:r>
                      <w:rPr>
                        <w:rStyle w:val="Lienhypertexte"/>
                        <w:rFonts w:asciiTheme="majorHAnsi" w:hAnsiTheme="majorHAnsi"/>
                        <w:sz w:val="22"/>
                        <w:szCs w:val="22"/>
                      </w:rPr>
                      <w:t>contacts utiles</w:t>
                    </w:r>
                  </w:hyperlink>
                  <w:r>
                    <w:rPr>
                      <w:rFonts w:asciiTheme="majorHAnsi" w:hAnsiTheme="majorHAnsi"/>
                      <w:sz w:val="22"/>
                      <w:szCs w:val="22"/>
                    </w:rPr>
                    <w:t xml:space="preserve">), </w:t>
                  </w:r>
                  <w:r>
                    <w:rPr>
                      <w:rFonts w:asciiTheme="majorHAnsi" w:hAnsiTheme="majorHAnsi"/>
                      <w:b/>
                      <w:sz w:val="22"/>
                      <w:szCs w:val="22"/>
                    </w:rPr>
                    <w:t>au plus tard le 5 septembre</w:t>
                  </w:r>
                  <w:r>
                    <w:rPr>
                      <w:rFonts w:asciiTheme="majorHAnsi" w:hAnsiTheme="majorHAnsi"/>
                      <w:sz w:val="22"/>
                      <w:szCs w:val="22"/>
                    </w:rPr>
                    <w:t xml:space="preserve"> de chaque année scolaire considérée, une déclaration d’enseignement à domicile.</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Au-delà de cette date, une inscription n’est possible que pour les enfants qui fixent leur résidence en Belgique dans le courant de l’année scolaire.</w:t>
                  </w:r>
                </w:p>
                <w:p>
                  <w:pPr>
                    <w:pStyle w:val="Corpsdetexte21"/>
                    <w:jc w:val="both"/>
                    <w:rPr>
                      <w:rFonts w:asciiTheme="majorHAnsi" w:hAnsiTheme="majorHAnsi"/>
                      <w:sz w:val="22"/>
                      <w:szCs w:val="22"/>
                    </w:rPr>
                  </w:pPr>
                  <w:r>
                    <w:rPr>
                      <w:rFonts w:asciiTheme="majorHAnsi" w:hAnsiTheme="majorHAnsi"/>
                      <w:sz w:val="22"/>
                      <w:szCs w:val="22"/>
                    </w:rPr>
                    <w:t>La déclaration doit se faire via le formulaire prévu à cet effet.</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Outre l’exigence d’information, et sauf exceptions, deux obligations pèsent sur les personnes responsables du mineur en obligation scolaire inscrit à l’enseignement à domicile au sens strict :</w:t>
                  </w:r>
                </w:p>
                <w:p>
                  <w:pPr>
                    <w:pStyle w:val="Corpsdetexte21"/>
                    <w:jc w:val="both"/>
                    <w:rPr>
                      <w:rFonts w:asciiTheme="majorHAnsi" w:hAnsiTheme="majorHAnsi"/>
                      <w:sz w:val="22"/>
                      <w:szCs w:val="22"/>
                    </w:rPr>
                  </w:pPr>
                </w:p>
                <w:p>
                  <w:pPr>
                    <w:pStyle w:val="Corpsdetexte21"/>
                    <w:numPr>
                      <w:ilvl w:val="0"/>
                      <w:numId w:val="66"/>
                    </w:numPr>
                    <w:tabs>
                      <w:tab w:val="clear" w:pos="360"/>
                      <w:tab w:val="num" w:pos="900"/>
                    </w:tabs>
                    <w:ind w:left="567" w:firstLine="0"/>
                    <w:jc w:val="both"/>
                    <w:rPr>
                      <w:rFonts w:asciiTheme="majorHAnsi" w:hAnsiTheme="majorHAnsi"/>
                      <w:sz w:val="22"/>
                      <w:szCs w:val="22"/>
                    </w:rPr>
                  </w:pPr>
                  <w:r>
                    <w:rPr>
                      <w:rFonts w:asciiTheme="majorHAnsi" w:hAnsiTheme="majorHAnsi"/>
                      <w:sz w:val="22"/>
                      <w:szCs w:val="22"/>
                    </w:rPr>
                    <w:t>soumettre le mineur au contrôle du niveau des études ;</w:t>
                  </w:r>
                </w:p>
                <w:p>
                  <w:pPr>
                    <w:pStyle w:val="Corpsdetexte21"/>
                    <w:numPr>
                      <w:ilvl w:val="0"/>
                      <w:numId w:val="66"/>
                    </w:numPr>
                    <w:tabs>
                      <w:tab w:val="clear" w:pos="360"/>
                      <w:tab w:val="num" w:pos="900"/>
                    </w:tabs>
                    <w:ind w:left="567" w:firstLine="0"/>
                    <w:jc w:val="both"/>
                    <w:rPr>
                      <w:rFonts w:asciiTheme="majorHAnsi" w:hAnsiTheme="majorHAnsi"/>
                      <w:sz w:val="22"/>
                      <w:szCs w:val="22"/>
                    </w:rPr>
                  </w:pPr>
                  <w:r>
                    <w:rPr>
                      <w:rFonts w:asciiTheme="majorHAnsi" w:hAnsiTheme="majorHAnsi"/>
                      <w:sz w:val="22"/>
                      <w:szCs w:val="22"/>
                    </w:rPr>
                    <w:t>inscrire le mineur aux épreuves certificatives.</w:t>
                  </w:r>
                </w:p>
                <w:p>
                  <w:pPr>
                    <w:pStyle w:val="Corpsdetexte21"/>
                    <w:jc w:val="both"/>
                    <w:rPr>
                      <w:rFonts w:asciiTheme="majorHAnsi" w:hAnsiTheme="majorHAnsi"/>
                      <w:sz w:val="22"/>
                      <w:szCs w:val="22"/>
                    </w:rPr>
                  </w:pPr>
                </w:p>
                <w:p>
                  <w:pPr>
                    <w:pStyle w:val="Corpsdetexte21"/>
                    <w:pBdr>
                      <w:top w:val="single" w:sz="4" w:space="1" w:color="000000"/>
                      <w:left w:val="single" w:sz="4" w:space="4" w:color="000000"/>
                      <w:bottom w:val="single" w:sz="4" w:space="1" w:color="000000"/>
                      <w:right w:val="single" w:sz="4" w:space="4" w:color="000000"/>
                    </w:pBdr>
                    <w:jc w:val="both"/>
                    <w:rPr>
                      <w:rFonts w:asciiTheme="majorHAnsi" w:hAnsiTheme="majorHAnsi"/>
                      <w:b/>
                      <w:sz w:val="22"/>
                      <w:szCs w:val="22"/>
                    </w:rPr>
                  </w:pPr>
                  <w:r>
                    <w:rPr>
                      <w:rFonts w:asciiTheme="majorHAnsi" w:hAnsiTheme="majorHAnsi"/>
                      <w:b/>
                      <w:sz w:val="22"/>
                      <w:szCs w:val="22"/>
                    </w:rPr>
                    <w:t xml:space="preserve">Il ne faut pas confondre </w:t>
                  </w:r>
                  <w:r>
                    <w:rPr>
                      <w:rFonts w:asciiTheme="majorHAnsi" w:hAnsiTheme="majorHAnsi"/>
                      <w:b/>
                      <w:sz w:val="22"/>
                      <w:szCs w:val="22"/>
                      <w:u w:val="single"/>
                    </w:rPr>
                    <w:t>enseignement à domicile</w:t>
                  </w:r>
                  <w:r>
                    <w:rPr>
                      <w:rFonts w:asciiTheme="majorHAnsi" w:hAnsiTheme="majorHAnsi"/>
                      <w:b/>
                      <w:sz w:val="22"/>
                      <w:szCs w:val="22"/>
                    </w:rPr>
                    <w:t xml:space="preserve"> avec </w:t>
                  </w:r>
                  <w:r>
                    <w:rPr>
                      <w:rFonts w:asciiTheme="majorHAnsi" w:hAnsiTheme="majorHAnsi"/>
                      <w:b/>
                      <w:sz w:val="22"/>
                      <w:szCs w:val="22"/>
                      <w:u w:val="single"/>
                    </w:rPr>
                    <w:t>enseignement à distance</w:t>
                  </w:r>
                  <w:r>
                    <w:rPr>
                      <w:rStyle w:val="Caractresdenotedebasdepage"/>
                      <w:b/>
                      <w:sz w:val="22"/>
                      <w:szCs w:val="22"/>
                    </w:rPr>
                    <w:footnoteReference w:id="79"/>
                  </w:r>
                  <w:r>
                    <w:rPr>
                      <w:rFonts w:asciiTheme="majorHAnsi" w:hAnsiTheme="majorHAnsi"/>
                      <w:b/>
                      <w:sz w:val="22"/>
                      <w:szCs w:val="22"/>
                    </w:rPr>
                    <w:t xml:space="preserve">. Seul, l’enseignement à domicile répond à l’obligation scolaire. </w:t>
                  </w:r>
                </w:p>
                <w:p>
                  <w:bookmarkStart w:id="827" w:name="_2.1.5._Enseignement_spécialisé"/>
                  <w:bookmarkEnd w:id="827"/>
                </w:p>
                <w:p>
                  <w:pPr>
                    <w:pStyle w:val="Titre5"/>
                  </w:pPr>
                  <w:r>
                    <w:t>2.1.5. Enseignement spécialisé dispensé à domicile</w:t>
                  </w:r>
                </w:p>
                <w:p>
                  <w:pPr>
                    <w:pStyle w:val="Corpsdetexte21"/>
                    <w:jc w:val="both"/>
                    <w:rPr>
                      <w:rFonts w:asciiTheme="majorHAnsi" w:hAnsiTheme="majorHAnsi"/>
                      <w:spacing w:val="-2"/>
                      <w:sz w:val="22"/>
                      <w:szCs w:val="22"/>
                    </w:rPr>
                  </w:pPr>
                </w:p>
                <w:p>
                  <w:pPr>
                    <w:pStyle w:val="Corpsdetexte21"/>
                    <w:jc w:val="both"/>
                    <w:rPr>
                      <w:rFonts w:asciiTheme="majorHAnsi" w:hAnsiTheme="majorHAnsi"/>
                      <w:spacing w:val="-2"/>
                      <w:sz w:val="22"/>
                      <w:szCs w:val="22"/>
                    </w:rPr>
                  </w:pPr>
                  <w:r>
                    <w:rPr>
                      <w:rFonts w:asciiTheme="majorHAnsi" w:hAnsiTheme="majorHAnsi"/>
                      <w:spacing w:val="-2"/>
                      <w:sz w:val="22"/>
                      <w:szCs w:val="22"/>
                    </w:rPr>
                    <w:t>L’enseignement spécialisé dispensé à domicile s’adresse uniquement à un élève à besoins spécifiques qui est dans l’impossibilité de se rendre à l’école, car il ne peut se déplacer ou être transporté en raison de la nature ou de la gravité de son handicap et qui est inscrit dans un établissement d’enseignement.</w:t>
                  </w:r>
                </w:p>
                <w:p>
                  <w:pPr>
                    <w:pStyle w:val="Corpsdetexte21"/>
                    <w:jc w:val="both"/>
                    <w:rPr>
                      <w:rFonts w:asciiTheme="majorHAnsi" w:hAnsiTheme="majorHAnsi"/>
                      <w:spacing w:val="-2"/>
                      <w:sz w:val="22"/>
                      <w:szCs w:val="22"/>
                    </w:rPr>
                  </w:pPr>
                  <w:r>
                    <w:rPr>
                      <w:rFonts w:asciiTheme="majorHAnsi" w:hAnsiTheme="majorHAnsi"/>
                      <w:spacing w:val="-2"/>
                      <w:sz w:val="22"/>
                      <w:szCs w:val="22"/>
                    </w:rPr>
                    <w:t>Les demandes sur l’opportunité de faire dispenser l’enseignement spécialisé à domicile à un jeune à besoins spécifiques qui ne peut se déplacer ou être transporté en raison de la nature ou de la gravité de son handicap sont introduites sur papier libre, auprès du secrétariat des commissions consultatives, à la demande de la personne exerçant l’autorité parentale ou d’un membre de l’Inspection scolaire. Le dossier peut être complété par des éléments fournis par des médecins.</w:t>
                  </w:r>
                </w:p>
                <w:p>
                  <w:pPr>
                    <w:jc w:val="both"/>
                    <w:rPr>
                      <w:rFonts w:cs="Arial"/>
                      <w:spacing w:val="-2"/>
                    </w:rPr>
                  </w:pPr>
                  <w:r>
                    <w:rPr>
                      <w:rFonts w:cs="Arial"/>
                      <w:spacing w:val="-2"/>
                    </w:rPr>
                    <w:t>La Commission consultative de l’enseignement spécialisé est seule compétente pour rendre un avis sur cet enseignement à domicile (sauf pour les élèves de l’enseignement de type 5 qui ont un enseignement à domicile durant leur convalescence) ; elle apprécie en outre si ce type d’enseignement contribue au développement de toute la personnalité de l’élève et s’il ne freine pas son intégration sociale.</w:t>
                  </w:r>
                </w:p>
                <w:p>
                  <w:pPr>
                    <w:pStyle w:val="Corpsdetexte21"/>
                    <w:jc w:val="both"/>
                    <w:rPr>
                      <w:rFonts w:asciiTheme="majorHAnsi" w:hAnsiTheme="majorHAnsi"/>
                      <w:b/>
                      <w:sz w:val="22"/>
                      <w:szCs w:val="22"/>
                    </w:rPr>
                  </w:pPr>
                </w:p>
                <w:p>
                  <w:pPr>
                    <w:pStyle w:val="Titre5"/>
                  </w:pPr>
                  <w:bookmarkStart w:id="828" w:name="_2.1.5._comment_les"/>
                  <w:bookmarkStart w:id="829" w:name="_Comment_les_parents"/>
                  <w:bookmarkEnd w:id="828"/>
                  <w:bookmarkEnd w:id="829"/>
                  <w:r>
                    <w:t>2.1.6. Comment les parents d’un enfant à besoins spécifiques peuvent-ils obtenir une dispense d’obligation scolaire ?</w:t>
                  </w:r>
                </w:p>
                <w:p>
                  <w:pPr>
                    <w:jc w:val="both"/>
                    <w:rPr>
                      <w:rFonts w:cs="Arial"/>
                    </w:rPr>
                  </w:pPr>
                </w:p>
                <w:p>
                  <w:pPr>
                    <w:pStyle w:val="Corpsdetexte21"/>
                    <w:jc w:val="both"/>
                    <w:rPr>
                      <w:rFonts w:asciiTheme="majorHAnsi" w:hAnsiTheme="majorHAnsi"/>
                      <w:spacing w:val="-2"/>
                      <w:sz w:val="22"/>
                      <w:szCs w:val="22"/>
                    </w:rPr>
                  </w:pPr>
                  <w:r>
                    <w:rPr>
                      <w:rFonts w:asciiTheme="majorHAnsi" w:hAnsiTheme="majorHAnsi"/>
                      <w:spacing w:val="-2"/>
                      <w:sz w:val="22"/>
                      <w:szCs w:val="22"/>
                    </w:rPr>
                    <w:t>Cette dispense s’adresse uniquement à un élève à besoins spécifiques qui est dans l’impossibilité de se rendre à l’école, car il ne peut se déplacer ou être transporté en raison de la nature ou de la gravité de son handicap.</w:t>
                  </w:r>
                </w:p>
                <w:p>
                  <w:pPr>
                    <w:jc w:val="both"/>
                    <w:rPr>
                      <w:rFonts w:cs="Arial"/>
                      <w:spacing w:val="-2"/>
                    </w:rPr>
                  </w:pPr>
                  <w:r>
                    <w:rPr>
                      <w:rFonts w:cs="Arial"/>
                      <w:spacing w:val="-2"/>
                    </w:rPr>
                    <w:t>Les demandes de dispense d’obligation scolaire sont à introduire sur papier libre auprès du secrétariat des commissions consultatives, au moyen du formulaire correspondant à la situation n°</w:t>
                  </w:r>
                  <w:hyperlink w:anchor="_Annexe_6_:" w:history="1">
                    <w:r>
                      <w:rPr>
                        <w:rStyle w:val="Lienhypertexte"/>
                        <w:rFonts w:cs="Arial"/>
                        <w:color w:val="auto"/>
                        <w:spacing w:val="-2"/>
                      </w:rPr>
                      <w:t xml:space="preserve"> 6</w:t>
                    </w:r>
                  </w:hyperlink>
                  <w:r>
                    <w:rPr>
                      <w:rFonts w:cs="Arial"/>
                      <w:spacing w:val="-2"/>
                    </w:rPr>
                    <w:t xml:space="preserve"> figurant au </w:t>
                  </w:r>
                  <w:hyperlink w:anchor="_Chapitre_20_:" w:history="1">
                    <w:r>
                      <w:rPr>
                        <w:rStyle w:val="Lienhypertexte"/>
                        <w:rFonts w:cs="Arial"/>
                        <w:spacing w:val="-2"/>
                      </w:rPr>
                      <w:t>Chapitre 20</w:t>
                    </w:r>
                  </w:hyperlink>
                  <w:r>
                    <w:rPr>
                      <w:rFonts w:cs="Arial"/>
                      <w:spacing w:val="-2"/>
                    </w:rPr>
                    <w:t xml:space="preserve"> de la présente circulaire, sur demande du chef de famille ou du chef d’un établissement d’enseignement spécialisé et concernent l’opportunité de faire dispenser un jeune de toute obligation scolaire, en raison de son handicap.  Le dossier peut être complété par des éléments fournis par des médecins.</w:t>
                  </w:r>
                </w:p>
                <w:p>
                  <w:pPr>
                    <w:pStyle w:val="Corpsdetexte21"/>
                    <w:jc w:val="both"/>
                    <w:rPr>
                      <w:rFonts w:asciiTheme="majorHAnsi" w:hAnsiTheme="majorHAnsi"/>
                      <w:spacing w:val="-2"/>
                      <w:sz w:val="22"/>
                      <w:szCs w:val="22"/>
                    </w:rPr>
                  </w:pPr>
                  <w:r>
                    <w:rPr>
                      <w:rFonts w:asciiTheme="majorHAnsi" w:hAnsiTheme="majorHAnsi"/>
                      <w:spacing w:val="-2"/>
                      <w:sz w:val="22"/>
                      <w:szCs w:val="22"/>
                    </w:rPr>
                    <w:t>Les Commissions consultatives de l’enseignement spécialisé sont compétentes pour rendre un avis sur ces demandes et le communiquent aux Services du Gouvernement qui peuvent en accorder la dispense.</w:t>
                  </w:r>
                  <w:r>
                    <w:rPr>
                      <w:rStyle w:val="Caractresdenotedebasdepage"/>
                      <w:spacing w:val="-2"/>
                      <w:sz w:val="22"/>
                      <w:szCs w:val="22"/>
                    </w:rPr>
                    <w:footnoteReference w:id="80"/>
                  </w:r>
                  <w:r>
                    <w:rPr>
                      <w:rFonts w:asciiTheme="majorHAnsi" w:hAnsiTheme="majorHAnsi"/>
                      <w:spacing w:val="-2"/>
                      <w:sz w:val="22"/>
                      <w:szCs w:val="22"/>
                    </w:rPr>
                    <w:t xml:space="preserve"> </w:t>
                  </w:r>
                </w:p>
                <w:p>
                  <w:bookmarkStart w:id="830" w:name="_Toc291075552"/>
                  <w:bookmarkStart w:id="831" w:name="_Toc291075976"/>
                  <w:bookmarkStart w:id="832" w:name="_Toc291076400"/>
                  <w:bookmarkStart w:id="833" w:name="_Toc291076824"/>
                  <w:bookmarkStart w:id="834" w:name="_Toc291077248"/>
                  <w:bookmarkStart w:id="835" w:name="_Toc293652090"/>
                  <w:bookmarkStart w:id="836" w:name="_Toc293653672"/>
                  <w:bookmarkStart w:id="837" w:name="_Toc293654284"/>
                  <w:bookmarkStart w:id="838" w:name="_Toc294004864"/>
                  <w:bookmarkStart w:id="839" w:name="_Toc294185360"/>
                  <w:bookmarkEnd w:id="815"/>
                  <w:bookmarkEnd w:id="816"/>
                  <w:bookmarkEnd w:id="817"/>
                  <w:bookmarkEnd w:id="818"/>
                  <w:bookmarkEnd w:id="819"/>
                  <w:bookmarkEnd w:id="820"/>
                  <w:bookmarkEnd w:id="821"/>
                  <w:bookmarkEnd w:id="822"/>
                  <w:bookmarkEnd w:id="823"/>
                  <w:bookmarkEnd w:id="824"/>
                  <w:bookmarkEnd w:id="825"/>
                  <w:bookmarkEnd w:id="826"/>
                </w:p>
                <w:p>
                  <w:pPr>
                    <w:pStyle w:val="Titre5"/>
                  </w:pPr>
                  <w:bookmarkStart w:id="840" w:name="_Toc324767226"/>
                  <w:bookmarkStart w:id="841" w:name="_Toc324768084"/>
                  <w:r>
                    <w:t>2.1.7. A qui incombe la responsabilité de l’obligation scolaire ?</w:t>
                  </w:r>
                  <w:bookmarkEnd w:id="830"/>
                  <w:bookmarkEnd w:id="831"/>
                  <w:bookmarkEnd w:id="832"/>
                  <w:bookmarkEnd w:id="833"/>
                  <w:bookmarkEnd w:id="834"/>
                  <w:bookmarkEnd w:id="835"/>
                  <w:bookmarkEnd w:id="836"/>
                  <w:bookmarkEnd w:id="837"/>
                  <w:bookmarkEnd w:id="838"/>
                  <w:bookmarkEnd w:id="839"/>
                  <w:bookmarkEnd w:id="840"/>
                  <w:bookmarkEnd w:id="841"/>
                </w:p>
                <w:p>
                  <w:pPr>
                    <w:jc w:val="both"/>
                    <w:rPr>
                      <w:rFonts w:cs="Arial"/>
                      <w:b/>
                      <w:u w:val="single"/>
                    </w:rPr>
                  </w:pPr>
                </w:p>
                <w:p>
                  <w:pPr>
                    <w:pStyle w:val="Corpsdetexte"/>
                  </w:pPr>
                  <w:r>
                    <w:t>Le respect de l’obligation scolaire incombe aux parents, à la personne investie de l’autorité parentale ou qui assume la garde en fait du mineur.</w:t>
                  </w:r>
                </w:p>
                <w:p>
                  <w:pPr>
                    <w:pStyle w:val="Corpsdetexte"/>
                  </w:pPr>
                  <w:r>
                    <w:t>La scolarité obligatoire comporte dans le chef de ces personnes une double obligation :</w:t>
                  </w:r>
                </w:p>
                <w:p>
                  <w:pPr>
                    <w:numPr>
                      <w:ilvl w:val="0"/>
                      <w:numId w:val="72"/>
                    </w:numPr>
                    <w:suppressAutoHyphens/>
                    <w:ind w:left="0" w:firstLine="0"/>
                    <w:jc w:val="both"/>
                    <w:rPr>
                      <w:rFonts w:cs="Arial"/>
                    </w:rPr>
                  </w:pPr>
                  <w:r>
                    <w:rPr>
                      <w:rFonts w:cs="Arial"/>
                    </w:rPr>
                    <w:t xml:space="preserve">veiller à ce que le mineur se trouve dans l’une des quatre situations répondant à l’obligation scolaire présentées au point : filières qui répondent à l’obligation scolaire ; </w:t>
                  </w:r>
                </w:p>
                <w:p>
                  <w:pPr>
                    <w:numPr>
                      <w:ilvl w:val="0"/>
                      <w:numId w:val="72"/>
                    </w:numPr>
                    <w:suppressAutoHyphens/>
                    <w:ind w:left="0" w:firstLine="0"/>
                    <w:jc w:val="both"/>
                    <w:rPr>
                      <w:rFonts w:cs="Arial"/>
                    </w:rPr>
                  </w:pPr>
                  <w:r>
                    <w:rPr>
                      <w:rFonts w:cs="Arial"/>
                    </w:rPr>
                    <w:t>veiller, dans le cas où le mineur est inscrit dans un établissement organisé ou subventionné par la Fédération Wallonie-Bruxelles, à ce qu’il fréquente régulièrement et assidûment cet établissement.</w:t>
                  </w:r>
                </w:p>
                <w:p>
                  <w:pPr>
                    <w:pStyle w:val="Corpsdetexte21"/>
                    <w:jc w:val="both"/>
                    <w:rPr>
                      <w:rFonts w:asciiTheme="majorHAnsi" w:hAnsiTheme="majorHAnsi"/>
                      <w:sz w:val="22"/>
                      <w:szCs w:val="22"/>
                    </w:rPr>
                  </w:pPr>
                  <w:r>
                    <w:rPr>
                      <w:rFonts w:asciiTheme="majorHAnsi" w:hAnsiTheme="majorHAnsi"/>
                      <w:sz w:val="22"/>
                      <w:szCs w:val="22"/>
                    </w:rPr>
                    <w:t>Afin d’assurer le respect de cette obligation, le législateur a institué des sanctions pénales dont sont passibles les parents, la personne investie de l’autorité parentale ou qui assume la garde en fait du mineur. Les infractions à la loi concernant l’obligation scolaire sont en effet punissables d’une amende à charge de ces derniers pour chaque mineur dans le chef duquel l’infraction est constatée. En cas de récidive, les amendes peuvent être doublées ou une peine d’emprisonnement d’un jour à un mois peut être prononcée. Aux fins d’application de ces dispositions, le Ministère public peut saisir le Tribunal de police.</w:t>
                  </w:r>
                </w:p>
                <w:p>
                  <w:pPr>
                    <w:pStyle w:val="Corpsdetexte21"/>
                    <w:jc w:val="both"/>
                    <w:rPr>
                      <w:rFonts w:asciiTheme="majorHAnsi" w:hAnsiTheme="majorHAnsi"/>
                      <w:sz w:val="22"/>
                      <w:szCs w:val="22"/>
                    </w:rPr>
                  </w:pPr>
                  <w:r>
                    <w:rPr>
                      <w:rFonts w:asciiTheme="majorHAnsi" w:hAnsiTheme="majorHAnsi"/>
                      <w:sz w:val="22"/>
                      <w:szCs w:val="22"/>
                    </w:rPr>
                    <w:t>Les organes chargés de l’Aide à la Jeunesse au sens large peuvent également être appelés à intervenir, entre autres sur demande du Parquet.</w:t>
                  </w:r>
                </w:p>
                <w:p>
                  <w:pPr>
                    <w:pStyle w:val="Corpsdetexte21"/>
                    <w:jc w:val="both"/>
                    <w:rPr>
                      <w:rFonts w:asciiTheme="majorHAnsi" w:hAnsiTheme="majorHAnsi"/>
                      <w:i/>
                      <w:sz w:val="22"/>
                      <w:szCs w:val="22"/>
                    </w:rPr>
                  </w:pPr>
                  <w:r>
                    <w:rPr>
                      <w:rFonts w:asciiTheme="majorHAnsi" w:hAnsiTheme="majorHAnsi"/>
                      <w:sz w:val="22"/>
                      <w:szCs w:val="22"/>
                    </w:rPr>
                    <w:t xml:space="preserve">En outre, </w:t>
                  </w:r>
                  <w:r>
                    <w:rPr>
                      <w:rFonts w:asciiTheme="majorHAnsi" w:hAnsiTheme="majorHAnsi"/>
                      <w:i/>
                      <w:sz w:val="22"/>
                      <w:szCs w:val="22"/>
                    </w:rPr>
                    <w:t>« les agents de la police et de la police d’Etat ont mission de conduire ou de faire conduire à leur école les élèves soumis à l’obligation scolaire qu’ils rencontrent vagabondant dans les rues ou les champs pendant les heures de classe</w:t>
                  </w:r>
                  <w:r>
                    <w:rPr>
                      <w:rStyle w:val="Caractresdenotedebasdepage"/>
                      <w:i/>
                      <w:sz w:val="22"/>
                      <w:szCs w:val="22"/>
                    </w:rPr>
                    <w:footnoteReference w:id="81"/>
                  </w:r>
                  <w:r>
                    <w:rPr>
                      <w:rFonts w:asciiTheme="majorHAnsi" w:hAnsiTheme="majorHAnsi"/>
                      <w:i/>
                      <w:sz w:val="22"/>
                      <w:szCs w:val="22"/>
                    </w:rPr>
                    <w:t>. »</w:t>
                  </w:r>
                </w:p>
                <w:p>
                  <w:pPr>
                    <w:jc w:val="both"/>
                    <w:rPr>
                      <w:b/>
                      <w:u w:val="single"/>
                    </w:rPr>
                  </w:pPr>
                  <w:bookmarkStart w:id="842" w:name="_2.2._Questions-réponses_relatives"/>
                  <w:bookmarkStart w:id="843" w:name="_Toc291075553"/>
                  <w:bookmarkStart w:id="844" w:name="_Toc291075977"/>
                  <w:bookmarkStart w:id="845" w:name="_Toc291076401"/>
                  <w:bookmarkStart w:id="846" w:name="_Toc291076825"/>
                  <w:bookmarkStart w:id="847" w:name="_Toc291077249"/>
                  <w:bookmarkStart w:id="848" w:name="_Toc293652091"/>
                  <w:bookmarkStart w:id="849" w:name="_Toc293653673"/>
                  <w:bookmarkStart w:id="850" w:name="_Toc293654285"/>
                  <w:bookmarkStart w:id="851" w:name="_Toc294004865"/>
                  <w:bookmarkStart w:id="852" w:name="_Toc294185361"/>
                  <w:bookmarkStart w:id="853" w:name="_Toc324767227"/>
                  <w:bookmarkStart w:id="854" w:name="_Toc412204086"/>
                  <w:bookmarkStart w:id="855" w:name="_Toc414352894"/>
                  <w:bookmarkStart w:id="856" w:name="_Toc453836917"/>
                  <w:bookmarkEnd w:id="842"/>
                </w:p>
                <w:p>
                  <w:pPr>
                    <w:pStyle w:val="Titre4"/>
                  </w:pPr>
                  <w:r>
                    <w:t>2.2. Questions-réponses relatives aux inscriptions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pPr>
                    <w:pStyle w:val="Corpsdetexte21"/>
                    <w:numPr>
                      <w:ilvl w:val="1"/>
                      <w:numId w:val="100"/>
                    </w:numPr>
                    <w:ind w:hanging="360"/>
                    <w:jc w:val="both"/>
                    <w:rPr>
                      <w:rFonts w:asciiTheme="majorHAnsi" w:hAnsiTheme="majorHAnsi"/>
                      <w:color w:val="000000"/>
                      <w:sz w:val="22"/>
                      <w:szCs w:val="22"/>
                      <w:u w:val="single"/>
                    </w:rPr>
                  </w:pPr>
                </w:p>
                <w:p>
                  <w:pPr>
                    <w:pStyle w:val="Titre5"/>
                    <w:numPr>
                      <w:ilvl w:val="2"/>
                      <w:numId w:val="234"/>
                    </w:numPr>
                  </w:pPr>
                  <w:bookmarkStart w:id="857" w:name="_Toc291075554"/>
                  <w:bookmarkStart w:id="858" w:name="_Toc291075978"/>
                  <w:bookmarkStart w:id="859" w:name="_Toc291076402"/>
                  <w:bookmarkStart w:id="860" w:name="_Toc291076826"/>
                  <w:bookmarkStart w:id="861" w:name="_Toc291077250"/>
                  <w:bookmarkStart w:id="862" w:name="_Toc293652092"/>
                  <w:bookmarkStart w:id="863" w:name="_Toc293653674"/>
                  <w:bookmarkStart w:id="864" w:name="_Toc293654286"/>
                  <w:bookmarkStart w:id="865" w:name="_Toc294004866"/>
                  <w:bookmarkStart w:id="866" w:name="_Toc294185362"/>
                  <w:bookmarkStart w:id="867" w:name="_Toc324767228"/>
                  <w:bookmarkStart w:id="868" w:name="_Toc324768086"/>
                  <w:r>
                    <w:t>Quelles sont les bases légales ?</w:t>
                  </w:r>
                  <w:bookmarkEnd w:id="857"/>
                  <w:bookmarkEnd w:id="858"/>
                  <w:bookmarkEnd w:id="859"/>
                  <w:bookmarkEnd w:id="860"/>
                  <w:bookmarkEnd w:id="861"/>
                  <w:bookmarkEnd w:id="862"/>
                  <w:bookmarkEnd w:id="863"/>
                  <w:bookmarkEnd w:id="864"/>
                  <w:bookmarkEnd w:id="865"/>
                  <w:bookmarkEnd w:id="866"/>
                  <w:bookmarkEnd w:id="867"/>
                  <w:bookmarkEnd w:id="868"/>
                </w:p>
                <w:p>
                  <w:pPr>
                    <w:pStyle w:val="Corpsdetexte21"/>
                    <w:jc w:val="both"/>
                    <w:rPr>
                      <w:rFonts w:asciiTheme="majorHAnsi" w:hAnsiTheme="majorHAnsi"/>
                      <w:b/>
                      <w:color w:val="008000"/>
                      <w:sz w:val="22"/>
                      <w:szCs w:val="22"/>
                      <w:u w:val="single"/>
                    </w:rPr>
                  </w:pPr>
                </w:p>
                <w:p>
                  <w:pPr>
                    <w:pStyle w:val="Corpsdetexte21"/>
                    <w:numPr>
                      <w:ilvl w:val="0"/>
                      <w:numId w:val="192"/>
                    </w:numPr>
                    <w:ind w:left="426" w:hanging="426"/>
                    <w:jc w:val="both"/>
                    <w:rPr>
                      <w:rFonts w:asciiTheme="majorHAnsi" w:hAnsiTheme="majorHAnsi"/>
                      <w:sz w:val="22"/>
                      <w:szCs w:val="22"/>
                    </w:rPr>
                  </w:pPr>
                  <w:hyperlink r:id="rId49" w:history="1">
                    <w:r>
                      <w:rPr>
                        <w:rStyle w:val="Lienhypertexte"/>
                        <w:rFonts w:asciiTheme="majorHAnsi" w:hAnsiTheme="majorHAnsi"/>
                        <w:sz w:val="22"/>
                        <w:szCs w:val="22"/>
                      </w:rPr>
                      <w:t>Lois sur l’enseignement primaire, coordonnées le 20 août 1957</w:t>
                    </w:r>
                  </w:hyperlink>
                  <w:r>
                    <w:rPr>
                      <w:rFonts w:asciiTheme="majorHAnsi" w:hAnsiTheme="majorHAnsi"/>
                      <w:sz w:val="22"/>
                      <w:szCs w:val="22"/>
                    </w:rPr>
                    <w:t>, article 8 ;</w:t>
                  </w:r>
                </w:p>
                <w:p>
                  <w:pPr>
                    <w:pStyle w:val="Corpsdetexte21"/>
                    <w:numPr>
                      <w:ilvl w:val="0"/>
                      <w:numId w:val="192"/>
                    </w:numPr>
                    <w:ind w:left="426" w:hanging="426"/>
                    <w:jc w:val="both"/>
                    <w:rPr>
                      <w:rFonts w:asciiTheme="majorHAnsi" w:hAnsiTheme="majorHAnsi"/>
                      <w:sz w:val="22"/>
                      <w:szCs w:val="22"/>
                    </w:rPr>
                  </w:pPr>
                  <w:hyperlink r:id="rId50" w:history="1">
                    <w:r>
                      <w:rPr>
                        <w:rStyle w:val="Lienhypertexte"/>
                        <w:rFonts w:asciiTheme="majorHAnsi" w:hAnsiTheme="majorHAnsi"/>
                        <w:sz w:val="22"/>
                        <w:szCs w:val="22"/>
                      </w:rPr>
                      <w:t>Arrêté royal du 29 juin 1984 relatif à l’organisation de l’enseignement secondaire</w:t>
                    </w:r>
                  </w:hyperlink>
                  <w:r>
                    <w:rPr>
                      <w:rFonts w:asciiTheme="majorHAnsi" w:hAnsiTheme="majorHAnsi"/>
                      <w:sz w:val="22"/>
                      <w:szCs w:val="22"/>
                    </w:rPr>
                    <w:t xml:space="preserve"> (pour la forme 4) ;</w:t>
                  </w:r>
                </w:p>
                <w:p>
                  <w:pPr>
                    <w:pStyle w:val="Corpsdetexte21"/>
                    <w:numPr>
                      <w:ilvl w:val="0"/>
                      <w:numId w:val="192"/>
                    </w:numPr>
                    <w:ind w:left="426" w:hanging="426"/>
                    <w:jc w:val="both"/>
                    <w:rPr>
                      <w:rFonts w:asciiTheme="majorHAnsi" w:hAnsiTheme="majorHAnsi"/>
                      <w:sz w:val="22"/>
                      <w:szCs w:val="22"/>
                    </w:rPr>
                  </w:pPr>
                  <w:hyperlink r:id="rId51" w:history="1">
                    <w:r>
                      <w:rPr>
                        <w:rStyle w:val="Lienhypertexte"/>
                        <w:rFonts w:asciiTheme="majorHAnsi" w:hAnsiTheme="majorHAnsi"/>
                        <w:sz w:val="22"/>
                        <w:szCs w:val="22"/>
                      </w:rPr>
                      <w:t>Décret du 24 juillet 1997 définissant les missions prioritaires de l’enseignement fondamental et de l’enseignement secondaire et organisant les structures propres à les atteindre</w:t>
                    </w:r>
                  </w:hyperlink>
                  <w:r>
                    <w:rPr>
                      <w:rFonts w:asciiTheme="majorHAnsi" w:hAnsiTheme="majorHAnsi"/>
                      <w:sz w:val="22"/>
                      <w:szCs w:val="22"/>
                    </w:rPr>
                    <w:t>, articles 76 à 80, 87 et 88 ;</w:t>
                  </w:r>
                </w:p>
                <w:p>
                  <w:pPr>
                    <w:pStyle w:val="Corpsdetexte21"/>
                    <w:numPr>
                      <w:ilvl w:val="0"/>
                      <w:numId w:val="192"/>
                    </w:numPr>
                    <w:ind w:left="426" w:hanging="426"/>
                    <w:jc w:val="both"/>
                    <w:rPr>
                      <w:rFonts w:asciiTheme="majorHAnsi" w:hAnsiTheme="majorHAnsi"/>
                      <w:sz w:val="22"/>
                      <w:szCs w:val="22"/>
                    </w:rPr>
                  </w:pPr>
                  <w:hyperlink r:id="rId52" w:history="1">
                    <w:r>
                      <w:rPr>
                        <w:rStyle w:val="Lienhypertexte"/>
                        <w:rFonts w:asciiTheme="majorHAnsi" w:hAnsiTheme="majorHAnsi"/>
                        <w:sz w:val="22"/>
                        <w:szCs w:val="22"/>
                      </w:rPr>
                      <w:t>Décret-Cadre du 13 juillet 1998</w:t>
                    </w:r>
                  </w:hyperlink>
                  <w:r>
                    <w:rPr>
                      <w:rFonts w:asciiTheme="majorHAnsi" w:hAnsiTheme="majorHAnsi"/>
                      <w:sz w:val="22"/>
                      <w:szCs w:val="22"/>
                    </w:rPr>
                    <w:t xml:space="preserve"> article 2 ;</w:t>
                  </w:r>
                </w:p>
                <w:p>
                  <w:pPr>
                    <w:pStyle w:val="Corpsdetexte21"/>
                    <w:numPr>
                      <w:ilvl w:val="0"/>
                      <w:numId w:val="192"/>
                    </w:numPr>
                    <w:ind w:left="426" w:hanging="426"/>
                    <w:jc w:val="both"/>
                    <w:rPr>
                      <w:rFonts w:asciiTheme="majorHAnsi" w:hAnsiTheme="majorHAnsi"/>
                      <w:sz w:val="22"/>
                      <w:szCs w:val="22"/>
                    </w:rPr>
                  </w:pPr>
                  <w:hyperlink r:id="rId53" w:history="1">
                    <w:r>
                      <w:rPr>
                        <w:rStyle w:val="Lienhypertexte"/>
                        <w:rFonts w:asciiTheme="majorHAnsi" w:hAnsiTheme="majorHAnsi"/>
                        <w:sz w:val="22"/>
                        <w:szCs w:val="22"/>
                      </w:rPr>
                      <w:t>Arrêté du gouvernement de la Communauté française du 7 juin 1999 fixant le règlement d’ordre intérieur de base des établissements d’enseignement secondaire organisés par la Communauté française ;</w:t>
                    </w:r>
                  </w:hyperlink>
                  <w:r>
                    <w:rPr>
                      <w:rFonts w:asciiTheme="majorHAnsi" w:hAnsiTheme="majorHAnsi"/>
                      <w:sz w:val="22"/>
                      <w:szCs w:val="22"/>
                    </w:rPr>
                    <w:t xml:space="preserve"> </w:t>
                  </w:r>
                </w:p>
                <w:p>
                  <w:pPr>
                    <w:pStyle w:val="Corpsdetexte21"/>
                    <w:numPr>
                      <w:ilvl w:val="0"/>
                      <w:numId w:val="192"/>
                    </w:numPr>
                    <w:ind w:left="426" w:hanging="426"/>
                    <w:jc w:val="both"/>
                    <w:rPr>
                      <w:rFonts w:asciiTheme="majorHAnsi" w:hAnsiTheme="majorHAnsi"/>
                      <w:sz w:val="22"/>
                      <w:szCs w:val="22"/>
                    </w:rPr>
                  </w:pPr>
                  <w:hyperlink r:id="rId54" w:history="1">
                    <w:r>
                      <w:rPr>
                        <w:rStyle w:val="Lienhypertexte"/>
                        <w:rFonts w:asciiTheme="majorHAnsi" w:hAnsiTheme="majorHAnsi"/>
                        <w:sz w:val="22"/>
                        <w:szCs w:val="22"/>
                      </w:rPr>
                      <w:t>Décret du 3 mars 2004 organisant l’enseignement spécialisé</w:t>
                    </w:r>
                  </w:hyperlink>
                  <w:r>
                    <w:rPr>
                      <w:rFonts w:asciiTheme="majorHAnsi" w:hAnsiTheme="majorHAnsi"/>
                      <w:sz w:val="22"/>
                      <w:szCs w:val="22"/>
                    </w:rPr>
                    <w:t>.</w:t>
                  </w:r>
                </w:p>
                <w:p>
                  <w:bookmarkStart w:id="869" w:name="_Toc291075555"/>
                  <w:bookmarkStart w:id="870" w:name="_Toc291075979"/>
                  <w:bookmarkStart w:id="871" w:name="_Toc291076403"/>
                  <w:bookmarkStart w:id="872" w:name="_Toc291076827"/>
                  <w:bookmarkStart w:id="873" w:name="_Toc291077251"/>
                  <w:bookmarkStart w:id="874" w:name="_Toc293652093"/>
                  <w:bookmarkStart w:id="875" w:name="_Toc293653675"/>
                  <w:bookmarkStart w:id="876" w:name="_Toc293654287"/>
                  <w:bookmarkStart w:id="877" w:name="_Toc294004867"/>
                  <w:bookmarkStart w:id="878" w:name="_Toc294185363"/>
                  <w:bookmarkStart w:id="879" w:name="_Toc324767229"/>
                  <w:bookmarkStart w:id="880" w:name="_Toc412204087"/>
                  <w:bookmarkStart w:id="881" w:name="_Toc414352895"/>
                  <w:bookmarkStart w:id="882" w:name="_Toc453836918"/>
                </w:p>
                <w:p>
                  <w:pPr>
                    <w:pStyle w:val="Titre4"/>
                    <w:numPr>
                      <w:ilvl w:val="1"/>
                      <w:numId w:val="234"/>
                    </w:numPr>
                  </w:pPr>
                  <w:r>
                    <w:t>Questions-réponses relatives à la fréquentation scolaire et à la gestion des absences</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pPr>
                    <w:pStyle w:val="Corpsdetexte21"/>
                    <w:jc w:val="both"/>
                    <w:rPr>
                      <w:rFonts w:asciiTheme="majorHAnsi" w:hAnsiTheme="majorHAnsi"/>
                      <w:b/>
                      <w:color w:val="008000"/>
                      <w:sz w:val="22"/>
                      <w:szCs w:val="22"/>
                      <w:u w:val="single"/>
                    </w:rPr>
                  </w:pPr>
                </w:p>
                <w:p>
                  <w:pPr>
                    <w:pStyle w:val="Titre5"/>
                    <w:numPr>
                      <w:ilvl w:val="2"/>
                      <w:numId w:val="234"/>
                    </w:numPr>
                  </w:pPr>
                  <w:bookmarkStart w:id="883" w:name="_2.3.1._Quelles_sont"/>
                  <w:bookmarkStart w:id="884" w:name="_Toc291075556"/>
                  <w:bookmarkStart w:id="885" w:name="_Toc291075980"/>
                  <w:bookmarkStart w:id="886" w:name="_Toc291076404"/>
                  <w:bookmarkStart w:id="887" w:name="_Toc291076828"/>
                  <w:bookmarkStart w:id="888" w:name="_Toc291077252"/>
                  <w:bookmarkStart w:id="889" w:name="_Toc293652094"/>
                  <w:bookmarkStart w:id="890" w:name="_Toc293653676"/>
                  <w:bookmarkStart w:id="891" w:name="_Toc293654288"/>
                  <w:bookmarkStart w:id="892" w:name="_Toc294004868"/>
                  <w:bookmarkStart w:id="893" w:name="_Toc294185364"/>
                  <w:bookmarkStart w:id="894" w:name="_Toc324767230"/>
                  <w:bookmarkStart w:id="895" w:name="_Toc324768088"/>
                  <w:bookmarkEnd w:id="883"/>
                  <w:r>
                    <w:t>Quelles sont les bases légales concernant la fréquentation scolaire et la gestion de l’absentéisme ?</w:t>
                  </w:r>
                  <w:bookmarkEnd w:id="884"/>
                  <w:bookmarkEnd w:id="885"/>
                  <w:bookmarkEnd w:id="886"/>
                  <w:bookmarkEnd w:id="887"/>
                  <w:bookmarkEnd w:id="888"/>
                  <w:bookmarkEnd w:id="889"/>
                  <w:bookmarkEnd w:id="890"/>
                  <w:bookmarkEnd w:id="891"/>
                  <w:bookmarkEnd w:id="892"/>
                  <w:bookmarkEnd w:id="893"/>
                  <w:bookmarkEnd w:id="894"/>
                  <w:bookmarkEnd w:id="895"/>
                </w:p>
                <w:p>
                  <w:pPr>
                    <w:pStyle w:val="Corpsdetexte21"/>
                    <w:jc w:val="both"/>
                    <w:rPr>
                      <w:rFonts w:asciiTheme="majorHAnsi" w:hAnsiTheme="majorHAnsi"/>
                      <w:b/>
                      <w:color w:val="008000"/>
                      <w:sz w:val="22"/>
                      <w:szCs w:val="22"/>
                      <w:u w:val="single"/>
                    </w:rPr>
                  </w:pPr>
                </w:p>
                <w:p>
                  <w:pPr>
                    <w:pStyle w:val="Corpsdetexte21"/>
                    <w:numPr>
                      <w:ilvl w:val="0"/>
                      <w:numId w:val="193"/>
                    </w:numPr>
                    <w:ind w:left="567" w:hanging="567"/>
                    <w:jc w:val="both"/>
                    <w:rPr>
                      <w:rFonts w:asciiTheme="majorHAnsi" w:hAnsiTheme="majorHAnsi"/>
                      <w:color w:val="0000FF"/>
                      <w:sz w:val="22"/>
                      <w:szCs w:val="22"/>
                    </w:rPr>
                  </w:pPr>
                  <w:hyperlink r:id="rId55" w:history="1">
                    <w:r>
                      <w:rPr>
                        <w:rStyle w:val="Lienhypertexte"/>
                        <w:rFonts w:asciiTheme="majorHAnsi" w:hAnsiTheme="majorHAnsi"/>
                        <w:sz w:val="22"/>
                        <w:szCs w:val="22"/>
                      </w:rPr>
                      <w:t>Lois sur l’enseignement primaire, coordonnées le 20 août 1957</w:t>
                    </w:r>
                  </w:hyperlink>
                  <w:r>
                    <w:rPr>
                      <w:rFonts w:asciiTheme="majorHAnsi" w:hAnsiTheme="majorHAnsi"/>
                      <w:color w:val="0000FF"/>
                      <w:sz w:val="22"/>
                      <w:szCs w:val="22"/>
                    </w:rPr>
                    <w:t>, article 10 ;</w:t>
                  </w:r>
                </w:p>
                <w:p>
                  <w:pPr>
                    <w:pStyle w:val="Corpsdetexte21"/>
                    <w:numPr>
                      <w:ilvl w:val="0"/>
                      <w:numId w:val="193"/>
                    </w:numPr>
                    <w:ind w:left="567" w:hanging="567"/>
                    <w:jc w:val="both"/>
                    <w:rPr>
                      <w:rFonts w:asciiTheme="majorHAnsi" w:hAnsiTheme="majorHAnsi"/>
                      <w:color w:val="0000FF"/>
                      <w:sz w:val="22"/>
                      <w:szCs w:val="22"/>
                    </w:rPr>
                  </w:pPr>
                  <w:hyperlink r:id="rId56" w:history="1">
                    <w:r>
                      <w:rPr>
                        <w:rStyle w:val="Lienhypertexte"/>
                        <w:rFonts w:asciiTheme="majorHAnsi" w:hAnsiTheme="majorHAnsi"/>
                        <w:sz w:val="22"/>
                        <w:szCs w:val="22"/>
                      </w:rPr>
                      <w:t>Arrêté royal du 13 août 1962 organique des centres psycho-médico-sociaux </w:t>
                    </w:r>
                  </w:hyperlink>
                  <w:r>
                    <w:rPr>
                      <w:rFonts w:asciiTheme="majorHAnsi" w:hAnsiTheme="majorHAnsi"/>
                      <w:color w:val="0000FF"/>
                      <w:sz w:val="22"/>
                      <w:szCs w:val="22"/>
                    </w:rPr>
                    <w:t>;</w:t>
                  </w:r>
                </w:p>
                <w:p>
                  <w:pPr>
                    <w:pStyle w:val="Corpsdetexte21"/>
                    <w:numPr>
                      <w:ilvl w:val="0"/>
                      <w:numId w:val="193"/>
                    </w:numPr>
                    <w:ind w:left="567" w:hanging="567"/>
                    <w:jc w:val="both"/>
                    <w:rPr>
                      <w:rFonts w:asciiTheme="majorHAnsi" w:hAnsiTheme="majorHAnsi"/>
                      <w:w w:val="90"/>
                      <w:sz w:val="22"/>
                      <w:szCs w:val="22"/>
                    </w:rPr>
                  </w:pPr>
                  <w:hyperlink r:id="rId57" w:history="1">
                    <w:r>
                      <w:rPr>
                        <w:rStyle w:val="Lienhypertexte"/>
                        <w:rFonts w:asciiTheme="majorHAnsi" w:hAnsiTheme="majorHAnsi"/>
                        <w:sz w:val="22"/>
                        <w:szCs w:val="22"/>
                      </w:rPr>
                      <w:t>Arrêté royal du 29 juin 1984 relatif à l’organisation de l’enseignement secondaire</w:t>
                    </w:r>
                  </w:hyperlink>
                  <w:r>
                    <w:rPr>
                      <w:rFonts w:asciiTheme="majorHAnsi" w:hAnsiTheme="majorHAnsi"/>
                      <w:color w:val="0000FF"/>
                      <w:sz w:val="22"/>
                      <w:szCs w:val="22"/>
                    </w:rPr>
                    <w:t xml:space="preserve"> </w:t>
                  </w:r>
                  <w:r>
                    <w:rPr>
                      <w:rFonts w:asciiTheme="majorHAnsi" w:hAnsiTheme="majorHAnsi"/>
                      <w:w w:val="90"/>
                      <w:sz w:val="22"/>
                      <w:szCs w:val="22"/>
                    </w:rPr>
                    <w:t>(pour la forme 4) ;</w:t>
                  </w:r>
                </w:p>
                <w:p>
                  <w:pPr>
                    <w:pStyle w:val="Corpsdetexte21"/>
                    <w:numPr>
                      <w:ilvl w:val="0"/>
                      <w:numId w:val="193"/>
                    </w:numPr>
                    <w:ind w:left="567" w:hanging="567"/>
                    <w:jc w:val="both"/>
                    <w:rPr>
                      <w:rFonts w:asciiTheme="majorHAnsi" w:hAnsiTheme="majorHAnsi"/>
                      <w:color w:val="0000FF"/>
                      <w:sz w:val="22"/>
                      <w:szCs w:val="22"/>
                    </w:rPr>
                  </w:pPr>
                  <w:hyperlink r:id="rId58" w:history="1">
                    <w:r>
                      <w:rPr>
                        <w:rStyle w:val="Lienhypertexte"/>
                        <w:rFonts w:asciiTheme="majorHAnsi" w:hAnsiTheme="majorHAnsi"/>
                        <w:sz w:val="22"/>
                        <w:szCs w:val="22"/>
                      </w:rPr>
                      <w:t>Décret du 4 mars 1991 relatif à l’Aide à la Jeunesse </w:t>
                    </w:r>
                  </w:hyperlink>
                  <w:r>
                    <w:rPr>
                      <w:rFonts w:asciiTheme="majorHAnsi" w:hAnsiTheme="majorHAnsi"/>
                      <w:color w:val="0000FF"/>
                      <w:sz w:val="22"/>
                      <w:szCs w:val="22"/>
                    </w:rPr>
                    <w:t>;</w:t>
                  </w:r>
                </w:p>
                <w:p>
                  <w:pPr>
                    <w:pStyle w:val="Corpsdetexte21"/>
                    <w:numPr>
                      <w:ilvl w:val="0"/>
                      <w:numId w:val="193"/>
                    </w:numPr>
                    <w:ind w:left="567" w:hanging="567"/>
                    <w:jc w:val="both"/>
                    <w:rPr>
                      <w:rFonts w:asciiTheme="majorHAnsi" w:hAnsiTheme="majorHAnsi"/>
                      <w:sz w:val="22"/>
                      <w:szCs w:val="22"/>
                    </w:rPr>
                  </w:pPr>
                  <w:hyperlink r:id="rId59" w:history="1">
                    <w:r>
                      <w:rPr>
                        <w:rStyle w:val="Lienhypertexte"/>
                        <w:rFonts w:asciiTheme="majorHAnsi" w:hAnsiTheme="majorHAnsi"/>
                        <w:sz w:val="22"/>
                        <w:szCs w:val="22"/>
                      </w:rPr>
                      <w:t>Décret du 24 juillet 1997 définissant les missions prioritaires de l’enseignement fondamental et de l’enseignement secondaire et organisant les structures propres à les atteindre</w:t>
                    </w:r>
                  </w:hyperlink>
                  <w:r>
                    <w:rPr>
                      <w:rStyle w:val="Lienhypertexte"/>
                      <w:rFonts w:asciiTheme="majorHAnsi" w:hAnsiTheme="majorHAnsi"/>
                      <w:sz w:val="22"/>
                      <w:szCs w:val="22"/>
                    </w:rPr>
                    <w:t> </w:t>
                  </w:r>
                  <w:r>
                    <w:rPr>
                      <w:rFonts w:asciiTheme="majorHAnsi" w:hAnsiTheme="majorHAnsi"/>
                      <w:color w:val="0000FF"/>
                      <w:sz w:val="22"/>
                      <w:szCs w:val="22"/>
                    </w:rPr>
                    <w:t xml:space="preserve">; </w:t>
                  </w:r>
                </w:p>
                <w:p>
                  <w:pPr>
                    <w:pStyle w:val="Corpsdetexte21"/>
                    <w:numPr>
                      <w:ilvl w:val="0"/>
                      <w:numId w:val="193"/>
                    </w:numPr>
                    <w:ind w:left="567" w:hanging="567"/>
                    <w:jc w:val="both"/>
                    <w:rPr>
                      <w:rFonts w:asciiTheme="majorHAnsi" w:hAnsiTheme="majorHAnsi"/>
                      <w:color w:val="0000FF"/>
                      <w:sz w:val="22"/>
                      <w:szCs w:val="22"/>
                    </w:rPr>
                  </w:pPr>
                  <w:hyperlink r:id="rId60" w:history="1">
                    <w:r>
                      <w:rPr>
                        <w:rStyle w:val="Lienhypertexte"/>
                        <w:rFonts w:asciiTheme="majorHAnsi" w:hAnsiTheme="majorHAnsi"/>
                        <w:sz w:val="22"/>
                        <w:szCs w:val="22"/>
                      </w:rPr>
                      <w:t>Code civil, article 1384 (Alinéas 4 et 5) ;</w:t>
                    </w:r>
                  </w:hyperlink>
                  <w:r>
                    <w:rPr>
                      <w:rFonts w:asciiTheme="majorHAnsi" w:hAnsiTheme="majorHAnsi"/>
                      <w:color w:val="0000FF"/>
                      <w:sz w:val="22"/>
                      <w:szCs w:val="22"/>
                    </w:rPr>
                    <w:t xml:space="preserve"> </w:t>
                  </w:r>
                </w:p>
                <w:p>
                  <w:pPr>
                    <w:pStyle w:val="Corpsdetexte21"/>
                    <w:numPr>
                      <w:ilvl w:val="0"/>
                      <w:numId w:val="193"/>
                    </w:numPr>
                    <w:ind w:left="567" w:hanging="567"/>
                    <w:jc w:val="both"/>
                    <w:rPr>
                      <w:rFonts w:asciiTheme="majorHAnsi" w:hAnsiTheme="majorHAnsi"/>
                      <w:color w:val="0000FF"/>
                      <w:sz w:val="22"/>
                      <w:szCs w:val="22"/>
                    </w:rPr>
                  </w:pPr>
                  <w:hyperlink r:id="rId61" w:history="1">
                    <w:r>
                      <w:rPr>
                        <w:rStyle w:val="Lienhypertexte"/>
                        <w:rFonts w:asciiTheme="majorHAnsi" w:hAnsiTheme="majorHAnsi"/>
                        <w:sz w:val="22"/>
                        <w:szCs w:val="22"/>
                      </w:rPr>
                      <w:t>Décret du 3 mars 2004 organisant l’enseignement spécialisé</w:t>
                    </w:r>
                  </w:hyperlink>
                  <w:r>
                    <w:rPr>
                      <w:rFonts w:asciiTheme="majorHAnsi" w:hAnsiTheme="majorHAnsi"/>
                      <w:color w:val="0000FF"/>
                      <w:sz w:val="22"/>
                      <w:szCs w:val="22"/>
                    </w:rPr>
                    <w:t xml:space="preserve"> (chapitre X) ;</w:t>
                  </w:r>
                </w:p>
                <w:p>
                  <w:pPr>
                    <w:pStyle w:val="Corpsdetexte21"/>
                    <w:numPr>
                      <w:ilvl w:val="0"/>
                      <w:numId w:val="193"/>
                    </w:numPr>
                    <w:ind w:left="567" w:hanging="567"/>
                    <w:jc w:val="both"/>
                    <w:rPr>
                      <w:rFonts w:asciiTheme="majorHAnsi" w:hAnsiTheme="majorHAnsi"/>
                      <w:color w:val="0000FF"/>
                      <w:sz w:val="22"/>
                      <w:szCs w:val="22"/>
                    </w:rPr>
                  </w:pPr>
                  <w:hyperlink r:id="rId62" w:history="1">
                    <w:r>
                      <w:rPr>
                        <w:rStyle w:val="Lienhypertexte"/>
                        <w:rFonts w:asciiTheme="majorHAnsi" w:hAnsiTheme="majorHAnsi"/>
                        <w:sz w:val="22"/>
                        <w:szCs w:val="22"/>
                      </w:rPr>
                      <w:t>Décret du 14 juillet 2006 relatif aux missions, programmes et rapports d’activités des centres psycho médico-sociaux</w:t>
                    </w:r>
                  </w:hyperlink>
                  <w:r>
                    <w:rPr>
                      <w:rFonts w:asciiTheme="majorHAnsi" w:hAnsiTheme="majorHAnsi"/>
                      <w:color w:val="0000FF"/>
                      <w:sz w:val="22"/>
                      <w:szCs w:val="22"/>
                    </w:rPr>
                    <w:t>.</w:t>
                  </w:r>
                </w:p>
                <w:p>
                  <w:pPr>
                    <w:pStyle w:val="Corpsdetexte21"/>
                    <w:numPr>
                      <w:ilvl w:val="0"/>
                      <w:numId w:val="193"/>
                    </w:numPr>
                    <w:ind w:left="567" w:hanging="567"/>
                    <w:jc w:val="both"/>
                    <w:rPr>
                      <w:rFonts w:asciiTheme="majorHAnsi" w:hAnsiTheme="majorHAnsi"/>
                      <w:color w:val="0000FF"/>
                      <w:sz w:val="22"/>
                      <w:szCs w:val="22"/>
                    </w:rPr>
                  </w:pPr>
                  <w:hyperlink r:id="rId63" w:history="1">
                    <w:r>
                      <w:rPr>
                        <w:rStyle w:val="Lienhypertexte"/>
                        <w:rFonts w:asciiTheme="majorHAnsi" w:hAnsiTheme="majorHAnsi"/>
                        <w:sz w:val="22"/>
                        <w:szCs w:val="22"/>
                      </w:rPr>
                      <w:t>Décret du 5 février 2009 portant des dispositions en matière d’enseignement spécialisé et d’accueil de l’enfant et de l’adolescent à besoins spécifiques dans l’Enseignement spécialisé</w:t>
                    </w:r>
                    <w:r>
                      <w:rPr>
                        <w:rStyle w:val="Lienhypertexte"/>
                        <w:rFonts w:asciiTheme="majorHAnsi" w:hAnsiTheme="majorHAnsi" w:cs="Arial"/>
                        <w:sz w:val="22"/>
                        <w:szCs w:val="22"/>
                      </w:rPr>
                      <w:t>.</w:t>
                    </w:r>
                  </w:hyperlink>
                </w:p>
                <w:p>
                  <w:pPr>
                    <w:pStyle w:val="msolistparagraph0"/>
                    <w:numPr>
                      <w:ilvl w:val="0"/>
                      <w:numId w:val="193"/>
                    </w:numPr>
                    <w:autoSpaceDE w:val="0"/>
                    <w:autoSpaceDN w:val="0"/>
                    <w:ind w:left="567" w:hanging="567"/>
                    <w:jc w:val="both"/>
                    <w:rPr>
                      <w:rStyle w:val="Lienhypertexte"/>
                      <w:rFonts w:asciiTheme="majorHAnsi" w:hAnsiTheme="majorHAnsi"/>
                    </w:rPr>
                  </w:pPr>
                  <w:hyperlink r:id="rId64" w:history="1">
                    <w:r>
                      <w:rPr>
                        <w:rStyle w:val="Lienhypertexte"/>
                        <w:rFonts w:asciiTheme="majorHAnsi" w:hAnsiTheme="majorHAnsi"/>
                        <w:lang w:eastAsia="ar-SA"/>
                      </w:rPr>
                      <w:t>Décret organisant divers dispositifs scolaires favorisant le bien-être des jeunes à l’école, l’accrochage scolaire, la prévention de la violence à l’école et l’accompagnement des démarches d’orientation scolaire du 21 novembre 2013 </w:t>
                    </w:r>
                  </w:hyperlink>
                  <w:r>
                    <w:rPr>
                      <w:rStyle w:val="Lienhypertexte"/>
                      <w:rFonts w:asciiTheme="majorHAnsi" w:hAnsiTheme="majorHAnsi"/>
                      <w:lang w:eastAsia="ar-SA"/>
                    </w:rPr>
                    <w:t>;</w:t>
                  </w:r>
                </w:p>
                <w:p>
                  <w:pPr>
                    <w:pStyle w:val="msolistparagraph0"/>
                    <w:numPr>
                      <w:ilvl w:val="0"/>
                      <w:numId w:val="193"/>
                    </w:numPr>
                    <w:autoSpaceDE w:val="0"/>
                    <w:autoSpaceDN w:val="0"/>
                    <w:ind w:left="567" w:hanging="567"/>
                    <w:jc w:val="both"/>
                    <w:rPr>
                      <w:rFonts w:asciiTheme="majorHAnsi" w:hAnsiTheme="majorHAnsi" w:cs="Times New Roman"/>
                      <w:color w:val="0000FF"/>
                      <w:u w:val="single"/>
                    </w:rPr>
                  </w:pPr>
                  <w:hyperlink r:id="rId65" w:history="1">
                    <w:r>
                      <w:rPr>
                        <w:rStyle w:val="Lienhypertexte"/>
                        <w:rFonts w:asciiTheme="majorHAnsi" w:hAnsiTheme="majorHAnsi"/>
                      </w:rPr>
                      <w:t>Arrêté du Gouvernement de la Communauté française portant application des articles 8, § 1</w:t>
                    </w:r>
                    <w:r>
                      <w:rPr>
                        <w:rStyle w:val="Lienhypertexte"/>
                        <w:rFonts w:asciiTheme="majorHAnsi" w:hAnsiTheme="majorHAnsi"/>
                        <w:vertAlign w:val="superscript"/>
                      </w:rPr>
                      <w:t>er</w:t>
                    </w:r>
                    <w:r>
                      <w:rPr>
                        <w:rStyle w:val="Lienhypertexte"/>
                        <w:rFonts w:asciiTheme="majorHAnsi" w:hAnsiTheme="majorHAnsi"/>
                      </w:rPr>
                      <w:t>, 20, 23, 31, 32, 33, 37, 47 et 50 du décret du 21 novembre 2013 organisant divers dispositifs scolaires favorisant le bien-être des jeunes à l’école, l’accrochage scolaire, la prévention de la violence à l’école et l’accompagnement des démarches d’orientation scolaire du 22 mai 2014</w:t>
                    </w:r>
                  </w:hyperlink>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p>
                <w:p>
                  <w:pPr>
                    <w:pStyle w:val="Titre5"/>
                    <w:numPr>
                      <w:ilvl w:val="2"/>
                      <w:numId w:val="234"/>
                    </w:numPr>
                  </w:pPr>
                  <w:bookmarkStart w:id="896" w:name="_2.3.2._Quelles_sont"/>
                  <w:bookmarkStart w:id="897" w:name="_Toc291075558"/>
                  <w:bookmarkStart w:id="898" w:name="_Toc291075982"/>
                  <w:bookmarkStart w:id="899" w:name="_Toc291076406"/>
                  <w:bookmarkStart w:id="900" w:name="_Toc291076830"/>
                  <w:bookmarkStart w:id="901" w:name="_Toc291077254"/>
                  <w:bookmarkStart w:id="902" w:name="_Toc293652096"/>
                  <w:bookmarkStart w:id="903" w:name="_Toc293653678"/>
                  <w:bookmarkStart w:id="904" w:name="_Toc293654290"/>
                  <w:bookmarkStart w:id="905" w:name="_Toc294004870"/>
                  <w:bookmarkStart w:id="906" w:name="_Toc294185366"/>
                  <w:bookmarkStart w:id="907" w:name="_Toc324767232"/>
                  <w:bookmarkStart w:id="908" w:name="_Toc324768090"/>
                  <w:bookmarkEnd w:id="896"/>
                  <w:r>
                    <w:t>Quelles sont les conditions requises pour qu’un certificat médical soit valable ?</w:t>
                  </w:r>
                  <w:bookmarkEnd w:id="897"/>
                  <w:bookmarkEnd w:id="898"/>
                  <w:bookmarkEnd w:id="899"/>
                  <w:bookmarkEnd w:id="900"/>
                  <w:bookmarkEnd w:id="901"/>
                  <w:bookmarkEnd w:id="902"/>
                  <w:bookmarkEnd w:id="903"/>
                  <w:bookmarkEnd w:id="904"/>
                  <w:bookmarkEnd w:id="905"/>
                  <w:bookmarkEnd w:id="906"/>
                  <w:bookmarkEnd w:id="907"/>
                  <w:bookmarkEnd w:id="908"/>
                </w:p>
                <w:p/>
                <w:p>
                  <w:pPr>
                    <w:pStyle w:val="Corpsdetexte"/>
                  </w:pPr>
                  <w:r>
                    <w:t>Un certificat médical établit le fait d’une indisposition ou d’une maladie de l’élève. Sa date de rédaction ne doit pas forcément être concomitante avec le début de l’incapacité constatée par le médecin. Par contre, le certificat médical doit être remis conformément au délai défini par la réglementation pour que l’absence soit considérée comme justifiée sans contestation possible. Plusieurs éléments doivent en outre obligatoirement figurer sur le certificat médical pour que celui-ci puisse être validé : le nom et le prénom du médecin, le nom et le prénom du patient, la date de début de l’incapacité et la durée de celle-ci, la signature  le cachet du médecin et la date du jour de l’examen. Le libellé “avoir reçu et examiné ce jour” ne doit a contrario pas forcément figurer sur le document.</w:t>
                  </w:r>
                </w:p>
                <w:p>
                  <w:pPr>
                    <w:ind w:left="-142"/>
                    <w:jc w:val="both"/>
                    <w:rPr>
                      <w:rFonts w:eastAsia="Times New Roman" w:cs="Arial"/>
                      <w:szCs w:val="24"/>
                      <w:lang w:eastAsia="ar-SA"/>
                    </w:rPr>
                  </w:pPr>
                  <w:r>
                    <w:rPr>
                      <w:rFonts w:eastAsia="Times New Roman" w:cs="Arial"/>
                      <w:szCs w:val="24"/>
                      <w:lang w:eastAsia="ar-SA"/>
                    </w:rPr>
                    <w:t>Il est conseillé au chef d’établissement d’être très attentif aux certificats médicaux quand ceux-ci sont très nombreux ou couvrent une absence de longue durée pour éviter autant que possible l’apparition d’une situation de décrochage scolaire. Quand le chef d’établissement estime que des certificats médicaux sont utilisés pour dissimuler une situation de décrochage scolaire, ce dernier peut écrire au Conseil provincial de l’Ordre des médecins</w:t>
                  </w:r>
                  <w:r>
                    <w:rPr>
                      <w:rFonts w:eastAsia="Times New Roman" w:cs="Arial"/>
                      <w:szCs w:val="24"/>
                      <w:vertAlign w:val="superscript"/>
                      <w:lang w:eastAsia="ar-SA"/>
                    </w:rPr>
                    <w:footnoteReference w:id="82"/>
                  </w:r>
                  <w:r>
                    <w:rPr>
                      <w:rFonts w:eastAsia="Times New Roman" w:cs="Arial"/>
                      <w:szCs w:val="24"/>
                      <w:lang w:eastAsia="ar-SA"/>
                    </w:rPr>
                    <w:t xml:space="preserve"> de la province où le médecin est inscrit en précisant son nom et prénom et ce afin de solliciter l’intervention de ce conseil. En effet, le Conseil provincial peut, sur demande et sur base d’éléments probants, jouer le rôle de médiateur entre l’établissement scolaire et le médecin traitant de l’élève absent. Enfin, si le chef d’établissement a des doutes quant à la validité d’un certificat médical, il peut contacter le Service du Droit à l’instruction.</w:t>
                  </w:r>
                </w:p>
                <w:p>
                  <w:pPr>
                    <w:pStyle w:val="Corpsdetexte"/>
                  </w:pPr>
                  <w:r>
                    <w:t>Lorsque le certificat est rédigé dans une langue autre que la langue française, le chef d’établissement peut demander aux parents, à la personne investie de l’autorité parentale ou la personne qui assume la garde en fait du mineur de lui fournir une traduction du document s’il l’estime nécessaire pour s’assurer de la pertinence du document.</w:t>
                  </w:r>
                </w:p>
                <w:p>
                  <w:pPr>
                    <w:rPr>
                      <w:lang w:eastAsia="ar-SA"/>
                    </w:rPr>
                  </w:pPr>
                </w:p>
                <w:p>
                  <w:pPr>
                    <w:pStyle w:val="Titre5"/>
                    <w:numPr>
                      <w:ilvl w:val="2"/>
                      <w:numId w:val="234"/>
                    </w:numPr>
                  </w:pPr>
                  <w:bookmarkStart w:id="909" w:name="_2.3.3._Quelles_sont"/>
                  <w:bookmarkEnd w:id="909"/>
                  <w:r>
                    <w:t>Quelles sont les différences entre le certificat médical et la simple attestation médicale ?</w:t>
                  </w:r>
                </w:p>
                <w:p/>
                <w:p>
                  <w:pPr>
                    <w:pStyle w:val="Corpsdetexte"/>
                  </w:pPr>
                  <w:r>
                    <w:t>Il est parfois difficile de distinguer un certificat médical d’une simple attestation, d’où le risque pour le chef d’établissement de justifier une absence de manière erronée. Contrairement au certificat médical, l’attestation n’établit pas le fait de l’indisposition ou de la maladie de l’élève mais permet au médecin d’attester les informations transmises par les responsables légaux du mineur (exemples : attestation médicale relative à une absence pour raisons familiales, religieuses ou pédagogiques ou encore indiquant que tel parent a affirmé que son enfant avait été malade à telle date). A la différence du certificat médical, l’attestation est obligatoirement soumise à l’appréciation du chef d’établissement qui la reçoit et doit être consignée par écrit et conservée au sein de l’école. Le chef d’établissement doit donc la refuser s’il l’estime nécessaire et s’il décide de justifier l’absence sur base de cette attestation, cette période d’absence doit relever d’un cas de force majeure ou de circonstances exceptionnelles liées à des problèmes familiaux, de santé mentale ou physique de l’élève ou de transports.</w:t>
                  </w:r>
                </w:p>
                <w:p>
                  <w:bookmarkStart w:id="910" w:name="_2.3.5._Quels_types"/>
                  <w:bookmarkStart w:id="911" w:name="_Toc291075562"/>
                  <w:bookmarkStart w:id="912" w:name="_Toc291075986"/>
                  <w:bookmarkStart w:id="913" w:name="_Toc291076410"/>
                  <w:bookmarkStart w:id="914" w:name="_Toc291076834"/>
                  <w:bookmarkStart w:id="915" w:name="_Toc291077258"/>
                  <w:bookmarkStart w:id="916" w:name="_Toc293652100"/>
                  <w:bookmarkStart w:id="917" w:name="_Toc293653682"/>
                  <w:bookmarkStart w:id="918" w:name="_Toc293654294"/>
                  <w:bookmarkStart w:id="919" w:name="_Toc294004874"/>
                  <w:bookmarkStart w:id="920" w:name="_Toc294185370"/>
                  <w:bookmarkStart w:id="921" w:name="_Toc324767236"/>
                  <w:bookmarkStart w:id="922" w:name="_Toc324768094"/>
                  <w:bookmarkEnd w:id="910"/>
                </w:p>
                <w:p>
                  <w:pPr>
                    <w:pStyle w:val="Titre5"/>
                    <w:numPr>
                      <w:ilvl w:val="2"/>
                      <w:numId w:val="234"/>
                    </w:numPr>
                  </w:pPr>
                  <w:bookmarkStart w:id="923" w:name="_Quels_types_d’aide"/>
                  <w:bookmarkEnd w:id="923"/>
                  <w:r>
                    <w:t>Quels types d’aide apporte le service d’accrochage scolaire (SAS) aux jeunes ?</w:t>
                  </w:r>
                  <w:bookmarkEnd w:id="911"/>
                  <w:bookmarkEnd w:id="912"/>
                  <w:bookmarkEnd w:id="913"/>
                  <w:bookmarkEnd w:id="914"/>
                  <w:bookmarkEnd w:id="915"/>
                  <w:bookmarkEnd w:id="916"/>
                  <w:bookmarkEnd w:id="917"/>
                  <w:bookmarkEnd w:id="918"/>
                  <w:bookmarkEnd w:id="919"/>
                  <w:bookmarkEnd w:id="920"/>
                  <w:bookmarkEnd w:id="921"/>
                  <w:bookmarkEnd w:id="922"/>
                </w:p>
                <w:p>
                  <w:pPr>
                    <w:pStyle w:val="Corpsdetexte21"/>
                    <w:pBdr>
                      <w:right w:val="single" w:sz="4" w:space="4" w:color="auto"/>
                    </w:pBdr>
                    <w:jc w:val="both"/>
                    <w:rPr>
                      <w:rFonts w:asciiTheme="majorHAnsi" w:hAnsiTheme="majorHAnsi"/>
                      <w:b/>
                      <w:color w:val="008000"/>
                      <w:sz w:val="22"/>
                      <w:szCs w:val="22"/>
                      <w:u w:val="single"/>
                    </w:rPr>
                  </w:pPr>
                </w:p>
                <w:p>
                  <w:pPr>
                    <w:pBdr>
                      <w:right w:val="single" w:sz="4" w:space="4" w:color="auto"/>
                    </w:pBdr>
                    <w:autoSpaceDE w:val="0"/>
                    <w:autoSpaceDN w:val="0"/>
                    <w:adjustRightInd w:val="0"/>
                    <w:jc w:val="both"/>
                    <w:rPr>
                      <w:rFonts w:cs="Arial"/>
                    </w:rPr>
                  </w:pPr>
                  <w:r>
                    <w:rPr>
                      <w:rFonts w:cs="Arial"/>
                    </w:rPr>
                    <w:t xml:space="preserve">Par aide sociale, éducative et pédagogique, on entend toute forme d’aide ou d’action permettant d’améliorer les conditions de développement et d’apprentissage de ces mineurs. </w:t>
                  </w:r>
                </w:p>
                <w:p>
                  <w:pPr>
                    <w:pBdr>
                      <w:right w:val="single" w:sz="4" w:space="4" w:color="auto"/>
                    </w:pBdr>
                    <w:jc w:val="both"/>
                    <w:rPr>
                      <w:rFonts w:cs="Arial"/>
                    </w:rPr>
                  </w:pPr>
                </w:p>
                <w:p>
                  <w:pPr>
                    <w:pBdr>
                      <w:right w:val="single" w:sz="4" w:space="4" w:color="auto"/>
                    </w:pBdr>
                    <w:tabs>
                      <w:tab w:val="num" w:pos="3420"/>
                    </w:tabs>
                    <w:jc w:val="both"/>
                    <w:rPr>
                      <w:rFonts w:cs="Arial"/>
                    </w:rPr>
                  </w:pPr>
                  <w:r>
                    <w:rPr>
                      <w:rFonts w:cs="Arial"/>
                    </w:rPr>
                    <w:t>Le service d’accrochage scolaire cherche à faire émerger les difficultés spécifiques de chaque mineur et développe des outils permettant de trouver des solutions à ses différentes difficultés. Il a pour objectif le retour du mineur, dans les meilleurs délais et dans les meilleures conditions possibles, vers une structure scolaire ou une structure de formation agréée dans le cadre de l’obligation scolaire.</w:t>
                  </w:r>
                </w:p>
                <w:p>
                  <w:bookmarkStart w:id="924" w:name="_Toc291075563"/>
                  <w:bookmarkStart w:id="925" w:name="_Toc291075987"/>
                  <w:bookmarkStart w:id="926" w:name="_Toc291076411"/>
                  <w:bookmarkStart w:id="927" w:name="_Toc291076835"/>
                  <w:bookmarkStart w:id="928" w:name="_Toc291077259"/>
                  <w:bookmarkStart w:id="929" w:name="_Toc293652101"/>
                  <w:bookmarkStart w:id="930" w:name="_Toc293653683"/>
                  <w:bookmarkStart w:id="931" w:name="_Toc293654295"/>
                  <w:bookmarkStart w:id="932" w:name="_Toc294004875"/>
                  <w:bookmarkStart w:id="933" w:name="_Toc294185371"/>
                  <w:bookmarkStart w:id="934" w:name="_Toc324767237"/>
                  <w:bookmarkStart w:id="935" w:name="_Toc324768095"/>
                </w:p>
                <w:p>
                  <w:pPr>
                    <w:pStyle w:val="Titre5"/>
                    <w:numPr>
                      <w:ilvl w:val="2"/>
                      <w:numId w:val="234"/>
                    </w:numPr>
                  </w:pPr>
                  <w:r>
                    <w:t>Quel est le rôle du conseiller de l’Aide à la jeunesse ?</w:t>
                  </w:r>
                  <w:bookmarkEnd w:id="924"/>
                  <w:bookmarkEnd w:id="925"/>
                  <w:bookmarkEnd w:id="926"/>
                  <w:bookmarkEnd w:id="927"/>
                  <w:bookmarkEnd w:id="928"/>
                  <w:bookmarkEnd w:id="929"/>
                  <w:bookmarkEnd w:id="930"/>
                  <w:bookmarkEnd w:id="931"/>
                  <w:bookmarkEnd w:id="932"/>
                  <w:bookmarkEnd w:id="933"/>
                  <w:bookmarkEnd w:id="934"/>
                  <w:bookmarkEnd w:id="935"/>
                </w:p>
                <w:p>
                  <w:pPr>
                    <w:pStyle w:val="2"/>
                    <w:jc w:val="both"/>
                    <w:rPr>
                      <w:rFonts w:asciiTheme="majorHAnsi" w:hAnsiTheme="majorHAnsi"/>
                      <w:sz w:val="22"/>
                      <w:szCs w:val="22"/>
                      <w:lang w:val="fr-BE"/>
                    </w:rPr>
                  </w:pPr>
                </w:p>
                <w:p>
                  <w:pPr>
                    <w:jc w:val="both"/>
                    <w:rPr>
                      <w:rFonts w:cs="Arial"/>
                    </w:rPr>
                  </w:pPr>
                  <w:r>
                    <w:rPr>
                      <w:rFonts w:cs="Arial"/>
                    </w:rPr>
                    <w:t>Le premier rôle du conseiller de l’Aide à la Jeunesse, responsable du service d’Aide à la jeunesse (SAJ), est d’orienter vers les services de première ligne.</w:t>
                  </w:r>
                </w:p>
                <w:p>
                  <w:pPr>
                    <w:jc w:val="both"/>
                    <w:rPr>
                      <w:rFonts w:cs="Arial"/>
                    </w:rPr>
                  </w:pPr>
                </w:p>
                <w:p>
                  <w:pPr>
                    <w:jc w:val="both"/>
                    <w:rPr>
                      <w:rFonts w:cs="Arial"/>
                    </w:rPr>
                  </w:pPr>
                  <w:r>
                    <w:rPr>
                      <w:rFonts w:cs="Arial"/>
                    </w:rPr>
                    <w:t xml:space="preserve">Sous forme de programme d’aide, le conseiller organise aussi l’aide sociale spécialisée qui peut être mise à la disposition du jeune et de sa famille par les services sociaux existant sur le terrain. </w:t>
                  </w:r>
                </w:p>
                <w:p>
                  <w:pPr>
                    <w:jc w:val="both"/>
                    <w:rPr>
                      <w:rFonts w:cs="Arial"/>
                    </w:rPr>
                  </w:pPr>
                </w:p>
                <w:p>
                  <w:pPr>
                    <w:jc w:val="both"/>
                    <w:rPr>
                      <w:rFonts w:cs="Arial"/>
                    </w:rPr>
                  </w:pPr>
                  <w:r>
                    <w:rPr>
                      <w:rFonts w:cs="Arial"/>
                    </w:rPr>
                    <w:t>L’aide spécialisée est une aide exceptionnelle, provisoire et qui n’a lieu d’être qu’en cas d’impossibilité d’intervention des services de l’aide générale de première ligne. Elle s’adresse au public suivant :</w:t>
                  </w:r>
                </w:p>
                <w:p>
                  <w:pPr>
                    <w:jc w:val="both"/>
                    <w:rPr>
                      <w:rFonts w:cs="Arial"/>
                    </w:rPr>
                  </w:pPr>
                </w:p>
                <w:p>
                  <w:pPr>
                    <w:numPr>
                      <w:ilvl w:val="0"/>
                      <w:numId w:val="89"/>
                    </w:numPr>
                    <w:tabs>
                      <w:tab w:val="clear" w:pos="360"/>
                      <w:tab w:val="num" w:pos="720"/>
                    </w:tabs>
                    <w:suppressAutoHyphens/>
                    <w:ind w:left="916" w:hanging="349"/>
                    <w:jc w:val="both"/>
                    <w:rPr>
                      <w:rFonts w:cs="Arial"/>
                    </w:rPr>
                  </w:pPr>
                  <w:r>
                    <w:rPr>
                      <w:rFonts w:cs="Arial"/>
                    </w:rPr>
                    <w:t>des jeunes en difficulté, ainsi que des personnes qui éprouvent de graves difficultés dans l’exécution de leurs obligations parentales ;</w:t>
                  </w:r>
                </w:p>
                <w:p>
                  <w:pPr>
                    <w:numPr>
                      <w:ilvl w:val="0"/>
                      <w:numId w:val="89"/>
                    </w:numPr>
                    <w:tabs>
                      <w:tab w:val="clear" w:pos="360"/>
                      <w:tab w:val="num" w:pos="720"/>
                    </w:tabs>
                    <w:suppressAutoHyphens/>
                    <w:ind w:left="916" w:hanging="349"/>
                    <w:jc w:val="both"/>
                    <w:rPr>
                      <w:rFonts w:cs="Arial"/>
                    </w:rPr>
                  </w:pPr>
                  <w:r>
                    <w:rPr>
                      <w:rFonts w:cs="Arial"/>
                    </w:rPr>
                    <w:t>tout enfant dont la santé ou la sécurité est en danger ou dont les conditions d’éducation sont compromises par son comportement, celui de sa famille ou de ses familiers</w:t>
                  </w:r>
                  <w:r>
                    <w:rPr>
                      <w:rStyle w:val="Appelnotedebasdep1"/>
                    </w:rPr>
                    <w:footnoteReference w:id="83"/>
                  </w:r>
                  <w:r>
                    <w:rPr>
                      <w:rFonts w:cs="Arial"/>
                    </w:rPr>
                    <w:t>.</w:t>
                  </w:r>
                </w:p>
                <w:p>
                  <w:pPr>
                    <w:jc w:val="both"/>
                    <w:rPr>
                      <w:rFonts w:cs="Arial"/>
                    </w:rPr>
                  </w:pPr>
                </w:p>
                <w:p>
                  <w:pPr>
                    <w:jc w:val="both"/>
                    <w:rPr>
                      <w:rFonts w:cs="Arial"/>
                    </w:rPr>
                  </w:pPr>
                  <w:r>
                    <w:rPr>
                      <w:rFonts w:cs="Arial"/>
                    </w:rPr>
                    <w:t>Dès lors, le conseiller peut, si nécessaire, mandater des services spécialisés de l’Aide à la jeunesse.</w:t>
                  </w:r>
                  <w:bookmarkStart w:id="936" w:name="_Toc291075564"/>
                  <w:bookmarkStart w:id="937" w:name="_Toc291075988"/>
                  <w:bookmarkStart w:id="938" w:name="_Toc291076412"/>
                  <w:bookmarkStart w:id="939" w:name="_Toc291076836"/>
                  <w:bookmarkStart w:id="940" w:name="_Toc291077260"/>
                  <w:bookmarkStart w:id="941" w:name="_Toc293652102"/>
                  <w:bookmarkStart w:id="942" w:name="_Toc293653684"/>
                  <w:bookmarkStart w:id="943" w:name="_Toc293654296"/>
                  <w:bookmarkStart w:id="944" w:name="_Toc294004876"/>
                  <w:bookmarkStart w:id="945" w:name="_Toc294185372"/>
                  <w:bookmarkStart w:id="946" w:name="_Toc324767238"/>
                  <w:bookmarkStart w:id="947" w:name="_Toc324768096"/>
                </w:p>
                <w:p>
                  <w:pPr>
                    <w:jc w:val="both"/>
                    <w:rPr>
                      <w:rFonts w:cs="Arial"/>
                    </w:rPr>
                  </w:pPr>
                </w:p>
                <w:p>
                  <w:pPr>
                    <w:jc w:val="both"/>
                    <w:rPr>
                      <w:rFonts w:cs="Arial"/>
                    </w:rPr>
                  </w:pPr>
                </w:p>
                <w:p>
                  <w:pPr>
                    <w:jc w:val="both"/>
                    <w:rPr>
                      <w:rFonts w:cs="Arial"/>
                    </w:rPr>
                  </w:pPr>
                </w:p>
                <w:p>
                  <w:pPr>
                    <w:jc w:val="both"/>
                    <w:rPr>
                      <w:rFonts w:cs="Arial"/>
                    </w:rPr>
                  </w:pPr>
                </w:p>
                <w:p>
                  <w:pPr>
                    <w:pStyle w:val="Titre5"/>
                    <w:numPr>
                      <w:ilvl w:val="2"/>
                      <w:numId w:val="234"/>
                    </w:numPr>
                  </w:pPr>
                  <w:r>
                    <w:t>A quoi servent les Services d’actions en milieu ouvert</w:t>
                  </w:r>
                  <w:r>
                    <w:rPr>
                      <w:rStyle w:val="Appelnotedebasdep1"/>
                      <w:b w:val="0"/>
                      <w:iCs/>
                      <w:color w:val="000000"/>
                    </w:rPr>
                    <w:footnoteReference w:id="84"/>
                  </w:r>
                  <w:r>
                    <w:t> ?</w:t>
                  </w:r>
                  <w:bookmarkEnd w:id="936"/>
                  <w:bookmarkEnd w:id="937"/>
                  <w:bookmarkEnd w:id="938"/>
                  <w:bookmarkEnd w:id="939"/>
                  <w:bookmarkEnd w:id="940"/>
                  <w:bookmarkEnd w:id="941"/>
                  <w:bookmarkEnd w:id="942"/>
                  <w:bookmarkEnd w:id="943"/>
                  <w:bookmarkEnd w:id="944"/>
                  <w:bookmarkEnd w:id="945"/>
                  <w:bookmarkEnd w:id="946"/>
                  <w:bookmarkEnd w:id="947"/>
                </w:p>
                <w:p/>
                <w:p>
                  <w:pPr>
                    <w:jc w:val="both"/>
                    <w:rPr>
                      <w:rFonts w:cs="Arial"/>
                      <w:bCs/>
                    </w:rPr>
                  </w:pPr>
                  <w:r>
                    <w:rPr>
                      <w:rFonts w:cs="Arial"/>
                      <w:bCs/>
                    </w:rPr>
                    <w:t>Les prises en charge réalisées par l</w:t>
                  </w:r>
                  <w:r>
                    <w:rPr>
                      <w:rFonts w:cs="Arial"/>
                    </w:rPr>
                    <w:t>es services d’actions en milieu ouvert</w:t>
                  </w:r>
                  <w:r>
                    <w:rPr>
                      <w:rStyle w:val="Appelnotedebasdep1"/>
                    </w:rPr>
                    <w:footnoteReference w:id="85"/>
                  </w:r>
                  <w:r>
                    <w:rPr>
                      <w:rFonts w:cs="Arial"/>
                    </w:rPr>
                    <w:t xml:space="preserve"> (</w:t>
                  </w:r>
                  <w:r>
                    <w:rPr>
                      <w:rFonts w:cs="Arial"/>
                      <w:bCs/>
                    </w:rPr>
                    <w:t>A.M.O.) sont uniquement extrascolaires et ne répondent pas à l’obligation scolaire à elles seules.</w:t>
                  </w:r>
                </w:p>
                <w:p>
                  <w:pPr>
                    <w:jc w:val="both"/>
                    <w:rPr>
                      <w:rFonts w:cs="Arial"/>
                    </w:rPr>
                  </w:pPr>
                </w:p>
                <w:p>
                  <w:pPr>
                    <w:jc w:val="both"/>
                    <w:rPr>
                      <w:rFonts w:cs="Arial"/>
                    </w:rPr>
                  </w:pPr>
                  <w:r>
                    <w:rPr>
                      <w:rFonts w:cs="Arial"/>
                    </w:rPr>
                    <w:t>Les services d’actions en milieu ouvert sont des services spécialisés de l’Aide à la Jeunesse qui assurent une aide préventive au bénéfice des jeunes dans leur milieu de vie et dans leurs rapports avec l’environnement social. Cette aide comporte nécessairement l’aide individuelle et l’action communautaire qui sont développées sur base du projet pédagogique spécifique de chaque A.M.O.</w:t>
                  </w:r>
                </w:p>
                <w:p>
                  <w:pPr>
                    <w:jc w:val="both"/>
                    <w:rPr>
                      <w:rFonts w:cs="Arial"/>
                    </w:rPr>
                  </w:pPr>
                </w:p>
                <w:p>
                  <w:pPr>
                    <w:jc w:val="both"/>
                    <w:rPr>
                      <w:rFonts w:cs="Arial"/>
                    </w:rPr>
                  </w:pPr>
                  <w:r>
                    <w:rPr>
                      <w:rFonts w:cs="Arial"/>
                    </w:rPr>
                    <w:t>Les services d’actions en milieu ouvert ont la particularité d’être directement accessibles au public sans condition d’accès et sans mandat du service d’Aide à la Jeunesse, du service de Protection Judiciaire ou du Tribunal de la jeunesse. Compte tenu de cette particularité, le chef d’établissement peut entrer en contact avec un service d’actions en milieu ouvert en matière d’aide préventive au bénéfice des jeunes.</w:t>
                  </w:r>
                </w:p>
                <w:p>
                  <w:pPr>
                    <w:jc w:val="both"/>
                    <w:rPr>
                      <w:rFonts w:cs="Arial"/>
                    </w:rPr>
                  </w:pPr>
                </w:p>
                <w:p>
                  <w:pPr>
                    <w:pStyle w:val="Titre5"/>
                    <w:numPr>
                      <w:ilvl w:val="2"/>
                      <w:numId w:val="234"/>
                    </w:numPr>
                  </w:pPr>
                  <w:bookmarkStart w:id="948" w:name="_Toc291075565"/>
                  <w:bookmarkStart w:id="949" w:name="_Toc291075989"/>
                  <w:bookmarkStart w:id="950" w:name="_Toc291076413"/>
                  <w:bookmarkStart w:id="951" w:name="_Toc291076837"/>
                  <w:bookmarkStart w:id="952" w:name="_Toc291077261"/>
                  <w:bookmarkStart w:id="953" w:name="_Toc293652103"/>
                  <w:bookmarkStart w:id="954" w:name="_Toc293653685"/>
                  <w:bookmarkStart w:id="955" w:name="_Toc293654297"/>
                  <w:bookmarkStart w:id="956" w:name="_Toc294004877"/>
                  <w:bookmarkStart w:id="957" w:name="_Toc294185373"/>
                  <w:bookmarkStart w:id="958" w:name="_Toc324767239"/>
                  <w:bookmarkStart w:id="959" w:name="_Toc324768097"/>
                  <w:r>
                    <w:t xml:space="preserve">Quel est le rôle des criminologues des sections « famille-jeunesse» des parquets </w:t>
                  </w:r>
                  <w:r>
                    <w:rPr>
                      <w:rStyle w:val="Appelnotedebasdep1"/>
                      <w:b w:val="0"/>
                    </w:rPr>
                    <w:footnoteReference w:id="86"/>
                  </w:r>
                  <w:r>
                    <w:t> ?</w:t>
                  </w:r>
                  <w:bookmarkEnd w:id="948"/>
                  <w:bookmarkEnd w:id="949"/>
                  <w:bookmarkEnd w:id="950"/>
                  <w:bookmarkEnd w:id="951"/>
                  <w:bookmarkEnd w:id="952"/>
                  <w:bookmarkEnd w:id="953"/>
                  <w:bookmarkEnd w:id="954"/>
                  <w:bookmarkEnd w:id="955"/>
                  <w:bookmarkEnd w:id="956"/>
                  <w:bookmarkEnd w:id="957"/>
                  <w:bookmarkEnd w:id="958"/>
                  <w:bookmarkEnd w:id="959"/>
                </w:p>
                <w:p>
                  <w:pPr>
                    <w:pStyle w:val="Corpsdetexte21"/>
                    <w:jc w:val="both"/>
                    <w:rPr>
                      <w:rFonts w:asciiTheme="majorHAnsi" w:hAnsiTheme="majorHAnsi"/>
                      <w:b/>
                      <w:color w:val="008000"/>
                      <w:sz w:val="22"/>
                      <w:szCs w:val="22"/>
                      <w:u w:val="single"/>
                    </w:rPr>
                  </w:pPr>
                </w:p>
                <w:p>
                  <w:pPr>
                    <w:jc w:val="both"/>
                    <w:rPr>
                      <w:rFonts w:cs="Arial"/>
                    </w:rPr>
                  </w:pPr>
                  <w:r>
                    <w:rPr>
                      <w:rFonts w:cs="Arial"/>
                    </w:rPr>
                    <w:t>Dans le cadre de l’entrée en vigueur de la réforme de la loi du 8 avril 1965 relative à la protection de la jeunesse, des criminologues ont été engagés auprès des sections « famille-jeunesse » des parquets.</w:t>
                  </w:r>
                </w:p>
                <w:p>
                  <w:pPr>
                    <w:jc w:val="both"/>
                    <w:rPr>
                      <w:rFonts w:cs="Arial"/>
                    </w:rPr>
                  </w:pPr>
                  <w:r>
                    <w:rPr>
                      <w:rFonts w:cs="Arial"/>
                    </w:rPr>
                    <w:t>Les criminologues travaillent sous la direction du procureur du Roi du parquet auquel ils sont affectés et sous l’autorité du procureur général.</w:t>
                  </w:r>
                </w:p>
                <w:p>
                  <w:pPr>
                    <w:jc w:val="both"/>
                    <w:rPr>
                      <w:rFonts w:cs="Arial"/>
                    </w:rPr>
                  </w:pPr>
                  <w:r>
                    <w:rPr>
                      <w:rFonts w:cs="Arial"/>
                    </w:rPr>
                    <w:t>Ils interviennent en appui des sections « famille-jeunesse » des parquets, dans le respect des compétences des magistrats et des services relevant de la Fédération Wallonie-Bruxelles. L’ensemble des criminologues forme une équipe qui veille, sous la coordination de deux criminologues-coordinateurs</w:t>
                  </w:r>
                  <w:r>
                    <w:rPr>
                      <w:rStyle w:val="Caractresdenotedebasdepage"/>
                      <w:rFonts w:cs="Arial"/>
                    </w:rPr>
                    <w:footnoteReference w:id="87"/>
                  </w:r>
                  <w:r>
                    <w:rPr>
                      <w:rFonts w:cs="Arial"/>
                    </w:rPr>
                    <w:t>, à la cohérence de leurs interventions dans l’ensemble du pays.</w:t>
                  </w:r>
                </w:p>
                <w:p>
                  <w:pPr>
                    <w:jc w:val="both"/>
                    <w:rPr>
                      <w:rFonts w:cs="Arial"/>
                    </w:rPr>
                  </w:pPr>
                  <w:r>
                    <w:rPr>
                      <w:rFonts w:cs="Arial"/>
                    </w:rPr>
                    <w:t>Les criminologues sont principalement chargés d’apporter un appui aux magistrats dans les matières suivantes :</w:t>
                  </w:r>
                </w:p>
                <w:p>
                  <w:pPr>
                    <w:jc w:val="both"/>
                    <w:rPr>
                      <w:rFonts w:cs="Arial"/>
                    </w:rPr>
                  </w:pPr>
                </w:p>
                <w:p>
                  <w:pPr>
                    <w:numPr>
                      <w:ilvl w:val="0"/>
                      <w:numId w:val="81"/>
                    </w:numPr>
                    <w:tabs>
                      <w:tab w:val="clear" w:pos="360"/>
                      <w:tab w:val="num" w:pos="993"/>
                    </w:tabs>
                    <w:suppressAutoHyphens/>
                    <w:ind w:left="993" w:hanging="709"/>
                    <w:jc w:val="both"/>
                    <w:rPr>
                      <w:rFonts w:cs="Arial"/>
                    </w:rPr>
                  </w:pPr>
                  <w:r>
                    <w:rPr>
                      <w:rFonts w:cs="Arial"/>
                    </w:rPr>
                    <w:t>la délinquance juvénile, particulièrement l’appui quant à l’application des modalités prévues par les lois des 15 mai et 13 juin 2006 relatives à la protection de la jeunesse et la prise en charge des mineurs ayant commis un fait qualifié infraction ;</w:t>
                  </w:r>
                </w:p>
                <w:p>
                  <w:pPr>
                    <w:numPr>
                      <w:ilvl w:val="0"/>
                      <w:numId w:val="81"/>
                    </w:numPr>
                    <w:tabs>
                      <w:tab w:val="clear" w:pos="360"/>
                      <w:tab w:val="num" w:pos="993"/>
                    </w:tabs>
                    <w:suppressAutoHyphens/>
                    <w:ind w:left="993" w:hanging="709"/>
                    <w:jc w:val="both"/>
                    <w:rPr>
                      <w:rFonts w:cs="Arial"/>
                    </w:rPr>
                  </w:pPr>
                  <w:r>
                    <w:rPr>
                      <w:rFonts w:cs="Arial"/>
                    </w:rPr>
                    <w:t>l’absentéisme scolaire ;</w:t>
                  </w:r>
                </w:p>
                <w:p>
                  <w:pPr>
                    <w:numPr>
                      <w:ilvl w:val="0"/>
                      <w:numId w:val="81"/>
                    </w:numPr>
                    <w:tabs>
                      <w:tab w:val="clear" w:pos="360"/>
                      <w:tab w:val="num" w:pos="993"/>
                    </w:tabs>
                    <w:suppressAutoHyphens/>
                    <w:ind w:left="993" w:hanging="709"/>
                    <w:jc w:val="both"/>
                    <w:rPr>
                      <w:rFonts w:cs="Arial"/>
                    </w:rPr>
                  </w:pPr>
                  <w:r>
                    <w:rPr>
                      <w:rFonts w:cs="Arial"/>
                    </w:rPr>
                    <w:t>la maltraitance.</w:t>
                  </w:r>
                </w:p>
                <w:p>
                  <w:pPr>
                    <w:jc w:val="both"/>
                    <w:rPr>
                      <w:rFonts w:cs="Arial"/>
                    </w:rPr>
                  </w:pPr>
                </w:p>
                <w:p>
                  <w:pPr>
                    <w:jc w:val="both"/>
                    <w:rPr>
                      <w:rFonts w:cs="Arial"/>
                    </w:rPr>
                  </w:pPr>
                  <w:r>
                    <w:rPr>
                      <w:rFonts w:cs="Arial"/>
                    </w:rPr>
                    <w:t>De manière générale, ils peuvent jouer un rôle important dans l’établissement de contacts avec des interlocuteurs extrajudiciaires.</w:t>
                  </w:r>
                </w:p>
                <w:p>
                  <w:pPr>
                    <w:jc w:val="both"/>
                    <w:rPr>
                      <w:rFonts w:cs="Arial"/>
                    </w:rPr>
                  </w:pPr>
                  <w:r>
                    <w:rPr>
                      <w:rFonts w:cs="Arial"/>
                    </w:rPr>
                    <w:t>De par leur formation, les criminologues apportent un appui spécifique aux magistrats et interviennent comme professionnels de l’approche pluridisciplinaire des questions sociales en général et de la délinquance en particulier. Ils apportent aux magistrats une plus-value par une analyse et un mode d’intervention fondés sur leur formation dans les domaines sociologique et psychosocial.</w:t>
                  </w:r>
                </w:p>
                <w:p>
                  <w:pPr>
                    <w:jc w:val="both"/>
                    <w:rPr>
                      <w:rFonts w:cs="Arial"/>
                    </w:rPr>
                  </w:pPr>
                  <w:r>
                    <w:rPr>
                      <w:rFonts w:cs="Arial"/>
                    </w:rPr>
                    <w:t>Plus particulièrement, en matière de lutte contre l’absentéisme scolaire :</w:t>
                  </w:r>
                </w:p>
                <w:p>
                  <w:pPr>
                    <w:numPr>
                      <w:ilvl w:val="0"/>
                      <w:numId w:val="103"/>
                    </w:numPr>
                    <w:tabs>
                      <w:tab w:val="clear" w:pos="360"/>
                      <w:tab w:val="num" w:pos="993"/>
                    </w:tabs>
                    <w:suppressAutoHyphens/>
                    <w:ind w:left="993" w:hanging="709"/>
                    <w:jc w:val="both"/>
                    <w:rPr>
                      <w:rFonts w:cs="Arial"/>
                    </w:rPr>
                  </w:pPr>
                  <w:r>
                    <w:rPr>
                      <w:rFonts w:cs="Arial"/>
                    </w:rPr>
                    <w:t>les criminologues établissent des contacts avec les différents acteurs concernés au plan local (Services relevant de la Fédération Wallonie-Bruxelles, police locale, directions des établissements scolaires, etc.) ;</w:t>
                  </w:r>
                </w:p>
                <w:p>
                  <w:pPr>
                    <w:numPr>
                      <w:ilvl w:val="0"/>
                      <w:numId w:val="103"/>
                    </w:numPr>
                    <w:tabs>
                      <w:tab w:val="clear" w:pos="360"/>
                      <w:tab w:val="num" w:pos="993"/>
                    </w:tabs>
                    <w:suppressAutoHyphens/>
                    <w:ind w:left="993" w:hanging="709"/>
                    <w:jc w:val="both"/>
                    <w:rPr>
                      <w:rFonts w:cs="Arial"/>
                    </w:rPr>
                  </w:pPr>
                  <w:r>
                    <w:t>les criminologues assistent les magistrats dans le traitement des dossiers individuels.</w:t>
                  </w:r>
                </w:p>
                <w:p>
                  <w:pPr>
                    <w:pStyle w:val="Corpsdetexte21"/>
                    <w:jc w:val="both"/>
                    <w:rPr>
                      <w:rFonts w:asciiTheme="majorHAnsi" w:hAnsiTheme="majorHAnsi"/>
                      <w:b/>
                      <w:color w:val="008000"/>
                      <w:sz w:val="22"/>
                      <w:szCs w:val="22"/>
                      <w:u w:val="single"/>
                    </w:rPr>
                  </w:pPr>
                </w:p>
                <w:p>
                  <w:pPr>
                    <w:pStyle w:val="Corpsdetexte21"/>
                    <w:jc w:val="both"/>
                    <w:rPr>
                      <w:rFonts w:asciiTheme="majorHAnsi" w:hAnsiTheme="majorHAnsi"/>
                      <w:b/>
                      <w:color w:val="008000"/>
                      <w:sz w:val="22"/>
                      <w:szCs w:val="22"/>
                      <w:u w:val="single"/>
                    </w:rPr>
                  </w:pPr>
                </w:p>
                <w:p>
                  <w:pPr>
                    <w:pStyle w:val="Titre4"/>
                    <w:numPr>
                      <w:ilvl w:val="1"/>
                      <w:numId w:val="234"/>
                    </w:numPr>
                  </w:pPr>
                  <w:bookmarkStart w:id="960" w:name="_Toc291075566"/>
                  <w:bookmarkStart w:id="961" w:name="_Toc291075990"/>
                  <w:bookmarkStart w:id="962" w:name="_Toc291076414"/>
                  <w:bookmarkStart w:id="963" w:name="_Toc291076838"/>
                  <w:bookmarkStart w:id="964" w:name="_Toc291077262"/>
                  <w:bookmarkStart w:id="965" w:name="_Toc293652104"/>
                  <w:bookmarkStart w:id="966" w:name="_Toc293653686"/>
                  <w:bookmarkStart w:id="967" w:name="_Toc293654298"/>
                  <w:bookmarkStart w:id="968" w:name="_Toc294004878"/>
                  <w:bookmarkStart w:id="969" w:name="_Toc294185374"/>
                  <w:bookmarkStart w:id="970" w:name="_Toc324767240"/>
                  <w:bookmarkStart w:id="971" w:name="_Toc412204088"/>
                  <w:bookmarkStart w:id="972" w:name="_Toc414352896"/>
                  <w:bookmarkStart w:id="973" w:name="_Toc453836919"/>
                  <w:r>
                    <w:t>Questions-réponses relatives aux sanctions disciplinaires</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pPr>
                    <w:pStyle w:val="Corpsdetexte21"/>
                    <w:jc w:val="both"/>
                    <w:rPr>
                      <w:rFonts w:asciiTheme="majorHAnsi" w:hAnsiTheme="majorHAnsi"/>
                      <w:b/>
                      <w:color w:val="008000"/>
                      <w:sz w:val="22"/>
                      <w:szCs w:val="22"/>
                      <w:u w:val="single"/>
                    </w:rPr>
                  </w:pPr>
                </w:p>
                <w:p>
                  <w:pPr>
                    <w:pStyle w:val="Titre5"/>
                    <w:numPr>
                      <w:ilvl w:val="2"/>
                      <w:numId w:val="234"/>
                    </w:numPr>
                  </w:pPr>
                  <w:bookmarkStart w:id="974" w:name="_Toc291075567"/>
                  <w:bookmarkStart w:id="975" w:name="_Toc291075991"/>
                  <w:bookmarkStart w:id="976" w:name="_Toc291076415"/>
                  <w:bookmarkStart w:id="977" w:name="_Toc291076839"/>
                  <w:bookmarkStart w:id="978" w:name="_Toc291077263"/>
                  <w:bookmarkStart w:id="979" w:name="_Toc293652105"/>
                  <w:bookmarkStart w:id="980" w:name="_Toc293653687"/>
                  <w:bookmarkStart w:id="981" w:name="_Toc293654299"/>
                  <w:bookmarkStart w:id="982" w:name="_Toc294004879"/>
                  <w:bookmarkStart w:id="983" w:name="_Toc294185375"/>
                  <w:bookmarkStart w:id="984" w:name="_Toc324767241"/>
                  <w:bookmarkStart w:id="985" w:name="_Toc324768099"/>
                  <w:r>
                    <w:rPr>
                      <w:rStyle w:val="Titre5Car"/>
                      <w:color w:val="auto"/>
                    </w:rPr>
                    <w:t>Quelles sont les bases légales</w:t>
                  </w:r>
                  <w:r>
                    <w:t> ?</w:t>
                  </w:r>
                  <w:bookmarkEnd w:id="974"/>
                  <w:bookmarkEnd w:id="975"/>
                  <w:bookmarkEnd w:id="976"/>
                  <w:bookmarkEnd w:id="977"/>
                  <w:bookmarkEnd w:id="978"/>
                  <w:bookmarkEnd w:id="979"/>
                  <w:bookmarkEnd w:id="980"/>
                  <w:bookmarkEnd w:id="981"/>
                  <w:bookmarkEnd w:id="982"/>
                  <w:bookmarkEnd w:id="983"/>
                  <w:bookmarkEnd w:id="984"/>
                  <w:bookmarkEnd w:id="985"/>
                </w:p>
                <w:p>
                  <w:pPr>
                    <w:pStyle w:val="Corpsdetexte21"/>
                    <w:jc w:val="both"/>
                    <w:rPr>
                      <w:rFonts w:asciiTheme="majorHAnsi" w:hAnsiTheme="majorHAnsi"/>
                      <w:b/>
                      <w:color w:val="008000"/>
                      <w:sz w:val="22"/>
                      <w:szCs w:val="22"/>
                      <w:u w:val="single"/>
                    </w:rPr>
                  </w:pPr>
                </w:p>
                <w:p>
                  <w:pPr>
                    <w:pStyle w:val="Paragraphedeliste"/>
                    <w:numPr>
                      <w:ilvl w:val="0"/>
                      <w:numId w:val="194"/>
                    </w:numPr>
                    <w:ind w:left="567" w:hanging="567"/>
                    <w:jc w:val="both"/>
                    <w:rPr>
                      <w:rFonts w:asciiTheme="majorHAnsi" w:hAnsiTheme="majorHAnsi"/>
                      <w:sz w:val="22"/>
                      <w:szCs w:val="22"/>
                    </w:rPr>
                  </w:pPr>
                  <w:hyperlink r:id="rId66" w:history="1">
                    <w:r>
                      <w:rPr>
                        <w:rStyle w:val="Lienhypertexte"/>
                        <w:rFonts w:asciiTheme="majorHAnsi" w:hAnsiTheme="majorHAnsi" w:cs="Arial"/>
                        <w:sz w:val="22"/>
                        <w:szCs w:val="22"/>
                      </w:rPr>
                      <w:t>Décret du 24 juillet 1997 définissant les missions prioritaires de l’enseignement fondamental et de l’enseignement secondaire</w:t>
                    </w:r>
                  </w:hyperlink>
                  <w:r>
                    <w:rPr>
                      <w:rFonts w:asciiTheme="majorHAnsi" w:hAnsiTheme="majorHAnsi"/>
                      <w:sz w:val="22"/>
                      <w:szCs w:val="22"/>
                    </w:rPr>
                    <w:t xml:space="preserve"> (Décret missions) ;</w:t>
                  </w:r>
                </w:p>
                <w:p>
                  <w:pPr>
                    <w:pStyle w:val="Paragraphedeliste"/>
                    <w:numPr>
                      <w:ilvl w:val="0"/>
                      <w:numId w:val="194"/>
                    </w:numPr>
                    <w:ind w:left="567" w:hanging="567"/>
                    <w:jc w:val="both"/>
                    <w:rPr>
                      <w:rFonts w:asciiTheme="majorHAnsi" w:hAnsiTheme="majorHAnsi"/>
                      <w:sz w:val="22"/>
                      <w:szCs w:val="22"/>
                    </w:rPr>
                  </w:pPr>
                  <w:hyperlink r:id="rId67" w:history="1">
                    <w:r>
                      <w:rPr>
                        <w:rStyle w:val="Lienhypertexte"/>
                        <w:rFonts w:asciiTheme="majorHAnsi" w:hAnsiTheme="majorHAnsi" w:cs="Arial"/>
                        <w:sz w:val="22"/>
                        <w:szCs w:val="22"/>
                      </w:rPr>
                      <w:t>Arrêté du Gouvernement de la Communauté française du 12 janvier 1999 définissant les sanctions disciplinaires et les modalités selon lesquelles elles sont prises dans les établissements d’enseignement organisés par la Communauté française</w:t>
                    </w:r>
                  </w:hyperlink>
                  <w:r>
                    <w:rPr>
                      <w:rFonts w:asciiTheme="majorHAnsi" w:hAnsiTheme="majorHAnsi"/>
                      <w:sz w:val="22"/>
                      <w:szCs w:val="22"/>
                    </w:rPr>
                    <w:t>.</w:t>
                  </w:r>
                </w:p>
                <w:p>
                  <w:pPr>
                    <w:pStyle w:val="Paragraphedeliste"/>
                    <w:numPr>
                      <w:ilvl w:val="0"/>
                      <w:numId w:val="194"/>
                    </w:numPr>
                    <w:ind w:left="567" w:hanging="567"/>
                    <w:jc w:val="both"/>
                    <w:rPr>
                      <w:rFonts w:asciiTheme="majorHAnsi" w:hAnsiTheme="majorHAnsi"/>
                      <w:sz w:val="22"/>
                      <w:szCs w:val="22"/>
                    </w:rPr>
                  </w:pPr>
                  <w:hyperlink r:id="rId68" w:history="1">
                    <w:r>
                      <w:rPr>
                        <w:rStyle w:val="Lienhypertexte"/>
                        <w:rFonts w:asciiTheme="majorHAnsi" w:hAnsiTheme="majorHAnsi" w:cs="Arial"/>
                        <w:sz w:val="22"/>
                        <w:szCs w:val="22"/>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w:t>
                    </w:r>
                  </w:hyperlink>
                </w:p>
                <w:p>
                  <w:bookmarkStart w:id="986" w:name="_Toc291075568"/>
                  <w:bookmarkStart w:id="987" w:name="_Toc291075992"/>
                  <w:bookmarkStart w:id="988" w:name="_Toc291076416"/>
                  <w:bookmarkStart w:id="989" w:name="_Toc291076840"/>
                  <w:bookmarkStart w:id="990" w:name="_Toc291077264"/>
                  <w:bookmarkStart w:id="991" w:name="_Toc293652106"/>
                  <w:bookmarkStart w:id="992" w:name="_Toc293653688"/>
                  <w:bookmarkStart w:id="993" w:name="_Toc293654300"/>
                  <w:bookmarkStart w:id="994" w:name="_Toc294004880"/>
                  <w:bookmarkStart w:id="995" w:name="_Toc294185376"/>
                  <w:bookmarkStart w:id="996" w:name="_Toc324767242"/>
                  <w:bookmarkStart w:id="997" w:name="_Toc324768100"/>
                </w:p>
                <w:p>
                  <w:pPr>
                    <w:pStyle w:val="Titre5"/>
                    <w:numPr>
                      <w:ilvl w:val="2"/>
                      <w:numId w:val="234"/>
                    </w:numPr>
                  </w:pPr>
                  <w:r>
                    <w:t>Quelle est la différence entre « exclusion provisoire » et « écartement provisoire » ?</w:t>
                  </w:r>
                  <w:bookmarkEnd w:id="986"/>
                  <w:bookmarkEnd w:id="987"/>
                  <w:bookmarkEnd w:id="988"/>
                  <w:bookmarkEnd w:id="989"/>
                  <w:bookmarkEnd w:id="990"/>
                  <w:bookmarkEnd w:id="991"/>
                  <w:bookmarkEnd w:id="992"/>
                  <w:bookmarkEnd w:id="993"/>
                  <w:bookmarkEnd w:id="994"/>
                  <w:bookmarkEnd w:id="995"/>
                  <w:bookmarkEnd w:id="996"/>
                  <w:bookmarkEnd w:id="997"/>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On ne confondra pas </w:t>
                  </w:r>
                  <w:r>
                    <w:rPr>
                      <w:rFonts w:asciiTheme="majorHAnsi" w:hAnsiTheme="majorHAnsi"/>
                      <w:b/>
                      <w:sz w:val="22"/>
                      <w:szCs w:val="22"/>
                    </w:rPr>
                    <w:t>« exclusion provisoire »</w:t>
                  </w:r>
                  <w:r>
                    <w:rPr>
                      <w:rFonts w:asciiTheme="majorHAnsi" w:hAnsiTheme="majorHAnsi"/>
                      <w:sz w:val="22"/>
                      <w:szCs w:val="22"/>
                    </w:rPr>
                    <w:t xml:space="preserve"> avec </w:t>
                  </w:r>
                  <w:r>
                    <w:rPr>
                      <w:rFonts w:asciiTheme="majorHAnsi" w:hAnsiTheme="majorHAnsi"/>
                      <w:b/>
                      <w:sz w:val="22"/>
                      <w:szCs w:val="22"/>
                    </w:rPr>
                    <w:t>« écartement provisoire ».</w:t>
                  </w:r>
                  <w:r>
                    <w:rPr>
                      <w:rFonts w:asciiTheme="majorHAnsi" w:hAnsiTheme="majorHAnsi"/>
                      <w:sz w:val="22"/>
                      <w:szCs w:val="22"/>
                    </w:rPr>
                    <w:t xml:space="preserve"> </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Une décision d’exclusion provisoire est une sanction disciplinaire contrairement à une décision d’écartement provisoire qui est une mesure pouvant être prise dans le cadre de la procédure d’exclusion définitive (Confer infra). </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La mesure d’écartement provisoire n’étant pas une sanction disciplinaire, un même fait peut faire l’objet d’une mesure d’écartement provisoire suivie d’une décision d’exclusion définitive ou d’une autre sanction disciplinaire.</w:t>
                  </w:r>
                </w:p>
                <w:p>
                  <w:pPr>
                    <w:pStyle w:val="Corpsdetexte21"/>
                    <w:jc w:val="both"/>
                    <w:rPr>
                      <w:rFonts w:asciiTheme="majorHAnsi" w:hAnsiTheme="majorHAnsi"/>
                      <w:sz w:val="22"/>
                      <w:szCs w:val="22"/>
                    </w:rPr>
                  </w:pPr>
                </w:p>
                <w:p>
                  <w:pPr>
                    <w:pStyle w:val="Titre5"/>
                    <w:numPr>
                      <w:ilvl w:val="2"/>
                      <w:numId w:val="234"/>
                    </w:numPr>
                  </w:pPr>
                  <w:bookmarkStart w:id="998" w:name="_Toc291075569"/>
                  <w:bookmarkStart w:id="999" w:name="_Toc291075993"/>
                  <w:bookmarkStart w:id="1000" w:name="_Toc291076417"/>
                  <w:bookmarkStart w:id="1001" w:name="_Toc291076841"/>
                  <w:bookmarkStart w:id="1002" w:name="_Toc291077265"/>
                  <w:bookmarkStart w:id="1003" w:name="_Toc293652107"/>
                  <w:bookmarkStart w:id="1004" w:name="_Toc293653689"/>
                  <w:bookmarkStart w:id="1005" w:name="_Toc293654301"/>
                  <w:bookmarkStart w:id="1006" w:name="_Toc294004881"/>
                  <w:bookmarkStart w:id="1007" w:name="_Toc294185377"/>
                  <w:bookmarkStart w:id="1008" w:name="_Toc324767243"/>
                  <w:bookmarkStart w:id="1009" w:name="_Toc324768101"/>
                  <w:r>
                    <w:t>Quels sont les faits pouvant entraîner l’exclusion définitive d’un élève ?</w:t>
                  </w:r>
                  <w:bookmarkEnd w:id="998"/>
                  <w:bookmarkEnd w:id="999"/>
                  <w:bookmarkEnd w:id="1000"/>
                  <w:bookmarkEnd w:id="1001"/>
                  <w:bookmarkEnd w:id="1002"/>
                  <w:bookmarkEnd w:id="1003"/>
                  <w:bookmarkEnd w:id="1004"/>
                  <w:bookmarkEnd w:id="1005"/>
                  <w:bookmarkEnd w:id="1006"/>
                  <w:bookmarkEnd w:id="1007"/>
                  <w:bookmarkEnd w:id="1008"/>
                  <w:bookmarkEnd w:id="1009"/>
                </w:p>
                <w:p>
                  <w:pPr>
                    <w:pStyle w:val="Corpsdetexte21"/>
                    <w:jc w:val="both"/>
                    <w:rPr>
                      <w:rFonts w:asciiTheme="majorHAnsi" w:hAnsiTheme="majorHAnsi"/>
                      <w:b/>
                      <w:color w:val="008000"/>
                      <w:sz w:val="22"/>
                      <w:szCs w:val="22"/>
                      <w:u w:val="single"/>
                    </w:rPr>
                  </w:pPr>
                </w:p>
                <w:p>
                  <w:pPr>
                    <w:pStyle w:val="Corpsdetexte21"/>
                    <w:jc w:val="both"/>
                    <w:rPr>
                      <w:rFonts w:asciiTheme="majorHAnsi" w:hAnsiTheme="majorHAnsi"/>
                      <w:sz w:val="22"/>
                      <w:szCs w:val="22"/>
                    </w:rPr>
                  </w:pPr>
                  <w:bookmarkStart w:id="1010" w:name="_2.4.4._Comment_bien"/>
                  <w:bookmarkStart w:id="1011" w:name="_Toc291075570"/>
                  <w:bookmarkStart w:id="1012" w:name="_Toc291075994"/>
                  <w:bookmarkStart w:id="1013" w:name="_Toc291076418"/>
                  <w:bookmarkStart w:id="1014" w:name="_Toc291076842"/>
                  <w:bookmarkStart w:id="1015" w:name="_Toc291077266"/>
                  <w:bookmarkStart w:id="1016" w:name="_Toc293652108"/>
                  <w:bookmarkStart w:id="1017" w:name="_Toc293653690"/>
                  <w:bookmarkStart w:id="1018" w:name="_Toc293654302"/>
                  <w:bookmarkStart w:id="1019" w:name="_Toc294004882"/>
                  <w:bookmarkStart w:id="1020" w:name="_Toc294185378"/>
                  <w:bookmarkStart w:id="1021" w:name="_Toc324767244"/>
                  <w:bookmarkStart w:id="1022" w:name="_Toc324768102"/>
                  <w:bookmarkEnd w:id="1010"/>
                  <w:r>
                    <w:rPr>
                      <w:rFonts w:asciiTheme="majorHAnsi" w:hAnsiTheme="majorHAnsi"/>
                      <w:sz w:val="22"/>
                      <w:szCs w:val="22"/>
                    </w:rPr>
                    <w:t>Quelques exemples :</w:t>
                  </w:r>
                </w:p>
                <w:p>
                  <w:pPr>
                    <w:pStyle w:val="Corpsdetexte21"/>
                    <w:jc w:val="both"/>
                    <w:rPr>
                      <w:rFonts w:asciiTheme="majorHAnsi" w:hAnsiTheme="majorHAnsi"/>
                      <w:sz w:val="22"/>
                      <w:szCs w:val="22"/>
                    </w:rPr>
                  </w:pPr>
                  <w:r>
                    <w:rPr>
                      <w:rFonts w:asciiTheme="majorHAnsi" w:hAnsiTheme="majorHAnsi"/>
                      <w:sz w:val="22"/>
                      <w:szCs w:val="22"/>
                    </w:rPr>
                    <w:t>Les articles 81 et 89 du décret « Missions » du 24 juillet 1997 dressent une liste NON EXHAUSTIVE de faits pouvant entrainer l’exclusion définitive d’un élève :</w:t>
                  </w:r>
                </w:p>
                <w:p>
                  <w:pPr>
                    <w:pStyle w:val="Corpsdetexte21"/>
                    <w:jc w:val="both"/>
                    <w:rPr>
                      <w:rFonts w:asciiTheme="majorHAnsi" w:hAnsiTheme="majorHAnsi"/>
                      <w:sz w:val="22"/>
                      <w:szCs w:val="22"/>
                    </w:rPr>
                  </w:pPr>
                  <w:r>
                    <w:rPr>
                      <w:rFonts w:asciiTheme="majorHAnsi" w:hAnsiTheme="majorHAnsi"/>
                      <w:sz w:val="22"/>
                      <w:szCs w:val="22"/>
                    </w:rPr>
                    <w:t>Sont notamment considérés comme faits répondant à ces conditions</w:t>
                  </w:r>
                  <w:r>
                    <w:rPr>
                      <w:rStyle w:val="Appelnotedebasdep1"/>
                      <w:rFonts w:asciiTheme="majorHAnsi" w:hAnsiTheme="majorHAnsi"/>
                      <w:sz w:val="22"/>
                      <w:szCs w:val="22"/>
                    </w:rPr>
                    <w:footnoteReference w:id="88"/>
                  </w:r>
                  <w:r>
                    <w:rPr>
                      <w:rFonts w:asciiTheme="majorHAnsi" w:hAnsiTheme="majorHAnsi"/>
                      <w:sz w:val="22"/>
                      <w:szCs w:val="22"/>
                    </w:rPr>
                    <w:t> :</w:t>
                  </w:r>
                </w:p>
                <w:p>
                  <w:pPr>
                    <w:pStyle w:val="Corpsdetexte21"/>
                    <w:numPr>
                      <w:ilvl w:val="0"/>
                      <w:numId w:val="90"/>
                    </w:numPr>
                    <w:ind w:left="284" w:hanging="284"/>
                    <w:jc w:val="both"/>
                    <w:rPr>
                      <w:rFonts w:asciiTheme="majorHAnsi" w:hAnsiTheme="majorHAnsi"/>
                      <w:sz w:val="22"/>
                      <w:szCs w:val="22"/>
                    </w:rPr>
                  </w:pPr>
                  <w:r>
                    <w:rPr>
                      <w:rFonts w:asciiTheme="majorHAnsi" w:hAnsiTheme="majorHAnsi"/>
                      <w:sz w:val="22"/>
                      <w:szCs w:val="22"/>
                    </w:rPr>
                    <w:t>tout coup et blessure porté sciemment par un élève à un autre élève ou à un membre du personnel, dans l’enceinte de l’établissement ou hors de celle-ci, ayant entraîné une incapacité même limitée dans le temps de travail ou de suivre les cours (remarque : l’absence d’incapacité limitée dans le temps de travail ou de suivre le cours permet d’exclure l’élève) ;</w:t>
                  </w:r>
                </w:p>
                <w:p>
                  <w:pPr>
                    <w:pStyle w:val="Corpsdetexte21"/>
                    <w:numPr>
                      <w:ilvl w:val="0"/>
                      <w:numId w:val="90"/>
                    </w:numPr>
                    <w:ind w:left="284" w:hanging="284"/>
                    <w:jc w:val="both"/>
                    <w:rPr>
                      <w:rFonts w:asciiTheme="majorHAnsi" w:hAnsiTheme="majorHAnsi"/>
                      <w:sz w:val="22"/>
                      <w:szCs w:val="22"/>
                    </w:rPr>
                  </w:pPr>
                  <w:r>
                    <w:rPr>
                      <w:rFonts w:asciiTheme="majorHAnsi" w:hAnsiTheme="majorHAnsi"/>
                      <w:sz w:val="22"/>
                      <w:szCs w:val="22"/>
                    </w:rPr>
                    <w:t>tout coup et blessure porté sciemment par un élève à un délégué du pouvoir organisateur, à un membre des services d’inspection ou de vérification, à un délégué de la Fédération Wallonie-Bruxelles, dans l’enceinte de l’établissement ou hors de celle-ci, ayant entraîné une incapacité de travail même limitée dans le temps (remarque : l’absence d’incapacité limitée dans le temps de travail ou de suivre le cours permet d’exclure l’élève) ;</w:t>
                  </w:r>
                </w:p>
                <w:p>
                  <w:pPr>
                    <w:pStyle w:val="Corpsdetexte21"/>
                    <w:numPr>
                      <w:ilvl w:val="0"/>
                      <w:numId w:val="90"/>
                    </w:numPr>
                    <w:ind w:left="284" w:hanging="284"/>
                    <w:jc w:val="both"/>
                    <w:rPr>
                      <w:rFonts w:asciiTheme="majorHAnsi" w:hAnsiTheme="majorHAnsi"/>
                      <w:sz w:val="22"/>
                      <w:szCs w:val="22"/>
                    </w:rPr>
                  </w:pPr>
                  <w:r>
                    <w:rPr>
                      <w:rFonts w:asciiTheme="majorHAnsi" w:hAnsiTheme="majorHAnsi"/>
                      <w:sz w:val="22"/>
                      <w:szCs w:val="22"/>
                    </w:rPr>
                    <w:t>tout coup et blessure porté sciemment par un élève à une personne autorisée à pénétrer au sein de l’établissement lorsqu’ils sont portés dans l’enceinte de l’établissement, ayant entraîné une incapacité de travail même limitée dans le temps (remarque : l’absence d’incapacité limitée dans le temps de travail ou de suivre le cours permet d’exclure l’élève) ;</w:t>
                  </w:r>
                </w:p>
                <w:p>
                  <w:pPr>
                    <w:pStyle w:val="Corpsdetexte21"/>
                    <w:numPr>
                      <w:ilvl w:val="0"/>
                      <w:numId w:val="90"/>
                    </w:numPr>
                    <w:ind w:left="284" w:hanging="284"/>
                    <w:jc w:val="both"/>
                    <w:rPr>
                      <w:rFonts w:asciiTheme="majorHAnsi" w:hAnsiTheme="majorHAnsi"/>
                      <w:sz w:val="22"/>
                      <w:szCs w:val="22"/>
                    </w:rPr>
                  </w:pPr>
                  <w:r>
                    <w:rPr>
                      <w:rFonts w:asciiTheme="majorHAnsi" w:hAnsiTheme="majorHAnsi"/>
                      <w:sz w:val="22"/>
                      <w:szCs w:val="22"/>
                    </w:rPr>
                    <w:t>l’introduction ou la détention par un élève au sein d’un établissement scolaire ou dans le voisinage immédiat de cet établissement de quelque arme que ce soit visée, sous quelque catégorie que ce soit, à l’article 3 de la loi du 3 janvier 1933 relative à la fabrication, au commerce et au port des armes et au commerce des munitions ;</w:t>
                  </w:r>
                </w:p>
                <w:p>
                  <w:pPr>
                    <w:pStyle w:val="Corpsdetexte21"/>
                    <w:numPr>
                      <w:ilvl w:val="0"/>
                      <w:numId w:val="90"/>
                    </w:numPr>
                    <w:ind w:left="284" w:hanging="284"/>
                    <w:jc w:val="both"/>
                    <w:rPr>
                      <w:rFonts w:asciiTheme="majorHAnsi" w:hAnsiTheme="majorHAnsi"/>
                      <w:sz w:val="22"/>
                      <w:szCs w:val="22"/>
                    </w:rPr>
                  </w:pPr>
                  <w:r>
                    <w:rPr>
                      <w:rFonts w:asciiTheme="majorHAnsi" w:hAnsiTheme="majorHAnsi"/>
                      <w:sz w:val="22"/>
                      <w:szCs w:val="22"/>
                    </w:rPr>
                    <w:t>toute manipulation hors de son usage didactique d’un instrument utilisé dans le cadre de certains cours ou activités pédagogiques lorsque cet instrument peut causer des blessures ;</w:t>
                  </w:r>
                </w:p>
                <w:p>
                  <w:pPr>
                    <w:pStyle w:val="Corpsdetexte21"/>
                    <w:numPr>
                      <w:ilvl w:val="0"/>
                      <w:numId w:val="90"/>
                    </w:numPr>
                    <w:ind w:left="284" w:hanging="284"/>
                    <w:jc w:val="both"/>
                    <w:rPr>
                      <w:rFonts w:asciiTheme="majorHAnsi" w:hAnsiTheme="majorHAnsi"/>
                      <w:sz w:val="22"/>
                      <w:szCs w:val="22"/>
                    </w:rPr>
                  </w:pPr>
                  <w:r>
                    <w:rPr>
                      <w:rFonts w:asciiTheme="majorHAnsi" w:hAnsiTheme="majorHAnsi"/>
                      <w:sz w:val="22"/>
                      <w:szCs w:val="22"/>
                    </w:rPr>
                    <w:t>l’introduction ou la détention, sans raison légitime, par un élève au sein d’un établissement scolaire ou dans le voisinage immédiat de cet établissement, de tout instrument, outil, objet tranchant, contondant ou blessant ;</w:t>
                  </w:r>
                </w:p>
                <w:p>
                  <w:pPr>
                    <w:pStyle w:val="Corpsdetexte21"/>
                    <w:numPr>
                      <w:ilvl w:val="0"/>
                      <w:numId w:val="90"/>
                    </w:numPr>
                    <w:ind w:left="284" w:hanging="284"/>
                    <w:jc w:val="both"/>
                    <w:rPr>
                      <w:rFonts w:asciiTheme="majorHAnsi" w:hAnsiTheme="majorHAnsi"/>
                      <w:sz w:val="22"/>
                      <w:szCs w:val="22"/>
                    </w:rPr>
                  </w:pPr>
                  <w:r>
                    <w:rPr>
                      <w:rFonts w:asciiTheme="majorHAnsi" w:hAnsiTheme="majorHAnsi"/>
                      <w:sz w:val="22"/>
                      <w:szCs w:val="22"/>
                    </w:rPr>
                    <w:t>l’introduction ou la détention par un élève au sein d’un établissement ou dans le voisinage immédiat de cet établissement, de substances inflammables sauf dans les cas où celles-ci sont nécessaires aux activités pédagogiques et utilisées exclusivement dans le cadre de celles-ci ;</w:t>
                  </w:r>
                </w:p>
                <w:p>
                  <w:pPr>
                    <w:pStyle w:val="Corpsdetexte21"/>
                    <w:numPr>
                      <w:ilvl w:val="0"/>
                      <w:numId w:val="90"/>
                    </w:numPr>
                    <w:ind w:left="284" w:hanging="284"/>
                    <w:jc w:val="both"/>
                    <w:rPr>
                      <w:rFonts w:asciiTheme="majorHAnsi" w:hAnsiTheme="majorHAnsi"/>
                      <w:sz w:val="22"/>
                      <w:szCs w:val="22"/>
                    </w:rPr>
                  </w:pPr>
                  <w:r>
                    <w:rPr>
                      <w:rFonts w:asciiTheme="majorHAnsi" w:hAnsiTheme="majorHAnsi"/>
                      <w:sz w:val="22"/>
                      <w:szCs w:val="22"/>
                    </w:rPr>
                    <w:t>l’introduction ou la détention par un élève au sein d’un établissement ou dans le voisinage immédiat de cet établissement, de substances visées à l’article 1</w:t>
                  </w:r>
                  <w:r>
                    <w:rPr>
                      <w:rFonts w:asciiTheme="majorHAnsi" w:hAnsiTheme="majorHAnsi"/>
                      <w:sz w:val="22"/>
                      <w:szCs w:val="22"/>
                      <w:vertAlign w:val="superscript"/>
                    </w:rPr>
                    <w:t>er</w:t>
                  </w:r>
                  <w:r>
                    <w:rPr>
                      <w:rFonts w:asciiTheme="majorHAnsi" w:hAnsiTheme="majorHAnsi"/>
                      <w:sz w:val="22"/>
                      <w:szCs w:val="22"/>
                    </w:rPr>
                    <w:t xml:space="preserve"> de la loi du </w:t>
                  </w:r>
                  <w:r>
                    <w:rPr>
                      <w:rFonts w:asciiTheme="majorHAnsi" w:hAnsiTheme="majorHAnsi"/>
                      <w:sz w:val="22"/>
                      <w:szCs w:val="22"/>
                    </w:rPr>
                    <w:br/>
                    <w:t>24 février 1921 concernant le trafic des substances vénéneuses, soporifiques, stupéfiantes, désinfectantes ou antiseptiques, en violation des règles fixées pour l’usage, le commerce et le stockage de ces substances ;</w:t>
                  </w:r>
                </w:p>
                <w:p>
                  <w:pPr>
                    <w:pStyle w:val="Corpsdetexte21"/>
                    <w:numPr>
                      <w:ilvl w:val="0"/>
                      <w:numId w:val="90"/>
                    </w:numPr>
                    <w:ind w:left="284" w:hanging="284"/>
                    <w:jc w:val="both"/>
                    <w:rPr>
                      <w:rFonts w:asciiTheme="majorHAnsi" w:hAnsiTheme="majorHAnsi"/>
                      <w:sz w:val="22"/>
                      <w:szCs w:val="22"/>
                    </w:rPr>
                  </w:pPr>
                  <w:r>
                    <w:rPr>
                      <w:rFonts w:asciiTheme="majorHAnsi" w:hAnsiTheme="majorHAnsi"/>
                      <w:sz w:val="22"/>
                      <w:szCs w:val="22"/>
                    </w:rPr>
                    <w:t>le fait d’extorquer, à l’aide de violences ou de menaces, des fonds, valeurs, objets, promesses d’un autre élève ou d’un membre du personnel dans l’enceinte de l’établissement ou hors de celle-ci ;</w:t>
                  </w:r>
                </w:p>
                <w:p>
                  <w:pPr>
                    <w:pStyle w:val="Corpsdetexte21"/>
                    <w:numPr>
                      <w:ilvl w:val="0"/>
                      <w:numId w:val="90"/>
                    </w:numPr>
                    <w:tabs>
                      <w:tab w:val="clear" w:pos="360"/>
                      <w:tab w:val="num" w:pos="567"/>
                    </w:tabs>
                    <w:ind w:left="284" w:hanging="284"/>
                    <w:jc w:val="both"/>
                    <w:rPr>
                      <w:rFonts w:asciiTheme="majorHAnsi" w:hAnsiTheme="majorHAnsi"/>
                      <w:sz w:val="22"/>
                      <w:szCs w:val="22"/>
                    </w:rPr>
                  </w:pPr>
                  <w:r>
                    <w:rPr>
                      <w:rFonts w:asciiTheme="majorHAnsi" w:hAnsiTheme="majorHAnsi"/>
                      <w:sz w:val="22"/>
                      <w:szCs w:val="22"/>
                    </w:rPr>
                    <w:t>le fait d’exercer sciemment et de manière répétée sur un autre élève ou un membre du personnel une pression psychologique insupportable, par insultes, injures, calomnies ou diffamation.</w:t>
                  </w:r>
                </w:p>
                <w:p>
                  <w:pPr>
                    <w:pStyle w:val="Corpsdetexte21"/>
                    <w:numPr>
                      <w:ilvl w:val="0"/>
                      <w:numId w:val="90"/>
                    </w:numPr>
                    <w:tabs>
                      <w:tab w:val="clear" w:pos="360"/>
                      <w:tab w:val="num" w:pos="567"/>
                    </w:tabs>
                    <w:ind w:left="284" w:hanging="284"/>
                    <w:jc w:val="both"/>
                    <w:rPr>
                      <w:rFonts w:asciiTheme="majorHAnsi" w:hAnsiTheme="majorHAnsi"/>
                      <w:sz w:val="22"/>
                      <w:szCs w:val="22"/>
                    </w:rPr>
                  </w:pPr>
                  <w:r>
                    <w:rPr>
                      <w:rFonts w:asciiTheme="majorHAnsi" w:hAnsiTheme="majorHAnsi"/>
                      <w:sz w:val="22"/>
                      <w:szCs w:val="22"/>
                    </w:rPr>
                    <w:t>Lorsqu’il peut être apporté la preuve qu’une personne étrangère à l’établissement a commis un des faits graves visés ci-dessus sur l’instigation ou avec la complicité d’un élève de l’établissement, ce dernier est considéré comme ayant commis un fait pouvant justifier l’exclusion définitive</w:t>
                  </w:r>
                  <w:r>
                    <w:rPr>
                      <w:rFonts w:asciiTheme="majorHAnsi" w:hAnsiTheme="majorHAnsi"/>
                      <w:sz w:val="22"/>
                      <w:szCs w:val="22"/>
                      <w:vertAlign w:val="superscript"/>
                    </w:rPr>
                    <w:t>.</w:t>
                  </w:r>
                  <w:r>
                    <w:rPr>
                      <w:rFonts w:asciiTheme="majorHAnsi" w:hAnsiTheme="majorHAnsi"/>
                      <w:sz w:val="22"/>
                      <w:szCs w:val="22"/>
                    </w:rPr>
                    <w:t xml:space="preserve"> Cette disposition ne trouve pas à s’appliquer lorsque le fait est commis par les parents de l’élève ou la personne investie à son égard de l’autorité parentale.</w:t>
                  </w:r>
                </w:p>
                <w:p>
                  <w:pPr>
                    <w:jc w:val="both"/>
                    <w:rPr>
                      <w:rFonts w:cs="Arial"/>
                      <w:spacing w:val="-4"/>
                    </w:rPr>
                  </w:pPr>
                </w:p>
                <w:p>
                  <w:pPr>
                    <w:pStyle w:val="Corpsdetexte21"/>
                    <w:jc w:val="both"/>
                    <w:rPr>
                      <w:rFonts w:asciiTheme="majorHAnsi" w:hAnsiTheme="majorHAnsi"/>
                      <w:sz w:val="22"/>
                      <w:szCs w:val="22"/>
                    </w:rPr>
                  </w:pPr>
                  <w:r>
                    <w:rPr>
                      <w:rFonts w:asciiTheme="majorHAnsi" w:hAnsiTheme="majorHAnsi"/>
                      <w:sz w:val="22"/>
                      <w:szCs w:val="22"/>
                    </w:rPr>
                    <w:t>A remarquer que par « voisinage immédiat de l’institution », il faut entendre « partie visible de la voie publique à partir de l’établissement scolaire.</w:t>
                  </w:r>
                </w:p>
                <w:p>
                  <w:pPr>
                    <w:pStyle w:val="Corpsdetexte21"/>
                    <w:jc w:val="both"/>
                    <w:rPr>
                      <w:rFonts w:asciiTheme="majorHAnsi" w:hAnsiTheme="majorHAnsi"/>
                      <w:sz w:val="22"/>
                      <w:szCs w:val="22"/>
                    </w:rPr>
                  </w:pPr>
                  <w:r>
                    <w:rPr>
                      <w:rFonts w:asciiTheme="majorHAnsi" w:hAnsiTheme="majorHAnsi"/>
                      <w:sz w:val="22"/>
                      <w:szCs w:val="22"/>
                    </w:rPr>
                    <w:t>Les faits décrits ci-dessus n’entraînent pas ipso facto l’exclusion de leur auteur. Il revient, en effet, au chef d’établissement d’apprécier si, au vu de la situation particulière de l’élève et de ses antécédents disciplinaires, une mesure d’exclusion définitive se justifie.</w:t>
                  </w:r>
                </w:p>
                <w:p>
                  <w:pPr>
                    <w:pStyle w:val="Corpsdetexte21"/>
                    <w:jc w:val="both"/>
                    <w:rPr>
                      <w:rFonts w:asciiTheme="majorHAnsi" w:hAnsiTheme="majorHAnsi"/>
                      <w:sz w:val="22"/>
                      <w:szCs w:val="22"/>
                    </w:rPr>
                  </w:pPr>
                </w:p>
                <w:p>
                  <w:pPr>
                    <w:pStyle w:val="Titre5"/>
                    <w:numPr>
                      <w:ilvl w:val="2"/>
                      <w:numId w:val="234"/>
                    </w:numPr>
                  </w:pPr>
                  <w:r>
                    <w:t>Comment bien calculer les 4 jours de délai entre la notification de l’exclusion définitive et l’audition des parents/élève ?</w:t>
                  </w:r>
                  <w:bookmarkEnd w:id="1011"/>
                  <w:bookmarkEnd w:id="1012"/>
                  <w:bookmarkEnd w:id="1013"/>
                  <w:bookmarkEnd w:id="1014"/>
                  <w:bookmarkEnd w:id="1015"/>
                  <w:bookmarkEnd w:id="1016"/>
                  <w:bookmarkEnd w:id="1017"/>
                  <w:bookmarkEnd w:id="1018"/>
                  <w:bookmarkEnd w:id="1019"/>
                  <w:bookmarkEnd w:id="1020"/>
                  <w:bookmarkEnd w:id="1021"/>
                  <w:bookmarkEnd w:id="1022"/>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Illustration : la lettre recommandée avec accusé de réception est déposée au bureau de poste un lundi. Le délai commence à courir le premier jour qui suit celui où le pli a été présenté au domicile du destinataire (que celui-ci soit présent ou non). Par conséquent, le premier jour ouvrable est le mercredi. Le dimanche et les jours fériés n’étant pas des jours ouvrables, l’audition peut avoir lieu à partir du lundi. </w:t>
                  </w:r>
                </w:p>
                <w:p>
                  <w:pPr>
                    <w:pStyle w:val="Corpsdetexte21"/>
                    <w:jc w:val="both"/>
                    <w:rPr>
                      <w:rFonts w:asciiTheme="majorHAnsi" w:hAnsiTheme="majorHAnsi"/>
                      <w:sz w:val="22"/>
                      <w:szCs w:val="22"/>
                    </w:rPr>
                  </w:pPr>
                </w:p>
                <w:p>
                  <w:pPr>
                    <w:pStyle w:val="Titre5"/>
                    <w:numPr>
                      <w:ilvl w:val="2"/>
                      <w:numId w:val="234"/>
                    </w:numPr>
                  </w:pPr>
                  <w:bookmarkStart w:id="1023" w:name="_Toc291075571"/>
                  <w:bookmarkStart w:id="1024" w:name="_Toc291075995"/>
                  <w:bookmarkStart w:id="1025" w:name="_Toc291076419"/>
                  <w:bookmarkStart w:id="1026" w:name="_Toc291076843"/>
                  <w:bookmarkStart w:id="1027" w:name="_Toc291077267"/>
                  <w:bookmarkStart w:id="1028" w:name="_Toc293652109"/>
                  <w:bookmarkStart w:id="1029" w:name="_Toc293653691"/>
                  <w:bookmarkStart w:id="1030" w:name="_Toc293654303"/>
                  <w:bookmarkStart w:id="1031" w:name="_Toc294004883"/>
                  <w:bookmarkStart w:id="1032" w:name="_Toc294185379"/>
                  <w:bookmarkStart w:id="1033" w:name="_Toc324767245"/>
                  <w:bookmarkStart w:id="1034" w:name="_Toc324768103"/>
                  <w:r>
                    <w:t>Quelle est l’utilité du signalement de l’exclusion définitive et du signalement des faits de violence n’ayant pas mené à une exclusion pour l’Administration ?</w:t>
                  </w:r>
                  <w:bookmarkEnd w:id="1023"/>
                  <w:bookmarkEnd w:id="1024"/>
                  <w:bookmarkEnd w:id="1025"/>
                  <w:bookmarkEnd w:id="1026"/>
                  <w:bookmarkEnd w:id="1027"/>
                  <w:bookmarkEnd w:id="1028"/>
                  <w:bookmarkEnd w:id="1029"/>
                  <w:bookmarkEnd w:id="1030"/>
                  <w:bookmarkEnd w:id="1031"/>
                  <w:bookmarkEnd w:id="1032"/>
                  <w:bookmarkEnd w:id="1033"/>
                  <w:bookmarkEnd w:id="1034"/>
                </w:p>
                <w:p>
                  <w:pPr>
                    <w:pStyle w:val="Corpsdetexte21"/>
                    <w:jc w:val="both"/>
                    <w:rPr>
                      <w:rFonts w:asciiTheme="majorHAnsi" w:hAnsiTheme="majorHAnsi"/>
                      <w:b/>
                      <w:color w:val="008000"/>
                      <w:sz w:val="22"/>
                      <w:szCs w:val="22"/>
                      <w:u w:val="single"/>
                    </w:rPr>
                  </w:pPr>
                </w:p>
                <w:p>
                  <w:pPr>
                    <w:jc w:val="both"/>
                    <w:rPr>
                      <w:rFonts w:cs="Arial"/>
                      <w:spacing w:val="-4"/>
                    </w:rPr>
                  </w:pPr>
                  <w:r>
                    <w:rPr>
                      <w:rFonts w:cs="Arial"/>
                      <w:spacing w:val="-4"/>
                    </w:rPr>
                    <w:t xml:space="preserve">Il sert à l’Administration afin que celle-ci veille à la rescolarisation de l’élève exclu.  </w:t>
                  </w:r>
                </w:p>
                <w:p>
                  <w:pPr>
                    <w:jc w:val="both"/>
                    <w:rPr>
                      <w:rFonts w:cs="Arial"/>
                      <w:spacing w:val="-4"/>
                    </w:rPr>
                  </w:pPr>
                  <w:r>
                    <w:rPr>
                      <w:rFonts w:cs="Arial"/>
                      <w:spacing w:val="-4"/>
                    </w:rPr>
                    <w:t>Le formulaire de signalement d’exclusion définitive d’un élève a été révisé, notamment dans le cadre de l’Observatoire de la violence et du décrochage en milieu scolaire</w:t>
                  </w:r>
                  <w:r>
                    <w:rPr>
                      <w:rStyle w:val="Appelnotedebasdep1"/>
                      <w:spacing w:val="-4"/>
                    </w:rPr>
                    <w:footnoteReference w:id="89"/>
                  </w:r>
                  <w:r>
                    <w:rPr>
                      <w:rFonts w:cs="Arial"/>
                      <w:spacing w:val="-4"/>
                    </w:rPr>
                    <w:t xml:space="preserve">. </w:t>
                  </w:r>
                </w:p>
                <w:p>
                  <w:pPr>
                    <w:jc w:val="both"/>
                    <w:rPr>
                      <w:rFonts w:cs="Arial"/>
                      <w:spacing w:val="-4"/>
                    </w:rPr>
                  </w:pPr>
                  <w:r>
                    <w:rPr>
                      <w:rFonts w:cs="Arial"/>
                      <w:spacing w:val="-4"/>
                    </w:rPr>
                    <w:t>Ce formulaire de signalement d’exclusion définitive constitue un moyen pour recueillir une partie d’information sur les problématiques de violence et de décrochage scolaire. Dans cette perspective, des rubriques spécifiques ont été ajoutées. Elles feront l’objet d’un traitement anonymisé.</w:t>
                  </w:r>
                </w:p>
                <w:p>
                  <w:pPr>
                    <w:jc w:val="both"/>
                    <w:rPr>
                      <w:rFonts w:cs="Arial"/>
                      <w:spacing w:val="-4"/>
                    </w:rPr>
                  </w:pPr>
                </w:p>
                <w:p>
                  <w:pPr>
                    <w:jc w:val="both"/>
                    <w:rPr>
                      <w:rFonts w:cs="Arial"/>
                      <w:spacing w:val="-4"/>
                    </w:rPr>
                  </w:pPr>
                  <w:r>
                    <w:rPr>
                      <w:rFonts w:cs="Arial"/>
                      <w:spacing w:val="-4"/>
                    </w:rPr>
                    <w:t xml:space="preserve">Si la collaboration des chefs d’établissement reste libre et facultative pour la deuxième partie du formulaire de signalement d’exclusion définitive, elle demeure précieuse et utile. En effet, pour pouvoir transmettre les résultats de ses analyses aux établissements, l’Observatoire se basera sur les informations qui lui seront transmises via le formulaire. Ainsi, les données issues de la participation des chefs d’établissement deviendront des sources d’informations qui seront mises à leur disposition. </w:t>
                  </w:r>
                </w:p>
                <w:p>
                  <w:pPr>
                    <w:jc w:val="both"/>
                    <w:rPr>
                      <w:rFonts w:cs="Arial"/>
                      <w:spacing w:val="-4"/>
                    </w:rPr>
                  </w:pPr>
                </w:p>
                <w:p>
                  <w:pPr>
                    <w:pStyle w:val="Titre4"/>
                    <w:numPr>
                      <w:ilvl w:val="1"/>
                      <w:numId w:val="234"/>
                    </w:numPr>
                  </w:pPr>
                  <w:bookmarkStart w:id="1035" w:name="_Toc291075572"/>
                  <w:bookmarkStart w:id="1036" w:name="_Toc291075996"/>
                  <w:bookmarkStart w:id="1037" w:name="_Toc291076420"/>
                  <w:bookmarkStart w:id="1038" w:name="_Toc291076844"/>
                  <w:bookmarkStart w:id="1039" w:name="_Toc291077268"/>
                  <w:bookmarkStart w:id="1040" w:name="_Toc293652110"/>
                  <w:bookmarkStart w:id="1041" w:name="_Toc293653692"/>
                  <w:bookmarkStart w:id="1042" w:name="_Toc293654304"/>
                  <w:bookmarkStart w:id="1043" w:name="_Toc294004884"/>
                  <w:bookmarkStart w:id="1044" w:name="_Toc294185380"/>
                  <w:bookmarkStart w:id="1045" w:name="_Toc324767246"/>
                  <w:bookmarkStart w:id="1046" w:name="_Toc412204089"/>
                  <w:bookmarkStart w:id="1047" w:name="_Toc414352897"/>
                  <w:bookmarkStart w:id="1048" w:name="_Toc453836920"/>
                  <w:r>
                    <w:t>Questions-réponses relatives à la collaboration avec les services de police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pPr>
                    <w:pStyle w:val="Corpsdetexte21"/>
                    <w:jc w:val="both"/>
                    <w:rPr>
                      <w:rFonts w:asciiTheme="majorHAnsi" w:hAnsiTheme="majorHAnsi"/>
                      <w:b/>
                      <w:color w:val="008000"/>
                      <w:sz w:val="22"/>
                      <w:szCs w:val="22"/>
                      <w:u w:val="single"/>
                    </w:rPr>
                  </w:pPr>
                </w:p>
                <w:p>
                  <w:pPr>
                    <w:pStyle w:val="Titre5"/>
                    <w:numPr>
                      <w:ilvl w:val="2"/>
                      <w:numId w:val="234"/>
                    </w:numPr>
                  </w:pPr>
                  <w:bookmarkStart w:id="1049" w:name="_Toc291075573"/>
                  <w:bookmarkStart w:id="1050" w:name="_Toc291075997"/>
                  <w:bookmarkStart w:id="1051" w:name="_Toc291076421"/>
                  <w:bookmarkStart w:id="1052" w:name="_Toc291076845"/>
                  <w:bookmarkStart w:id="1053" w:name="_Toc291077269"/>
                  <w:bookmarkStart w:id="1054" w:name="_Toc293652111"/>
                  <w:bookmarkStart w:id="1055" w:name="_Toc293653693"/>
                  <w:bookmarkStart w:id="1056" w:name="_Toc293654305"/>
                  <w:bookmarkStart w:id="1057" w:name="_Toc294004885"/>
                  <w:bookmarkStart w:id="1058" w:name="_Toc294185381"/>
                  <w:bookmarkStart w:id="1059" w:name="_Toc324767247"/>
                  <w:bookmarkStart w:id="1060" w:name="_Toc324768105"/>
                  <w:r>
                    <w:t>Quels sont les termes à éviter dans la convention ?</w:t>
                  </w:r>
                  <w:bookmarkEnd w:id="1049"/>
                  <w:bookmarkEnd w:id="1050"/>
                  <w:bookmarkEnd w:id="1051"/>
                  <w:bookmarkEnd w:id="1052"/>
                  <w:bookmarkEnd w:id="1053"/>
                  <w:bookmarkEnd w:id="1054"/>
                  <w:bookmarkEnd w:id="1055"/>
                  <w:bookmarkEnd w:id="1056"/>
                  <w:bookmarkEnd w:id="1057"/>
                  <w:bookmarkEnd w:id="1058"/>
                  <w:bookmarkEnd w:id="1059"/>
                  <w:bookmarkEnd w:id="1060"/>
                </w:p>
                <w:p>
                  <w:pPr>
                    <w:jc w:val="both"/>
                    <w:rPr>
                      <w:rFonts w:cs="Arial"/>
                    </w:rPr>
                  </w:pPr>
                </w:p>
                <w:p>
                  <w:pPr>
                    <w:jc w:val="both"/>
                    <w:rPr>
                      <w:rFonts w:cs="Arial"/>
                    </w:rPr>
                  </w:pPr>
                  <w:r>
                    <w:rPr>
                      <w:rFonts w:cs="Arial"/>
                    </w:rPr>
                    <w:t>La clarté et la précision des termes utilisés dans la convention sont essentielles pour déterminer la portée des engagements souscrits.</w:t>
                  </w:r>
                </w:p>
                <w:p>
                  <w:pPr>
                    <w:jc w:val="both"/>
                    <w:rPr>
                      <w:rFonts w:cs="Arial"/>
                    </w:rPr>
                  </w:pPr>
                </w:p>
                <w:p>
                  <w:pPr>
                    <w:jc w:val="both"/>
                    <w:rPr>
                      <w:rFonts w:cs="Arial"/>
                    </w:rPr>
                  </w:pPr>
                  <w:r>
                    <w:rPr>
                      <w:rFonts w:cs="Arial"/>
                    </w:rPr>
                    <w:t>Les exemples qui suivent, extraits des projets de protocoles examinés, permettront d’illustrer ce propos :</w:t>
                  </w:r>
                </w:p>
                <w:p>
                  <w:pPr>
                    <w:jc w:val="both"/>
                    <w:rPr>
                      <w:rFonts w:cs="Arial"/>
                    </w:rPr>
                  </w:pPr>
                </w:p>
                <w:p>
                  <w:pPr>
                    <w:numPr>
                      <w:ilvl w:val="0"/>
                      <w:numId w:val="94"/>
                    </w:numPr>
                    <w:suppressAutoHyphens/>
                    <w:ind w:left="907"/>
                    <w:jc w:val="both"/>
                    <w:rPr>
                      <w:rFonts w:cs="Arial"/>
                    </w:rPr>
                  </w:pPr>
                  <w:r>
                    <w:rPr>
                      <w:rFonts w:cs="Arial"/>
                    </w:rPr>
                    <w:t xml:space="preserve">« </w:t>
                  </w:r>
                  <w:r>
                    <w:rPr>
                      <w:rFonts w:cs="Arial"/>
                      <w:i/>
                    </w:rPr>
                    <w:t>porter à la connaissance de la police locale les faits graves commis par les élèves, seul ou en groupe</w:t>
                  </w:r>
                  <w:r>
                    <w:rPr>
                      <w:rFonts w:cs="Arial"/>
                    </w:rPr>
                    <w:t> », de même en cas de « </w:t>
                  </w:r>
                  <w:r>
                    <w:rPr>
                      <w:rFonts w:cs="Arial"/>
                      <w:i/>
                    </w:rPr>
                    <w:t>sérieux soupçons sur de tels faits</w:t>
                  </w:r>
                  <w:r>
                    <w:rPr>
                      <w:rFonts w:cs="Arial"/>
                    </w:rPr>
                    <w:t> ». Il est également parfois fait référence à des « </w:t>
                  </w:r>
                  <w:r>
                    <w:rPr>
                      <w:rFonts w:cs="Arial"/>
                      <w:i/>
                    </w:rPr>
                    <w:t>faits répréhensibles graves</w:t>
                  </w:r>
                  <w:r>
                    <w:rPr>
                      <w:rFonts w:cs="Arial"/>
                    </w:rPr>
                    <w:t> ».</w:t>
                  </w:r>
                </w:p>
                <w:p>
                  <w:pPr>
                    <w:jc w:val="both"/>
                    <w:rPr>
                      <w:rFonts w:cs="Arial"/>
                    </w:rPr>
                  </w:pPr>
                </w:p>
                <w:p>
                  <w:pPr>
                    <w:jc w:val="both"/>
                    <w:rPr>
                      <w:rFonts w:cs="Arial"/>
                    </w:rPr>
                  </w:pPr>
                  <w:r>
                    <w:rPr>
                      <w:rFonts w:cs="Arial"/>
                    </w:rPr>
                    <w:t>La notion de gravité est susceptible d’appréciation, l’engagement de dénoncer de tels faits est donc indéterminé. De plus, le lieu de survenance des faits à dénoncer n’est pas précisé.</w:t>
                  </w:r>
                </w:p>
                <w:p>
                  <w:pPr>
                    <w:jc w:val="both"/>
                    <w:rPr>
                      <w:rFonts w:cs="Arial"/>
                    </w:rPr>
                  </w:pPr>
                  <w:r>
                    <w:rPr>
                      <w:rFonts w:cs="Arial"/>
                    </w:rPr>
                    <w:t>Il vaut dès lors mieux se référer aux obligations qui incombent au chef d’établissement en vertu du Code d’instruction criminelle.</w:t>
                  </w:r>
                </w:p>
                <w:p>
                  <w:pPr>
                    <w:jc w:val="both"/>
                    <w:rPr>
                      <w:rFonts w:cs="Arial"/>
                    </w:rPr>
                  </w:pPr>
                </w:p>
                <w:p>
                  <w:pPr>
                    <w:numPr>
                      <w:ilvl w:val="0"/>
                      <w:numId w:val="94"/>
                    </w:numPr>
                    <w:suppressAutoHyphens/>
                    <w:ind w:left="907"/>
                    <w:jc w:val="both"/>
                    <w:rPr>
                      <w:rFonts w:cs="Arial"/>
                    </w:rPr>
                  </w:pPr>
                  <w:r>
                    <w:rPr>
                      <w:rFonts w:cs="Arial"/>
                    </w:rPr>
                    <w:t>« </w:t>
                  </w:r>
                  <w:r>
                    <w:rPr>
                      <w:rFonts w:cs="Arial"/>
                      <w:i/>
                    </w:rPr>
                    <w:t>informer à temps la police locale lorsque la sécurité et la protection des membres du personnel  et des élèves est en question</w:t>
                  </w:r>
                  <w:r>
                    <w:rPr>
                      <w:rFonts w:cs="Arial"/>
                    </w:rPr>
                    <w:t> »</w:t>
                  </w:r>
                </w:p>
                <w:p>
                  <w:pPr>
                    <w:jc w:val="both"/>
                    <w:rPr>
                      <w:rFonts w:cs="Arial"/>
                    </w:rPr>
                  </w:pPr>
                </w:p>
                <w:p>
                  <w:pPr>
                    <w:jc w:val="both"/>
                    <w:rPr>
                      <w:rFonts w:cs="Arial"/>
                    </w:rPr>
                  </w:pPr>
                  <w:r>
                    <w:rPr>
                      <w:rFonts w:cs="Arial"/>
                    </w:rPr>
                    <w:t>Dans cet exemple également, les notions utilisées sont extrêmement floues : en effet, que signifie « </w:t>
                  </w:r>
                  <w:r>
                    <w:rPr>
                      <w:rFonts w:cs="Arial"/>
                      <w:i/>
                    </w:rPr>
                    <w:t>à temps</w:t>
                  </w:r>
                  <w:r>
                    <w:rPr>
                      <w:rFonts w:cs="Arial"/>
                    </w:rPr>
                    <w:t> » et quand peut/doit-on considérer que la sécurité des précités est « en question » ? Elles ne devraient donc pas être retenues et on leur préfèrera la notion légale de non-assistance à personne en danger</w:t>
                  </w:r>
                  <w:r>
                    <w:rPr>
                      <w:rStyle w:val="Caractresdenotedebasdepage"/>
                      <w:rFonts w:cs="Arial"/>
                    </w:rPr>
                    <w:footnoteReference w:id="90"/>
                  </w:r>
                  <w:r>
                    <w:rPr>
                      <w:rFonts w:cs="Arial"/>
                    </w:rPr>
                    <w:t>.</w:t>
                  </w:r>
                </w:p>
                <w:p>
                  <w:pPr>
                    <w:jc w:val="both"/>
                    <w:rPr>
                      <w:rFonts w:cs="Arial"/>
                    </w:rPr>
                  </w:pPr>
                </w:p>
                <w:p>
                  <w:pPr>
                    <w:numPr>
                      <w:ilvl w:val="0"/>
                      <w:numId w:val="94"/>
                    </w:numPr>
                    <w:suppressAutoHyphens/>
                    <w:ind w:left="907"/>
                    <w:jc w:val="both"/>
                    <w:rPr>
                      <w:rFonts w:cs="Arial"/>
                    </w:rPr>
                  </w:pPr>
                  <w:r>
                    <w:rPr>
                      <w:rFonts w:cs="Arial"/>
                    </w:rPr>
                    <w:t>« </w:t>
                  </w:r>
                  <w:r>
                    <w:rPr>
                      <w:rFonts w:cs="Arial"/>
                      <w:i/>
                    </w:rPr>
                    <w:t>autoriser, après concertation mutuelle, la police locale à mener des actions préventives ou orientées à l’école</w:t>
                  </w:r>
                  <w:r>
                    <w:rPr>
                      <w:rFonts w:cs="Arial"/>
                    </w:rPr>
                    <w:t> »</w:t>
                  </w:r>
                </w:p>
                <w:p>
                  <w:pPr>
                    <w:jc w:val="both"/>
                    <w:rPr>
                      <w:rFonts w:cs="Arial"/>
                    </w:rPr>
                  </w:pPr>
                </w:p>
                <w:p>
                  <w:pPr>
                    <w:jc w:val="both"/>
                    <w:rPr>
                      <w:rFonts w:cs="Arial"/>
                    </w:rPr>
                  </w:pPr>
                  <w:r>
                    <w:rPr>
                      <w:rFonts w:cs="Arial"/>
                    </w:rPr>
                    <w:t>Il convient à tout le moins de définir d’une part, les modalités de la concertation ainsi que les conséquences d’un désaccord éventuel et d’autre part, les actions préventives et les actions orientées à l’école. Il serait en outre plus opportun de prévoir qu’une concertation sera organisée avant toute éventuelle action, plutôt qu’un engagement du chef d’établissement à autoriser ce type d’actions.</w:t>
                  </w:r>
                </w:p>
                <w:p>
                  <w:pPr>
                    <w:jc w:val="both"/>
                    <w:rPr>
                      <w:rFonts w:cs="Arial"/>
                    </w:rPr>
                  </w:pPr>
                </w:p>
                <w:p>
                  <w:pPr>
                    <w:numPr>
                      <w:ilvl w:val="0"/>
                      <w:numId w:val="94"/>
                    </w:numPr>
                    <w:suppressAutoHyphens/>
                    <w:ind w:left="907"/>
                    <w:jc w:val="both"/>
                    <w:rPr>
                      <w:rFonts w:cs="Arial"/>
                    </w:rPr>
                  </w:pPr>
                  <w:r>
                    <w:rPr>
                      <w:rFonts w:cs="Arial"/>
                    </w:rPr>
                    <w:t>Les mêmes questions se posent à propos des engagements relatifs à la communication avec les médias.</w:t>
                  </w:r>
                </w:p>
                <w:p>
                  <w:pPr>
                    <w:jc w:val="both"/>
                    <w:rPr>
                      <w:rFonts w:cs="Arial"/>
                    </w:rPr>
                  </w:pPr>
                  <w:r>
                    <w:rPr>
                      <w:rFonts w:cs="Arial"/>
                    </w:rPr>
                    <w:t>Il importe en outre de souligner, à cet égard, que les parties en présence ne disposent pas toutes de la même indépendance et qu’un engagement de chacune d’elles, même formulé dans les mêmes termes, n’a pas nécessairement la même portée.</w:t>
                  </w:r>
                </w:p>
                <w:p>
                  <w:pPr>
                    <w:jc w:val="both"/>
                    <w:rPr>
                      <w:rFonts w:cs="Arial"/>
                    </w:rPr>
                  </w:pPr>
                </w:p>
                <w:p>
                  <w:pPr>
                    <w:numPr>
                      <w:ilvl w:val="0"/>
                      <w:numId w:val="94"/>
                    </w:numPr>
                    <w:suppressAutoHyphens/>
                    <w:ind w:left="567"/>
                    <w:jc w:val="both"/>
                    <w:rPr>
                      <w:rFonts w:cs="Arial"/>
                    </w:rPr>
                  </w:pPr>
                  <w:r>
                    <w:rPr>
                      <w:rFonts w:cs="Arial"/>
                    </w:rPr>
                    <w:t>« </w:t>
                  </w:r>
                  <w:r>
                    <w:rPr>
                      <w:rFonts w:cs="Arial"/>
                      <w:i/>
                    </w:rPr>
                    <w:t>lorsque la direction de l’école signale des faits graves, en discuter avec les partenaires</w:t>
                  </w:r>
                  <w:r>
                    <w:rPr>
                      <w:rFonts w:cs="Arial"/>
                    </w:rPr>
                    <w:t> »</w:t>
                  </w:r>
                </w:p>
                <w:p>
                  <w:pPr>
                    <w:ind w:left="567"/>
                    <w:jc w:val="both"/>
                    <w:rPr>
                      <w:rFonts w:cs="Arial"/>
                    </w:rPr>
                  </w:pPr>
                  <w:r>
                    <w:rPr>
                      <w:rFonts w:cs="Arial"/>
                    </w:rPr>
                    <w:t>Un tel engagement est dépourvu de toute portée réelle.</w:t>
                  </w:r>
                </w:p>
                <w:p>
                  <w:pPr>
                    <w:ind w:left="567"/>
                    <w:jc w:val="both"/>
                    <w:rPr>
                      <w:rFonts w:cs="Arial"/>
                    </w:rPr>
                  </w:pPr>
                </w:p>
                <w:p>
                  <w:pPr>
                    <w:numPr>
                      <w:ilvl w:val="0"/>
                      <w:numId w:val="94"/>
                    </w:numPr>
                    <w:suppressAutoHyphens/>
                    <w:ind w:left="567"/>
                    <w:jc w:val="both"/>
                    <w:rPr>
                      <w:rFonts w:cs="Arial"/>
                    </w:rPr>
                  </w:pPr>
                  <w:r>
                    <w:rPr>
                      <w:rFonts w:cs="Arial"/>
                    </w:rPr>
                    <w:t>Des expressions telles que « </w:t>
                  </w:r>
                  <w:r>
                    <w:rPr>
                      <w:rFonts w:cs="Arial"/>
                      <w:i/>
                    </w:rPr>
                    <w:t>problèmes récurrents</w:t>
                  </w:r>
                  <w:r>
                    <w:rPr>
                      <w:rFonts w:cs="Arial"/>
                    </w:rPr>
                    <w:t> », « </w:t>
                  </w:r>
                  <w:r>
                    <w:rPr>
                      <w:rFonts w:cs="Arial"/>
                      <w:i/>
                    </w:rPr>
                    <w:t>concertation régulière</w:t>
                  </w:r>
                  <w:r>
                    <w:rPr>
                      <w:rFonts w:cs="Arial"/>
                    </w:rPr>
                    <w:t> », « </w:t>
                  </w:r>
                  <w:r>
                    <w:rPr>
                      <w:rFonts w:cs="Arial"/>
                      <w:i/>
                    </w:rPr>
                    <w:t>collaboration active</w:t>
                  </w:r>
                  <w:r>
                    <w:rPr>
                      <w:rFonts w:cs="Arial"/>
                    </w:rPr>
                    <w:t> », « </w:t>
                  </w:r>
                  <w:r>
                    <w:rPr>
                      <w:rFonts w:cs="Arial"/>
                      <w:i/>
                    </w:rPr>
                    <w:t>faits ayant une incidence sur le monde scolaire</w:t>
                  </w:r>
                  <w:r>
                    <w:rPr>
                      <w:rFonts w:cs="Arial"/>
                    </w:rPr>
                    <w:t> » comportent également une part d’indétermination trop grande que pour fonder un engagement.</w:t>
                  </w:r>
                </w:p>
                <w:p>
                  <w:pPr>
                    <w:jc w:val="both"/>
                    <w:rPr>
                      <w:rFonts w:cs="Arial"/>
                    </w:rPr>
                  </w:pPr>
                </w:p>
                <w:p>
                  <w:pPr>
                    <w:jc w:val="both"/>
                    <w:rPr>
                      <w:rFonts w:cs="Arial"/>
                    </w:rPr>
                  </w:pPr>
                  <w:r>
                    <w:rPr>
                      <w:rFonts w:cs="Arial"/>
                    </w:rPr>
                    <w:t>De manière générale, il est donc conseillé, en dehors des notions légales, d’utiliser des termes dont le contenu est le plus déterminé possible. En cas de doute, il est possible d’introduire une définition précisant les intentions des parties dans la convention.</w:t>
                  </w:r>
                </w:p>
                <w:p>
                  <w:pPr>
                    <w:jc w:val="both"/>
                    <w:rPr>
                      <w:rFonts w:cs="Arial"/>
                    </w:rPr>
                  </w:pPr>
                </w:p>
                <w:p>
                  <w:pPr>
                    <w:pStyle w:val="Titre4"/>
                    <w:numPr>
                      <w:ilvl w:val="1"/>
                      <w:numId w:val="234"/>
                    </w:numPr>
                  </w:pPr>
                  <w:bookmarkStart w:id="1061" w:name="_Toc291075574"/>
                  <w:bookmarkStart w:id="1062" w:name="_Toc291075998"/>
                  <w:bookmarkStart w:id="1063" w:name="_Toc291076422"/>
                  <w:bookmarkStart w:id="1064" w:name="_Toc291076846"/>
                  <w:bookmarkStart w:id="1065" w:name="_Toc291077270"/>
                  <w:bookmarkStart w:id="1066" w:name="_Toc293652112"/>
                  <w:bookmarkStart w:id="1067" w:name="_Toc293653694"/>
                  <w:bookmarkStart w:id="1068" w:name="_Toc293654306"/>
                  <w:bookmarkStart w:id="1069" w:name="_Toc294004886"/>
                  <w:bookmarkStart w:id="1070" w:name="_Toc294185382"/>
                  <w:bookmarkStart w:id="1071" w:name="_Toc324767248"/>
                  <w:bookmarkStart w:id="1072" w:name="_Toc412204090"/>
                  <w:bookmarkStart w:id="1073" w:name="_Toc414352898"/>
                  <w:bookmarkStart w:id="1074" w:name="_Toc453836921"/>
                  <w:r>
                    <w:t>Questions-réponses relatives à la gratuité de l’enseignement</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pPr>
                    <w:jc w:val="both"/>
                  </w:pPr>
                </w:p>
                <w:p>
                  <w:pPr>
                    <w:pStyle w:val="Titre5"/>
                    <w:numPr>
                      <w:ilvl w:val="2"/>
                      <w:numId w:val="234"/>
                    </w:numPr>
                  </w:pPr>
                  <w:bookmarkStart w:id="1075" w:name="_Toc291075575"/>
                  <w:bookmarkStart w:id="1076" w:name="_Toc291075999"/>
                  <w:bookmarkStart w:id="1077" w:name="_Toc291076423"/>
                  <w:bookmarkStart w:id="1078" w:name="_Toc291076847"/>
                  <w:bookmarkStart w:id="1079" w:name="_Toc291077271"/>
                  <w:bookmarkStart w:id="1080" w:name="_Toc293652113"/>
                  <w:bookmarkStart w:id="1081" w:name="_Toc293653695"/>
                  <w:bookmarkStart w:id="1082" w:name="_Toc293654307"/>
                  <w:bookmarkStart w:id="1083" w:name="_Toc294004887"/>
                  <w:bookmarkStart w:id="1084" w:name="_Toc294185383"/>
                  <w:bookmarkStart w:id="1085" w:name="_Toc324767249"/>
                  <w:bookmarkStart w:id="1086" w:name="_Toc324768107"/>
                  <w:r>
                    <w:t>Quelles sont les bases légales ?</w:t>
                  </w:r>
                  <w:bookmarkEnd w:id="1075"/>
                  <w:bookmarkEnd w:id="1076"/>
                  <w:bookmarkEnd w:id="1077"/>
                  <w:bookmarkEnd w:id="1078"/>
                  <w:bookmarkEnd w:id="1079"/>
                  <w:bookmarkEnd w:id="1080"/>
                  <w:bookmarkEnd w:id="1081"/>
                  <w:bookmarkEnd w:id="1082"/>
                  <w:bookmarkEnd w:id="1083"/>
                  <w:bookmarkEnd w:id="1084"/>
                  <w:bookmarkEnd w:id="1085"/>
                  <w:bookmarkEnd w:id="1086"/>
                </w:p>
                <w:p>
                  <w:pPr>
                    <w:jc w:val="both"/>
                  </w:pPr>
                </w:p>
                <w:p>
                  <w:pPr>
                    <w:pStyle w:val="Corpsdetexte21"/>
                    <w:numPr>
                      <w:ilvl w:val="0"/>
                      <w:numId w:val="195"/>
                    </w:numPr>
                    <w:ind w:left="567" w:hanging="567"/>
                    <w:jc w:val="both"/>
                    <w:rPr>
                      <w:rFonts w:asciiTheme="majorHAnsi" w:hAnsiTheme="majorHAnsi"/>
                      <w:sz w:val="22"/>
                      <w:szCs w:val="22"/>
                    </w:rPr>
                  </w:pPr>
                  <w:hyperlink r:id="rId69" w:history="1">
                    <w:r>
                      <w:rPr>
                        <w:rStyle w:val="Lienhypertexte"/>
                        <w:rFonts w:asciiTheme="majorHAnsi" w:hAnsiTheme="majorHAnsi"/>
                        <w:sz w:val="22"/>
                        <w:szCs w:val="22"/>
                      </w:rPr>
                      <w:t>Loi du 29 mai 1959 modifiant certaines dispositions de la législation de l’enseignement</w:t>
                    </w:r>
                  </w:hyperlink>
                  <w:r>
                    <w:rPr>
                      <w:rFonts w:asciiTheme="majorHAnsi" w:hAnsiTheme="majorHAnsi"/>
                      <w:sz w:val="22"/>
                      <w:szCs w:val="22"/>
                    </w:rPr>
                    <w:t>, article 12 §1</w:t>
                  </w:r>
                  <w:r>
                    <w:rPr>
                      <w:rFonts w:asciiTheme="majorHAnsi" w:hAnsiTheme="majorHAnsi"/>
                      <w:sz w:val="22"/>
                      <w:szCs w:val="22"/>
                      <w:vertAlign w:val="superscript"/>
                    </w:rPr>
                    <w:t>er</w:t>
                  </w:r>
                  <w:r>
                    <w:rPr>
                      <w:rFonts w:asciiTheme="majorHAnsi" w:hAnsiTheme="majorHAnsi"/>
                      <w:sz w:val="22"/>
                      <w:szCs w:val="22"/>
                    </w:rPr>
                    <w:t> ;</w:t>
                  </w:r>
                </w:p>
                <w:p>
                  <w:pPr>
                    <w:pStyle w:val="Corpsdetexte21"/>
                    <w:numPr>
                      <w:ilvl w:val="0"/>
                      <w:numId w:val="195"/>
                    </w:numPr>
                    <w:ind w:left="567" w:hanging="567"/>
                    <w:jc w:val="both"/>
                    <w:rPr>
                      <w:rFonts w:asciiTheme="majorHAnsi" w:hAnsiTheme="majorHAnsi"/>
                      <w:sz w:val="22"/>
                      <w:szCs w:val="22"/>
                    </w:rPr>
                  </w:pPr>
                  <w:hyperlink r:id="rId70" w:history="1">
                    <w:r>
                      <w:rPr>
                        <w:rStyle w:val="Lienhypertexte"/>
                        <w:rFonts w:asciiTheme="majorHAnsi" w:hAnsiTheme="majorHAnsi"/>
                        <w:sz w:val="22"/>
                        <w:szCs w:val="22"/>
                      </w:rPr>
                      <w:t>Décret du 24 juillet 1997 définissant les missions prioritaires de l’enseignement fondamental et de l’enseignement secondaire et organisant les structures propres à les atteindre</w:t>
                    </w:r>
                  </w:hyperlink>
                  <w:r>
                    <w:rPr>
                      <w:rFonts w:asciiTheme="majorHAnsi" w:hAnsiTheme="majorHAnsi"/>
                      <w:sz w:val="22"/>
                      <w:szCs w:val="22"/>
                    </w:rPr>
                    <w:t> ;</w:t>
                  </w:r>
                </w:p>
                <w:p>
                  <w:pPr>
                    <w:pStyle w:val="Corpsdetexte21"/>
                    <w:numPr>
                      <w:ilvl w:val="0"/>
                      <w:numId w:val="195"/>
                    </w:numPr>
                    <w:ind w:left="567" w:hanging="567"/>
                    <w:jc w:val="both"/>
                    <w:rPr>
                      <w:rFonts w:asciiTheme="majorHAnsi" w:hAnsiTheme="majorHAnsi"/>
                      <w:sz w:val="22"/>
                      <w:szCs w:val="22"/>
                    </w:rPr>
                  </w:pPr>
                  <w:hyperlink r:id="rId71" w:history="1">
                    <w:r>
                      <w:rPr>
                        <w:rStyle w:val="Lienhypertexte"/>
                        <w:rFonts w:asciiTheme="majorHAnsi" w:hAnsiTheme="majorHAnsi"/>
                        <w:sz w:val="22"/>
                        <w:szCs w:val="22"/>
                      </w:rPr>
                      <w:t>Loi du 21 juin 1985 concernant l’enseignement</w:t>
                    </w:r>
                  </w:hyperlink>
                  <w:r>
                    <w:rPr>
                      <w:rFonts w:asciiTheme="majorHAnsi" w:hAnsiTheme="majorHAnsi"/>
                      <w:sz w:val="22"/>
                      <w:szCs w:val="22"/>
                    </w:rPr>
                    <w:t>, articles 58 à 62 ;</w:t>
                  </w:r>
                </w:p>
                <w:p>
                  <w:pPr>
                    <w:pStyle w:val="Corpsdetexte21"/>
                    <w:numPr>
                      <w:ilvl w:val="0"/>
                      <w:numId w:val="195"/>
                    </w:numPr>
                    <w:ind w:left="567" w:hanging="567"/>
                    <w:jc w:val="both"/>
                    <w:rPr>
                      <w:rFonts w:asciiTheme="majorHAnsi" w:hAnsiTheme="majorHAnsi"/>
                      <w:sz w:val="22"/>
                      <w:szCs w:val="22"/>
                    </w:rPr>
                  </w:pPr>
                  <w:hyperlink r:id="rId72" w:history="1">
                    <w:r>
                      <w:rPr>
                        <w:rStyle w:val="Lienhypertexte"/>
                        <w:rFonts w:asciiTheme="majorHAnsi" w:hAnsiTheme="majorHAnsi"/>
                        <w:sz w:val="22"/>
                        <w:szCs w:val="22"/>
                      </w:rPr>
                      <w:t xml:space="preserve">Arrêté de l’Exécutif de la Communauté française du 25 septembre 1991 portant exécution des </w:t>
                    </w:r>
                    <w:bookmarkStart w:id="1087" w:name="_Toc291075576"/>
                    <w:bookmarkStart w:id="1088" w:name="_Toc291076000"/>
                    <w:bookmarkStart w:id="1089" w:name="_Toc291076424"/>
                    <w:bookmarkStart w:id="1090" w:name="_Toc291076848"/>
                    <w:bookmarkStart w:id="1091" w:name="_Toc291077272"/>
                    <w:bookmarkStart w:id="1092" w:name="_Toc293652114"/>
                    <w:bookmarkStart w:id="1093" w:name="_Toc293653696"/>
                    <w:bookmarkStart w:id="1094" w:name="_Toc293654308"/>
                    <w:bookmarkStart w:id="1095" w:name="_Toc294004888"/>
                    <w:bookmarkStart w:id="1096" w:name="_Toc294185384"/>
                    <w:bookmarkStart w:id="1097" w:name="_Toc324767250"/>
                    <w:r>
                      <w:rPr>
                        <w:rStyle w:val="Lienhypertexte"/>
                        <w:rFonts w:asciiTheme="majorHAnsi" w:hAnsiTheme="majorHAnsi"/>
                        <w:sz w:val="22"/>
                        <w:szCs w:val="22"/>
                      </w:rPr>
                      <w:t>articles 59, 60 et 61 de la loi du 21 juin 1985 concernant l’enseignement</w:t>
                    </w:r>
                  </w:hyperlink>
                  <w:r>
                    <w:rPr>
                      <w:rFonts w:asciiTheme="majorHAnsi" w:hAnsiTheme="majorHAnsi"/>
                      <w:sz w:val="22"/>
                      <w:szCs w:val="22"/>
                    </w:rPr>
                    <w:t>.</w:t>
                  </w:r>
                </w:p>
                <w:p>
                  <w:bookmarkStart w:id="1098" w:name="_Toc412204091"/>
                  <w:bookmarkStart w:id="1099" w:name="_Toc414352899"/>
                </w:p>
                <w:p>
                  <w:pPr>
                    <w:pStyle w:val="Titre4"/>
                    <w:numPr>
                      <w:ilvl w:val="1"/>
                      <w:numId w:val="234"/>
                    </w:numPr>
                  </w:pPr>
                  <w:bookmarkStart w:id="1100" w:name="_Toc453836922"/>
                  <w:r>
                    <w:t>Question-réponses relatives à l’assistance en justice et/ou assistance psychologique d’urgence en faveur des personnes liées à un établissement scolaire ou à un centre psycho-médico-social</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pPr>
                    <w:jc w:val="both"/>
                  </w:pPr>
                </w:p>
                <w:p>
                  <w:pPr>
                    <w:pStyle w:val="Titre5"/>
                    <w:numPr>
                      <w:ilvl w:val="2"/>
                      <w:numId w:val="234"/>
                    </w:numPr>
                  </w:pPr>
                  <w:bookmarkStart w:id="1101" w:name="_Quelles_sont_les"/>
                  <w:bookmarkStart w:id="1102" w:name="_Toc291075577"/>
                  <w:bookmarkStart w:id="1103" w:name="_Toc291076001"/>
                  <w:bookmarkStart w:id="1104" w:name="_Toc291076425"/>
                  <w:bookmarkStart w:id="1105" w:name="_Toc291076849"/>
                  <w:bookmarkStart w:id="1106" w:name="_Toc291077273"/>
                  <w:bookmarkStart w:id="1107" w:name="_Toc293652115"/>
                  <w:bookmarkStart w:id="1108" w:name="_Toc293653697"/>
                  <w:bookmarkStart w:id="1109" w:name="_Toc293654309"/>
                  <w:bookmarkStart w:id="1110" w:name="_Toc294004889"/>
                  <w:bookmarkStart w:id="1111" w:name="_Toc294185385"/>
                  <w:bookmarkStart w:id="1112" w:name="_Toc324767251"/>
                  <w:bookmarkStart w:id="1113" w:name="_Toc324768109"/>
                  <w:bookmarkEnd w:id="1101"/>
                  <w:r>
                    <w:t>Quelles sont les bases légales ?</w:t>
                  </w:r>
                  <w:bookmarkEnd w:id="1102"/>
                  <w:bookmarkEnd w:id="1103"/>
                  <w:bookmarkEnd w:id="1104"/>
                  <w:bookmarkEnd w:id="1105"/>
                  <w:bookmarkEnd w:id="1106"/>
                  <w:bookmarkEnd w:id="1107"/>
                  <w:bookmarkEnd w:id="1108"/>
                  <w:bookmarkEnd w:id="1109"/>
                  <w:bookmarkEnd w:id="1110"/>
                  <w:bookmarkEnd w:id="1111"/>
                  <w:bookmarkEnd w:id="1112"/>
                  <w:bookmarkEnd w:id="1113"/>
                </w:p>
                <w:p>
                  <w:pPr>
                    <w:jc w:val="both"/>
                  </w:pPr>
                </w:p>
                <w:p>
                  <w:pPr>
                    <w:pStyle w:val="Corpsdetexte21"/>
                    <w:numPr>
                      <w:ilvl w:val="0"/>
                      <w:numId w:val="196"/>
                    </w:numPr>
                    <w:pBdr>
                      <w:right w:val="single" w:sz="4" w:space="4" w:color="auto"/>
                    </w:pBdr>
                    <w:ind w:left="567" w:hanging="567"/>
                    <w:jc w:val="both"/>
                    <w:rPr>
                      <w:rFonts w:asciiTheme="majorHAnsi" w:hAnsiTheme="majorHAnsi"/>
                      <w:strike/>
                      <w:sz w:val="22"/>
                      <w:szCs w:val="22"/>
                    </w:rPr>
                  </w:pPr>
                  <w:r>
                    <w:rPr>
                      <w:sz w:val="22"/>
                      <w:szCs w:val="22"/>
                    </w:rPr>
                    <w:t>Décret du 6 juin 1994 fixant le statut des membres du personnel subsidiés de l’enseignement officiel subventionné.</w:t>
                  </w:r>
                </w:p>
                <w:p>
                  <w:pPr>
                    <w:pStyle w:val="Corpsdetexte21"/>
                    <w:numPr>
                      <w:ilvl w:val="0"/>
                      <w:numId w:val="196"/>
                    </w:numPr>
                    <w:pBdr>
                      <w:right w:val="single" w:sz="4" w:space="4" w:color="auto"/>
                    </w:pBdr>
                    <w:ind w:left="567" w:hanging="567"/>
                    <w:jc w:val="both"/>
                    <w:rPr>
                      <w:rFonts w:asciiTheme="majorHAnsi" w:hAnsiTheme="majorHAnsi"/>
                      <w:sz w:val="22"/>
                      <w:szCs w:val="22"/>
                    </w:rPr>
                  </w:pPr>
                  <w:r>
                    <w:rPr>
                      <w:sz w:val="22"/>
                      <w:szCs w:val="22"/>
                    </w:rPr>
                    <w:t>Arrêté royal du 22 mars 1969 fixant le statut des membres du personnel directeur et enseignant, du personnel auxiliaire d'éducation, du personnel paramédical des établissements d'enseignement gardien, primaire, spécial, moyen, technique, de promotion sociale et artistique de l'Etat, des internats dépendant de ces établissements et des membres du personnel du service d'inspection chargé de la surveillance de ces établissements.</w:t>
                  </w:r>
                </w:p>
                <w:p>
                  <w:pPr>
                    <w:pStyle w:val="Corpsdetexte21"/>
                    <w:numPr>
                      <w:ilvl w:val="0"/>
                      <w:numId w:val="196"/>
                    </w:numPr>
                    <w:pBdr>
                      <w:right w:val="single" w:sz="4" w:space="4" w:color="auto"/>
                    </w:pBdr>
                    <w:ind w:left="567" w:hanging="567"/>
                    <w:jc w:val="both"/>
                    <w:rPr>
                      <w:rFonts w:asciiTheme="majorHAnsi" w:hAnsiTheme="majorHAnsi"/>
                      <w:sz w:val="22"/>
                      <w:szCs w:val="22"/>
                    </w:rPr>
                  </w:pPr>
                  <w:r>
                    <w:rPr>
                      <w:rFonts w:asciiTheme="majorHAnsi" w:hAnsiTheme="majorHAnsi"/>
                      <w:sz w:val="22"/>
                      <w:szCs w:val="22"/>
                    </w:rPr>
                    <w:t>Décret du 1er février 1993 fixant le statut des membres du personnel subsidiés de l'enseignement libre subventionné.</w:t>
                  </w:r>
                </w:p>
                <w:p>
                  <w:pPr>
                    <w:pStyle w:val="Corpsdetexte21"/>
                    <w:jc w:val="both"/>
                    <w:rPr>
                      <w:rFonts w:asciiTheme="majorHAnsi" w:hAnsiTheme="majorHAnsi"/>
                      <w:sz w:val="22"/>
                      <w:szCs w:val="22"/>
                    </w:rPr>
                  </w:pPr>
                </w:p>
                <w:p>
                  <w:pPr>
                    <w:pStyle w:val="Titre5"/>
                    <w:numPr>
                      <w:ilvl w:val="2"/>
                      <w:numId w:val="234"/>
                    </w:numPr>
                  </w:pPr>
                  <w:bookmarkStart w:id="1114" w:name="_Toc291075578"/>
                  <w:bookmarkStart w:id="1115" w:name="_Toc291076002"/>
                  <w:bookmarkStart w:id="1116" w:name="_Toc291076426"/>
                  <w:bookmarkStart w:id="1117" w:name="_Toc291076850"/>
                  <w:bookmarkStart w:id="1118" w:name="_Toc291077274"/>
                  <w:bookmarkStart w:id="1119" w:name="_Toc293652116"/>
                  <w:bookmarkStart w:id="1120" w:name="_Toc293653698"/>
                  <w:bookmarkStart w:id="1121" w:name="_Toc293654310"/>
                  <w:bookmarkStart w:id="1122" w:name="_Toc294004890"/>
                  <w:bookmarkStart w:id="1123" w:name="_Toc294185386"/>
                  <w:bookmarkStart w:id="1124" w:name="_Toc324767252"/>
                  <w:bookmarkStart w:id="1125" w:name="_Toc324768110"/>
                  <w:r>
                    <w:t>Quel est le rôle des chefs d’établissement, des pouvoirs organisateurs et des directeurs des centres psycho-médico-sociaux ?</w:t>
                  </w:r>
                  <w:bookmarkEnd w:id="1114"/>
                  <w:bookmarkEnd w:id="1115"/>
                  <w:bookmarkEnd w:id="1116"/>
                  <w:bookmarkEnd w:id="1117"/>
                  <w:bookmarkEnd w:id="1118"/>
                  <w:bookmarkEnd w:id="1119"/>
                  <w:bookmarkEnd w:id="1120"/>
                  <w:bookmarkEnd w:id="1121"/>
                  <w:bookmarkEnd w:id="1122"/>
                  <w:bookmarkEnd w:id="1123"/>
                  <w:bookmarkEnd w:id="1124"/>
                  <w:bookmarkEnd w:id="1125"/>
                </w:p>
                <w:p>
                  <w:pPr>
                    <w:pStyle w:val="Corpsdetexte21"/>
                    <w:jc w:val="both"/>
                    <w:rPr>
                      <w:rFonts w:asciiTheme="majorHAnsi" w:hAnsiTheme="majorHAnsi"/>
                      <w:b/>
                      <w:i/>
                      <w:color w:val="008000"/>
                      <w:sz w:val="22"/>
                      <w:szCs w:val="22"/>
                      <w:u w:val="single"/>
                    </w:rPr>
                  </w:pPr>
                </w:p>
                <w:p>
                  <w:pPr>
                    <w:pStyle w:val="Corpsdetexte21"/>
                    <w:jc w:val="both"/>
                    <w:rPr>
                      <w:rFonts w:asciiTheme="majorHAnsi" w:hAnsiTheme="majorHAnsi"/>
                      <w:b/>
                      <w:i/>
                      <w:sz w:val="22"/>
                      <w:szCs w:val="22"/>
                    </w:rPr>
                  </w:pPr>
                  <w:r>
                    <w:rPr>
                      <w:rFonts w:asciiTheme="majorHAnsi" w:hAnsiTheme="majorHAnsi"/>
                      <w:b/>
                      <w:i/>
                      <w:sz w:val="22"/>
                      <w:szCs w:val="22"/>
                    </w:rPr>
                    <w:t>Soutien à la victime</w:t>
                  </w:r>
                </w:p>
                <w:p>
                  <w:pPr>
                    <w:pStyle w:val="Corpsdetexte21"/>
                    <w:jc w:val="both"/>
                    <w:rPr>
                      <w:rFonts w:asciiTheme="majorHAnsi" w:hAnsiTheme="majorHAnsi"/>
                      <w:b/>
                      <w:i/>
                      <w:sz w:val="22"/>
                      <w:szCs w:val="22"/>
                    </w:rPr>
                  </w:pPr>
                </w:p>
                <w:p>
                  <w:pPr>
                    <w:pStyle w:val="Corpsdetexte21"/>
                    <w:jc w:val="both"/>
                    <w:rPr>
                      <w:rFonts w:asciiTheme="majorHAnsi" w:hAnsiTheme="majorHAnsi"/>
                      <w:sz w:val="22"/>
                      <w:szCs w:val="22"/>
                    </w:rPr>
                  </w:pPr>
                  <w:r>
                    <w:rPr>
                      <w:rFonts w:asciiTheme="majorHAnsi" w:hAnsiTheme="majorHAnsi"/>
                      <w:sz w:val="22"/>
                      <w:szCs w:val="22"/>
                    </w:rPr>
                    <w:t>Le soutien que peuvent apporter les chefs d’établissement, les pouvoirs organisateurs ou les directeurs de centres psycho-médico-sociaux aux personnes victimes d’une agression est primordial.</w:t>
                  </w:r>
                </w:p>
                <w:p>
                  <w:pPr>
                    <w:pStyle w:val="Corpsdetexte21"/>
                    <w:jc w:val="both"/>
                    <w:rPr>
                      <w:rFonts w:asciiTheme="majorHAnsi" w:hAnsiTheme="majorHAnsi"/>
                      <w:sz w:val="22"/>
                      <w:szCs w:val="22"/>
                    </w:rPr>
                  </w:pPr>
                  <w:r>
                    <w:rPr>
                      <w:rFonts w:asciiTheme="majorHAnsi" w:hAnsiTheme="majorHAnsi"/>
                      <w:sz w:val="22"/>
                      <w:szCs w:val="22"/>
                    </w:rPr>
                    <w:t>Au moment où une personne est victime d’une agression, il est essentiel qu’elle se sente soutenue tant par son entourage, que par sa hiérarchie.</w:t>
                  </w:r>
                </w:p>
                <w:p>
                  <w:pPr>
                    <w:pStyle w:val="Corpsdetexte21"/>
                    <w:jc w:val="both"/>
                    <w:rPr>
                      <w:rFonts w:asciiTheme="majorHAnsi" w:hAnsiTheme="majorHAnsi"/>
                      <w:sz w:val="22"/>
                      <w:szCs w:val="22"/>
                    </w:rPr>
                  </w:pPr>
                  <w:r>
                    <w:rPr>
                      <w:rFonts w:asciiTheme="majorHAnsi" w:hAnsiTheme="majorHAnsi"/>
                      <w:sz w:val="22"/>
                      <w:szCs w:val="22"/>
                    </w:rPr>
                    <w:t xml:space="preserve">En outre, différentes associations d’aide aux victimes peuvent fournir un soutien professionnel aux personnes victimes d’une agression. </w:t>
                  </w:r>
                </w:p>
                <w:p>
                  <w:pPr>
                    <w:pStyle w:val="Corpsdetexte21"/>
                    <w:jc w:val="both"/>
                    <w:rPr>
                      <w:rFonts w:asciiTheme="majorHAnsi" w:hAnsiTheme="majorHAnsi"/>
                      <w:sz w:val="22"/>
                      <w:szCs w:val="22"/>
                    </w:rPr>
                  </w:pPr>
                </w:p>
                <w:p>
                  <w:pPr>
                    <w:pStyle w:val="Corpsdetexte21"/>
                    <w:jc w:val="both"/>
                    <w:rPr>
                      <w:rFonts w:asciiTheme="majorHAnsi" w:hAnsiTheme="majorHAnsi"/>
                      <w:b/>
                      <w:i/>
                      <w:sz w:val="22"/>
                      <w:szCs w:val="22"/>
                    </w:rPr>
                  </w:pPr>
                  <w:r>
                    <w:rPr>
                      <w:rFonts w:asciiTheme="majorHAnsi" w:hAnsiTheme="majorHAnsi"/>
                      <w:b/>
                      <w:i/>
                      <w:sz w:val="22"/>
                      <w:szCs w:val="22"/>
                    </w:rPr>
                    <w:t>Soutien administratif</w:t>
                  </w:r>
                </w:p>
                <w:p>
                  <w:pPr>
                    <w:pStyle w:val="Corpsdetexte21"/>
                    <w:jc w:val="both"/>
                    <w:rPr>
                      <w:rFonts w:asciiTheme="majorHAnsi" w:hAnsiTheme="majorHAnsi"/>
                      <w:b/>
                      <w:i/>
                      <w:sz w:val="22"/>
                      <w:szCs w:val="22"/>
                    </w:rPr>
                  </w:pPr>
                </w:p>
                <w:p>
                  <w:pPr>
                    <w:pStyle w:val="Corpsdetexte21"/>
                    <w:jc w:val="both"/>
                    <w:rPr>
                      <w:rFonts w:asciiTheme="majorHAnsi" w:hAnsiTheme="majorHAnsi"/>
                      <w:sz w:val="22"/>
                      <w:szCs w:val="22"/>
                    </w:rPr>
                  </w:pPr>
                  <w:r>
                    <w:rPr>
                      <w:rFonts w:asciiTheme="majorHAnsi" w:hAnsiTheme="majorHAnsi"/>
                      <w:sz w:val="22"/>
                      <w:szCs w:val="22"/>
                    </w:rPr>
                    <w:t>Les chefs d’établissements, les pouvoirs organisateurs ou les directeurs de centres psycho-médico-sociaux doivent faciliter la tâche de la personne victime quant au suivi administratif de son dossier.</w:t>
                  </w:r>
                </w:p>
                <w:p>
                  <w:pPr>
                    <w:pStyle w:val="Corpsdetexte21"/>
                    <w:jc w:val="both"/>
                    <w:rPr>
                      <w:rFonts w:asciiTheme="majorHAnsi" w:hAnsiTheme="majorHAnsi"/>
                      <w:sz w:val="22"/>
                      <w:szCs w:val="22"/>
                    </w:rPr>
                  </w:pPr>
                </w:p>
                <w:p>
                  <w:pPr>
                    <w:pStyle w:val="Corpsdetexte21"/>
                    <w:jc w:val="both"/>
                    <w:rPr>
                      <w:rFonts w:asciiTheme="majorHAnsi" w:hAnsiTheme="majorHAnsi"/>
                      <w:b/>
                      <w:i/>
                      <w:sz w:val="22"/>
                      <w:szCs w:val="22"/>
                    </w:rPr>
                  </w:pPr>
                  <w:r>
                    <w:rPr>
                      <w:rFonts w:asciiTheme="majorHAnsi" w:hAnsiTheme="majorHAnsi"/>
                      <w:b/>
                      <w:i/>
                      <w:sz w:val="22"/>
                      <w:szCs w:val="22"/>
                    </w:rPr>
                    <w:t>Plainte du chef d’établissement, du pouvoir organisateur ou du directeur du centre psycho-médico-social</w:t>
                  </w:r>
                </w:p>
                <w:p>
                  <w:pPr>
                    <w:pStyle w:val="Corpsdetexte21"/>
                    <w:jc w:val="both"/>
                    <w:rPr>
                      <w:rFonts w:asciiTheme="majorHAnsi" w:hAnsiTheme="majorHAnsi"/>
                      <w:b/>
                      <w:i/>
                      <w:sz w:val="22"/>
                      <w:szCs w:val="22"/>
                    </w:rPr>
                  </w:pPr>
                </w:p>
                <w:p>
                  <w:pPr>
                    <w:pStyle w:val="Corpsdetexte21"/>
                    <w:jc w:val="both"/>
                    <w:rPr>
                      <w:rFonts w:asciiTheme="majorHAnsi" w:hAnsiTheme="majorHAnsi"/>
                      <w:sz w:val="22"/>
                      <w:szCs w:val="22"/>
                    </w:rPr>
                  </w:pPr>
                  <w:r>
                    <w:rPr>
                      <w:rFonts w:asciiTheme="majorHAnsi" w:hAnsiTheme="majorHAnsi"/>
                      <w:sz w:val="22"/>
                      <w:szCs w:val="22"/>
                    </w:rPr>
                    <w:t>Le chef d’établissement, le pouvoir organisateur ou le directeur de centre est libre d’apprécier l’opportunité de porter plainte contre l’agresseur parallèlement à la plainte de la victime.</w:t>
                  </w:r>
                </w:p>
                <w:p>
                  <w:pPr>
                    <w:pStyle w:val="Corpsdetexte21"/>
                    <w:jc w:val="both"/>
                    <w:rPr>
                      <w:rFonts w:asciiTheme="majorHAnsi" w:hAnsiTheme="majorHAnsi"/>
                      <w:sz w:val="22"/>
                      <w:szCs w:val="22"/>
                    </w:rPr>
                  </w:pPr>
                </w:p>
                <w:p>
                  <w:pPr>
                    <w:pStyle w:val="Titre5"/>
                    <w:numPr>
                      <w:ilvl w:val="2"/>
                      <w:numId w:val="234"/>
                    </w:numPr>
                  </w:pPr>
                  <w:bookmarkStart w:id="1126" w:name="_2.7.3.__Le"/>
                  <w:bookmarkStart w:id="1127" w:name="_Le_numéro_vert"/>
                  <w:bookmarkEnd w:id="1126"/>
                  <w:bookmarkEnd w:id="1127"/>
                  <w:r>
                    <w:t>Le numéro vert « Assistance Ecoles » : Pour qui ? Pour quoi ?</w:t>
                  </w:r>
                </w:p>
                <w:p>
                  <w:pPr>
                    <w:pStyle w:val="Corpsdetexte21"/>
                    <w:jc w:val="both"/>
                    <w:rPr>
                      <w:rFonts w:asciiTheme="majorHAnsi" w:hAnsiTheme="majorHAnsi"/>
                      <w:b/>
                      <w:color w:val="008000"/>
                      <w:sz w:val="22"/>
                      <w:szCs w:val="22"/>
                      <w:u w:val="single"/>
                    </w:rPr>
                  </w:pPr>
                </w:p>
                <w:p>
                  <w:pPr>
                    <w:jc w:val="both"/>
                  </w:pPr>
                  <w:r>
                    <w:t xml:space="preserve">Le numéro vert « Assistance Ecoles » est destiné aux professionnels de l’enseignement organisé et subventionné par la </w:t>
                  </w:r>
                  <w:r>
                    <w:rPr>
                      <w:rFonts w:cs="Arial"/>
                    </w:rPr>
                    <w:t>Fédération Wallonie-Bruxelles</w:t>
                  </w:r>
                  <w:r>
                    <w:t>, tous niveaux confondus :</w:t>
                  </w:r>
                </w:p>
                <w:p>
                  <w:pPr>
                    <w:jc w:val="both"/>
                  </w:pPr>
                </w:p>
                <w:p>
                  <w:pPr>
                    <w:numPr>
                      <w:ilvl w:val="0"/>
                      <w:numId w:val="73"/>
                    </w:numPr>
                    <w:suppressAutoHyphens/>
                    <w:ind w:left="1494"/>
                    <w:jc w:val="both"/>
                  </w:pPr>
                  <w:r>
                    <w:t>chefs d’établissement ;</w:t>
                  </w:r>
                </w:p>
                <w:p>
                  <w:pPr>
                    <w:numPr>
                      <w:ilvl w:val="0"/>
                      <w:numId w:val="73"/>
                    </w:numPr>
                    <w:suppressAutoHyphens/>
                    <w:ind w:left="1494"/>
                    <w:jc w:val="both"/>
                  </w:pPr>
                  <w:r>
                    <w:t>préfets d’éducation, proviseurs et sous-directeurs ;</w:t>
                  </w:r>
                </w:p>
                <w:p>
                  <w:pPr>
                    <w:numPr>
                      <w:ilvl w:val="0"/>
                      <w:numId w:val="73"/>
                    </w:numPr>
                    <w:suppressAutoHyphens/>
                    <w:ind w:left="1494"/>
                    <w:jc w:val="both"/>
                  </w:pPr>
                  <w:r>
                    <w:t>enseignants ;</w:t>
                  </w:r>
                </w:p>
                <w:p>
                  <w:pPr>
                    <w:numPr>
                      <w:ilvl w:val="0"/>
                      <w:numId w:val="73"/>
                    </w:numPr>
                    <w:suppressAutoHyphens/>
                    <w:ind w:left="1494"/>
                    <w:jc w:val="both"/>
                  </w:pPr>
                  <w:r>
                    <w:t>puériculteurs ;</w:t>
                  </w:r>
                </w:p>
                <w:p>
                  <w:pPr>
                    <w:numPr>
                      <w:ilvl w:val="0"/>
                      <w:numId w:val="73"/>
                    </w:numPr>
                    <w:suppressAutoHyphens/>
                    <w:ind w:left="1494"/>
                    <w:jc w:val="both"/>
                  </w:pPr>
                  <w:r>
                    <w:t>éducateurs ;</w:t>
                  </w:r>
                </w:p>
                <w:p>
                  <w:pPr>
                    <w:numPr>
                      <w:ilvl w:val="0"/>
                      <w:numId w:val="73"/>
                    </w:numPr>
                    <w:suppressAutoHyphens/>
                    <w:ind w:left="1494"/>
                    <w:jc w:val="both"/>
                  </w:pPr>
                  <w:r>
                    <w:t>personnel ouvrier ;</w:t>
                  </w:r>
                </w:p>
                <w:p>
                  <w:pPr>
                    <w:numPr>
                      <w:ilvl w:val="0"/>
                      <w:numId w:val="73"/>
                    </w:numPr>
                    <w:suppressAutoHyphens/>
                    <w:ind w:left="1494"/>
                    <w:jc w:val="both"/>
                  </w:pPr>
                  <w:r>
                    <w:t>personnel administratif ;</w:t>
                  </w:r>
                </w:p>
                <w:p>
                  <w:pPr>
                    <w:numPr>
                      <w:ilvl w:val="0"/>
                      <w:numId w:val="73"/>
                    </w:numPr>
                    <w:suppressAutoHyphens/>
                    <w:ind w:left="1494"/>
                    <w:jc w:val="both"/>
                  </w:pPr>
                  <w:r>
                    <w:t>agents CPMS.</w:t>
                  </w:r>
                </w:p>
                <w:p>
                  <w:pPr>
                    <w:jc w:val="both"/>
                  </w:pPr>
                </w:p>
                <w:p>
                  <w:pPr>
                    <w:jc w:val="both"/>
                  </w:pPr>
                  <w:r>
                    <w:t>Il a pour objectif d’</w:t>
                  </w:r>
                  <w:r>
                    <w:rPr>
                      <w:b/>
                      <w:bCs/>
                    </w:rPr>
                    <w:t>informer</w:t>
                  </w:r>
                  <w:r>
                    <w:t xml:space="preserve"> le personnel éducatif lorsqu’il est confronté à des situations de violence ou à des événements d’exception (suicide, incendie, maladie infectieuse grave…) sur :  </w:t>
                  </w:r>
                </w:p>
                <w:p>
                  <w:pPr>
                    <w:jc w:val="both"/>
                  </w:pPr>
                </w:p>
                <w:p>
                  <w:pPr>
                    <w:numPr>
                      <w:ilvl w:val="0"/>
                      <w:numId w:val="73"/>
                    </w:numPr>
                    <w:suppressAutoHyphens/>
                    <w:ind w:left="567"/>
                    <w:jc w:val="both"/>
                  </w:pPr>
                  <w:r>
                    <w:t xml:space="preserve">les services de la </w:t>
                  </w:r>
                  <w:r>
                    <w:rPr>
                      <w:rFonts w:cs="Arial"/>
                    </w:rPr>
                    <w:t xml:space="preserve">Fédération Wallonie-Bruxelles </w:t>
                  </w:r>
                  <w:r>
                    <w:t>qui peuvent être activés (CPMS, Equipes mobiles, Services de Médiation scolaire, SAJ…) et la façon d’y faire appel ;</w:t>
                  </w:r>
                </w:p>
                <w:p>
                  <w:pPr>
                    <w:numPr>
                      <w:ilvl w:val="0"/>
                      <w:numId w:val="73"/>
                    </w:numPr>
                    <w:suppressAutoHyphens/>
                    <w:ind w:left="567"/>
                    <w:jc w:val="both"/>
                  </w:pPr>
                  <w:r>
                    <w:t>les autres services qui pourront procurer une aide ou un accompagnement (services d’urgence, associations…) ;</w:t>
                  </w:r>
                </w:p>
                <w:p>
                  <w:pPr>
                    <w:numPr>
                      <w:ilvl w:val="0"/>
                      <w:numId w:val="73"/>
                    </w:numPr>
                    <w:suppressAutoHyphens/>
                    <w:ind w:left="567"/>
                    <w:jc w:val="both"/>
                  </w:pPr>
                  <w:r>
                    <w:t xml:space="preserve">les procédures dans les domaines psychologique, social, juridique ou administratif (demande d’assistance psychologique et juridique, demande de mutation prioritaire, demande de reconnaissance d’un accident de travail) ; </w:t>
                  </w:r>
                </w:p>
                <w:p>
                  <w:pPr>
                    <w:numPr>
                      <w:ilvl w:val="0"/>
                      <w:numId w:val="73"/>
                    </w:numPr>
                    <w:suppressAutoHyphens/>
                    <w:ind w:left="567"/>
                    <w:jc w:val="both"/>
                  </w:pPr>
                  <w:r>
                    <w:t>la gestion de la violence au sein de l’école (outils de prévention…).</w:t>
                  </w:r>
                </w:p>
                <w:p>
                  <w:pPr>
                    <w:ind w:left="567"/>
                    <w:jc w:val="both"/>
                  </w:pPr>
                </w:p>
                <w:p>
                  <w:pPr>
                    <w:pBdr>
                      <w:right w:val="single" w:sz="4" w:space="4" w:color="auto"/>
                    </w:pBdr>
                    <w:jc w:val="both"/>
                    <w:rPr>
                      <w:b/>
                      <w:bCs/>
                      <w:u w:val="single"/>
                    </w:rPr>
                  </w:pPr>
                  <w:r>
                    <w:rPr>
                      <w:b/>
                      <w:bCs/>
                      <w:u w:val="single"/>
                    </w:rPr>
                    <w:t>Le numéro vert « Assistance Ecoles » est accessible du lundi au vendredi de 8h30 à 16h, au N° 0800/20 410.</w:t>
                  </w:r>
                </w:p>
                <w:p>
                  <w:pPr>
                    <w:jc w:val="both"/>
                    <w:rPr>
                      <w:b/>
                      <w:bCs/>
                      <w:u w:val="single"/>
                    </w:rPr>
                  </w:pPr>
                </w:p>
                <w:p>
                  <w:pPr>
                    <w:jc w:val="both"/>
                  </w:pPr>
                  <w:r>
                    <w:t xml:space="preserve">« Assistance Ecoles » est un service mis en place par le Service des Inscriptions et de l’Assistance aux Etablissements scolaires. Il prend place dans un plan d’actions de lutte contre la violence et le décrochage scolaire, visant à garantir les conditions d’un apprentissage serein (P.A.G.A.S), approuvé par le Gouvernement de la Communauté française le 26 mars 2009. </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p>
                <w:p>
                  <w:pPr>
                    <w:pStyle w:val="Titre3"/>
                    <w:numPr>
                      <w:ilvl w:val="0"/>
                      <w:numId w:val="226"/>
                    </w:numPr>
                  </w:pPr>
                  <w:bookmarkStart w:id="1128" w:name="__RefHeading__323_957262308"/>
                  <w:bookmarkStart w:id="1129" w:name="_Toc291075579"/>
                  <w:bookmarkStart w:id="1130" w:name="_Toc291076003"/>
                  <w:bookmarkStart w:id="1131" w:name="_Toc291076427"/>
                  <w:bookmarkStart w:id="1132" w:name="_Toc291076851"/>
                  <w:bookmarkStart w:id="1133" w:name="_Toc291077275"/>
                  <w:bookmarkStart w:id="1134" w:name="_Toc293652117"/>
                  <w:bookmarkStart w:id="1135" w:name="_Toc293653699"/>
                  <w:bookmarkStart w:id="1136" w:name="_Toc293654311"/>
                  <w:bookmarkStart w:id="1137" w:name="_Toc294004891"/>
                  <w:bookmarkStart w:id="1138" w:name="_Toc294185387"/>
                  <w:bookmarkStart w:id="1139" w:name="_Toc324767253"/>
                  <w:bookmarkStart w:id="1140" w:name="_Toc412204092"/>
                  <w:bookmarkStart w:id="1141" w:name="_Toc414352900"/>
                  <w:bookmarkStart w:id="1142" w:name="_Toc453836923"/>
                  <w:bookmarkStart w:id="1143" w:name="_Toc18914414"/>
                  <w:bookmarkEnd w:id="1128"/>
                  <w:r>
                    <w:t>Annexes</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r>
                    <w:t xml:space="preserve"> </w:t>
                  </w:r>
                </w:p>
                <w:p>
                  <w:pPr>
                    <w:jc w:val="both"/>
                  </w:pPr>
                  <w:r>
                    <w:br w:type="page"/>
                  </w:r>
                </w:p>
                <w:p>
                  <w:pPr>
                    <w:pStyle w:val="Titre4"/>
                  </w:pPr>
                  <w:bookmarkStart w:id="1144" w:name="annexe1"/>
                  <w:bookmarkStart w:id="1145" w:name="_Toc412204093"/>
                  <w:bookmarkStart w:id="1146" w:name="_Toc414352901"/>
                  <w:bookmarkStart w:id="1147" w:name="_Toc453836924"/>
                  <w:r>
                    <w:t>Annexe 1</w:t>
                  </w:r>
                  <w:bookmarkEnd w:id="1144"/>
                  <w:r>
                    <w:t> : Attestation de demande d’inscription dans l’enseignement maternel spécialisé en application de l’article 80 du décret du 24 juillet 1997. Enseignement organisé par la FWB</w:t>
                  </w:r>
                  <w:bookmarkEnd w:id="1145"/>
                  <w:bookmarkEnd w:id="1146"/>
                  <w:bookmarkEnd w:id="1147"/>
                </w:p>
                <w:p>
                  <w:pPr>
                    <w:pStyle w:val="Corpsdetexte"/>
                  </w:pPr>
                </w:p>
                <w:p>
                  <w:pPr>
                    <w:pStyle w:val="Corpsdetexte"/>
                  </w:pPr>
                </w:p>
                <w:p>
                  <w:pPr>
                    <w:pStyle w:val="Corpsdetexte"/>
                  </w:pPr>
                  <w:r>
                    <w:t>Cachet de l’établissement et mention de son adresse :</w:t>
                  </w:r>
                </w:p>
                <w:p>
                  <w:pPr>
                    <w:pStyle w:val="Corpsdetexte"/>
                  </w:pPr>
                </w:p>
                <w:p>
                  <w:pPr>
                    <w:pStyle w:val="Corpsdetexte"/>
                  </w:pPr>
                  <w:r>
                    <w:t>Je soussigné(e )</w:t>
                  </w:r>
                  <w:r>
                    <w:tab/>
                  </w:r>
                  <w:r>
                    <w:tab/>
                  </w:r>
                  <w:r>
                    <w:tab/>
                  </w:r>
                  <w:r>
                    <w:tab/>
                  </w:r>
                  <w:r>
                    <w:tab/>
                  </w:r>
                  <w:r>
                    <w:tab/>
                  </w:r>
                  <w:r>
                    <w:tab/>
                    <w:t>Chef(fe) d’établissement,</w:t>
                  </w:r>
                  <w:r>
                    <w:br/>
                    <w:t xml:space="preserve">atteste que Madame / Monsieur </w:t>
                  </w:r>
                </w:p>
                <w:p>
                  <w:pPr>
                    <w:pStyle w:val="Corpsdetexte"/>
                  </w:pPr>
                  <w:r>
                    <w:t>s’est présenté(e ) ce</w:t>
                  </w:r>
                  <w:r>
                    <w:tab/>
                  </w:r>
                  <w:r>
                    <w:tab/>
                  </w:r>
                  <w:r>
                    <w:tab/>
                  </w:r>
                  <w:r>
                    <w:tab/>
                    <w:t>20</w:t>
                  </w:r>
                </w:p>
                <w:p>
                  <w:pPr>
                    <w:pStyle w:val="Corpsdetexte"/>
                  </w:pPr>
                  <w:r>
                    <w:t>à l’établissement</w:t>
                  </w:r>
                  <w:r>
                    <w:tab/>
                  </w:r>
                  <w:r>
                    <w:tab/>
                  </w:r>
                  <w:r>
                    <w:tab/>
                  </w:r>
                  <w:r>
                    <w:tab/>
                  </w:r>
                  <w:r>
                    <w:tab/>
                  </w:r>
                  <w:r>
                    <w:tab/>
                  </w:r>
                  <w:r>
                    <w:tab/>
                  </w:r>
                  <w:r>
                    <w:tab/>
                  </w:r>
                  <w:r>
                    <w:tab/>
                    <w:t>,</w:t>
                  </w:r>
                </w:p>
                <w:p>
                  <w:pPr>
                    <w:pStyle w:val="Corpsdetexte"/>
                  </w:pPr>
                  <w:r>
                    <w:t>en vue de l’inscription de</w:t>
                  </w:r>
                  <w:r>
                    <w:tab/>
                  </w:r>
                  <w:r>
                    <w:tab/>
                  </w:r>
                  <w:r>
                    <w:tab/>
                  </w:r>
                  <w:r>
                    <w:tab/>
                  </w:r>
                  <w:r>
                    <w:tab/>
                  </w:r>
                  <w:r>
                    <w:tab/>
                  </w:r>
                  <w:r>
                    <w:tab/>
                  </w:r>
                  <w:r>
                    <w:tab/>
                    <w:t>,</w:t>
                  </w:r>
                </w:p>
                <w:p>
                  <w:pPr>
                    <w:pStyle w:val="Corpsdetexte"/>
                  </w:pPr>
                  <w:r>
                    <w:t xml:space="preserve">né(e ) le </w:t>
                  </w:r>
                </w:p>
                <w:p>
                  <w:pPr>
                    <w:pStyle w:val="Corpsdetexte"/>
                  </w:pPr>
                  <w:r>
                    <w:tab/>
                  </w:r>
                  <w:r>
                    <w:tab/>
                  </w:r>
                </w:p>
                <w:p>
                  <w:pPr>
                    <w:pStyle w:val="Corpsdetexte"/>
                  </w:pPr>
                  <w:r>
                    <w:t>Cette inscription était sollicitée dans :</w:t>
                  </w:r>
                </w:p>
                <w:p>
                  <w:pPr>
                    <w:rPr>
                      <w:rFonts w:cs="Arial"/>
                    </w:rPr>
                  </w:pPr>
                  <w:r>
                    <w:rPr>
                      <w:rFonts w:cs="Arial"/>
                    </w:rPr>
                    <w:t>Enseignement  maternel</w:t>
                  </w:r>
                </w:p>
                <w:p>
                  <w:pPr>
                    <w:rPr>
                      <w:lang w:eastAsia="ar-SA"/>
                    </w:rPr>
                  </w:pPr>
                </w:p>
                <w:p>
                  <w:pPr>
                    <w:pStyle w:val="Corpsdetexte"/>
                  </w:pPr>
                  <w:r>
                    <w:t>Type :</w:t>
                  </w:r>
                </w:p>
                <w:p>
                  <w:pPr>
                    <w:jc w:val="both"/>
                    <w:rPr>
                      <w:lang w:eastAsia="ar-SA"/>
                    </w:rPr>
                  </w:pPr>
                </w:p>
                <w:p>
                  <w:pPr>
                    <w:pStyle w:val="Corpsdetexte"/>
                  </w:pPr>
                  <w:r>
                    <w:t>L’inscription n’a pas été prise pour la raison suivante :</w:t>
                  </w:r>
                </w:p>
                <w:p>
                  <w:pPr>
                    <w:pStyle w:val="Corpsdetexte"/>
                    <w:numPr>
                      <w:ilvl w:val="0"/>
                      <w:numId w:val="80"/>
                    </w:numPr>
                  </w:pPr>
                  <w:r>
                    <w:t xml:space="preserve">L’élève ne remplit pas les conditions requises pour être régulièrement inscrit ; </w:t>
                  </w:r>
                </w:p>
                <w:p>
                  <w:pPr>
                    <w:pStyle w:val="Corpsdetexte"/>
                    <w:numPr>
                      <w:ilvl w:val="0"/>
                      <w:numId w:val="80"/>
                    </w:numPr>
                  </w:pPr>
                  <w:r>
                    <w:t>Le nombre maximal d’élèves, limité en raison de l’insuffisance des places disponibles, est atteint (</w:t>
                  </w:r>
                  <w:r>
                    <w:rPr>
                      <w:i/>
                    </w:rPr>
                    <w:t xml:space="preserve">déclaration faite à la Direction Générale de l’Enseignement Obligatoire) ; </w:t>
                  </w:r>
                </w:p>
                <w:p>
                  <w:pPr>
                    <w:pStyle w:val="Corpsdetexte"/>
                    <w:numPr>
                      <w:ilvl w:val="0"/>
                      <w:numId w:val="80"/>
                    </w:numPr>
                  </w:pPr>
                  <w:r>
                    <w:t>Les parents ou la personne investie de l’autorité parentale n’accepte pas de souscrire aux projets éducatifs et pédagogiques, au règlement des études et au règlement d’ordre intérieur.</w:t>
                  </w:r>
                </w:p>
                <w:p>
                  <w:pPr>
                    <w:jc w:val="both"/>
                    <w:rPr>
                      <w:lang w:eastAsia="ar-SA"/>
                    </w:rPr>
                  </w:pPr>
                </w:p>
                <w:p>
                  <w:pPr>
                    <w:pStyle w:val="Corpsdetexte"/>
                  </w:pPr>
                  <w:r>
                    <w:t>Cette attestation mentionne en annexe l’adresse des services où la personne investie de l’autorité parentale peut obtenir une assistance en vue d’une inscription dans un autre établissement d’enseignement de la Fédération Wallonie-Bruxelles ou dans une institution assurant le respect de l’obligation scolaire.</w:t>
                  </w:r>
                </w:p>
                <w:p>
                  <w:pPr>
                    <w:rPr>
                      <w:lang w:eastAsia="ar-SA"/>
                    </w:rPr>
                  </w:pPr>
                </w:p>
                <w:p>
                  <w:pPr>
                    <w:rPr>
                      <w:lang w:eastAsia="ar-SA"/>
                    </w:rPr>
                  </w:pPr>
                </w:p>
                <w:p>
                  <w:pPr>
                    <w:pStyle w:val="Corpsdetexte"/>
                  </w:pPr>
                  <w:r>
                    <w:t>Date et signature du (de la) Chef(fe) d’établissement.                                                      Pour réception.</w:t>
                  </w:r>
                </w:p>
                <w:p>
                  <w:pPr>
                    <w:jc w:val="both"/>
                    <w:rPr>
                      <w:lang w:eastAsia="ar-SA"/>
                    </w:rPr>
                  </w:pPr>
                </w:p>
                <w:p>
                  <w:pPr>
                    <w:pStyle w:val="Corpsdetexte"/>
                  </w:pPr>
                </w:p>
                <w:p>
                  <w:pPr>
                    <w:rPr>
                      <w:lang w:eastAsia="ar-SA"/>
                    </w:rPr>
                  </w:pPr>
                </w:p>
                <w:p>
                  <w:pPr>
                    <w:rPr>
                      <w:lang w:eastAsia="ar-SA"/>
                    </w:rPr>
                  </w:pPr>
                </w:p>
                <w:p>
                  <w:pPr>
                    <w:rPr>
                      <w:lang w:eastAsia="ar-SA"/>
                    </w:rPr>
                  </w:pPr>
                </w:p>
                <w:p>
                  <w:pPr>
                    <w:jc w:val="both"/>
                    <w:rPr>
                      <w:lang w:eastAsia="ar-SA"/>
                    </w:rPr>
                  </w:pPr>
                </w:p>
                <w:p>
                  <w:pPr>
                    <w:pStyle w:val="Corpsdetexte"/>
                  </w:pPr>
                  <w:r>
                    <w:t>Ce document est à délivrer au(x) responsable(s) légal(aux) et une copie doit être envoyée à la commission zonale des inscriptions</w:t>
                  </w:r>
                </w:p>
                <w:p>
                  <w:pPr>
                    <w:pStyle w:val="Corpsdetexte"/>
                  </w:pPr>
                  <w:r>
                    <w:br w:type="page"/>
                  </w:r>
                </w:p>
                <w:p>
                  <w:pPr>
                    <w:rPr>
                      <w:b/>
                      <w:u w:val="single"/>
                    </w:rPr>
                  </w:pPr>
                  <w:bookmarkStart w:id="1148" w:name="_Toc412204094"/>
                  <w:bookmarkStart w:id="1149" w:name="_Toc414352902"/>
                  <w:bookmarkStart w:id="1150" w:name="_Toc453836925"/>
                </w:p>
                <w:p>
                  <w:pPr>
                    <w:rPr>
                      <w:b/>
                      <w:szCs w:val="24"/>
                      <w:u w:val="single"/>
                    </w:rPr>
                  </w:pPr>
                </w:p>
                <w:p>
                  <w:pPr>
                    <w:pStyle w:val="Titre4"/>
                  </w:pPr>
                  <w:r>
                    <w:t>Annexe 2 : Attestation de demande d’inscription dans l’enseignement maternel spécialisé en application de l’article 88 du décret du 24 juillet 1997. Enseignement subventionné par la FWB</w:t>
                  </w:r>
                  <w:bookmarkEnd w:id="1148"/>
                  <w:bookmarkEnd w:id="1149"/>
                  <w:bookmarkEnd w:id="1150"/>
                </w:p>
                <w:p>
                  <w:pPr>
                    <w:pStyle w:val="Corpsdetexte"/>
                  </w:pPr>
                </w:p>
                <w:p>
                  <w:pPr>
                    <w:pStyle w:val="Corpsdetexte"/>
                  </w:pPr>
                  <w:r>
                    <w:t>Cachet de l’établissement et mention de son adresse :</w:t>
                  </w:r>
                </w:p>
                <w:p>
                  <w:pPr>
                    <w:pStyle w:val="Corpsdetexte"/>
                  </w:pPr>
                </w:p>
                <w:p>
                  <w:pPr>
                    <w:pStyle w:val="Corpsdetexte"/>
                  </w:pPr>
                  <w:r>
                    <w:t>Pouvoir organisateur :</w:t>
                  </w:r>
                </w:p>
                <w:p>
                  <w:pPr>
                    <w:pStyle w:val="Corpsdetexte"/>
                  </w:pPr>
                </w:p>
                <w:p>
                  <w:pPr>
                    <w:pStyle w:val="Corpsdetexte"/>
                  </w:pPr>
                  <w:r>
                    <w:t>Je soussigné(e ) (Nom et Titre), agissant au nom du P.O.,</w:t>
                  </w:r>
                </w:p>
                <w:p>
                  <w:pPr>
                    <w:pStyle w:val="Corpsdetexte"/>
                  </w:pPr>
                  <w:r>
                    <w:t xml:space="preserve">atteste que Madame / Monsieur </w:t>
                  </w:r>
                </w:p>
                <w:p>
                  <w:pPr>
                    <w:pStyle w:val="Corpsdetexte"/>
                  </w:pPr>
                  <w:r>
                    <w:t xml:space="preserve">s’est présenté(e ) ce </w:t>
                  </w:r>
                  <w:r>
                    <w:tab/>
                  </w:r>
                  <w:r>
                    <w:tab/>
                  </w:r>
                  <w:r>
                    <w:tab/>
                  </w:r>
                  <w:r>
                    <w:tab/>
                    <w:t>20</w:t>
                  </w:r>
                </w:p>
                <w:p>
                  <w:pPr>
                    <w:pStyle w:val="Corpsdetexte"/>
                  </w:pPr>
                  <w:r>
                    <w:t>à l’établissement</w:t>
                  </w:r>
                  <w:r>
                    <w:tab/>
                  </w:r>
                  <w:r>
                    <w:tab/>
                  </w:r>
                  <w:r>
                    <w:tab/>
                  </w:r>
                  <w:r>
                    <w:tab/>
                  </w:r>
                  <w:r>
                    <w:tab/>
                  </w:r>
                  <w:r>
                    <w:tab/>
                  </w:r>
                  <w:r>
                    <w:tab/>
                  </w:r>
                  <w:r>
                    <w:tab/>
                    <w:t>,</w:t>
                  </w:r>
                </w:p>
                <w:p>
                  <w:pPr>
                    <w:pStyle w:val="Corpsdetexte"/>
                  </w:pPr>
                  <w:r>
                    <w:t>en vue de l’inscription de</w:t>
                  </w:r>
                  <w:r>
                    <w:tab/>
                  </w:r>
                  <w:r>
                    <w:tab/>
                  </w:r>
                  <w:r>
                    <w:tab/>
                  </w:r>
                  <w:r>
                    <w:tab/>
                  </w:r>
                  <w:r>
                    <w:tab/>
                  </w:r>
                  <w:r>
                    <w:tab/>
                  </w:r>
                  <w:r>
                    <w:tab/>
                    <w:t>,</w:t>
                  </w:r>
                </w:p>
                <w:p>
                  <w:pPr>
                    <w:pStyle w:val="Corpsdetexte"/>
                  </w:pPr>
                  <w:r>
                    <w:t xml:space="preserve">né(e ) le </w:t>
                  </w:r>
                </w:p>
                <w:p>
                  <w:pPr>
                    <w:pStyle w:val="Corpsdetexte"/>
                  </w:pPr>
                </w:p>
                <w:p>
                  <w:pPr>
                    <w:pStyle w:val="Corpsdetexte"/>
                  </w:pPr>
                  <w:r>
                    <w:t>Cette inscription était sollicitée dans :</w:t>
                  </w:r>
                </w:p>
                <w:p>
                  <w:pPr>
                    <w:jc w:val="both"/>
                    <w:rPr>
                      <w:lang w:eastAsia="ar-SA"/>
                    </w:rPr>
                  </w:pPr>
                </w:p>
                <w:tbl>
                  <w:tblPr>
                    <w:tblW w:w="0" w:type="auto"/>
                    <w:tblLayout w:type="fixed"/>
                    <w:tblLook w:val="0000" w:firstRow="0" w:lastRow="0" w:firstColumn="0" w:lastColumn="0" w:noHBand="0" w:noVBand="0"/>
                  </w:tblPr>
                  <w:tblGrid>
                    <w:gridCol w:w="9286"/>
                  </w:tblGrid>
                  <w:tr>
                    <w:tc>
                      <w:tcPr>
                        <w:tcW w:w="9286" w:type="dxa"/>
                      </w:tcPr>
                      <w:p>
                        <w:pPr>
                          <w:numPr>
                            <w:ilvl w:val="0"/>
                            <w:numId w:val="98"/>
                          </w:numPr>
                          <w:suppressAutoHyphens/>
                          <w:snapToGrid w:val="0"/>
                          <w:ind w:left="0"/>
                          <w:jc w:val="both"/>
                          <w:rPr>
                            <w:rFonts w:cs="Arial"/>
                          </w:rPr>
                        </w:pPr>
                        <w:r>
                          <w:rPr>
                            <w:rFonts w:cs="Arial"/>
                          </w:rPr>
                          <w:t>Enseignement  maternel</w:t>
                        </w:r>
                      </w:p>
                      <w:p>
                        <w:pPr>
                          <w:numPr>
                            <w:ilvl w:val="0"/>
                            <w:numId w:val="98"/>
                          </w:numPr>
                          <w:suppressAutoHyphens/>
                          <w:snapToGrid w:val="0"/>
                          <w:ind w:left="0"/>
                          <w:jc w:val="both"/>
                          <w:rPr>
                            <w:rFonts w:cs="Arial"/>
                          </w:rPr>
                        </w:pPr>
                      </w:p>
                    </w:tc>
                  </w:tr>
                </w:tbl>
                <w:p>
                  <w:pPr>
                    <w:pStyle w:val="Corpsdetexte"/>
                  </w:pPr>
                  <w:r>
                    <w:t xml:space="preserve">Type : </w:t>
                  </w:r>
                </w:p>
                <w:p>
                  <w:pPr>
                    <w:pStyle w:val="Corpsdetexte"/>
                  </w:pPr>
                </w:p>
                <w:p>
                  <w:pPr>
                    <w:pStyle w:val="Corpsdetexte"/>
                  </w:pPr>
                  <w:r>
                    <w:t>L’inscription n’a pas été prise pour la raison suivante :</w:t>
                  </w:r>
                </w:p>
                <w:p>
                  <w:pPr>
                    <w:pStyle w:val="Corpsdetexte"/>
                    <w:numPr>
                      <w:ilvl w:val="0"/>
                      <w:numId w:val="104"/>
                    </w:numPr>
                  </w:pPr>
                  <w:r>
                    <w:t xml:space="preserve">L’élève ne remplit pas les conditions requises pour être régulièrement inscrit </w:t>
                  </w:r>
                </w:p>
                <w:p>
                  <w:pPr>
                    <w:pStyle w:val="Corpsdetexte"/>
                    <w:numPr>
                      <w:ilvl w:val="0"/>
                      <w:numId w:val="104"/>
                    </w:numPr>
                  </w:pPr>
                  <w:r>
                    <w:t>Le nombre maximal d’élèves, limité en raison de l’insuffisance des places disponibles, est atteint (</w:t>
                  </w:r>
                  <w:r>
                    <w:rPr>
                      <w:i/>
                    </w:rPr>
                    <w:t>déclaration faite à la Direction Générale de l’Enseignement Obligatoire</w:t>
                  </w:r>
                  <w:r>
                    <w:t>)</w:t>
                  </w:r>
                </w:p>
                <w:p>
                  <w:pPr>
                    <w:pStyle w:val="Corpsdetexte"/>
                    <w:numPr>
                      <w:ilvl w:val="0"/>
                      <w:numId w:val="104"/>
                    </w:numPr>
                  </w:pPr>
                  <w:r>
                    <w:t>Les parents ou la personne investie de l’autorité parentale refusent de souscrire aux projets éducatif et pédagogique, au règlement des études et au règlement d’ordre intérieur.</w:t>
                  </w:r>
                </w:p>
                <w:p>
                  <w:pPr>
                    <w:pStyle w:val="Corpsdetexte"/>
                  </w:pPr>
                </w:p>
                <w:p>
                  <w:pPr>
                    <w:pStyle w:val="Corpsdetexte"/>
                  </w:pPr>
                  <w:r>
                    <w:t>Cette attestation mentionne en annexe l’adresse des services où la personne investie de l’autorité parentale peut obtenir une assistance en vue d’une inscription dans un autre établissement.</w:t>
                  </w:r>
                </w:p>
                <w:p>
                  <w:pPr>
                    <w:pStyle w:val="Corpsdetexte"/>
                  </w:pPr>
                </w:p>
                <w:p>
                  <w:pPr>
                    <w:rPr>
                      <w:lang w:eastAsia="ar-SA"/>
                    </w:rPr>
                  </w:pPr>
                </w:p>
                <w:p>
                  <w:pPr>
                    <w:pStyle w:val="Corpsdetexte"/>
                  </w:pPr>
                  <w:r>
                    <w:t>Date et signature du délégué du P.O.                                                               Pour réception</w:t>
                  </w:r>
                </w:p>
                <w:p>
                  <w:pPr>
                    <w:pStyle w:val="Corpsdetexte"/>
                  </w:pPr>
                </w:p>
                <w:p>
                  <w:pPr>
                    <w:jc w:val="both"/>
                    <w:rPr>
                      <w:lang w:eastAsia="ar-SA"/>
                    </w:rPr>
                  </w:pPr>
                </w:p>
                <w:p>
                  <w:pPr>
                    <w:jc w:val="both"/>
                    <w:rPr>
                      <w:lang w:eastAsia="ar-SA"/>
                    </w:rPr>
                  </w:pPr>
                </w:p>
                <w:p>
                  <w:pPr>
                    <w:jc w:val="both"/>
                    <w:rPr>
                      <w:lang w:eastAsia="ar-SA"/>
                    </w:rPr>
                  </w:pPr>
                </w:p>
                <w:p>
                  <w:pPr>
                    <w:pStyle w:val="Corpsdetexte"/>
                  </w:pPr>
                </w:p>
                <w:p>
                  <w:pPr>
                    <w:pStyle w:val="Corpsdetexte"/>
                  </w:pPr>
                  <w:r>
                    <w:t xml:space="preserve">Ce document est à délivrer au(x) responsable(s) légal(aux) et une copie doit être envoyée  à l’organe de représentation et de coordination ou à la commission décentralisée de l’aide à l’inscription. </w:t>
                  </w:r>
                </w:p>
                <w:p>
                  <w:pPr>
                    <w:pStyle w:val="Corpsdetexte"/>
                  </w:pPr>
                  <w:r>
                    <w:t>Dans le cas où le P.O. n’a pas adhéré à un organe de représentation ou de coordination, la copie doit être transmise à la D.G.E.O.,1, rue Adolphe Lavallée, 1080 BRUXELLES.</w:t>
                  </w:r>
                  <w:r>
                    <w:br w:type="page"/>
                  </w:r>
                </w:p>
                <w:p>
                  <w:pPr>
                    <w:jc w:val="both"/>
                  </w:pPr>
                  <w:bookmarkStart w:id="1151" w:name="_Toc412204095"/>
                  <w:bookmarkStart w:id="1152" w:name="_Toc414352903"/>
                  <w:bookmarkStart w:id="1153" w:name="_Toc453836926"/>
                </w:p>
                <w:p>
                  <w:pPr>
                    <w:rPr>
                      <w:b/>
                      <w:szCs w:val="24"/>
                      <w:u w:val="single"/>
                    </w:rPr>
                  </w:pPr>
                </w:p>
                <w:p>
                  <w:pPr>
                    <w:pStyle w:val="Titre4"/>
                  </w:pPr>
                  <w:r>
                    <w:t>Annexe 3 : Attestation de demande d’inscription dans l’enseignement primaire spécialisé en application de l’article 80 du décret du 24 juillet 1997. Enseignement organisé par la FWB.</w:t>
                  </w:r>
                  <w:bookmarkEnd w:id="1151"/>
                  <w:bookmarkEnd w:id="1152"/>
                  <w:bookmarkEnd w:id="1153"/>
                </w:p>
                <w:p>
                  <w:pPr>
                    <w:pStyle w:val="Corpsdetexte"/>
                  </w:pPr>
                </w:p>
                <w:p>
                  <w:pPr>
                    <w:pStyle w:val="Corpsdetexte"/>
                  </w:pPr>
                  <w:r>
                    <w:t>Cachet de l’établissement et mention de son adresse :</w:t>
                  </w:r>
                </w:p>
                <w:p>
                  <w:pPr>
                    <w:pStyle w:val="Corpsdetexte"/>
                  </w:pPr>
                </w:p>
                <w:p>
                  <w:pPr>
                    <w:pStyle w:val="Corpsdetexte"/>
                    <w:rPr>
                      <w:vertAlign w:val="subscript"/>
                    </w:rPr>
                  </w:pPr>
                  <w:r>
                    <w:t>Je soussigné(e ),</w:t>
                  </w:r>
                  <w:r>
                    <w:tab/>
                  </w:r>
                  <w:r>
                    <w:tab/>
                  </w:r>
                  <w:r>
                    <w:tab/>
                  </w:r>
                  <w:r>
                    <w:tab/>
                  </w:r>
                  <w:r>
                    <w:tab/>
                  </w:r>
                  <w:r>
                    <w:tab/>
                  </w:r>
                  <w:r>
                    <w:tab/>
                    <w:t xml:space="preserve"> Chef(fe) d’établissement</w:t>
                  </w:r>
                  <w:r>
                    <w:rPr>
                      <w:vertAlign w:val="subscript"/>
                    </w:rPr>
                    <w:t xml:space="preserve"> </w:t>
                  </w:r>
                </w:p>
                <w:p>
                  <w:pPr>
                    <w:pStyle w:val="Corpsdetexte"/>
                  </w:pPr>
                  <w:r>
                    <w:t xml:space="preserve">atteste que Madame / Monsieur </w:t>
                  </w:r>
                </w:p>
                <w:p>
                  <w:pPr>
                    <w:pStyle w:val="Corpsdetexte"/>
                  </w:pPr>
                  <w:r>
                    <w:t xml:space="preserve">s’est présenté(e ) ce </w:t>
                  </w:r>
                  <w:r>
                    <w:tab/>
                  </w:r>
                  <w:r>
                    <w:tab/>
                  </w:r>
                  <w:r>
                    <w:tab/>
                  </w:r>
                  <w:r>
                    <w:tab/>
                    <w:t>20</w:t>
                  </w:r>
                </w:p>
                <w:p>
                  <w:pPr>
                    <w:pStyle w:val="Corpsdetexte"/>
                  </w:pPr>
                  <w:r>
                    <w:t>à l’établissement</w:t>
                  </w:r>
                  <w:r>
                    <w:tab/>
                  </w:r>
                  <w:r>
                    <w:tab/>
                  </w:r>
                  <w:r>
                    <w:tab/>
                  </w:r>
                  <w:r>
                    <w:tab/>
                  </w:r>
                  <w:r>
                    <w:tab/>
                  </w:r>
                  <w:r>
                    <w:tab/>
                  </w:r>
                  <w:r>
                    <w:tab/>
                  </w:r>
                  <w:r>
                    <w:tab/>
                    <w:t>,</w:t>
                  </w:r>
                </w:p>
                <w:p>
                  <w:pPr>
                    <w:pStyle w:val="Corpsdetexte"/>
                  </w:pPr>
                  <w:r>
                    <w:t>en vue de l’inscription de</w:t>
                  </w:r>
                  <w:r>
                    <w:tab/>
                  </w:r>
                  <w:r>
                    <w:tab/>
                  </w:r>
                  <w:r>
                    <w:tab/>
                  </w:r>
                  <w:r>
                    <w:tab/>
                  </w:r>
                  <w:r>
                    <w:tab/>
                  </w:r>
                  <w:r>
                    <w:tab/>
                  </w:r>
                  <w:r>
                    <w:tab/>
                    <w:t>,</w:t>
                  </w:r>
                </w:p>
                <w:p>
                  <w:pPr>
                    <w:pStyle w:val="Corpsdetexte"/>
                  </w:pPr>
                  <w:r>
                    <w:t xml:space="preserve">né(e) le </w:t>
                  </w:r>
                </w:p>
                <w:p>
                  <w:pPr>
                    <w:pStyle w:val="Corpsdetexte"/>
                  </w:pPr>
                </w:p>
                <w:p>
                  <w:pPr>
                    <w:pStyle w:val="Corpsdetexte"/>
                  </w:pPr>
                  <w:r>
                    <w:t>Cette inscription était sollicitée dans :</w:t>
                  </w:r>
                </w:p>
                <w:p>
                  <w:pPr>
                    <w:rPr>
                      <w:lang w:eastAsia="ar-SA"/>
                    </w:rPr>
                  </w:pPr>
                </w:p>
                <w:tbl>
                  <w:tblPr>
                    <w:tblW w:w="0" w:type="auto"/>
                    <w:tblInd w:w="-25" w:type="dxa"/>
                    <w:tblLayout w:type="fixed"/>
                    <w:tblLook w:val="0000" w:firstRow="0" w:lastRow="0" w:firstColumn="0" w:lastColumn="0" w:noHBand="0" w:noVBand="0"/>
                  </w:tblPr>
                  <w:tblGrid>
                    <w:gridCol w:w="1941"/>
                    <w:gridCol w:w="1991"/>
                    <w:gridCol w:w="2924"/>
                    <w:gridCol w:w="6"/>
                  </w:tblGrid>
                  <w:tr>
                    <w:trPr>
                      <w:gridAfter w:val="1"/>
                      <w:wAfter w:w="6" w:type="dxa"/>
                      <w:trHeight w:val="259"/>
                    </w:trPr>
                    <w:tc>
                      <w:tcPr>
                        <w:tcW w:w="6856" w:type="dxa"/>
                        <w:gridSpan w:val="3"/>
                      </w:tcPr>
                      <w:p>
                        <w:pPr>
                          <w:numPr>
                            <w:ilvl w:val="0"/>
                            <w:numId w:val="86"/>
                          </w:numPr>
                          <w:suppressAutoHyphens/>
                          <w:snapToGrid w:val="0"/>
                          <w:ind w:left="0"/>
                          <w:jc w:val="both"/>
                          <w:rPr>
                            <w:rFonts w:cs="Arial"/>
                          </w:rPr>
                        </w:pPr>
                        <w:r>
                          <w:rPr>
                            <w:rFonts w:cs="Arial"/>
                          </w:rPr>
                          <w:t>Enseignement  spécialisé</w:t>
                        </w:r>
                      </w:p>
                    </w:tc>
                  </w:tr>
                  <w:tr>
                    <w:tblPrEx>
                      <w:tblCellMar>
                        <w:left w:w="0" w:type="dxa"/>
                        <w:right w:w="0" w:type="dxa"/>
                      </w:tblCellMar>
                    </w:tblPrEx>
                    <w:trPr>
                      <w:trHeight w:val="275"/>
                    </w:trPr>
                    <w:tc>
                      <w:tcPr>
                        <w:tcW w:w="1941" w:type="dxa"/>
                        <w:tcBorders>
                          <w:top w:val="single" w:sz="4" w:space="0" w:color="000000"/>
                          <w:left w:val="single" w:sz="4" w:space="0" w:color="000000"/>
                          <w:bottom w:val="single" w:sz="4" w:space="0" w:color="000000"/>
                        </w:tcBorders>
                      </w:tcPr>
                      <w:p>
                        <w:pPr>
                          <w:snapToGrid w:val="0"/>
                          <w:jc w:val="both"/>
                          <w:rPr>
                            <w:rFonts w:cs="Arial"/>
                          </w:rPr>
                        </w:pPr>
                        <w:r>
                          <w:rPr>
                            <w:rFonts w:cs="Arial"/>
                          </w:rPr>
                          <w:t>Type</w:t>
                        </w:r>
                      </w:p>
                    </w:tc>
                    <w:tc>
                      <w:tcPr>
                        <w:tcW w:w="1991" w:type="dxa"/>
                        <w:tcBorders>
                          <w:top w:val="single" w:sz="4" w:space="0" w:color="000000"/>
                          <w:left w:val="single" w:sz="4" w:space="0" w:color="000000"/>
                          <w:bottom w:val="single" w:sz="4" w:space="0" w:color="000000"/>
                        </w:tcBorders>
                      </w:tcPr>
                      <w:p>
                        <w:pPr>
                          <w:snapToGrid w:val="0"/>
                          <w:jc w:val="both"/>
                          <w:rPr>
                            <w:rFonts w:cs="Arial"/>
                          </w:rPr>
                        </w:pPr>
                        <w:r>
                          <w:rPr>
                            <w:rFonts w:cs="Arial"/>
                          </w:rPr>
                          <w:t>niveau de maturité </w:t>
                        </w:r>
                      </w:p>
                    </w:tc>
                    <w:tc>
                      <w:tcPr>
                        <w:tcW w:w="2930" w:type="dxa"/>
                        <w:gridSpan w:val="2"/>
                        <w:tcBorders>
                          <w:left w:val="single" w:sz="4" w:space="0" w:color="000000"/>
                        </w:tcBorders>
                      </w:tcPr>
                      <w:p>
                        <w:pPr>
                          <w:snapToGrid w:val="0"/>
                          <w:jc w:val="both"/>
                          <w:rPr>
                            <w:rFonts w:cs="Arial"/>
                          </w:rPr>
                        </w:pPr>
                      </w:p>
                    </w:tc>
                  </w:tr>
                  <w:tr>
                    <w:tblPrEx>
                      <w:tblCellMar>
                        <w:left w:w="0" w:type="dxa"/>
                        <w:right w:w="0" w:type="dxa"/>
                      </w:tblCellMar>
                    </w:tblPrEx>
                    <w:trPr>
                      <w:trHeight w:val="275"/>
                    </w:trPr>
                    <w:tc>
                      <w:tcPr>
                        <w:tcW w:w="1941" w:type="dxa"/>
                        <w:tcBorders>
                          <w:top w:val="single" w:sz="4" w:space="0" w:color="000000"/>
                          <w:left w:val="single" w:sz="4" w:space="0" w:color="000000"/>
                          <w:bottom w:val="single" w:sz="4" w:space="0" w:color="000000"/>
                        </w:tcBorders>
                      </w:tcPr>
                      <w:p>
                        <w:pPr>
                          <w:snapToGrid w:val="0"/>
                          <w:jc w:val="both"/>
                          <w:rPr>
                            <w:rFonts w:cs="Arial"/>
                          </w:rPr>
                        </w:pPr>
                      </w:p>
                    </w:tc>
                    <w:tc>
                      <w:tcPr>
                        <w:tcW w:w="1991" w:type="dxa"/>
                        <w:tcBorders>
                          <w:top w:val="single" w:sz="4" w:space="0" w:color="000000"/>
                          <w:left w:val="single" w:sz="4" w:space="0" w:color="000000"/>
                          <w:bottom w:val="single" w:sz="4" w:space="0" w:color="000000"/>
                        </w:tcBorders>
                      </w:tcPr>
                      <w:p>
                        <w:pPr>
                          <w:snapToGrid w:val="0"/>
                          <w:jc w:val="both"/>
                          <w:rPr>
                            <w:rFonts w:cs="Arial"/>
                          </w:rPr>
                        </w:pPr>
                      </w:p>
                    </w:tc>
                    <w:tc>
                      <w:tcPr>
                        <w:tcW w:w="2930" w:type="dxa"/>
                        <w:gridSpan w:val="2"/>
                        <w:tcBorders>
                          <w:left w:val="single" w:sz="4" w:space="0" w:color="000000"/>
                        </w:tcBorders>
                      </w:tcPr>
                      <w:p>
                        <w:pPr>
                          <w:snapToGrid w:val="0"/>
                          <w:jc w:val="both"/>
                          <w:rPr>
                            <w:rFonts w:cs="Arial"/>
                          </w:rPr>
                        </w:pPr>
                      </w:p>
                    </w:tc>
                  </w:tr>
                </w:tbl>
                <w:p>
                  <w:pPr>
                    <w:pStyle w:val="Corpsdetexte"/>
                  </w:pPr>
                </w:p>
                <w:p>
                  <w:pPr>
                    <w:pStyle w:val="Corpsdetexte"/>
                  </w:pPr>
                  <w:r>
                    <w:t>L’inscription n’a pas été prise pour la raison suivante :</w:t>
                  </w:r>
                </w:p>
                <w:p>
                  <w:pPr>
                    <w:pStyle w:val="Corpsdetexte"/>
                  </w:pPr>
                </w:p>
                <w:p>
                  <w:pPr>
                    <w:pStyle w:val="Corpsdetexte"/>
                    <w:numPr>
                      <w:ilvl w:val="0"/>
                      <w:numId w:val="75"/>
                    </w:numPr>
                  </w:pPr>
                  <w:r>
                    <w:t xml:space="preserve">L’élève ne remplit pas les conditions requises pour être  régulièrement inscrit(e) </w:t>
                  </w:r>
                </w:p>
                <w:p>
                  <w:pPr>
                    <w:pStyle w:val="Corpsdetexte"/>
                    <w:numPr>
                      <w:ilvl w:val="0"/>
                      <w:numId w:val="75"/>
                    </w:numPr>
                  </w:pPr>
                  <w:r>
                    <w:t>Le nombre maximal d’élèves, limité en raison de l’insuffisance des places disponibles, est atteint (</w:t>
                  </w:r>
                  <w:r>
                    <w:rPr>
                      <w:i/>
                    </w:rPr>
                    <w:t>déclaration faite à la Direction Générale de l’Enseignement Obligatoire)</w:t>
                  </w:r>
                </w:p>
                <w:p>
                  <w:pPr>
                    <w:pStyle w:val="Corpsdetexte"/>
                    <w:numPr>
                      <w:ilvl w:val="0"/>
                      <w:numId w:val="75"/>
                    </w:numPr>
                  </w:pPr>
                  <w:r>
                    <w:t>Les parents ou la personne investie de l’autorité parentale n’accepte pas de souscrire aux projets éducatifs et pédagogiques, au règlement des études et au règlement d’ordre intérieur</w:t>
                  </w:r>
                </w:p>
                <w:p>
                  <w:pPr>
                    <w:jc w:val="both"/>
                    <w:rPr>
                      <w:lang w:eastAsia="ar-SA"/>
                    </w:rPr>
                  </w:pPr>
                </w:p>
                <w:p>
                  <w:pPr>
                    <w:pStyle w:val="Corpsdetexte"/>
                  </w:pPr>
                  <w:r>
                    <w:t>Cette attestation mentionne en annexe l’adresse des services où la personne investie de l’autorité parentale peut obtenir une assistance en vue d’une inscription dans un autre établissement d’enseignement de la Fédération Wallonie-Bruxelles ou dans une institution assurant le respect de l’obligation scolaire.</w:t>
                  </w:r>
                </w:p>
                <w:p>
                  <w:pPr>
                    <w:rPr>
                      <w:lang w:eastAsia="ar-SA"/>
                    </w:rPr>
                  </w:pPr>
                </w:p>
                <w:p>
                  <w:pPr>
                    <w:rPr>
                      <w:lang w:eastAsia="ar-SA"/>
                    </w:rPr>
                  </w:pPr>
                </w:p>
                <w:p>
                  <w:pPr>
                    <w:pStyle w:val="Corpsdetexte"/>
                  </w:pPr>
                  <w:r>
                    <w:t>Date et signature du (de la) Chef(fe) d’établissement.                                                      Pour réception.</w:t>
                  </w:r>
                </w:p>
                <w:p>
                  <w:pPr>
                    <w:pStyle w:val="Corpsdetexte"/>
                  </w:pPr>
                </w:p>
                <w:p>
                  <w:pPr>
                    <w:pStyle w:val="Corpsdetexte"/>
                  </w:pPr>
                </w:p>
                <w:p>
                  <w:pPr>
                    <w:pStyle w:val="Corpsdetexte"/>
                  </w:pPr>
                </w:p>
                <w:p>
                  <w:pPr>
                    <w:jc w:val="both"/>
                    <w:rPr>
                      <w:lang w:eastAsia="ar-SA"/>
                    </w:rPr>
                  </w:pPr>
                </w:p>
                <w:p>
                  <w:pPr>
                    <w:pStyle w:val="Corpsdetexte"/>
                  </w:pPr>
                  <w:r>
                    <w:t>Ce document est à délivrer au(x) responsable(s) légal(aux) et une copie doit être envoyée à la commission zonale des inscriptions.</w:t>
                  </w:r>
                </w:p>
                <w:p>
                  <w:pPr>
                    <w:pStyle w:val="Corpsdetexte"/>
                  </w:pPr>
                  <w:r>
                    <w:br w:type="page"/>
                  </w:r>
                </w:p>
                <w:p>
                  <w:pPr>
                    <w:rPr>
                      <w:b/>
                      <w:szCs w:val="24"/>
                      <w:u w:val="single"/>
                    </w:rPr>
                  </w:pPr>
                  <w:bookmarkStart w:id="1154" w:name="_Toc412204096"/>
                  <w:bookmarkStart w:id="1155" w:name="_Toc414352904"/>
                  <w:bookmarkStart w:id="1156" w:name="_Toc453836927"/>
                </w:p>
                <w:p>
                  <w:pPr>
                    <w:pStyle w:val="Titre4"/>
                  </w:pPr>
                  <w:r>
                    <w:t>Annexe 4 : Attestation de demande d’inscription dans l’enseignement primaire spécialisé en application de l’article 88 du décret du 24 juillet 1997. Enseignement subventionné par la FW</w:t>
                  </w:r>
                  <w:bookmarkEnd w:id="1154"/>
                  <w:bookmarkEnd w:id="1155"/>
                  <w:r>
                    <w:t>B.</w:t>
                  </w:r>
                  <w:bookmarkEnd w:id="1156"/>
                </w:p>
                <w:p>
                  <w:pPr>
                    <w:jc w:val="both"/>
                  </w:pPr>
                </w:p>
                <w:p>
                  <w:pPr>
                    <w:pStyle w:val="Corpsdetexte"/>
                  </w:pPr>
                  <w:r>
                    <w:t>Cachet de l’établissement et mention de son adresse :</w:t>
                  </w:r>
                </w:p>
                <w:p>
                  <w:pPr>
                    <w:jc w:val="both"/>
                    <w:rPr>
                      <w:lang w:eastAsia="ar-SA"/>
                    </w:rPr>
                  </w:pPr>
                </w:p>
                <w:p>
                  <w:pPr>
                    <w:pStyle w:val="Corpsdetexte"/>
                  </w:pPr>
                  <w:r>
                    <w:t>Pouvoir organisateur :</w:t>
                  </w:r>
                  <w:r>
                    <w:tab/>
                  </w:r>
                  <w:r>
                    <w:tab/>
                  </w:r>
                  <w:r>
                    <w:tab/>
                  </w:r>
                  <w:r>
                    <w:tab/>
                  </w:r>
                  <w:r>
                    <w:tab/>
                  </w:r>
                  <w:r>
                    <w:tab/>
                  </w:r>
                  <w:r>
                    <w:tab/>
                  </w:r>
                  <w:r>
                    <w:tab/>
                  </w:r>
                </w:p>
                <w:p>
                  <w:pPr>
                    <w:pStyle w:val="Corpsdetexte"/>
                  </w:pPr>
                  <w:r>
                    <w:t xml:space="preserve">Je soussigné(e) (Nom et Titre), </w:t>
                  </w:r>
                  <w:r>
                    <w:tab/>
                  </w:r>
                  <w:r>
                    <w:tab/>
                  </w:r>
                  <w:r>
                    <w:tab/>
                  </w:r>
                  <w:r>
                    <w:tab/>
                  </w:r>
                  <w:r>
                    <w:tab/>
                  </w:r>
                  <w:r>
                    <w:tab/>
                  </w:r>
                  <w:r>
                    <w:tab/>
                  </w:r>
                  <w:r>
                    <w:tab/>
                  </w:r>
                </w:p>
                <w:p>
                  <w:pPr>
                    <w:pStyle w:val="Corpsdetexte"/>
                  </w:pPr>
                  <w:r>
                    <w:t>agissant au nom du P.O.,</w:t>
                  </w:r>
                </w:p>
                <w:p>
                  <w:pPr>
                    <w:pStyle w:val="Corpsdetexte"/>
                  </w:pPr>
                  <w:r>
                    <w:t xml:space="preserve">atteste que Madame / Monsieur </w:t>
                  </w:r>
                </w:p>
                <w:p>
                  <w:pPr>
                    <w:pStyle w:val="Corpsdetexte"/>
                  </w:pPr>
                  <w:r>
                    <w:t xml:space="preserve">s’est présenté(e) ce </w:t>
                  </w:r>
                  <w:r>
                    <w:tab/>
                  </w:r>
                  <w:r>
                    <w:tab/>
                  </w:r>
                  <w:r>
                    <w:tab/>
                  </w:r>
                  <w:r>
                    <w:tab/>
                  </w:r>
                  <w:r>
                    <w:tab/>
                    <w:t xml:space="preserve"> 20</w:t>
                  </w:r>
                </w:p>
                <w:p>
                  <w:pPr>
                    <w:pStyle w:val="Corpsdetexte"/>
                  </w:pPr>
                  <w:r>
                    <w:t>à l’établissement</w:t>
                  </w:r>
                  <w:r>
                    <w:tab/>
                  </w:r>
                  <w:r>
                    <w:tab/>
                  </w:r>
                  <w:r>
                    <w:tab/>
                  </w:r>
                  <w:r>
                    <w:tab/>
                  </w:r>
                  <w:r>
                    <w:tab/>
                  </w:r>
                  <w:r>
                    <w:tab/>
                  </w:r>
                  <w:r>
                    <w:tab/>
                  </w:r>
                  <w:r>
                    <w:tab/>
                    <w:t>,</w:t>
                  </w:r>
                </w:p>
                <w:p>
                  <w:pPr>
                    <w:pStyle w:val="Corpsdetexte"/>
                  </w:pPr>
                  <w:r>
                    <w:t xml:space="preserve">en vue de l’inscription de </w:t>
                  </w:r>
                  <w:r>
                    <w:tab/>
                  </w:r>
                  <w:r>
                    <w:tab/>
                  </w:r>
                  <w:r>
                    <w:tab/>
                  </w:r>
                  <w:r>
                    <w:tab/>
                  </w:r>
                  <w:r>
                    <w:tab/>
                  </w:r>
                  <w:r>
                    <w:tab/>
                  </w:r>
                  <w:r>
                    <w:tab/>
                    <w:t>,</w:t>
                  </w:r>
                </w:p>
                <w:p>
                  <w:pPr>
                    <w:pStyle w:val="Corpsdetexte"/>
                  </w:pPr>
                  <w:r>
                    <w:t xml:space="preserve">né(e) le </w:t>
                  </w:r>
                </w:p>
                <w:p>
                  <w:pPr>
                    <w:pStyle w:val="Corpsdetexte"/>
                  </w:pPr>
                </w:p>
                <w:p>
                  <w:pPr>
                    <w:pStyle w:val="Corpsdetexte"/>
                  </w:pPr>
                  <w:r>
                    <w:t>Cette inscription était sollicitée dans :</w:t>
                  </w:r>
                </w:p>
                <w:p>
                  <w:pPr>
                    <w:rPr>
                      <w:lang w:eastAsia="ar-SA"/>
                    </w:rPr>
                  </w:pPr>
                </w:p>
                <w:tbl>
                  <w:tblPr>
                    <w:tblW w:w="0" w:type="auto"/>
                    <w:tblInd w:w="-25" w:type="dxa"/>
                    <w:tblLayout w:type="fixed"/>
                    <w:tblLook w:val="0000" w:firstRow="0" w:lastRow="0" w:firstColumn="0" w:lastColumn="0" w:noHBand="0" w:noVBand="0"/>
                  </w:tblPr>
                  <w:tblGrid>
                    <w:gridCol w:w="2496"/>
                    <w:gridCol w:w="2418"/>
                    <w:gridCol w:w="4090"/>
                    <w:gridCol w:w="9"/>
                  </w:tblGrid>
                  <w:tr>
                    <w:trPr>
                      <w:gridAfter w:val="1"/>
                      <w:wAfter w:w="9" w:type="dxa"/>
                      <w:trHeight w:val="275"/>
                    </w:trPr>
                    <w:tc>
                      <w:tcPr>
                        <w:tcW w:w="9004" w:type="dxa"/>
                        <w:gridSpan w:val="3"/>
                      </w:tcPr>
                      <w:p>
                        <w:pPr>
                          <w:numPr>
                            <w:ilvl w:val="0"/>
                            <w:numId w:val="88"/>
                          </w:numPr>
                          <w:suppressAutoHyphens/>
                          <w:snapToGrid w:val="0"/>
                          <w:ind w:left="0"/>
                          <w:jc w:val="both"/>
                          <w:rPr>
                            <w:rFonts w:cs="Arial"/>
                          </w:rPr>
                        </w:pPr>
                        <w:r>
                          <w:rPr>
                            <w:rFonts w:cs="Arial"/>
                          </w:rPr>
                          <w:t>Enseignement spécialisé</w:t>
                        </w:r>
                      </w:p>
                    </w:tc>
                  </w:tr>
                  <w:tr>
                    <w:tblPrEx>
                      <w:tblCellMar>
                        <w:left w:w="0" w:type="dxa"/>
                        <w:right w:w="0" w:type="dxa"/>
                      </w:tblCellMar>
                    </w:tblPrEx>
                    <w:trPr>
                      <w:trHeight w:val="259"/>
                    </w:trPr>
                    <w:tc>
                      <w:tcPr>
                        <w:tcW w:w="2496" w:type="dxa"/>
                        <w:tcBorders>
                          <w:top w:val="single" w:sz="4" w:space="0" w:color="000000"/>
                          <w:left w:val="single" w:sz="4" w:space="0" w:color="000000"/>
                          <w:bottom w:val="single" w:sz="4" w:space="0" w:color="000000"/>
                        </w:tcBorders>
                      </w:tcPr>
                      <w:p>
                        <w:pPr>
                          <w:snapToGrid w:val="0"/>
                          <w:jc w:val="both"/>
                          <w:rPr>
                            <w:rFonts w:cs="Arial"/>
                          </w:rPr>
                        </w:pPr>
                        <w:r>
                          <w:rPr>
                            <w:rFonts w:cs="Arial"/>
                          </w:rPr>
                          <w:t>Type</w:t>
                        </w:r>
                      </w:p>
                    </w:tc>
                    <w:tc>
                      <w:tcPr>
                        <w:tcW w:w="2418" w:type="dxa"/>
                        <w:tcBorders>
                          <w:top w:val="single" w:sz="4" w:space="0" w:color="000000"/>
                          <w:left w:val="single" w:sz="4" w:space="0" w:color="000000"/>
                          <w:bottom w:val="single" w:sz="4" w:space="0" w:color="000000"/>
                        </w:tcBorders>
                      </w:tcPr>
                      <w:p>
                        <w:pPr>
                          <w:snapToGrid w:val="0"/>
                          <w:jc w:val="both"/>
                          <w:rPr>
                            <w:rFonts w:cs="Arial"/>
                          </w:rPr>
                        </w:pPr>
                        <w:r>
                          <w:rPr>
                            <w:rFonts w:cs="Arial"/>
                          </w:rPr>
                          <w:t>niveau de maturité </w:t>
                        </w:r>
                      </w:p>
                    </w:tc>
                    <w:tc>
                      <w:tcPr>
                        <w:tcW w:w="4099" w:type="dxa"/>
                        <w:gridSpan w:val="2"/>
                        <w:tcBorders>
                          <w:left w:val="single" w:sz="4" w:space="0" w:color="000000"/>
                        </w:tcBorders>
                      </w:tcPr>
                      <w:p>
                        <w:pPr>
                          <w:snapToGrid w:val="0"/>
                          <w:jc w:val="both"/>
                          <w:rPr>
                            <w:rFonts w:cs="Arial"/>
                          </w:rPr>
                        </w:pPr>
                      </w:p>
                    </w:tc>
                  </w:tr>
                  <w:tr>
                    <w:tblPrEx>
                      <w:tblCellMar>
                        <w:left w:w="0" w:type="dxa"/>
                        <w:right w:w="0" w:type="dxa"/>
                      </w:tblCellMar>
                    </w:tblPrEx>
                    <w:trPr>
                      <w:trHeight w:val="275"/>
                    </w:trPr>
                    <w:tc>
                      <w:tcPr>
                        <w:tcW w:w="2496" w:type="dxa"/>
                        <w:tcBorders>
                          <w:top w:val="single" w:sz="4" w:space="0" w:color="000000"/>
                          <w:left w:val="single" w:sz="4" w:space="0" w:color="000000"/>
                          <w:bottom w:val="single" w:sz="4" w:space="0" w:color="000000"/>
                        </w:tcBorders>
                      </w:tcPr>
                      <w:p>
                        <w:pPr>
                          <w:snapToGrid w:val="0"/>
                          <w:jc w:val="both"/>
                          <w:rPr>
                            <w:rFonts w:cs="Arial"/>
                          </w:rPr>
                        </w:pPr>
                      </w:p>
                    </w:tc>
                    <w:tc>
                      <w:tcPr>
                        <w:tcW w:w="2418" w:type="dxa"/>
                        <w:tcBorders>
                          <w:top w:val="single" w:sz="4" w:space="0" w:color="000000"/>
                          <w:left w:val="single" w:sz="4" w:space="0" w:color="000000"/>
                          <w:bottom w:val="single" w:sz="4" w:space="0" w:color="000000"/>
                        </w:tcBorders>
                      </w:tcPr>
                      <w:p>
                        <w:pPr>
                          <w:snapToGrid w:val="0"/>
                          <w:jc w:val="both"/>
                          <w:rPr>
                            <w:rFonts w:cs="Arial"/>
                          </w:rPr>
                        </w:pPr>
                      </w:p>
                    </w:tc>
                    <w:tc>
                      <w:tcPr>
                        <w:tcW w:w="4099" w:type="dxa"/>
                        <w:gridSpan w:val="2"/>
                        <w:tcBorders>
                          <w:left w:val="single" w:sz="4" w:space="0" w:color="000000"/>
                        </w:tcBorders>
                      </w:tcPr>
                      <w:p>
                        <w:pPr>
                          <w:snapToGrid w:val="0"/>
                          <w:jc w:val="both"/>
                          <w:rPr>
                            <w:rFonts w:cs="Arial"/>
                          </w:rPr>
                        </w:pPr>
                      </w:p>
                    </w:tc>
                  </w:tr>
                </w:tbl>
                <w:p>
                  <w:pPr>
                    <w:pStyle w:val="Corpsdetexte"/>
                  </w:pPr>
                </w:p>
                <w:p>
                  <w:pPr>
                    <w:pStyle w:val="Corpsdetexte"/>
                  </w:pPr>
                </w:p>
                <w:p>
                  <w:pPr>
                    <w:pStyle w:val="Corpsdetexte"/>
                  </w:pPr>
                  <w:r>
                    <w:t>L’inscription n’a pas été prise pour la raison suivante :</w:t>
                  </w:r>
                </w:p>
                <w:p>
                  <w:pPr>
                    <w:pStyle w:val="Corpsdetexte"/>
                    <w:numPr>
                      <w:ilvl w:val="0"/>
                      <w:numId w:val="74"/>
                    </w:numPr>
                  </w:pPr>
                  <w:r>
                    <w:t xml:space="preserve">L’élève ne remplit pas les conditions requises pour être régulièrement inscrit(e) </w:t>
                  </w:r>
                </w:p>
                <w:p>
                  <w:pPr>
                    <w:pStyle w:val="Corpsdetexte"/>
                    <w:numPr>
                      <w:ilvl w:val="0"/>
                      <w:numId w:val="74"/>
                    </w:numPr>
                  </w:pPr>
                  <w:r>
                    <w:t>Le nombre maximal d’élèves, limité en raison de l’insuffisance des places disponibles, est atteint (</w:t>
                  </w:r>
                  <w:r>
                    <w:rPr>
                      <w:i/>
                    </w:rPr>
                    <w:t>déclaration faite à la Direction Générale de l’Enseignement Obligatoire)</w:t>
                  </w:r>
                </w:p>
                <w:p>
                  <w:pPr>
                    <w:pStyle w:val="Corpsdetexte"/>
                    <w:numPr>
                      <w:ilvl w:val="0"/>
                      <w:numId w:val="74"/>
                    </w:numPr>
                  </w:pPr>
                  <w:r>
                    <w:t>Les parents ou la personne investie de l’autorité parentale refusent de souscrire aux projets éducatif et pédagogique, au règlement des études et au règlement d’ordre intérieur.</w:t>
                  </w:r>
                </w:p>
                <w:p>
                  <w:pPr>
                    <w:pStyle w:val="Corpsdetexte"/>
                  </w:pPr>
                </w:p>
                <w:p>
                  <w:pPr>
                    <w:pStyle w:val="Corpsdetexte"/>
                  </w:pPr>
                  <w:r>
                    <w:t>Cette attestation mentionne en annexe l’adresse des services où la personne investie de l’autorité parentale peut obtenir une assistance en vue d’une inscription dans un autre établissement.</w:t>
                  </w:r>
                </w:p>
                <w:p>
                  <w:pPr>
                    <w:rPr>
                      <w:lang w:eastAsia="ar-SA"/>
                    </w:rPr>
                  </w:pPr>
                </w:p>
                <w:p>
                  <w:pPr>
                    <w:rPr>
                      <w:lang w:eastAsia="ar-SA"/>
                    </w:rPr>
                  </w:pPr>
                </w:p>
                <w:p>
                  <w:pPr>
                    <w:pStyle w:val="Corpsdetexte"/>
                  </w:pPr>
                  <w:r>
                    <w:t>Date et signature du délégué du P.O.                                                               Pour réception.</w:t>
                  </w:r>
                </w:p>
                <w:p>
                  <w:pPr>
                    <w:pStyle w:val="Corpsdetexte"/>
                  </w:pPr>
                </w:p>
                <w:p>
                  <w:pPr>
                    <w:pStyle w:val="Corpsdetexte"/>
                  </w:pPr>
                </w:p>
                <w:p>
                  <w:pPr>
                    <w:pStyle w:val="Corpsdetexte"/>
                  </w:pPr>
                </w:p>
                <w:p>
                  <w:pPr>
                    <w:rPr>
                      <w:lang w:eastAsia="ar-SA"/>
                    </w:rPr>
                  </w:pPr>
                </w:p>
                <w:p>
                  <w:pPr>
                    <w:rPr>
                      <w:lang w:eastAsia="ar-SA"/>
                    </w:rPr>
                  </w:pPr>
                </w:p>
                <w:p>
                  <w:pPr>
                    <w:pStyle w:val="Corpsdetexte"/>
                  </w:pPr>
                  <w:r>
                    <w:t xml:space="preserve">Ce document est à délivrer au(x) responsable(s) légal(aux) et une copie doit être envoyée  à l’organe de représentation et de coordination ou à la commission décentralisée de l’aide à l’inscription. </w:t>
                  </w:r>
                </w:p>
                <w:p>
                  <w:pPr>
                    <w:pStyle w:val="Corpsdetexte"/>
                  </w:pPr>
                  <w:r>
                    <w:t>Dans le cas où le P.O. n’a pas adhéré à un organe de représentation ou de coordination, la copie doit être transmise à la D.G.E.O., 1, rue Adolphe Lavallée, 1080 BRUXELLES.</w:t>
                  </w:r>
                </w:p>
                <w:p>
                  <w:pPr>
                    <w:jc w:val="both"/>
                    <w:rPr>
                      <w:rFonts w:eastAsia="Times New Roman" w:cs="Arial"/>
                      <w:b/>
                      <w:lang w:eastAsia="ar-SA"/>
                    </w:rPr>
                  </w:pPr>
                </w:p>
                <w:p>
                  <w:pPr>
                    <w:jc w:val="both"/>
                    <w:rPr>
                      <w:rFonts w:eastAsia="Times New Roman" w:cs="Arial"/>
                      <w:b/>
                      <w:lang w:eastAsia="ar-SA"/>
                    </w:rPr>
                  </w:pPr>
                </w:p>
                <w:p>
                  <w:pPr>
                    <w:jc w:val="both"/>
                    <w:rPr>
                      <w:b/>
                      <w:u w:val="single"/>
                    </w:rPr>
                  </w:pPr>
                  <w:bookmarkStart w:id="1157" w:name="_Annexe_1,_2,"/>
                  <w:bookmarkStart w:id="1158" w:name="_Toc412204097"/>
                  <w:bookmarkStart w:id="1159" w:name="_Toc414352905"/>
                  <w:bookmarkStart w:id="1160" w:name="_Toc453836928"/>
                  <w:bookmarkEnd w:id="1157"/>
                  <w:r>
                    <w:br w:type="page"/>
                  </w:r>
                </w:p>
                <w:p>
                  <w:pPr>
                    <w:pStyle w:val="Titre4"/>
                  </w:pPr>
                  <w:bookmarkStart w:id="1161" w:name="_Annexe_1,_2,_1"/>
                  <w:bookmarkEnd w:id="1161"/>
                  <w:r>
                    <w:t xml:space="preserve">Annexe 1, 2, 3 et 4 / verso : Attestation de demande d’inscription dans l’enseignement maternel spécialisé – Adresses </w:t>
                  </w:r>
                </w:p>
                <w:p/>
                <w:p>
                  <w:pPr>
                    <w:tabs>
                      <w:tab w:val="num" w:pos="0"/>
                    </w:tabs>
                    <w:rPr>
                      <w:rFonts w:cs="Arial"/>
                      <w:b/>
                      <w:color w:val="000080"/>
                    </w:rPr>
                  </w:pPr>
                  <w:r>
                    <w:rPr>
                      <w:rFonts w:cs="Arial"/>
                      <w:b/>
                      <w:color w:val="000080"/>
                    </w:rPr>
                    <w:t xml:space="preserve">ENSEIGNEMENT ORGANISE PAR LA FEDERATION WALLONIE-BRUXELLES : </w:t>
                  </w:r>
                </w:p>
                <w:p>
                  <w:r>
                    <w:rPr>
                      <w:noProof/>
                      <w:lang w:eastAsia="fr-BE"/>
                    </w:rPr>
                    <mc:AlternateContent>
                      <mc:Choice Requires="wps">
                        <w:drawing>
                          <wp:anchor distT="0" distB="0" distL="114300" distR="114300" simplePos="0" relativeHeight="252090368" behindDoc="0" locked="0" layoutInCell="1" allowOverlap="1">
                            <wp:simplePos x="0" y="0"/>
                            <wp:positionH relativeFrom="column">
                              <wp:posOffset>6091555</wp:posOffset>
                            </wp:positionH>
                            <wp:positionV relativeFrom="paragraph">
                              <wp:posOffset>2745105</wp:posOffset>
                            </wp:positionV>
                            <wp:extent cx="0" cy="200025"/>
                            <wp:effectExtent l="0" t="0" r="19050" b="28575"/>
                            <wp:wrapNone/>
                            <wp:docPr id="469" name="Connecteur droit 469"/>
                            <wp:cNvGraphicFramePr/>
                            <a:graphic xmlns:a="http://schemas.openxmlformats.org/drawingml/2006/main">
                              <a:graphicData uri="http://schemas.microsoft.com/office/word/2010/wordprocessingShape">
                                <wps:wsp>
                                  <wps:cNvCnPr/>
                                  <wps:spPr>
                                    <a:xfrm>
                                      <a:off x="0" y="0"/>
                                      <a:ext cx="0" cy="2000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C21BDDE" id="Connecteur droit 469" o:spid="_x0000_s1026" style="position:absolute;z-index:252090368;visibility:visible;mso-wrap-style:square;mso-wrap-distance-left:9pt;mso-wrap-distance-top:0;mso-wrap-distance-right:9pt;mso-wrap-distance-bottom:0;mso-position-horizontal:absolute;mso-position-horizontal-relative:text;mso-position-vertical:absolute;mso-position-vertical-relative:text" from="479.65pt,216.15pt" to="479.65pt,23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" strokecolor="black [3040]"/>
                        </w:pict>
                      </mc:Fallback>
                    </mc:AlternateContent>
                  </w:r>
                </w:p>
                <w:tbl>
                  <w:tblPr>
                    <w:tblStyle w:val="Grilledutableau"/>
                    <w:tblW w:w="0" w:type="auto"/>
                    <w:tblLook w:val="04A0" w:firstRow="1" w:lastRow="0" w:firstColumn="1" w:lastColumn="0" w:noHBand="0" w:noVBand="1"/>
                  </w:tblPr>
                  <w:tblGrid>
                    <w:gridCol w:w="4672"/>
                    <w:gridCol w:w="4672"/>
                  </w:tblGrid>
                  <w:tr>
                    <w:tc>
                      <w:tcPr>
                        <w:tcW w:w="4672" w:type="dxa"/>
                      </w:tcPr>
                      <w:p>
                        <w:pPr>
                          <w:ind w:left="1080" w:hanging="1080"/>
                          <w:rPr>
                            <w:rFonts w:cs="Times New Roman"/>
                            <w:sz w:val="22"/>
                            <w:lang w:val="fr-FR" w:eastAsia="fr-FR"/>
                          </w:rPr>
                        </w:pPr>
                        <w:r>
                          <w:rPr>
                            <w:rFonts w:cs="Times New Roman"/>
                            <w:sz w:val="22"/>
                            <w:lang w:val="fr-FR" w:eastAsia="fr-FR"/>
                          </w:rPr>
                          <w:t>Zone 1 : Bruxelles-Capitale</w:t>
                        </w:r>
                      </w:p>
                      <w:p>
                        <w:pPr>
                          <w:ind w:left="1080" w:hanging="1080"/>
                          <w:rPr>
                            <w:rFonts w:cs="Times New Roman"/>
                            <w:sz w:val="22"/>
                            <w:lang w:val="fr-FR" w:eastAsia="fr-FR"/>
                          </w:rPr>
                        </w:pPr>
                        <w:r>
                          <w:rPr>
                            <w:rFonts w:cs="Times New Roman"/>
                            <w:sz w:val="22"/>
                            <w:lang w:val="fr-FR" w:eastAsia="fr-FR"/>
                          </w:rPr>
                          <w:t>Zone 2 : Brabant Wallon</w:t>
                        </w:r>
                      </w:p>
                    </w:tc>
                    <w:tc>
                      <w:tcPr>
                        <w:tcW w:w="4672" w:type="dxa"/>
                      </w:tcPr>
                      <w:p>
                        <w:pPr>
                          <w:rPr>
                            <w:rFonts w:cs="Times New Roman"/>
                            <w:sz w:val="22"/>
                            <w:lang w:eastAsia="fr-FR"/>
                          </w:rPr>
                        </w:pPr>
                        <w:r>
                          <w:rPr>
                            <w:rFonts w:cs="Times New Roman"/>
                            <w:sz w:val="22"/>
                            <w:lang w:eastAsia="fr-FR"/>
                          </w:rPr>
                          <w:t>VANDERHEIDEN Renelde</w:t>
                        </w:r>
                      </w:p>
                      <w:p>
                        <w:pPr>
                          <w:rPr>
                            <w:rFonts w:cs="Times New Roman"/>
                            <w:sz w:val="22"/>
                            <w:lang w:eastAsia="fr-FR"/>
                          </w:rPr>
                        </w:pPr>
                        <w:r>
                          <w:rPr>
                            <w:rFonts w:cs="Times New Roman"/>
                            <w:sz w:val="22"/>
                            <w:lang w:eastAsia="fr-FR"/>
                          </w:rPr>
                          <w:t>Boulevard du Jardin Botanique 20-22</w:t>
                        </w:r>
                      </w:p>
                      <w:p>
                        <w:pPr>
                          <w:rPr>
                            <w:rFonts w:cs="Times New Roman"/>
                            <w:sz w:val="22"/>
                            <w:lang w:eastAsia="fr-FR"/>
                          </w:rPr>
                        </w:pPr>
                        <w:r>
                          <w:rPr>
                            <w:rFonts w:cs="Times New Roman"/>
                            <w:sz w:val="22"/>
                            <w:lang w:eastAsia="fr-FR"/>
                          </w:rPr>
                          <w:t xml:space="preserve">1000 </w:t>
                        </w:r>
                        <w:r>
                          <w:rPr>
                            <w:rFonts w:cs="Times New Roman"/>
                            <w:caps/>
                            <w:sz w:val="22"/>
                            <w:lang w:eastAsia="fr-FR"/>
                          </w:rPr>
                          <w:t>Bruxelles</w:t>
                        </w:r>
                      </w:p>
                      <w:p>
                        <w:pPr>
                          <w:rPr>
                            <w:sz w:val="22"/>
                          </w:rPr>
                        </w:pPr>
                        <w:r>
                          <w:rPr>
                            <w:sz w:val="22"/>
                          </w:rPr>
                          <w:sym w:font="Wingdings" w:char="F028"/>
                        </w:r>
                        <w:r>
                          <w:rPr>
                            <w:sz w:val="22"/>
                          </w:rPr>
                          <w:t> </w:t>
                        </w:r>
                        <w:r>
                          <w:rPr>
                            <w:rFonts w:cs="Times New Roman"/>
                            <w:sz w:val="22"/>
                            <w:lang w:eastAsia="fr-FR"/>
                          </w:rPr>
                          <w:t>: 02/690.81.78</w:t>
                        </w:r>
                      </w:p>
                    </w:tc>
                  </w:tr>
                  <w:tr>
                    <w:tc>
                      <w:tcPr>
                        <w:tcW w:w="4672" w:type="dxa"/>
                      </w:tcPr>
                      <w:p>
                        <w:pPr>
                          <w:ind w:left="1080" w:hanging="1080"/>
                          <w:rPr>
                            <w:rFonts w:cs="Times New Roman"/>
                            <w:sz w:val="22"/>
                            <w:lang w:val="fr-FR" w:eastAsia="fr-FR"/>
                          </w:rPr>
                        </w:pPr>
                        <w:r>
                          <w:rPr>
                            <w:rFonts w:cs="Times New Roman"/>
                            <w:sz w:val="22"/>
                            <w:lang w:val="fr-FR" w:eastAsia="fr-FR"/>
                          </w:rPr>
                          <w:t>Zone 3 : Huy-Waremme</w:t>
                        </w:r>
                      </w:p>
                      <w:p>
                        <w:pPr>
                          <w:rPr>
                            <w:sz w:val="22"/>
                          </w:rPr>
                        </w:pPr>
                        <w:r>
                          <w:rPr>
                            <w:rFonts w:cs="Times New Roman"/>
                            <w:sz w:val="22"/>
                            <w:lang w:val="fr-FR" w:eastAsia="fr-FR"/>
                          </w:rPr>
                          <w:t>Zone 6 : Namur</w:t>
                        </w:r>
                      </w:p>
                    </w:tc>
                    <w:tc>
                      <w:tcPr>
                        <w:tcW w:w="4672" w:type="dxa"/>
                      </w:tcPr>
                      <w:p>
                        <w:pPr>
                          <w:rPr>
                            <w:rFonts w:cs="Times New Roman"/>
                            <w:sz w:val="22"/>
                            <w:lang w:eastAsia="fr-FR"/>
                          </w:rPr>
                        </w:pPr>
                        <w:r>
                          <w:rPr>
                            <w:rFonts w:cs="Times New Roman"/>
                            <w:sz w:val="22"/>
                            <w:lang w:eastAsia="fr-FR"/>
                          </w:rPr>
                          <w:t>PERAZZO Gianni</w:t>
                        </w:r>
                      </w:p>
                      <w:p>
                        <w:pPr>
                          <w:rPr>
                            <w:rFonts w:cs="Times New Roman"/>
                            <w:sz w:val="22"/>
                            <w:lang w:eastAsia="fr-FR"/>
                          </w:rPr>
                        </w:pPr>
                        <w:r>
                          <w:rPr>
                            <w:rFonts w:cs="Times New Roman"/>
                            <w:sz w:val="22"/>
                            <w:lang w:eastAsia="fr-FR"/>
                          </w:rPr>
                          <w:t>Boulevard du Jardin Botanique 20-22</w:t>
                        </w:r>
                      </w:p>
                      <w:p>
                        <w:pPr>
                          <w:rPr>
                            <w:rFonts w:cs="Times New Roman"/>
                            <w:sz w:val="22"/>
                            <w:lang w:eastAsia="fr-FR"/>
                          </w:rPr>
                        </w:pPr>
                        <w:r>
                          <w:rPr>
                            <w:rFonts w:cs="Times New Roman"/>
                            <w:sz w:val="22"/>
                            <w:lang w:eastAsia="fr-FR"/>
                          </w:rPr>
                          <w:t xml:space="preserve">1000 </w:t>
                        </w:r>
                        <w:r>
                          <w:rPr>
                            <w:rFonts w:cs="Times New Roman"/>
                            <w:caps/>
                            <w:sz w:val="22"/>
                            <w:lang w:eastAsia="fr-FR"/>
                          </w:rPr>
                          <w:t>Bruxelles</w:t>
                        </w:r>
                      </w:p>
                      <w:p>
                        <w:pPr>
                          <w:rPr>
                            <w:sz w:val="22"/>
                          </w:rPr>
                        </w:pPr>
                        <w:r>
                          <w:rPr>
                            <w:sz w:val="22"/>
                          </w:rPr>
                          <w:sym w:font="Wingdings" w:char="F028"/>
                        </w:r>
                        <w:r>
                          <w:rPr>
                            <w:sz w:val="22"/>
                          </w:rPr>
                          <w:t> </w:t>
                        </w:r>
                        <w:r>
                          <w:rPr>
                            <w:rFonts w:cs="Times New Roman"/>
                            <w:sz w:val="22"/>
                            <w:lang w:eastAsia="fr-FR"/>
                          </w:rPr>
                          <w:t xml:space="preserve">: 02/690.82.88  </w:t>
                        </w:r>
                      </w:p>
                    </w:tc>
                  </w:tr>
                  <w:tr>
                    <w:tc>
                      <w:tcPr>
                        <w:tcW w:w="4672" w:type="dxa"/>
                      </w:tcPr>
                      <w:p>
                        <w:pPr>
                          <w:ind w:left="1080" w:hanging="1080"/>
                          <w:rPr>
                            <w:rFonts w:cs="Times New Roman"/>
                            <w:sz w:val="22"/>
                            <w:lang w:val="fr-FR" w:eastAsia="fr-FR"/>
                          </w:rPr>
                        </w:pPr>
                        <w:r>
                          <w:rPr>
                            <w:rFonts w:cs="Times New Roman"/>
                            <w:sz w:val="22"/>
                            <w:lang w:val="fr-FR" w:eastAsia="fr-FR"/>
                          </w:rPr>
                          <w:t>Zone 4 : Liège</w:t>
                        </w:r>
                      </w:p>
                      <w:p>
                        <w:pPr>
                          <w:ind w:left="1080" w:hanging="1080"/>
                          <w:rPr>
                            <w:rFonts w:cs="Times New Roman"/>
                            <w:sz w:val="22"/>
                            <w:lang w:val="fr-FR" w:eastAsia="fr-FR"/>
                          </w:rPr>
                        </w:pPr>
                        <w:r>
                          <w:rPr>
                            <w:rFonts w:cs="Times New Roman"/>
                            <w:sz w:val="22"/>
                            <w:lang w:val="fr-FR" w:eastAsia="fr-FR"/>
                          </w:rPr>
                          <w:t xml:space="preserve">Zone 5 : Verviers </w:t>
                        </w:r>
                      </w:p>
                      <w:p>
                        <w:pPr>
                          <w:rPr>
                            <w:sz w:val="22"/>
                          </w:rPr>
                        </w:pPr>
                        <w:r>
                          <w:rPr>
                            <w:rFonts w:cs="Times New Roman"/>
                            <w:sz w:val="22"/>
                            <w:lang w:val="fr-FR" w:eastAsia="fr-FR"/>
                          </w:rPr>
                          <w:t>Zone 7 : Luxembourg</w:t>
                        </w:r>
                      </w:p>
                    </w:tc>
                    <w:tc>
                      <w:tcPr>
                        <w:tcW w:w="4672" w:type="dxa"/>
                      </w:tcPr>
                      <w:p>
                        <w:pPr>
                          <w:rPr>
                            <w:rFonts w:cs="Times New Roman"/>
                            <w:sz w:val="22"/>
                            <w:lang w:val="en-GB" w:eastAsia="fr-FR"/>
                          </w:rPr>
                        </w:pPr>
                        <w:r>
                          <w:rPr>
                            <w:rFonts w:cs="Times New Roman"/>
                            <w:sz w:val="22"/>
                            <w:lang w:val="en-GB" w:eastAsia="fr-FR"/>
                          </w:rPr>
                          <w:t xml:space="preserve">SLOTA Isabelle </w:t>
                        </w:r>
                      </w:p>
                      <w:p>
                        <w:pPr>
                          <w:rPr>
                            <w:rFonts w:cs="Times New Roman"/>
                            <w:sz w:val="22"/>
                            <w:lang w:val="en-GB" w:eastAsia="fr-FR"/>
                          </w:rPr>
                        </w:pPr>
                        <w:r>
                          <w:rPr>
                            <w:rFonts w:cs="Times New Roman"/>
                            <w:sz w:val="22"/>
                            <w:lang w:val="en-GB" w:eastAsia="fr-FR"/>
                          </w:rPr>
                          <w:t>Rue Henri Fays, 37</w:t>
                        </w:r>
                      </w:p>
                      <w:p>
                        <w:pPr>
                          <w:rPr>
                            <w:rFonts w:cs="Times New Roman"/>
                            <w:sz w:val="22"/>
                            <w:lang w:val="en-GB" w:eastAsia="fr-FR"/>
                          </w:rPr>
                        </w:pPr>
                        <w:r>
                          <w:rPr>
                            <w:rFonts w:cs="Times New Roman"/>
                            <w:sz w:val="22"/>
                            <w:lang w:val="en-GB" w:eastAsia="fr-FR"/>
                          </w:rPr>
                          <w:t>4160 ANTHISNES</w:t>
                        </w:r>
                      </w:p>
                      <w:p>
                        <w:pPr>
                          <w:rPr>
                            <w:sz w:val="22"/>
                          </w:rPr>
                        </w:pPr>
                        <w:r>
                          <w:rPr>
                            <w:sz w:val="22"/>
                          </w:rPr>
                          <w:sym w:font="Wingdings" w:char="F028"/>
                        </w:r>
                        <w:r>
                          <w:rPr>
                            <w:rFonts w:cs="Times New Roman"/>
                            <w:sz w:val="22"/>
                            <w:lang w:eastAsia="fr-FR"/>
                          </w:rPr>
                          <w:t>: 0473/59.22.95</w:t>
                        </w:r>
                      </w:p>
                    </w:tc>
                  </w:tr>
                  <w:tr>
                    <w:tc>
                      <w:tcPr>
                        <w:tcW w:w="4672" w:type="dxa"/>
                      </w:tcPr>
                      <w:p>
                        <w:pPr>
                          <w:ind w:left="1080" w:hanging="1080"/>
                          <w:rPr>
                            <w:rFonts w:cs="Times New Roman"/>
                            <w:sz w:val="22"/>
                            <w:lang w:val="fr-FR" w:eastAsia="fr-FR"/>
                          </w:rPr>
                        </w:pPr>
                        <w:r>
                          <w:rPr>
                            <w:rFonts w:cs="Times New Roman"/>
                            <w:sz w:val="22"/>
                            <w:lang w:val="fr-FR" w:eastAsia="fr-FR"/>
                          </w:rPr>
                          <w:t>Zone 8: Hainaut occidental</w:t>
                        </w:r>
                      </w:p>
                      <w:p>
                        <w:pPr>
                          <w:ind w:left="1080" w:hanging="1080"/>
                          <w:rPr>
                            <w:rFonts w:cs="Times New Roman"/>
                            <w:sz w:val="22"/>
                            <w:lang w:val="fr-FR" w:eastAsia="fr-FR"/>
                          </w:rPr>
                        </w:pPr>
                        <w:r>
                          <w:rPr>
                            <w:rFonts w:cs="Times New Roman"/>
                            <w:sz w:val="22"/>
                            <w:lang w:val="fr-FR" w:eastAsia="fr-FR"/>
                          </w:rPr>
                          <w:t>Zone 9: Mons – Centre</w:t>
                        </w:r>
                      </w:p>
                      <w:p>
                        <w:pPr>
                          <w:rPr>
                            <w:sz w:val="22"/>
                          </w:rPr>
                        </w:pPr>
                        <w:r>
                          <w:rPr>
                            <w:rFonts w:cs="Times New Roman"/>
                            <w:sz w:val="22"/>
                            <w:lang w:val="fr-FR" w:eastAsia="fr-FR"/>
                          </w:rPr>
                          <w:t>Zone 10: Charleroi – Hainaut Sud</w:t>
                        </w:r>
                      </w:p>
                    </w:tc>
                    <w:tc>
                      <w:tcPr>
                        <w:tcW w:w="4672" w:type="dxa"/>
                      </w:tcPr>
                      <w:p>
                        <w:pPr>
                          <w:rPr>
                            <w:rFonts w:cs="Times New Roman"/>
                            <w:sz w:val="22"/>
                            <w:lang w:eastAsia="fr-FR"/>
                          </w:rPr>
                        </w:pPr>
                        <w:r>
                          <w:rPr>
                            <w:rFonts w:cs="Times New Roman"/>
                            <w:sz w:val="22"/>
                            <w:lang w:eastAsia="fr-FR"/>
                          </w:rPr>
                          <w:t>DEBAISIEUX Frédéric</w:t>
                        </w:r>
                      </w:p>
                      <w:p>
                        <w:pPr>
                          <w:rPr>
                            <w:rFonts w:cs="Times New Roman"/>
                            <w:sz w:val="22"/>
                            <w:lang w:eastAsia="fr-FR"/>
                          </w:rPr>
                        </w:pPr>
                        <w:r>
                          <w:rPr>
                            <w:rFonts w:cs="Times New Roman"/>
                            <w:sz w:val="22"/>
                            <w:lang w:eastAsia="fr-FR"/>
                          </w:rPr>
                          <w:t>Internat Walter Ravez</w:t>
                        </w:r>
                      </w:p>
                      <w:p>
                        <w:pPr>
                          <w:rPr>
                            <w:rFonts w:cs="Times New Roman"/>
                            <w:sz w:val="22"/>
                            <w:lang w:eastAsia="fr-FR"/>
                          </w:rPr>
                        </w:pPr>
                        <w:r>
                          <w:rPr>
                            <w:rFonts w:cs="Times New Roman"/>
                            <w:sz w:val="22"/>
                            <w:lang w:eastAsia="fr-FR"/>
                          </w:rPr>
                          <w:t>Quai Vifquin 22-25</w:t>
                        </w:r>
                      </w:p>
                      <w:p>
                        <w:pPr>
                          <w:rPr>
                            <w:rFonts w:cs="Times New Roman"/>
                            <w:caps/>
                            <w:sz w:val="22"/>
                            <w:lang w:eastAsia="fr-FR"/>
                          </w:rPr>
                        </w:pPr>
                        <w:r>
                          <w:rPr>
                            <w:rFonts w:cs="Times New Roman"/>
                            <w:sz w:val="22"/>
                            <w:lang w:eastAsia="fr-FR"/>
                          </w:rPr>
                          <w:t xml:space="preserve">7500 </w:t>
                        </w:r>
                        <w:r>
                          <w:rPr>
                            <w:rFonts w:cs="Times New Roman"/>
                            <w:caps/>
                            <w:sz w:val="22"/>
                            <w:lang w:eastAsia="fr-FR"/>
                          </w:rPr>
                          <w:t>Tournai</w:t>
                        </w:r>
                      </w:p>
                      <w:p>
                        <w:pPr>
                          <w:rPr>
                            <w:rFonts w:cs="Times New Roman"/>
                            <w:sz w:val="22"/>
                            <w:lang w:eastAsia="fr-FR"/>
                          </w:rPr>
                        </w:pPr>
                        <w:r>
                          <w:rPr>
                            <w:rFonts w:cs="Times New Roman"/>
                            <w:caps/>
                            <w:sz w:val="22"/>
                            <w:lang w:eastAsia="fr-FR"/>
                          </w:rPr>
                          <w:t>0468/42.85.36</w:t>
                        </w:r>
                      </w:p>
                    </w:tc>
                  </w:tr>
                </w:tbl>
                <w:p/>
                <w:p>
                  <w:pPr>
                    <w:tabs>
                      <w:tab w:val="num" w:pos="0"/>
                    </w:tabs>
                    <w:rPr>
                      <w:rFonts w:cs="Arial"/>
                      <w:b/>
                      <w:color w:val="000080"/>
                    </w:rPr>
                  </w:pPr>
                  <w:r>
                    <w:rPr>
                      <w:rFonts w:cs="Arial"/>
                      <w:b/>
                      <w:color w:val="000080"/>
                    </w:rPr>
                    <w:t>ENSEIGNEMENT OFFICIEL SUBVENTIONNE :</w:t>
                  </w:r>
                </w:p>
                <w:p>
                  <w:pPr>
                    <w:tabs>
                      <w:tab w:val="num" w:pos="0"/>
                    </w:tabs>
                    <w:rPr>
                      <w:rFonts w:cs="Arial"/>
                    </w:rPr>
                  </w:pPr>
                  <w:r>
                    <w:rPr>
                      <w:rFonts w:cs="Arial"/>
                    </w:rPr>
                    <w:t>Conseil de l’Enseignement des Communes et des Provinces</w:t>
                  </w:r>
                </w:p>
                <w:p>
                  <w:pPr>
                    <w:tabs>
                      <w:tab w:val="num" w:pos="0"/>
                    </w:tabs>
                    <w:rPr>
                      <w:rFonts w:cs="Arial"/>
                    </w:rPr>
                  </w:pPr>
                  <w:r>
                    <w:rPr>
                      <w:rFonts w:cs="Arial"/>
                    </w:rPr>
                    <w:t>Avenue des Gaulois 32 – 1040 ETTERBEEK</w:t>
                  </w:r>
                </w:p>
                <w:p>
                  <w:pPr>
                    <w:rPr>
                      <w:rFonts w:cs="Arial"/>
                    </w:rPr>
                  </w:pPr>
                  <w:r>
                    <w:rPr>
                      <w:rFonts w:cs="Arial"/>
                    </w:rPr>
                    <w:sym w:font="Wingdings" w:char="F028"/>
                  </w:r>
                  <w:r>
                    <w:rPr>
                      <w:rFonts w:cs="Arial"/>
                    </w:rPr>
                    <w:t xml:space="preserve"> : 02/736 89 74 - </w:t>
                  </w:r>
                  <w:r>
                    <w:rPr>
                      <w:b/>
                      <w:bCs/>
                    </w:rPr>
                    <w:sym w:font="Webdings" w:char="F0CA"/>
                  </w:r>
                  <w:r>
                    <w:rPr>
                      <w:rFonts w:cs="Arial"/>
                    </w:rPr>
                    <w:t xml:space="preserve"> : 02/734.69.71.69.71</w:t>
                  </w:r>
                </w:p>
                <w:p>
                  <w:pPr>
                    <w:rPr>
                      <w:rFonts w:cs="Arial"/>
                    </w:rPr>
                  </w:pPr>
                </w:p>
                <w:p>
                  <w:pPr>
                    <w:tabs>
                      <w:tab w:val="num" w:pos="0"/>
                    </w:tabs>
                    <w:rPr>
                      <w:rFonts w:cs="Arial"/>
                      <w:b/>
                      <w:color w:val="000080"/>
                    </w:rPr>
                  </w:pPr>
                  <w:r>
                    <w:rPr>
                      <w:rFonts w:cs="Arial"/>
                      <w:b/>
                      <w:color w:val="000080"/>
                    </w:rPr>
                    <w:t>ENSEIGNEMENT LIBRE SUBVENTIONNE (catholique) :</w:t>
                  </w:r>
                </w:p>
                <w:p>
                  <w:pPr>
                    <w:tabs>
                      <w:tab w:val="num" w:pos="0"/>
                    </w:tabs>
                    <w:suppressAutoHyphens/>
                    <w:rPr>
                      <w:rFonts w:eastAsia="Times New Roman" w:cs="Arial"/>
                      <w:bCs/>
                      <w:i/>
                      <w:color w:val="000000"/>
                      <w:u w:val="single"/>
                      <w:lang w:eastAsia="ar-SA"/>
                    </w:rPr>
                  </w:pPr>
                  <w:r>
                    <w:rPr>
                      <w:rFonts w:eastAsia="Times New Roman" w:cs="Arial"/>
                      <w:bCs/>
                      <w:color w:val="000000"/>
                      <w:u w:val="single"/>
                      <w:lang w:eastAsia="ar-SA"/>
                    </w:rPr>
                    <w:t>SeGeC :</w:t>
                  </w:r>
                  <w:r>
                    <w:rPr>
                      <w:rFonts w:eastAsia="Times New Roman" w:cs="Arial"/>
                      <w:bCs/>
                      <w:i/>
                      <w:color w:val="000000"/>
                      <w:lang w:eastAsia="ar-SA"/>
                    </w:rPr>
                    <w:t xml:space="preserve"> </w:t>
                  </w:r>
                  <w:r>
                    <w:rPr>
                      <w:rFonts w:eastAsia="Times New Roman" w:cs="Arial"/>
                      <w:color w:val="000000"/>
                      <w:lang w:eastAsia="ar-SA"/>
                    </w:rPr>
                    <w:t>Avenue Emmanuel Mounier, 100 - 1200 BRUXELLES</w:t>
                  </w:r>
                </w:p>
                <w:p>
                  <w:pPr>
                    <w:tabs>
                      <w:tab w:val="num" w:pos="0"/>
                    </w:tabs>
                    <w:rPr>
                      <w:rFonts w:cs="Arial"/>
                      <w:bCs/>
                    </w:rPr>
                  </w:pPr>
                  <w:r>
                    <w:rPr>
                      <w:rFonts w:cs="Arial"/>
                    </w:rPr>
                    <w:sym w:font="Wingdings" w:char="F028"/>
                  </w:r>
                  <w:r>
                    <w:rPr>
                      <w:rFonts w:cs="Arial"/>
                    </w:rPr>
                    <w:t xml:space="preserve"> : </w:t>
                  </w:r>
                  <w:r>
                    <w:rPr>
                      <w:rFonts w:cs="Arial"/>
                      <w:bCs/>
                    </w:rPr>
                    <w:t xml:space="preserve">02/256.70.11 - </w:t>
                  </w:r>
                  <w:r>
                    <w:rPr>
                      <w:b/>
                      <w:bCs/>
                    </w:rPr>
                    <w:sym w:font="Webdings" w:char="F0CA"/>
                  </w:r>
                  <w:r>
                    <w:rPr>
                      <w:rFonts w:cs="Arial"/>
                      <w:bCs/>
                    </w:rPr>
                    <w:t>: 02/256.70.12</w:t>
                  </w:r>
                </w:p>
                <w:p/>
                <w:tbl>
                  <w:tblPr>
                    <w:tblStyle w:val="Grilledutableau"/>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967"/>
                  </w:tblGrid>
                  <w:tr>
                    <w:tc>
                      <w:tcPr>
                        <w:tcW w:w="4672" w:type="dxa"/>
                      </w:tcPr>
                      <w:p>
                        <w:pPr>
                          <w:tabs>
                            <w:tab w:val="num" w:pos="0"/>
                          </w:tabs>
                          <w:rPr>
                            <w:sz w:val="22"/>
                            <w:u w:val="single"/>
                          </w:rPr>
                        </w:pPr>
                        <w:r>
                          <w:rPr>
                            <w:sz w:val="22"/>
                            <w:u w:val="single"/>
                          </w:rPr>
                          <w:t>Bruxelles-Capitale et Brabant Wallon :</w:t>
                        </w:r>
                      </w:p>
                      <w:p>
                        <w:pPr>
                          <w:tabs>
                            <w:tab w:val="num" w:pos="0"/>
                          </w:tabs>
                          <w:rPr>
                            <w:bCs/>
                            <w:sz w:val="22"/>
                          </w:rPr>
                        </w:pPr>
                        <w:r>
                          <w:rPr>
                            <w:bCs/>
                            <w:sz w:val="22"/>
                          </w:rPr>
                          <w:t>M. Alain DEHAENE</w:t>
                        </w:r>
                      </w:p>
                      <w:p>
                        <w:pPr>
                          <w:tabs>
                            <w:tab w:val="num" w:pos="0"/>
                          </w:tabs>
                          <w:rPr>
                            <w:bCs/>
                            <w:sz w:val="22"/>
                          </w:rPr>
                        </w:pPr>
                        <w:r>
                          <w:rPr>
                            <w:bCs/>
                            <w:sz w:val="22"/>
                          </w:rPr>
                          <w:t>Avenue de l'Eglise Saint Julien, 15</w:t>
                        </w:r>
                      </w:p>
                      <w:p>
                        <w:pPr>
                          <w:tabs>
                            <w:tab w:val="num" w:pos="0"/>
                          </w:tabs>
                          <w:rPr>
                            <w:bCs/>
                            <w:sz w:val="22"/>
                          </w:rPr>
                        </w:pPr>
                        <w:r>
                          <w:rPr>
                            <w:bCs/>
                            <w:sz w:val="22"/>
                          </w:rPr>
                          <w:t>160 AUDERGHEM</w:t>
                        </w:r>
                      </w:p>
                      <w:p>
                        <w:pPr>
                          <w:tabs>
                            <w:tab w:val="num" w:pos="0"/>
                          </w:tabs>
                          <w:rPr>
                            <w:bCs/>
                            <w:sz w:val="22"/>
                          </w:rPr>
                        </w:pPr>
                        <w:r>
                          <w:rPr>
                            <w:sz w:val="22"/>
                          </w:rPr>
                          <w:sym w:font="Wingdings" w:char="F028"/>
                        </w:r>
                        <w:r>
                          <w:rPr>
                            <w:sz w:val="22"/>
                          </w:rPr>
                          <w:t xml:space="preserve"> : </w:t>
                        </w:r>
                        <w:r>
                          <w:rPr>
                            <w:bCs/>
                            <w:sz w:val="22"/>
                          </w:rPr>
                          <w:t xml:space="preserve">02/663.06.62 - </w:t>
                        </w:r>
                        <w:r>
                          <w:rPr>
                            <w:b/>
                            <w:bCs/>
                            <w:sz w:val="22"/>
                          </w:rPr>
                          <w:sym w:font="Webdings" w:char="F0CA"/>
                        </w:r>
                        <w:r>
                          <w:rPr>
                            <w:bCs/>
                            <w:sz w:val="22"/>
                          </w:rPr>
                          <w:t>: 02/672.64.32</w:t>
                        </w:r>
                      </w:p>
                      <w:p>
                        <w:pPr>
                          <w:rPr>
                            <w:sz w:val="22"/>
                          </w:rPr>
                        </w:pPr>
                      </w:p>
                    </w:tc>
                    <w:tc>
                      <w:tcPr>
                        <w:tcW w:w="4967" w:type="dxa"/>
                        <w:tcBorders>
                          <w:right w:val="single" w:sz="4" w:space="0" w:color="auto"/>
                        </w:tcBorders>
                      </w:tcPr>
                      <w:p>
                        <w:pPr>
                          <w:tabs>
                            <w:tab w:val="num" w:pos="0"/>
                          </w:tabs>
                          <w:rPr>
                            <w:sz w:val="22"/>
                            <w:u w:val="single"/>
                          </w:rPr>
                        </w:pPr>
                        <w:r>
                          <w:rPr>
                            <w:sz w:val="22"/>
                            <w:u w:val="single"/>
                          </w:rPr>
                          <w:t>Province de Liège :</w:t>
                        </w:r>
                      </w:p>
                      <w:p>
                        <w:pPr>
                          <w:tabs>
                            <w:tab w:val="num" w:pos="0"/>
                          </w:tabs>
                          <w:rPr>
                            <w:bCs/>
                            <w:sz w:val="22"/>
                          </w:rPr>
                        </w:pPr>
                        <w:r>
                          <w:rPr>
                            <w:bCs/>
                            <w:sz w:val="22"/>
                          </w:rPr>
                          <w:t>M. Jean-François DELSARTE</w:t>
                        </w:r>
                      </w:p>
                      <w:p>
                        <w:pPr>
                          <w:tabs>
                            <w:tab w:val="num" w:pos="0"/>
                          </w:tabs>
                          <w:rPr>
                            <w:bCs/>
                            <w:sz w:val="22"/>
                          </w:rPr>
                        </w:pPr>
                        <w:r>
                          <w:rPr>
                            <w:bCs/>
                            <w:sz w:val="22"/>
                          </w:rPr>
                          <w:t>Boulevard d'Avroy, 17</w:t>
                        </w:r>
                      </w:p>
                      <w:p>
                        <w:pPr>
                          <w:tabs>
                            <w:tab w:val="num" w:pos="0"/>
                          </w:tabs>
                          <w:rPr>
                            <w:bCs/>
                            <w:sz w:val="22"/>
                          </w:rPr>
                        </w:pPr>
                        <w:r>
                          <w:rPr>
                            <w:bCs/>
                            <w:sz w:val="22"/>
                          </w:rPr>
                          <w:t>4000 LIEGE</w:t>
                        </w:r>
                      </w:p>
                      <w:p>
                        <w:pPr>
                          <w:rPr>
                            <w:sz w:val="22"/>
                          </w:rPr>
                        </w:pPr>
                        <w:r>
                          <w:rPr>
                            <w:sz w:val="22"/>
                          </w:rPr>
                          <w:sym w:font="Wingdings" w:char="F028"/>
                        </w:r>
                        <w:r>
                          <w:rPr>
                            <w:sz w:val="22"/>
                          </w:rPr>
                          <w:t xml:space="preserve"> : 04/230.57.06 - </w:t>
                        </w:r>
                        <w:r>
                          <w:rPr>
                            <w:b/>
                            <w:bCs/>
                            <w:sz w:val="22"/>
                          </w:rPr>
                          <w:sym w:font="Webdings" w:char="F0CA"/>
                        </w:r>
                        <w:r>
                          <w:rPr>
                            <w:sz w:val="22"/>
                          </w:rPr>
                          <w:t> : 04/230.57.05</w:t>
                        </w:r>
                      </w:p>
                      <w:p>
                        <w:pPr>
                          <w:rPr>
                            <w:sz w:val="22"/>
                          </w:rPr>
                        </w:pPr>
                      </w:p>
                    </w:tc>
                  </w:tr>
                  <w:tr>
                    <w:tc>
                      <w:tcPr>
                        <w:tcW w:w="4672" w:type="dxa"/>
                      </w:tcPr>
                      <w:p>
                        <w:pPr>
                          <w:tabs>
                            <w:tab w:val="num" w:pos="0"/>
                          </w:tabs>
                          <w:rPr>
                            <w:sz w:val="22"/>
                            <w:u w:val="single"/>
                          </w:rPr>
                        </w:pPr>
                        <w:r>
                          <w:rPr>
                            <w:sz w:val="22"/>
                            <w:u w:val="single"/>
                          </w:rPr>
                          <w:t>Province du Hainaut :</w:t>
                        </w:r>
                      </w:p>
                      <w:p>
                        <w:pPr>
                          <w:tabs>
                            <w:tab w:val="num" w:pos="0"/>
                          </w:tabs>
                          <w:rPr>
                            <w:bCs/>
                            <w:sz w:val="22"/>
                          </w:rPr>
                        </w:pPr>
                        <w:r>
                          <w:rPr>
                            <w:bCs/>
                            <w:sz w:val="22"/>
                          </w:rPr>
                          <w:t>M. François GUILBERT</w:t>
                        </w:r>
                      </w:p>
                      <w:p>
                        <w:pPr>
                          <w:tabs>
                            <w:tab w:val="num" w:pos="0"/>
                          </w:tabs>
                          <w:rPr>
                            <w:bCs/>
                            <w:sz w:val="22"/>
                          </w:rPr>
                        </w:pPr>
                        <w:r>
                          <w:rPr>
                            <w:bCs/>
                            <w:sz w:val="22"/>
                          </w:rPr>
                          <w:t>Chaussée de Binche, 151</w:t>
                        </w:r>
                      </w:p>
                      <w:p>
                        <w:pPr>
                          <w:tabs>
                            <w:tab w:val="num" w:pos="0"/>
                          </w:tabs>
                          <w:rPr>
                            <w:bCs/>
                            <w:sz w:val="22"/>
                          </w:rPr>
                        </w:pPr>
                        <w:r>
                          <w:rPr>
                            <w:bCs/>
                            <w:sz w:val="22"/>
                          </w:rPr>
                          <w:t>7000 MONS</w:t>
                        </w:r>
                      </w:p>
                      <w:p>
                        <w:pPr>
                          <w:tabs>
                            <w:tab w:val="num" w:pos="0"/>
                          </w:tabs>
                          <w:rPr>
                            <w:bCs/>
                            <w:sz w:val="22"/>
                          </w:rPr>
                        </w:pPr>
                        <w:r>
                          <w:rPr>
                            <w:sz w:val="22"/>
                          </w:rPr>
                          <w:sym w:font="Wingdings" w:char="F028"/>
                        </w:r>
                        <w:r>
                          <w:rPr>
                            <w:sz w:val="22"/>
                          </w:rPr>
                          <w:t xml:space="preserve"> : </w:t>
                        </w:r>
                        <w:r>
                          <w:rPr>
                            <w:bCs/>
                            <w:sz w:val="22"/>
                          </w:rPr>
                          <w:t xml:space="preserve">065/37 73 02 - </w:t>
                        </w:r>
                        <w:r>
                          <w:rPr>
                            <w:b/>
                            <w:bCs/>
                            <w:sz w:val="22"/>
                          </w:rPr>
                          <w:sym w:font="Webdings" w:char="F0CA"/>
                        </w:r>
                        <w:r>
                          <w:rPr>
                            <w:bCs/>
                            <w:sz w:val="22"/>
                          </w:rPr>
                          <w:t>: 065/37.73.03</w:t>
                        </w:r>
                      </w:p>
                      <w:p>
                        <w:pPr>
                          <w:rPr>
                            <w:sz w:val="22"/>
                          </w:rPr>
                        </w:pPr>
                      </w:p>
                    </w:tc>
                    <w:tc>
                      <w:tcPr>
                        <w:tcW w:w="4967" w:type="dxa"/>
                        <w:tcBorders>
                          <w:right w:val="single" w:sz="4" w:space="0" w:color="auto"/>
                        </w:tcBorders>
                      </w:tcPr>
                      <w:p>
                        <w:pPr>
                          <w:tabs>
                            <w:tab w:val="num" w:pos="0"/>
                          </w:tabs>
                          <w:rPr>
                            <w:sz w:val="22"/>
                            <w:u w:val="single"/>
                          </w:rPr>
                        </w:pPr>
                        <w:r>
                          <w:rPr>
                            <w:sz w:val="22"/>
                            <w:u w:val="single"/>
                          </w:rPr>
                          <w:t>Provinces de Namur et du Luxembourg :</w:t>
                        </w:r>
                      </w:p>
                      <w:p>
                        <w:pPr>
                          <w:tabs>
                            <w:tab w:val="num" w:pos="0"/>
                          </w:tabs>
                          <w:rPr>
                            <w:bCs/>
                            <w:sz w:val="22"/>
                          </w:rPr>
                        </w:pPr>
                        <w:r>
                          <w:rPr>
                            <w:bCs/>
                            <w:sz w:val="22"/>
                          </w:rPr>
                          <w:t>M. Yannick PIELTAIN</w:t>
                        </w:r>
                      </w:p>
                      <w:p>
                        <w:pPr>
                          <w:tabs>
                            <w:tab w:val="num" w:pos="0"/>
                          </w:tabs>
                          <w:rPr>
                            <w:bCs/>
                            <w:sz w:val="22"/>
                          </w:rPr>
                        </w:pPr>
                        <w:r>
                          <w:rPr>
                            <w:bCs/>
                            <w:sz w:val="22"/>
                          </w:rPr>
                          <w:t>Rue de l'Evêché, 5</w:t>
                        </w:r>
                      </w:p>
                      <w:p>
                        <w:pPr>
                          <w:tabs>
                            <w:tab w:val="num" w:pos="0"/>
                          </w:tabs>
                          <w:rPr>
                            <w:bCs/>
                            <w:sz w:val="22"/>
                          </w:rPr>
                        </w:pPr>
                        <w:r>
                          <w:rPr>
                            <w:bCs/>
                            <w:sz w:val="22"/>
                          </w:rPr>
                          <w:t>5000 NAMUR</w:t>
                        </w:r>
                      </w:p>
                      <w:p>
                        <w:pPr>
                          <w:rPr>
                            <w:bCs/>
                            <w:sz w:val="22"/>
                          </w:rPr>
                        </w:pPr>
                        <w:r>
                          <w:rPr>
                            <w:sz w:val="22"/>
                          </w:rPr>
                          <w:sym w:font="Wingdings" w:char="F028"/>
                        </w:r>
                        <w:r>
                          <w:rPr>
                            <w:sz w:val="22"/>
                          </w:rPr>
                          <w:t xml:space="preserve"> : </w:t>
                        </w:r>
                        <w:r>
                          <w:rPr>
                            <w:bCs/>
                            <w:sz w:val="22"/>
                          </w:rPr>
                          <w:t xml:space="preserve">081/25.03.77 - </w:t>
                        </w:r>
                        <w:r>
                          <w:rPr>
                            <w:b/>
                            <w:bCs/>
                            <w:sz w:val="22"/>
                          </w:rPr>
                          <w:sym w:font="Webdings" w:char="F0CA"/>
                        </w:r>
                        <w:r>
                          <w:rPr>
                            <w:bCs/>
                            <w:sz w:val="22"/>
                          </w:rPr>
                          <w:t>: 081/25.03.69</w:t>
                        </w:r>
                      </w:p>
                      <w:p>
                        <w:pPr>
                          <w:rPr>
                            <w:sz w:val="22"/>
                          </w:rPr>
                        </w:pPr>
                      </w:p>
                    </w:tc>
                  </w:tr>
                </w:tbl>
                <w:p/>
                <w:p>
                  <w:pPr>
                    <w:tabs>
                      <w:tab w:val="num" w:pos="0"/>
                    </w:tabs>
                    <w:rPr>
                      <w:rFonts w:cs="Arial"/>
                      <w:b/>
                      <w:color w:val="000080"/>
                    </w:rPr>
                  </w:pPr>
                  <w:r>
                    <w:rPr>
                      <w:rFonts w:cs="Arial"/>
                      <w:b/>
                      <w:color w:val="000080"/>
                    </w:rPr>
                    <w:t>ENSEIGNEMENT LIBRE SUBVENTIONNE (non confessionnel) :</w:t>
                  </w:r>
                </w:p>
                <w:p>
                  <w:pPr>
                    <w:tabs>
                      <w:tab w:val="num" w:pos="0"/>
                    </w:tabs>
                    <w:snapToGrid w:val="0"/>
                    <w:rPr>
                      <w:rFonts w:cs="Arial"/>
                      <w:u w:val="single"/>
                    </w:rPr>
                  </w:pPr>
                  <w:r>
                    <w:rPr>
                      <w:rFonts w:cs="Arial"/>
                      <w:u w:val="single"/>
                    </w:rPr>
                    <w:t>FELSI :</w:t>
                  </w:r>
                </w:p>
                <w:p>
                  <w:pPr>
                    <w:tabs>
                      <w:tab w:val="num" w:pos="0"/>
                    </w:tabs>
                    <w:rPr>
                      <w:rFonts w:cs="Arial"/>
                      <w:bCs/>
                    </w:rPr>
                  </w:pPr>
                  <w:r>
                    <w:rPr>
                      <w:rFonts w:cs="Arial"/>
                      <w:bCs/>
                    </w:rPr>
                    <w:t>M. Michel BETTENS, secrétaire général</w:t>
                  </w:r>
                </w:p>
                <w:p>
                  <w:pPr>
                    <w:tabs>
                      <w:tab w:val="num" w:pos="0"/>
                    </w:tabs>
                    <w:rPr>
                      <w:rFonts w:cs="Arial"/>
                      <w:bCs/>
                    </w:rPr>
                  </w:pPr>
                  <w:r>
                    <w:rPr>
                      <w:rFonts w:cs="Arial"/>
                      <w:bCs/>
                    </w:rPr>
                    <w:t>Avenue Jupiter, 180 – 1190 BRUXELLES</w:t>
                  </w:r>
                </w:p>
                <w:p>
                  <w:r>
                    <w:rPr>
                      <w:rFonts w:cs="Arial"/>
                    </w:rPr>
                    <w:sym w:font="Wingdings" w:char="F028"/>
                  </w:r>
                  <w:r>
                    <w:rPr>
                      <w:rFonts w:cs="Arial"/>
                    </w:rPr>
                    <w:t xml:space="preserve"> : 02/527.37.92 - </w:t>
                  </w:r>
                  <w:r>
                    <w:rPr>
                      <w:b/>
                      <w:bCs/>
                    </w:rPr>
                    <w:sym w:font="Webdings" w:char="F0CA"/>
                  </w:r>
                  <w:r>
                    <w:rPr>
                      <w:rFonts w:cs="Arial"/>
                    </w:rPr>
                    <w:t xml:space="preserve"> : 02/527.37.91</w:t>
                  </w:r>
                </w:p>
                <w:p>
                  <w:pPr>
                    <w:rPr>
                      <w:b/>
                      <w:u w:val="single"/>
                    </w:rPr>
                  </w:pPr>
                  <w:r>
                    <w:br w:type="page"/>
                  </w:r>
                  <w:bookmarkEnd w:id="1158"/>
                  <w:bookmarkEnd w:id="1159"/>
                  <w:bookmarkEnd w:id="1160"/>
                </w:p>
                <w:p>
                  <w:pPr>
                    <w:pageBreakBefore/>
                  </w:pPr>
                </w:p>
                <w:p>
                  <w:pPr>
                    <w:pStyle w:val="Titre4"/>
                  </w:pPr>
                  <w:bookmarkStart w:id="1162" w:name="_Annexe_5_:_1"/>
                  <w:bookmarkEnd w:id="1162"/>
                  <w:r>
                    <w:t>Annexe 5 :</w:t>
                  </w:r>
                  <w:bookmarkStart w:id="1163" w:name="_Toc295932167"/>
                  <w:bookmarkStart w:id="1164" w:name="_Toc328123829"/>
                  <w:bookmarkStart w:id="1165" w:name="_Toc226359885"/>
                  <w:bookmarkStart w:id="1166" w:name="_Toc226360005"/>
                  <w:bookmarkStart w:id="1167" w:name="_Toc226360444"/>
                  <w:bookmarkStart w:id="1168" w:name="_Toc226361418"/>
                  <w:bookmarkStart w:id="1169" w:name="_Toc226364305"/>
                  <w:bookmarkStart w:id="1170" w:name="_Toc226364768"/>
                  <w:bookmarkStart w:id="1171" w:name="_Toc165786189"/>
                  <w:bookmarkStart w:id="1172" w:name="_Toc265141668"/>
                  <w:r>
                    <w:t xml:space="preserve"> Demande d’autorisation de changement d’école en cours d’année scolaire (sans changement de type) au sein de l’enseignement spécialisé</w:t>
                  </w:r>
                  <w:bookmarkEnd w:id="1163"/>
                  <w:bookmarkEnd w:id="1164"/>
                </w:p>
                <w:p>
                  <w:pPr>
                    <w:ind w:right="-648" w:hanging="720"/>
                    <w:rPr>
                      <w:b/>
                      <w:spacing w:val="2"/>
                      <w:sz w:val="16"/>
                      <w:szCs w:val="16"/>
                    </w:rPr>
                  </w:pPr>
                </w:p>
                <w:p>
                  <w:pPr>
                    <w:pBdr>
                      <w:top w:val="single" w:sz="4" w:space="1" w:color="auto"/>
                      <w:left w:val="single" w:sz="4" w:space="4" w:color="auto"/>
                      <w:bottom w:val="single" w:sz="4" w:space="1" w:color="auto"/>
                      <w:right w:val="single" w:sz="4" w:space="4" w:color="auto"/>
                    </w:pBdr>
                    <w:ind w:right="-648" w:hanging="720"/>
                    <w:jc w:val="center"/>
                    <w:rPr>
                      <w:b/>
                      <w:sz w:val="24"/>
                    </w:rPr>
                  </w:pPr>
                  <w:r>
                    <w:rPr>
                      <w:b/>
                      <w:spacing w:val="2"/>
                    </w:rPr>
                    <w:t xml:space="preserve">DEMANDE D’AUTORISATION DE CHANGEMENT D’ECOLE (sans changement de type) </w:t>
                  </w:r>
                  <w:r>
                    <w:rPr>
                      <w:b/>
                    </w:rPr>
                    <w:t>EN</w:t>
                  </w:r>
                  <w:r>
                    <w:rPr>
                      <w:b/>
                      <w:sz w:val="24"/>
                    </w:rPr>
                    <w:t xml:space="preserve"> COURS D’ANNEE SCOLAIRE</w:t>
                  </w:r>
                </w:p>
                <w:p>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r>
                    <w:rPr>
                      <w:b/>
                      <w:sz w:val="24"/>
                    </w:rPr>
                    <w:t>Enseignement spécialisé</w:t>
                  </w:r>
                </w:p>
                <w:p>
                  <w:pPr>
                    <w:pBdr>
                      <w:top w:val="single" w:sz="4" w:space="1" w:color="auto"/>
                      <w:left w:val="single" w:sz="4" w:space="4" w:color="auto"/>
                      <w:bottom w:val="single" w:sz="4" w:space="1" w:color="auto"/>
                      <w:right w:val="single" w:sz="4" w:space="4" w:color="auto"/>
                    </w:pBdr>
                    <w:ind w:right="-648" w:hanging="720"/>
                    <w:jc w:val="center"/>
                    <w:rPr>
                      <w:b/>
                      <w:spacing w:val="2"/>
                    </w:rPr>
                  </w:pPr>
                  <w:r>
                    <w:rPr>
                      <w:b/>
                      <w:spacing w:val="2"/>
                    </w:rPr>
                    <w:t xml:space="preserve">Fédération Wallonie-Bruxelles </w:t>
                  </w:r>
                  <w:r>
                    <w:rPr>
                      <w:b/>
                      <w:spacing w:val="2"/>
                    </w:rPr>
                    <w:sym w:font="Symbol" w:char="F0AE"/>
                  </w:r>
                  <w:r>
                    <w:rPr>
                      <w:b/>
                      <w:spacing w:val="2"/>
                    </w:rPr>
                    <w:t xml:space="preserve"> Fédération Wallonie-Bruxelles</w:t>
                  </w:r>
                </w:p>
                <w:p>
                  <w:pPr>
                    <w:spacing w:before="120"/>
                    <w:ind w:right="-646" w:hanging="720"/>
                    <w:jc w:val="center"/>
                    <w:rPr>
                      <w:b/>
                      <w:spacing w:val="2"/>
                      <w:u w:val="single"/>
                    </w:rPr>
                  </w:pPr>
                  <w:r>
                    <w:rPr>
                      <w:b/>
                      <w:spacing w:val="2"/>
                      <w:u w:val="single"/>
                    </w:rPr>
                    <w:t>FORMULE I</w:t>
                  </w:r>
                </w:p>
                <w:p>
                  <w:pPr>
                    <w:ind w:right="-648" w:hanging="720"/>
                    <w:jc w:val="center"/>
                    <w:rPr>
                      <w:spacing w:val="2"/>
                    </w:rPr>
                  </w:pPr>
                  <w:r>
                    <w:rPr>
                      <w:spacing w:val="2"/>
                    </w:rPr>
                    <w:t>à remplir en 1 exemplaire</w:t>
                  </w:r>
                </w:p>
                <w:p>
                  <w:pPr>
                    <w:pBdr>
                      <w:top w:val="single" w:sz="4" w:space="1" w:color="auto"/>
                      <w:left w:val="single" w:sz="4" w:space="4" w:color="auto"/>
                      <w:bottom w:val="single" w:sz="4" w:space="1" w:color="auto"/>
                      <w:right w:val="single" w:sz="4" w:space="4" w:color="auto"/>
                    </w:pBdr>
                    <w:ind w:right="-648" w:hanging="720"/>
                    <w:rPr>
                      <w:spacing w:val="2"/>
                    </w:rPr>
                  </w:pPr>
                  <w:r>
                    <w:rPr>
                      <w:b/>
                      <w:spacing w:val="2"/>
                    </w:rPr>
                    <w:t>Le(s) soussigné(s)</w:t>
                  </w:r>
                  <w:r>
                    <w:rPr>
                      <w:spacing w:val="2"/>
                    </w:rPr>
                    <w:t xml:space="preserve"> (nom en imprimé, prénom) :</w:t>
                  </w:r>
                </w:p>
                <w:p>
                  <w:pPr>
                    <w:pBdr>
                      <w:top w:val="single" w:sz="4" w:space="1" w:color="auto"/>
                      <w:left w:val="single" w:sz="4" w:space="4" w:color="auto"/>
                      <w:bottom w:val="single" w:sz="4" w:space="1" w:color="auto"/>
                      <w:right w:val="single" w:sz="4" w:space="4" w:color="auto"/>
                    </w:pBdr>
                    <w:ind w:right="-648" w:hanging="720"/>
                    <w:rPr>
                      <w:spacing w:val="2"/>
                    </w:rPr>
                  </w:pPr>
                  <w:r>
                    <w:rPr>
                      <w:spacing w:val="2"/>
                    </w:rPr>
                    <w:t>…………………………………………………………………………………………………………………………..</w:t>
                  </w:r>
                </w:p>
                <w:p>
                  <w:pPr>
                    <w:pBdr>
                      <w:top w:val="single" w:sz="4" w:space="1" w:color="auto"/>
                      <w:left w:val="single" w:sz="4" w:space="4" w:color="auto"/>
                      <w:bottom w:val="single" w:sz="4" w:space="1" w:color="auto"/>
                      <w:right w:val="single" w:sz="4" w:space="4" w:color="auto"/>
                    </w:pBdr>
                    <w:ind w:right="-648" w:hanging="720"/>
                    <w:rPr>
                      <w:spacing w:val="2"/>
                    </w:rPr>
                  </w:pPr>
                  <w:r>
                    <w:rPr>
                      <w:b/>
                      <w:spacing w:val="2"/>
                    </w:rPr>
                    <w:t>domicilié(s) à</w:t>
                  </w:r>
                  <w:r>
                    <w:rPr>
                      <w:spacing w:val="2"/>
                    </w:rPr>
                    <w:t xml:space="preserve"> (rue, n°, code postal, commune) :</w:t>
                  </w:r>
                </w:p>
                <w:p>
                  <w:pPr>
                    <w:pBdr>
                      <w:top w:val="single" w:sz="4" w:space="1" w:color="auto"/>
                      <w:left w:val="single" w:sz="4" w:space="4" w:color="auto"/>
                      <w:bottom w:val="single" w:sz="4" w:space="1" w:color="auto"/>
                      <w:right w:val="single" w:sz="4" w:space="4" w:color="auto"/>
                    </w:pBdr>
                    <w:ind w:right="-648" w:hanging="720"/>
                    <w:rPr>
                      <w:spacing w:val="2"/>
                    </w:rPr>
                  </w:pPr>
                  <w:r>
                    <w:rPr>
                      <w:spacing w:val="2"/>
                    </w:rPr>
                    <w:t>……………………………………………………………….……………………………………………………..…..</w:t>
                  </w:r>
                </w:p>
                <w:p>
                  <w:pPr>
                    <w:pBdr>
                      <w:top w:val="single" w:sz="4" w:space="1" w:color="auto"/>
                      <w:left w:val="single" w:sz="4" w:space="4" w:color="auto"/>
                      <w:bottom w:val="single" w:sz="4" w:space="1" w:color="auto"/>
                      <w:right w:val="single" w:sz="4" w:space="4" w:color="auto"/>
                    </w:pBdr>
                    <w:ind w:right="-648" w:hanging="720"/>
                    <w:rPr>
                      <w:spacing w:val="2"/>
                    </w:rPr>
                  </w:pPr>
                  <w:r>
                    <w:rPr>
                      <w:spacing w:val="2"/>
                    </w:rPr>
                    <w:t>………………………………tél. :…………………E-mail……………………………………….…………..……...</w:t>
                  </w:r>
                </w:p>
                <w:p>
                  <w:pPr>
                    <w:pBdr>
                      <w:top w:val="single" w:sz="4" w:space="1" w:color="auto"/>
                      <w:left w:val="single" w:sz="4" w:space="4" w:color="auto"/>
                      <w:bottom w:val="single" w:sz="4" w:space="1" w:color="auto"/>
                      <w:right w:val="single" w:sz="4" w:space="4" w:color="auto"/>
                    </w:pBdr>
                    <w:ind w:right="-648" w:hanging="720"/>
                  </w:pPr>
                  <w:r>
                    <w:t>si la demande est la conséquence d’un changement de domicile, indiquer aussi la nouvelle adresse :</w:t>
                  </w:r>
                </w:p>
                <w:p>
                  <w:pPr>
                    <w:pBdr>
                      <w:top w:val="single" w:sz="4" w:space="1" w:color="auto"/>
                      <w:left w:val="single" w:sz="4" w:space="4" w:color="auto"/>
                      <w:bottom w:val="single" w:sz="4" w:space="1" w:color="auto"/>
                      <w:right w:val="single" w:sz="4" w:space="4" w:color="auto"/>
                    </w:pBdr>
                    <w:ind w:right="-648" w:hanging="720"/>
                    <w:rPr>
                      <w:spacing w:val="2"/>
                    </w:rPr>
                  </w:pPr>
                  <w:r>
                    <w:rPr>
                      <w:spacing w:val="2"/>
                    </w:rPr>
                    <w:t>……………………………………………………………………………………………………………..……………</w:t>
                  </w:r>
                </w:p>
                <w:p>
                  <w:pPr>
                    <w:pStyle w:val="Corpsdetexte3"/>
                    <w:ind w:left="-709" w:right="-648" w:hanging="11"/>
                    <w:rPr>
                      <w:rFonts w:asciiTheme="majorHAnsi" w:hAnsiTheme="majorHAnsi"/>
                      <w:sz w:val="24"/>
                      <w:szCs w:val="18"/>
                    </w:rPr>
                  </w:pPr>
                  <w:r>
                    <w:rPr>
                      <w:rFonts w:asciiTheme="majorHAnsi" w:hAnsiTheme="majorHAnsi"/>
                      <w:sz w:val="24"/>
                      <w:szCs w:val="18"/>
                    </w:rPr>
                    <w:t>agissant en qualité de personne(s) investie(s) de l’autorité parentale, demande à pouvoir changer l’élève mentionné ci-après :</w:t>
                  </w:r>
                </w:p>
                <w:p>
                  <w:pPr>
                    <w:pBdr>
                      <w:top w:val="single" w:sz="4" w:space="1" w:color="auto"/>
                      <w:left w:val="single" w:sz="4" w:space="4" w:color="auto"/>
                      <w:bottom w:val="single" w:sz="4" w:space="1" w:color="auto"/>
                      <w:right w:val="single" w:sz="4" w:space="4" w:color="auto"/>
                    </w:pBdr>
                    <w:ind w:right="-648" w:hanging="720"/>
                    <w:rPr>
                      <w:spacing w:val="2"/>
                    </w:rPr>
                  </w:pPr>
                  <w:r>
                    <w:rPr>
                      <w:b/>
                      <w:spacing w:val="2"/>
                    </w:rPr>
                    <w:t>Nom</w:t>
                  </w:r>
                  <w:r>
                    <w:rPr>
                      <w:spacing w:val="2"/>
                    </w:rPr>
                    <w:t xml:space="preserve"> en imprimé : ………………………………………………………..……………………………………….…..</w:t>
                  </w: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spacing w:val="2"/>
                    </w:rPr>
                  </w:pPr>
                  <w:r>
                    <w:rPr>
                      <w:b/>
                      <w:spacing w:val="2"/>
                    </w:rPr>
                    <w:t>Prénom</w:t>
                  </w:r>
                  <w:r>
                    <w:rPr>
                      <w:spacing w:val="2"/>
                    </w:rPr>
                    <w:t> :…………………………………………………………….……………………………….…………………</w:t>
                  </w:r>
                </w:p>
                <w:p>
                  <w:pPr>
                    <w:pBdr>
                      <w:top w:val="single" w:sz="4" w:space="1" w:color="auto"/>
                      <w:left w:val="single" w:sz="4" w:space="4" w:color="auto"/>
                      <w:bottom w:val="single" w:sz="4" w:space="1" w:color="auto"/>
                      <w:right w:val="single" w:sz="4" w:space="4" w:color="auto"/>
                    </w:pBdr>
                    <w:ind w:right="-648" w:hanging="720"/>
                    <w:rPr>
                      <w:spacing w:val="2"/>
                    </w:rPr>
                  </w:pPr>
                </w:p>
                <w:p>
                  <w:pPr>
                    <w:pBdr>
                      <w:top w:val="single" w:sz="4" w:space="1" w:color="auto"/>
                      <w:left w:val="single" w:sz="4" w:space="4" w:color="auto"/>
                      <w:bottom w:val="single" w:sz="4" w:space="1" w:color="auto"/>
                      <w:right w:val="single" w:sz="4" w:space="4" w:color="auto"/>
                    </w:pBdr>
                    <w:ind w:right="-648" w:hanging="720"/>
                    <w:rPr>
                      <w:spacing w:val="2"/>
                    </w:rPr>
                  </w:pPr>
                  <w:r>
                    <w:rPr>
                      <w:spacing w:val="2"/>
                    </w:rPr>
                    <w:t xml:space="preserve">Date de naissance : ……………………………………………     Type : ………………………….     </w:t>
                  </w:r>
                </w:p>
                <w:p>
                  <w:pPr>
                    <w:pStyle w:val="Corpsdetexte"/>
                  </w:pPr>
                </w:p>
                <w:p>
                  <w:pPr>
                    <w:pStyle w:val="Corpsdetexte"/>
                  </w:pPr>
                  <w:r>
                    <w:t>Ecole de départ</w:t>
                  </w:r>
                </w:p>
                <w:p>
                  <w:pPr>
                    <w:pBdr>
                      <w:top w:val="single" w:sz="4" w:space="2" w:color="auto"/>
                      <w:left w:val="single" w:sz="4" w:space="4" w:color="auto"/>
                      <w:bottom w:val="single" w:sz="4" w:space="1" w:color="auto"/>
                      <w:right w:val="single" w:sz="4" w:space="4" w:color="auto"/>
                    </w:pBdr>
                    <w:ind w:right="-648" w:hanging="720"/>
                    <w:rPr>
                      <w:spacing w:val="2"/>
                      <w:sz w:val="21"/>
                      <w:szCs w:val="21"/>
                    </w:rPr>
                  </w:pPr>
                  <w:r>
                    <w:rPr>
                      <w:spacing w:val="2"/>
                    </w:rPr>
                    <w:t>Niveau maternel/primaire/secondaire</w:t>
                  </w:r>
                  <w:r>
                    <w:rPr>
                      <w:spacing w:val="2"/>
                      <w:sz w:val="21"/>
                      <w:szCs w:val="21"/>
                    </w:rPr>
                    <w:t xml:space="preserve">(*) de la Fédération Wallonie-Bruxelles/provinciale/communale/ libre (*)  </w:t>
                  </w:r>
                </w:p>
                <w:p>
                  <w:pPr>
                    <w:pBdr>
                      <w:top w:val="single" w:sz="4" w:space="2" w:color="auto"/>
                      <w:left w:val="single" w:sz="4" w:space="4" w:color="auto"/>
                      <w:bottom w:val="single" w:sz="4" w:space="1" w:color="auto"/>
                      <w:right w:val="single" w:sz="4" w:space="4" w:color="auto"/>
                    </w:pBdr>
                    <w:ind w:right="-648" w:hanging="720"/>
                    <w:rPr>
                      <w:spacing w:val="2"/>
                    </w:rPr>
                  </w:pPr>
                  <w:r>
                    <w:rPr>
                      <w:spacing w:val="2"/>
                    </w:rPr>
                    <w:t xml:space="preserve">Adresse (commune, code postal, rue, n°) : </w:t>
                  </w:r>
                  <w:r>
                    <w:rPr>
                      <w:spacing w:val="2"/>
                    </w:rPr>
                    <w:tab/>
                  </w:r>
                  <w:r>
                    <w:rPr>
                      <w:spacing w:val="2"/>
                    </w:rPr>
                    <w:tab/>
                  </w:r>
                  <w:r>
                    <w:rPr>
                      <w:spacing w:val="2"/>
                    </w:rPr>
                    <w:tab/>
                    <w:t>N°Fase : …………………………………..</w:t>
                  </w:r>
                </w:p>
                <w:p>
                  <w:pPr>
                    <w:pBdr>
                      <w:top w:val="single" w:sz="4" w:space="2" w:color="auto"/>
                      <w:left w:val="single" w:sz="4" w:space="4" w:color="auto"/>
                      <w:bottom w:val="single" w:sz="4" w:space="1" w:color="auto"/>
                      <w:right w:val="single" w:sz="4" w:space="4" w:color="auto"/>
                    </w:pBdr>
                    <w:ind w:right="-648" w:hanging="720"/>
                    <w:rPr>
                      <w:spacing w:val="2"/>
                    </w:rPr>
                  </w:pPr>
                  <w:r>
                    <w:rPr>
                      <w:spacing w:val="2"/>
                    </w:rPr>
                    <w:t>………………………………………………………………………………………………………………….……….</w:t>
                  </w:r>
                </w:p>
                <w:p>
                  <w:pPr>
                    <w:pBdr>
                      <w:top w:val="single" w:sz="4" w:space="2" w:color="auto"/>
                      <w:left w:val="single" w:sz="4" w:space="4" w:color="auto"/>
                      <w:bottom w:val="single" w:sz="4" w:space="1" w:color="auto"/>
                      <w:right w:val="single" w:sz="4" w:space="4" w:color="auto"/>
                    </w:pBdr>
                    <w:ind w:right="-648" w:hanging="720"/>
                    <w:rPr>
                      <w:spacing w:val="2"/>
                    </w:rPr>
                  </w:pPr>
                  <w:r>
                    <w:rPr>
                      <w:spacing w:val="2"/>
                    </w:rPr>
                    <w:t>…………………………………………………………………………………………………………………….…….</w:t>
                  </w:r>
                </w:p>
                <w:p>
                  <w:pPr>
                    <w:pBdr>
                      <w:top w:val="single" w:sz="4" w:space="2" w:color="auto"/>
                      <w:left w:val="single" w:sz="4" w:space="4" w:color="auto"/>
                      <w:bottom w:val="single" w:sz="4" w:space="1" w:color="auto"/>
                      <w:right w:val="single" w:sz="4" w:space="4" w:color="auto"/>
                    </w:pBdr>
                    <w:ind w:right="-648" w:hanging="720"/>
                    <w:rPr>
                      <w:spacing w:val="2"/>
                    </w:rPr>
                  </w:pPr>
                  <w:r>
                    <w:rPr>
                      <w:spacing w:val="2"/>
                    </w:rPr>
                    <w:t xml:space="preserve">Adresse de l’implantation où l’enfant se trouve : </w:t>
                  </w:r>
                  <w:r>
                    <w:rPr>
                      <w:spacing w:val="2"/>
                    </w:rPr>
                    <w:tab/>
                  </w:r>
                  <w:r>
                    <w:rPr>
                      <w:spacing w:val="2"/>
                    </w:rPr>
                    <w:tab/>
                  </w:r>
                  <w:r>
                    <w:rPr>
                      <w:spacing w:val="2"/>
                    </w:rPr>
                    <w:tab/>
                    <w:t>N°Fase : …………………………………..</w:t>
                  </w:r>
                </w:p>
                <w:p>
                  <w:pPr>
                    <w:pBdr>
                      <w:top w:val="single" w:sz="4" w:space="2" w:color="auto"/>
                      <w:left w:val="single" w:sz="4" w:space="4" w:color="auto"/>
                      <w:bottom w:val="single" w:sz="4" w:space="1" w:color="auto"/>
                      <w:right w:val="single" w:sz="4" w:space="4" w:color="auto"/>
                    </w:pBdr>
                    <w:ind w:right="-648" w:hanging="720"/>
                    <w:rPr>
                      <w:spacing w:val="2"/>
                    </w:rPr>
                  </w:pPr>
                  <w:r>
                    <w:rPr>
                      <w:spacing w:val="2"/>
                    </w:rPr>
                    <w:t>……………………………………………………………………………………………………………………….….</w:t>
                  </w:r>
                </w:p>
                <w:p>
                  <w:pPr>
                    <w:pBdr>
                      <w:top w:val="single" w:sz="4" w:space="2" w:color="auto"/>
                      <w:left w:val="single" w:sz="4" w:space="4" w:color="auto"/>
                      <w:bottom w:val="single" w:sz="4" w:space="1" w:color="auto"/>
                      <w:right w:val="single" w:sz="4" w:space="4" w:color="auto"/>
                    </w:pBdr>
                    <w:ind w:right="-648" w:hanging="720"/>
                    <w:rPr>
                      <w:spacing w:val="2"/>
                    </w:rPr>
                  </w:pPr>
                  <w:r>
                    <w:rPr>
                      <w:spacing w:val="2"/>
                    </w:rPr>
                    <w:t>…………………………………………………………………………………………………………….…………….</w:t>
                  </w:r>
                </w:p>
                <w:p>
                  <w:pPr>
                    <w:pStyle w:val="Corpsdetexte"/>
                  </w:pPr>
                  <w:r>
                    <w:t>*Biffer la mention inutile</w:t>
                  </w:r>
                </w:p>
                <w:p>
                  <w:pPr>
                    <w:rPr>
                      <w:lang w:eastAsia="ar-SA"/>
                    </w:rPr>
                  </w:pPr>
                </w:p>
                <w:p>
                  <w:pPr>
                    <w:pStyle w:val="Corpsdetexte"/>
                  </w:pPr>
                  <w:r>
                    <w:t xml:space="preserve">    Nouvelle école</w:t>
                  </w:r>
                </w:p>
                <w:p>
                  <w:pPr>
                    <w:pBdr>
                      <w:top w:val="single" w:sz="4" w:space="9" w:color="auto"/>
                      <w:left w:val="single" w:sz="4" w:space="4" w:color="auto"/>
                      <w:bottom w:val="single" w:sz="4" w:space="1" w:color="auto"/>
                      <w:right w:val="single" w:sz="4" w:space="4" w:color="auto"/>
                    </w:pBdr>
                    <w:ind w:right="-648" w:hanging="720"/>
                    <w:rPr>
                      <w:spacing w:val="2"/>
                      <w:sz w:val="21"/>
                      <w:szCs w:val="21"/>
                    </w:rPr>
                  </w:pPr>
                  <w:r>
                    <w:rPr>
                      <w:spacing w:val="2"/>
                    </w:rPr>
                    <w:t xml:space="preserve">Niveau maternel/primaire/secondaire(*) </w:t>
                  </w:r>
                  <w:r>
                    <w:rPr>
                      <w:spacing w:val="2"/>
                      <w:sz w:val="21"/>
                      <w:szCs w:val="21"/>
                    </w:rPr>
                    <w:t xml:space="preserve">de </w:t>
                  </w:r>
                  <w:smartTag w:uri="urn:schemas-microsoft-com:office:smarttags" w:element="PersonName">
                    <w:smartTagPr>
                      <w:attr w:name="ProductID" w:val="la Fédération Wallonie-Bruxelles"/>
                    </w:smartTagPr>
                    <w:r>
                      <w:rPr>
                        <w:spacing w:val="2"/>
                        <w:sz w:val="21"/>
                        <w:szCs w:val="21"/>
                      </w:rPr>
                      <w:t>la Fédération Wallonie-Bruxelles</w:t>
                    </w:r>
                  </w:smartTag>
                  <w:r>
                    <w:rPr>
                      <w:spacing w:val="2"/>
                      <w:sz w:val="21"/>
                      <w:szCs w:val="21"/>
                    </w:rPr>
                    <w:t>/provinciale/communale/libre (*)</w:t>
                  </w:r>
                </w:p>
                <w:p>
                  <w:pPr>
                    <w:pBdr>
                      <w:top w:val="single" w:sz="4" w:space="9" w:color="auto"/>
                      <w:left w:val="single" w:sz="4" w:space="4" w:color="auto"/>
                      <w:bottom w:val="single" w:sz="4" w:space="1" w:color="auto"/>
                      <w:right w:val="single" w:sz="4" w:space="4" w:color="auto"/>
                    </w:pBdr>
                    <w:ind w:right="-648" w:hanging="720"/>
                    <w:rPr>
                      <w:spacing w:val="2"/>
                      <w:sz w:val="12"/>
                      <w:szCs w:val="12"/>
                    </w:rPr>
                  </w:pPr>
                </w:p>
                <w:p>
                  <w:pPr>
                    <w:pBdr>
                      <w:top w:val="single" w:sz="4" w:space="9" w:color="auto"/>
                      <w:left w:val="single" w:sz="4" w:space="4" w:color="auto"/>
                      <w:bottom w:val="single" w:sz="4" w:space="1" w:color="auto"/>
                      <w:right w:val="single" w:sz="4" w:space="4" w:color="auto"/>
                    </w:pBdr>
                    <w:ind w:right="-648" w:hanging="720"/>
                    <w:rPr>
                      <w:spacing w:val="2"/>
                    </w:rPr>
                  </w:pPr>
                  <w:r>
                    <w:rPr>
                      <w:spacing w:val="2"/>
                    </w:rPr>
                    <w:t>Adresse (commune, code postal, rue, n°) :</w:t>
                  </w:r>
                  <w:r>
                    <w:rPr>
                      <w:spacing w:val="2"/>
                    </w:rPr>
                    <w:tab/>
                  </w:r>
                  <w:r>
                    <w:rPr>
                      <w:spacing w:val="2"/>
                    </w:rPr>
                    <w:tab/>
                  </w:r>
                  <w:r>
                    <w:rPr>
                      <w:spacing w:val="2"/>
                    </w:rPr>
                    <w:tab/>
                  </w:r>
                  <w:r>
                    <w:rPr>
                      <w:spacing w:val="2"/>
                    </w:rPr>
                    <w:tab/>
                    <w:t>N°Fase : …………………………………..</w:t>
                  </w:r>
                </w:p>
                <w:p>
                  <w:pPr>
                    <w:pBdr>
                      <w:top w:val="single" w:sz="4" w:space="9" w:color="auto"/>
                      <w:left w:val="single" w:sz="4" w:space="4" w:color="auto"/>
                      <w:bottom w:val="single" w:sz="4" w:space="1" w:color="auto"/>
                      <w:right w:val="single" w:sz="4" w:space="4" w:color="auto"/>
                    </w:pBdr>
                    <w:ind w:right="-648" w:hanging="720"/>
                    <w:rPr>
                      <w:spacing w:val="2"/>
                    </w:rPr>
                  </w:pPr>
                  <w:r>
                    <w:rPr>
                      <w:spacing w:val="2"/>
                    </w:rPr>
                    <w:t>…………………………………………………………………………………………………………….…………….</w:t>
                  </w:r>
                </w:p>
                <w:p>
                  <w:pPr>
                    <w:pBdr>
                      <w:top w:val="single" w:sz="4" w:space="9" w:color="auto"/>
                      <w:left w:val="single" w:sz="4" w:space="4" w:color="auto"/>
                      <w:bottom w:val="single" w:sz="4" w:space="1" w:color="auto"/>
                      <w:right w:val="single" w:sz="4" w:space="4" w:color="auto"/>
                    </w:pBdr>
                    <w:ind w:right="-648" w:hanging="720"/>
                    <w:rPr>
                      <w:spacing w:val="2"/>
                    </w:rPr>
                  </w:pPr>
                  <w:r>
                    <w:rPr>
                      <w:spacing w:val="2"/>
                    </w:rPr>
                    <w:t>……………………………………………………………………………………………………….………………….</w:t>
                  </w:r>
                </w:p>
                <w:p>
                  <w:pPr>
                    <w:pBdr>
                      <w:top w:val="single" w:sz="4" w:space="9" w:color="auto"/>
                      <w:left w:val="single" w:sz="4" w:space="4" w:color="auto"/>
                      <w:bottom w:val="single" w:sz="4" w:space="1" w:color="auto"/>
                      <w:right w:val="single" w:sz="4" w:space="4" w:color="auto"/>
                    </w:pBdr>
                    <w:ind w:right="-648" w:hanging="720"/>
                    <w:rPr>
                      <w:spacing w:val="2"/>
                    </w:rPr>
                  </w:pPr>
                  <w:r>
                    <w:rPr>
                      <w:spacing w:val="2"/>
                    </w:rPr>
                    <w:t>Adresse de l’implantation où l’enfant irait :</w:t>
                  </w:r>
                  <w:r>
                    <w:rPr>
                      <w:spacing w:val="2"/>
                    </w:rPr>
                    <w:tab/>
                  </w:r>
                  <w:r>
                    <w:rPr>
                      <w:spacing w:val="2"/>
                    </w:rPr>
                    <w:tab/>
                  </w:r>
                  <w:r>
                    <w:rPr>
                      <w:spacing w:val="2"/>
                    </w:rPr>
                    <w:tab/>
                  </w:r>
                  <w:r>
                    <w:rPr>
                      <w:spacing w:val="2"/>
                    </w:rPr>
                    <w:tab/>
                    <w:t>N°Fase : …………………………………..</w:t>
                  </w:r>
                </w:p>
                <w:p>
                  <w:pPr>
                    <w:pBdr>
                      <w:top w:val="single" w:sz="4" w:space="9" w:color="auto"/>
                      <w:left w:val="single" w:sz="4" w:space="4" w:color="auto"/>
                      <w:bottom w:val="single" w:sz="4" w:space="1" w:color="auto"/>
                      <w:right w:val="single" w:sz="4" w:space="4" w:color="auto"/>
                    </w:pBdr>
                    <w:ind w:right="-648" w:hanging="720"/>
                    <w:rPr>
                      <w:spacing w:val="2"/>
                    </w:rPr>
                  </w:pPr>
                  <w:r>
                    <w:rPr>
                      <w:spacing w:val="2"/>
                    </w:rPr>
                    <w:t>………………………………………………………………………………………………………….……………….</w:t>
                  </w:r>
                </w:p>
                <w:p>
                  <w:pPr>
                    <w:pBdr>
                      <w:top w:val="single" w:sz="4" w:space="9" w:color="auto"/>
                      <w:left w:val="single" w:sz="4" w:space="4" w:color="auto"/>
                      <w:bottom w:val="single" w:sz="4" w:space="1" w:color="auto"/>
                      <w:right w:val="single" w:sz="4" w:space="4" w:color="auto"/>
                    </w:pBdr>
                    <w:ind w:right="-648" w:hanging="720"/>
                    <w:rPr>
                      <w:spacing w:val="2"/>
                    </w:rPr>
                  </w:pPr>
                  <w:r>
                    <w:rPr>
                      <w:spacing w:val="2"/>
                    </w:rPr>
                    <w:t>………………………………………………………………………………………………………….……………….</w:t>
                  </w:r>
                </w:p>
                <w:p>
                  <w:pPr>
                    <w:ind w:right="-648" w:hanging="720"/>
                    <w:jc w:val="center"/>
                    <w:rPr>
                      <w:b/>
                      <w:spacing w:val="2"/>
                    </w:rPr>
                  </w:pPr>
                  <w:r>
                    <w:rPr>
                      <w:b/>
                      <w:spacing w:val="2"/>
                    </w:rPr>
                    <w:t>Pour le(s) motif(s) suivant(s) :</w:t>
                  </w:r>
                </w:p>
                <w:p>
                  <w:pPr>
                    <w:pBdr>
                      <w:top w:val="single" w:sz="4" w:space="1" w:color="auto"/>
                      <w:left w:val="single" w:sz="4" w:space="4" w:color="auto"/>
                      <w:bottom w:val="single" w:sz="4" w:space="0" w:color="auto"/>
                      <w:right w:val="single" w:sz="4" w:space="4" w:color="auto"/>
                    </w:pBdr>
                    <w:ind w:right="-648" w:hanging="720"/>
                    <w:rPr>
                      <w:spacing w:val="2"/>
                    </w:rPr>
                  </w:pPr>
                </w:p>
                <w:p>
                  <w:pPr>
                    <w:pBdr>
                      <w:top w:val="single" w:sz="4" w:space="1" w:color="auto"/>
                      <w:left w:val="single" w:sz="4" w:space="4" w:color="auto"/>
                      <w:bottom w:val="single" w:sz="4" w:space="0" w:color="auto"/>
                      <w:right w:val="single" w:sz="4" w:space="4" w:color="auto"/>
                    </w:pBdr>
                    <w:ind w:right="-648" w:hanging="720"/>
                    <w:rPr>
                      <w:spacing w:val="2"/>
                    </w:rPr>
                  </w:pPr>
                </w:p>
                <w:p>
                  <w:pPr>
                    <w:pBdr>
                      <w:top w:val="single" w:sz="4" w:space="1" w:color="auto"/>
                      <w:left w:val="single" w:sz="4" w:space="4" w:color="auto"/>
                      <w:bottom w:val="single" w:sz="4" w:space="0" w:color="auto"/>
                      <w:right w:val="single" w:sz="4" w:space="4" w:color="auto"/>
                    </w:pBdr>
                    <w:ind w:right="-648" w:hanging="720"/>
                    <w:rPr>
                      <w:spacing w:val="2"/>
                    </w:rPr>
                  </w:pPr>
                </w:p>
                <w:p>
                  <w:pPr>
                    <w:pBdr>
                      <w:top w:val="single" w:sz="4" w:space="1" w:color="auto"/>
                      <w:left w:val="single" w:sz="4" w:space="4" w:color="auto"/>
                      <w:bottom w:val="single" w:sz="4" w:space="0" w:color="auto"/>
                      <w:right w:val="single" w:sz="4" w:space="4" w:color="auto"/>
                    </w:pBdr>
                    <w:ind w:left="-720" w:right="-648"/>
                    <w:jc w:val="center"/>
                    <w:rPr>
                      <w:spacing w:val="2"/>
                      <w:sz w:val="18"/>
                      <w:szCs w:val="18"/>
                    </w:rPr>
                  </w:pPr>
                </w:p>
                <w:p>
                  <w:pPr>
                    <w:ind w:right="-648" w:hanging="720"/>
                    <w:rPr>
                      <w:b/>
                      <w:i/>
                      <w:smallCaps/>
                      <w:sz w:val="16"/>
                      <w:szCs w:val="16"/>
                      <w:u w:val="single"/>
                    </w:rPr>
                  </w:pPr>
                </w:p>
                <w:p>
                  <w:pPr>
                    <w:pBdr>
                      <w:top w:val="single" w:sz="4" w:space="1" w:color="auto"/>
                      <w:left w:val="single" w:sz="4" w:space="4" w:color="auto"/>
                      <w:bottom w:val="single" w:sz="4" w:space="1" w:color="auto"/>
                      <w:right w:val="single" w:sz="4" w:space="4" w:color="auto"/>
                    </w:pBdr>
                    <w:ind w:right="-648" w:hanging="720"/>
                    <w:rPr>
                      <w:spacing w:val="2"/>
                      <w:szCs w:val="20"/>
                    </w:rPr>
                  </w:pPr>
                  <w:r>
                    <w:rPr>
                      <w:spacing w:val="2"/>
                      <w:u w:val="single"/>
                    </w:rPr>
                    <w:t>Date de dépôt des formulaires</w:t>
                  </w:r>
                  <w:r>
                    <w:rPr>
                      <w:spacing w:val="2"/>
                    </w:rPr>
                    <w:t xml:space="preserve"> auprès de la Direction de l’école de départ :</w:t>
                  </w:r>
                  <w:r>
                    <w:rPr>
                      <w:spacing w:val="2"/>
                      <w:szCs w:val="20"/>
                    </w:rPr>
                    <w:t>…………………………………………….</w:t>
                  </w:r>
                </w:p>
                <w:p>
                  <w:pPr>
                    <w:pBdr>
                      <w:top w:val="single" w:sz="4" w:space="1" w:color="auto"/>
                      <w:left w:val="single" w:sz="4" w:space="4" w:color="auto"/>
                      <w:bottom w:val="single" w:sz="4" w:space="1" w:color="auto"/>
                      <w:right w:val="single" w:sz="4" w:space="4" w:color="auto"/>
                    </w:pBdr>
                    <w:ind w:right="-648" w:hanging="720"/>
                    <w:rPr>
                      <w:spacing w:val="2"/>
                      <w:szCs w:val="20"/>
                    </w:rPr>
                  </w:pPr>
                </w:p>
                <w:p>
                  <w:pPr>
                    <w:pBdr>
                      <w:top w:val="single" w:sz="4" w:space="1" w:color="auto"/>
                      <w:left w:val="single" w:sz="4" w:space="4" w:color="auto"/>
                      <w:bottom w:val="single" w:sz="4" w:space="1" w:color="auto"/>
                      <w:right w:val="single" w:sz="4" w:space="4" w:color="auto"/>
                    </w:pBdr>
                    <w:ind w:right="-648" w:hanging="720"/>
                    <w:rPr>
                      <w:spacing w:val="2"/>
                      <w:szCs w:val="20"/>
                    </w:rPr>
                  </w:pPr>
                  <w:r>
                    <w:rPr>
                      <w:spacing w:val="2"/>
                      <w:szCs w:val="20"/>
                      <w:u w:val="single"/>
                    </w:rPr>
                    <w:t xml:space="preserve">Signature </w:t>
                  </w:r>
                  <w:r>
                    <w:rPr>
                      <w:spacing w:val="2"/>
                      <w:szCs w:val="20"/>
                    </w:rPr>
                    <w:t>de la (des) personne (s) investie(s) de l’autorité parentale :</w:t>
                  </w:r>
                </w:p>
                <w:p>
                  <w:pPr>
                    <w:pBdr>
                      <w:top w:val="single" w:sz="4" w:space="1" w:color="auto"/>
                      <w:left w:val="single" w:sz="4" w:space="4" w:color="auto"/>
                      <w:bottom w:val="single" w:sz="4" w:space="1" w:color="auto"/>
                      <w:right w:val="single" w:sz="4" w:space="4" w:color="auto"/>
                    </w:pBdr>
                    <w:ind w:right="-648" w:hanging="720"/>
                    <w:rPr>
                      <w:spacing w:val="2"/>
                      <w:sz w:val="20"/>
                      <w:szCs w:val="20"/>
                    </w:rPr>
                  </w:pPr>
                </w:p>
                <w:p>
                  <w:pPr>
                    <w:ind w:right="-648"/>
                    <w:rPr>
                      <w:b/>
                      <w:u w:val="single"/>
                    </w:rPr>
                  </w:pPr>
                </w:p>
                <w:p>
                  <w:pPr>
                    <w:ind w:right="-648" w:hanging="720"/>
                    <w:rPr>
                      <w:i/>
                      <w:smallCaps/>
                      <w:sz w:val="16"/>
                      <w:szCs w:val="16"/>
                    </w:rPr>
                  </w:pPr>
                </w:p>
                <w:p>
                  <w:pPr>
                    <w:pBdr>
                      <w:top w:val="single" w:sz="4" w:space="1" w:color="auto"/>
                      <w:left w:val="single" w:sz="4" w:space="11" w:color="auto"/>
                      <w:bottom w:val="single" w:sz="4" w:space="2" w:color="auto"/>
                      <w:right w:val="single" w:sz="4" w:space="4" w:color="auto"/>
                    </w:pBdr>
                    <w:ind w:right="-648" w:hanging="720"/>
                    <w:jc w:val="center"/>
                    <w:rPr>
                      <w:spacing w:val="2"/>
                      <w:u w:val="single"/>
                    </w:rPr>
                  </w:pPr>
                  <w:r>
                    <w:rPr>
                      <w:spacing w:val="2"/>
                      <w:u w:val="single"/>
                    </w:rPr>
                    <w:t>Autre(s) enfant(s) de la famille également concerné(s) par une demande de changement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9"/>
                    <w:gridCol w:w="3098"/>
                    <w:gridCol w:w="3121"/>
                  </w:tblGrid>
                  <w:tr>
                    <w:tc>
                      <w:tcPr>
                        <w:tcW w:w="3069" w:type="dxa"/>
                      </w:tcPr>
                      <w:p>
                        <w:pPr>
                          <w:ind w:right="-648" w:hanging="720"/>
                          <w:jc w:val="center"/>
                          <w:rPr>
                            <w:spacing w:val="2"/>
                          </w:rPr>
                        </w:pPr>
                        <w:r>
                          <w:rPr>
                            <w:spacing w:val="2"/>
                          </w:rPr>
                          <w:t>Nom</w:t>
                        </w:r>
                      </w:p>
                    </w:tc>
                    <w:tc>
                      <w:tcPr>
                        <w:tcW w:w="3098" w:type="dxa"/>
                      </w:tcPr>
                      <w:p>
                        <w:pPr>
                          <w:ind w:right="-648" w:hanging="720"/>
                          <w:jc w:val="center"/>
                          <w:rPr>
                            <w:spacing w:val="2"/>
                          </w:rPr>
                        </w:pPr>
                        <w:r>
                          <w:rPr>
                            <w:spacing w:val="2"/>
                          </w:rPr>
                          <w:t>Prénom</w:t>
                        </w:r>
                      </w:p>
                    </w:tc>
                    <w:tc>
                      <w:tcPr>
                        <w:tcW w:w="3121" w:type="dxa"/>
                      </w:tcPr>
                      <w:p>
                        <w:pPr>
                          <w:ind w:right="-648" w:hanging="720"/>
                          <w:jc w:val="center"/>
                          <w:rPr>
                            <w:spacing w:val="2"/>
                          </w:rPr>
                        </w:pPr>
                      </w:p>
                    </w:tc>
                  </w:tr>
                  <w:tr>
                    <w:tc>
                      <w:tcPr>
                        <w:tcW w:w="3069" w:type="dxa"/>
                      </w:tcPr>
                      <w:p>
                        <w:pPr>
                          <w:ind w:right="-648" w:hanging="720"/>
                          <w:rPr>
                            <w:spacing w:val="2"/>
                          </w:rPr>
                        </w:pPr>
                      </w:p>
                    </w:tc>
                    <w:tc>
                      <w:tcPr>
                        <w:tcW w:w="3098" w:type="dxa"/>
                      </w:tcPr>
                      <w:p>
                        <w:pPr>
                          <w:ind w:right="-648" w:hanging="720"/>
                          <w:rPr>
                            <w:spacing w:val="2"/>
                          </w:rPr>
                        </w:pPr>
                      </w:p>
                    </w:tc>
                    <w:tc>
                      <w:tcPr>
                        <w:tcW w:w="3121" w:type="dxa"/>
                      </w:tcPr>
                      <w:p>
                        <w:pPr>
                          <w:ind w:right="-648" w:hanging="720"/>
                          <w:rPr>
                            <w:spacing w:val="2"/>
                          </w:rPr>
                        </w:pPr>
                      </w:p>
                    </w:tc>
                  </w:tr>
                  <w:tr>
                    <w:tc>
                      <w:tcPr>
                        <w:tcW w:w="3069" w:type="dxa"/>
                      </w:tcPr>
                      <w:p>
                        <w:pPr>
                          <w:ind w:right="-648" w:hanging="720"/>
                          <w:rPr>
                            <w:spacing w:val="2"/>
                          </w:rPr>
                        </w:pPr>
                      </w:p>
                    </w:tc>
                    <w:tc>
                      <w:tcPr>
                        <w:tcW w:w="3098" w:type="dxa"/>
                      </w:tcPr>
                      <w:p>
                        <w:pPr>
                          <w:ind w:right="-648" w:hanging="720"/>
                          <w:rPr>
                            <w:spacing w:val="2"/>
                          </w:rPr>
                        </w:pPr>
                      </w:p>
                    </w:tc>
                    <w:tc>
                      <w:tcPr>
                        <w:tcW w:w="3121" w:type="dxa"/>
                      </w:tcPr>
                      <w:p>
                        <w:pPr>
                          <w:ind w:right="-648" w:hanging="720"/>
                          <w:rPr>
                            <w:spacing w:val="2"/>
                          </w:rPr>
                        </w:pPr>
                      </w:p>
                    </w:tc>
                  </w:tr>
                  <w:tr>
                    <w:tc>
                      <w:tcPr>
                        <w:tcW w:w="3069" w:type="dxa"/>
                      </w:tcPr>
                      <w:p>
                        <w:pPr>
                          <w:ind w:right="-648" w:hanging="720"/>
                          <w:rPr>
                            <w:spacing w:val="2"/>
                          </w:rPr>
                        </w:pPr>
                      </w:p>
                    </w:tc>
                    <w:tc>
                      <w:tcPr>
                        <w:tcW w:w="3098" w:type="dxa"/>
                      </w:tcPr>
                      <w:p>
                        <w:pPr>
                          <w:ind w:right="-648" w:hanging="720"/>
                          <w:rPr>
                            <w:spacing w:val="2"/>
                          </w:rPr>
                        </w:pPr>
                      </w:p>
                    </w:tc>
                    <w:tc>
                      <w:tcPr>
                        <w:tcW w:w="3121" w:type="dxa"/>
                      </w:tcPr>
                      <w:p>
                        <w:pPr>
                          <w:ind w:right="-648" w:hanging="720"/>
                          <w:rPr>
                            <w:spacing w:val="2"/>
                          </w:rPr>
                        </w:pPr>
                      </w:p>
                    </w:tc>
                  </w:tr>
                </w:tbl>
                <w:p>
                  <w:pPr>
                    <w:ind w:right="-648" w:hanging="720"/>
                    <w:rPr>
                      <w:spacing w:val="2"/>
                      <w:sz w:val="12"/>
                      <w:szCs w:val="12"/>
                    </w:rPr>
                  </w:pPr>
                </w:p>
                <w:p>
                  <w:pPr>
                    <w:ind w:right="-648" w:hanging="720"/>
                    <w:rPr>
                      <w:spacing w:val="2"/>
                      <w:sz w:val="20"/>
                      <w:szCs w:val="20"/>
                    </w:rPr>
                  </w:pPr>
                </w:p>
                <w:p>
                  <w:pPr>
                    <w:pBdr>
                      <w:top w:val="single" w:sz="4" w:space="1" w:color="auto"/>
                      <w:left w:val="single" w:sz="4" w:space="4" w:color="auto"/>
                      <w:bottom w:val="single" w:sz="4" w:space="1" w:color="auto"/>
                      <w:right w:val="single" w:sz="4" w:space="4" w:color="auto"/>
                    </w:pBdr>
                    <w:ind w:right="-648" w:hanging="720"/>
                    <w:rPr>
                      <w:b/>
                      <w:spacing w:val="2"/>
                    </w:rPr>
                  </w:pPr>
                  <w:r>
                    <w:rPr>
                      <w:b/>
                      <w:spacing w:val="2"/>
                      <w:u w:val="single"/>
                    </w:rPr>
                    <w:t>Cadre A.</w:t>
                  </w:r>
                  <w:r>
                    <w:rPr>
                      <w:b/>
                      <w:spacing w:val="2"/>
                    </w:rPr>
                    <w:t xml:space="preserve">   INTERVENTION DE </w:t>
                  </w:r>
                  <w:smartTag w:uri="urn:schemas-microsoft-com:office:smarttags" w:element="PersonName">
                    <w:smartTagPr>
                      <w:attr w:name="ProductID" w:val="LA DIRECTION DE L"/>
                    </w:smartTagPr>
                    <w:smartTag w:uri="urn:schemas-microsoft-com:office:smarttags" w:element="PersonName">
                      <w:smartTagPr>
                        <w:attr w:name="ProductID" w:val="LA DIRECTION DE"/>
                      </w:smartTagPr>
                      <w:r>
                        <w:rPr>
                          <w:b/>
                          <w:spacing w:val="2"/>
                        </w:rPr>
                        <w:t>LA DIRECTION DE</w:t>
                      </w:r>
                    </w:smartTag>
                    <w:r>
                      <w:rPr>
                        <w:b/>
                        <w:spacing w:val="2"/>
                      </w:rPr>
                      <w:t xml:space="preserve"> L</w:t>
                    </w:r>
                  </w:smartTag>
                  <w:r>
                    <w:rPr>
                      <w:b/>
                      <w:spacing w:val="2"/>
                    </w:rPr>
                    <w:t>’ECOLE DE DEPART</w:t>
                  </w:r>
                </w:p>
                <w:p>
                  <w:pPr>
                    <w:pBdr>
                      <w:top w:val="single" w:sz="4" w:space="1" w:color="auto"/>
                      <w:left w:val="single" w:sz="4" w:space="4" w:color="auto"/>
                      <w:bottom w:val="single" w:sz="4" w:space="1" w:color="auto"/>
                      <w:right w:val="single" w:sz="4" w:space="4" w:color="auto"/>
                    </w:pBdr>
                    <w:ind w:right="-648" w:hanging="720"/>
                    <w:rPr>
                      <w:spacing w:val="2"/>
                      <w:sz w:val="8"/>
                      <w:szCs w:val="8"/>
                    </w:rPr>
                  </w:pPr>
                </w:p>
                <w:p>
                  <w:pPr>
                    <w:pBdr>
                      <w:top w:val="single" w:sz="4" w:space="1" w:color="auto"/>
                      <w:left w:val="single" w:sz="4" w:space="4" w:color="auto"/>
                      <w:bottom w:val="single" w:sz="4" w:space="1" w:color="auto"/>
                      <w:right w:val="single" w:sz="4" w:space="4" w:color="auto"/>
                    </w:pBdr>
                    <w:ind w:right="-648" w:hanging="720"/>
                    <w:rPr>
                      <w:spacing w:val="2"/>
                      <w:sz w:val="21"/>
                      <w:szCs w:val="21"/>
                    </w:rPr>
                  </w:pPr>
                  <w:r>
                    <w:rPr>
                      <w:spacing w:val="2"/>
                      <w:sz w:val="21"/>
                      <w:szCs w:val="21"/>
                    </w:rPr>
                    <w:t>Date de réception de la demande : …………………………………………..…………………………..………………</w:t>
                  </w:r>
                </w:p>
                <w:p>
                  <w:pPr>
                    <w:pBdr>
                      <w:top w:val="single" w:sz="4" w:space="1" w:color="auto"/>
                      <w:left w:val="single" w:sz="4" w:space="4" w:color="auto"/>
                      <w:bottom w:val="single" w:sz="4" w:space="1" w:color="auto"/>
                      <w:right w:val="single" w:sz="4" w:space="4" w:color="auto"/>
                    </w:pBdr>
                    <w:ind w:right="-648" w:hanging="720"/>
                    <w:rPr>
                      <w:spacing w:val="2"/>
                    </w:rPr>
                  </w:pPr>
                  <w:r>
                    <w:rPr>
                      <w:spacing w:val="2"/>
                      <w:sz w:val="21"/>
                      <w:szCs w:val="21"/>
                    </w:rPr>
                    <w:t>Si avis défavorable : date de transmis à l’organisme de guidance :</w:t>
                  </w:r>
                  <w:r>
                    <w:rPr>
                      <w:spacing w:val="2"/>
                    </w:rPr>
                    <w:t xml:space="preserve"> ................................................................</w:t>
                  </w:r>
                </w:p>
                <w:p>
                  <w:pPr>
                    <w:pBdr>
                      <w:top w:val="single" w:sz="4" w:space="1" w:color="auto"/>
                      <w:left w:val="single" w:sz="4" w:space="4" w:color="auto"/>
                      <w:bottom w:val="single" w:sz="4" w:space="1" w:color="auto"/>
                      <w:right w:val="single" w:sz="4" w:space="4" w:color="auto"/>
                    </w:pBdr>
                    <w:ind w:right="-648" w:hanging="720"/>
                    <w:jc w:val="center"/>
                    <w:rPr>
                      <w:spacing w:val="2"/>
                      <w:sz w:val="4"/>
                      <w:szCs w:val="4"/>
                    </w:rPr>
                  </w:pPr>
                  <w:r>
                    <w:rPr>
                      <w:spacing w:val="2"/>
                      <w:sz w:val="4"/>
                      <w:szCs w:val="4"/>
                    </w:rPr>
                    <w:t>.</w:t>
                  </w:r>
                </w:p>
                <w:p>
                  <w:pPr>
                    <w:pBdr>
                      <w:top w:val="single" w:sz="4" w:space="1" w:color="auto"/>
                      <w:left w:val="single" w:sz="4" w:space="4" w:color="auto"/>
                      <w:bottom w:val="single" w:sz="4" w:space="1" w:color="auto"/>
                      <w:right w:val="single" w:sz="4" w:space="4" w:color="auto"/>
                    </w:pBdr>
                    <w:ind w:right="-648" w:hanging="720"/>
                    <w:rPr>
                      <w:b/>
                      <w:spacing w:val="2"/>
                    </w:rPr>
                  </w:pPr>
                  <w:r>
                    <w:rPr>
                      <w:b/>
                      <w:spacing w:val="2"/>
                    </w:rPr>
                    <w:t>Changement d’école :         autorisé    –    avis défavorable *</w:t>
                  </w:r>
                </w:p>
                <w:p>
                  <w:pPr>
                    <w:pBdr>
                      <w:top w:val="single" w:sz="4" w:space="1" w:color="auto"/>
                      <w:left w:val="single" w:sz="4" w:space="4" w:color="auto"/>
                      <w:bottom w:val="single" w:sz="4" w:space="1" w:color="auto"/>
                      <w:right w:val="single" w:sz="4" w:space="4" w:color="auto"/>
                    </w:pBdr>
                    <w:ind w:right="-648" w:hanging="720"/>
                    <w:jc w:val="center"/>
                    <w:rPr>
                      <w:spacing w:val="2"/>
                      <w:sz w:val="4"/>
                      <w:szCs w:val="4"/>
                    </w:rPr>
                  </w:pPr>
                </w:p>
                <w:p>
                  <w:pPr>
                    <w:pBdr>
                      <w:top w:val="single" w:sz="4" w:space="1" w:color="auto"/>
                      <w:left w:val="single" w:sz="4" w:space="4" w:color="auto"/>
                      <w:bottom w:val="single" w:sz="4" w:space="1" w:color="auto"/>
                      <w:right w:val="single" w:sz="4" w:space="4" w:color="auto"/>
                    </w:pBdr>
                    <w:tabs>
                      <w:tab w:val="left" w:pos="4140"/>
                    </w:tabs>
                    <w:ind w:right="-648" w:hanging="720"/>
                    <w:rPr>
                      <w:spacing w:val="2"/>
                    </w:rPr>
                  </w:pPr>
                  <w:r>
                    <w:rPr>
                      <w:spacing w:val="2"/>
                    </w:rPr>
                    <w:t xml:space="preserve">Nom et prénom :                                Signature :                          N° de téléphone :       </w:t>
                  </w:r>
                </w:p>
                <w:p>
                  <w:pPr>
                    <w:pBdr>
                      <w:top w:val="single" w:sz="4" w:space="1" w:color="auto"/>
                      <w:left w:val="single" w:sz="4" w:space="4" w:color="auto"/>
                      <w:bottom w:val="single" w:sz="4" w:space="1" w:color="auto"/>
                      <w:right w:val="single" w:sz="4" w:space="4" w:color="auto"/>
                    </w:pBdr>
                    <w:tabs>
                      <w:tab w:val="left" w:pos="4140"/>
                    </w:tabs>
                    <w:ind w:right="-648" w:hanging="720"/>
                    <w:rPr>
                      <w:spacing w:val="2"/>
                    </w:rPr>
                  </w:pPr>
                  <w:r>
                    <w:rPr>
                      <w:spacing w:val="2"/>
                    </w:rPr>
                    <w:tab/>
                  </w:r>
                  <w:r>
                    <w:rPr>
                      <w:spacing w:val="2"/>
                    </w:rPr>
                    <w:tab/>
                  </w:r>
                  <w:r>
                    <w:rPr>
                      <w:spacing w:val="2"/>
                    </w:rPr>
                    <w:tab/>
                  </w:r>
                  <w:r>
                    <w:rPr>
                      <w:spacing w:val="2"/>
                    </w:rPr>
                    <w:tab/>
                  </w:r>
                  <w:r>
                    <w:rPr>
                      <w:spacing w:val="2"/>
                    </w:rPr>
                    <w:tab/>
                    <w:t xml:space="preserve">E-mail :                                                          </w:t>
                  </w:r>
                </w:p>
                <w:p>
                  <w:pPr>
                    <w:pBdr>
                      <w:top w:val="single" w:sz="4" w:space="1" w:color="auto"/>
                      <w:left w:val="single" w:sz="4" w:space="4" w:color="auto"/>
                      <w:bottom w:val="single" w:sz="4" w:space="1" w:color="auto"/>
                      <w:right w:val="single" w:sz="4" w:space="4" w:color="auto"/>
                    </w:pBdr>
                    <w:tabs>
                      <w:tab w:val="left" w:pos="4140"/>
                    </w:tabs>
                    <w:ind w:right="-648" w:hanging="720"/>
                    <w:rPr>
                      <w:spacing w:val="2"/>
                    </w:rPr>
                  </w:pPr>
                </w:p>
                <w:p>
                  <w:pPr>
                    <w:ind w:right="-648" w:hanging="720"/>
                    <w:rPr>
                      <w:spacing w:val="2"/>
                      <w:sz w:val="16"/>
                      <w:szCs w:val="16"/>
                    </w:rPr>
                  </w:pPr>
                </w:p>
                <w:p>
                  <w:pPr>
                    <w:pBdr>
                      <w:top w:val="single" w:sz="4" w:space="1" w:color="auto"/>
                      <w:left w:val="single" w:sz="4" w:space="4" w:color="auto"/>
                      <w:bottom w:val="single" w:sz="4" w:space="1" w:color="auto"/>
                      <w:right w:val="single" w:sz="4" w:space="4" w:color="auto"/>
                    </w:pBdr>
                    <w:ind w:right="-648" w:hanging="720"/>
                    <w:rPr>
                      <w:b/>
                      <w:spacing w:val="2"/>
                    </w:rPr>
                  </w:pPr>
                  <w:r>
                    <w:rPr>
                      <w:b/>
                      <w:spacing w:val="2"/>
                      <w:u w:val="single"/>
                    </w:rPr>
                    <w:t>Cadre B.</w:t>
                  </w:r>
                  <w:r>
                    <w:rPr>
                      <w:b/>
                      <w:spacing w:val="2"/>
                    </w:rPr>
                    <w:t xml:space="preserve">   DERNIER JOUR DE CLASSE DANS L’ECOLE DE DEPART</w:t>
                  </w:r>
                </w:p>
                <w:p>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r>
                    <w:rPr>
                      <w:b/>
                      <w:spacing w:val="2"/>
                      <w:sz w:val="18"/>
                      <w:szCs w:val="18"/>
                    </w:rPr>
                    <w:t>(à ne remplir qu’après autorisation du changement)</w:t>
                  </w:r>
                </w:p>
                <w:p>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p>
                <w:p>
                  <w:pPr>
                    <w:pBdr>
                      <w:top w:val="single" w:sz="4" w:space="1" w:color="auto"/>
                      <w:left w:val="single" w:sz="4" w:space="4" w:color="auto"/>
                      <w:bottom w:val="single" w:sz="4" w:space="1" w:color="auto"/>
                      <w:right w:val="single" w:sz="4" w:space="4" w:color="auto"/>
                    </w:pBdr>
                    <w:ind w:right="-648" w:hanging="720"/>
                    <w:jc w:val="center"/>
                    <w:rPr>
                      <w:b/>
                      <w:spacing w:val="2"/>
                    </w:rPr>
                  </w:pPr>
                  <w:r>
                    <w:rPr>
                      <w:b/>
                      <w:spacing w:val="2"/>
                    </w:rPr>
                    <w:t>……/…../………</w:t>
                  </w:r>
                </w:p>
                <w:p>
                  <w:pPr>
                    <w:pBdr>
                      <w:top w:val="single" w:sz="4" w:space="1" w:color="auto"/>
                      <w:left w:val="single" w:sz="4" w:space="4" w:color="auto"/>
                      <w:bottom w:val="single" w:sz="4" w:space="1" w:color="auto"/>
                      <w:right w:val="single" w:sz="4" w:space="4" w:color="auto"/>
                    </w:pBdr>
                    <w:ind w:right="-648" w:hanging="720"/>
                    <w:jc w:val="center"/>
                    <w:rPr>
                      <w:b/>
                      <w:spacing w:val="2"/>
                      <w:sz w:val="8"/>
                      <w:szCs w:val="8"/>
                    </w:rPr>
                  </w:pPr>
                </w:p>
                <w:p>
                  <w:pPr>
                    <w:pBdr>
                      <w:top w:val="single" w:sz="4" w:space="1" w:color="auto"/>
                      <w:left w:val="single" w:sz="4" w:space="4" w:color="auto"/>
                      <w:bottom w:val="single" w:sz="4" w:space="1" w:color="auto"/>
                      <w:right w:val="single" w:sz="4" w:space="4" w:color="auto"/>
                    </w:pBdr>
                    <w:ind w:right="-648" w:hanging="720"/>
                    <w:rPr>
                      <w:spacing w:val="2"/>
                    </w:rPr>
                  </w:pPr>
                  <w:r>
                    <w:rPr>
                      <w:spacing w:val="2"/>
                    </w:rPr>
                    <w:t>Signature :</w:t>
                  </w:r>
                </w:p>
                <w:p>
                  <w:pPr>
                    <w:pBdr>
                      <w:top w:val="single" w:sz="4" w:space="1" w:color="auto"/>
                      <w:left w:val="single" w:sz="4" w:space="4" w:color="auto"/>
                      <w:bottom w:val="single" w:sz="4" w:space="1" w:color="auto"/>
                      <w:right w:val="single" w:sz="4" w:space="4" w:color="auto"/>
                    </w:pBdr>
                    <w:ind w:right="-648" w:hanging="720"/>
                    <w:rPr>
                      <w:spacing w:val="2"/>
                      <w:sz w:val="8"/>
                      <w:szCs w:val="8"/>
                    </w:rPr>
                  </w:pPr>
                </w:p>
                <w:p>
                  <w:pPr>
                    <w:pBdr>
                      <w:top w:val="single" w:sz="4" w:space="1" w:color="auto"/>
                      <w:left w:val="single" w:sz="4" w:space="4" w:color="auto"/>
                      <w:bottom w:val="single" w:sz="4" w:space="1" w:color="auto"/>
                      <w:right w:val="single" w:sz="4" w:space="4" w:color="auto"/>
                    </w:pBdr>
                    <w:ind w:left="-720" w:right="-648"/>
                    <w:rPr>
                      <w:i/>
                      <w:spacing w:val="2"/>
                      <w:sz w:val="16"/>
                      <w:szCs w:val="16"/>
                    </w:rPr>
                  </w:pPr>
                  <w:r>
                    <w:rPr>
                      <w:i/>
                      <w:spacing w:val="2"/>
                      <w:sz w:val="16"/>
                      <w:szCs w:val="16"/>
                    </w:rPr>
                    <w:t xml:space="preserve">Si dans un délai de 10 jours suivant la remise des formulaires autorisant le changement aux parents, aucune information concernant l’inscription de l’élève dans la nouvelle école ne peut être obtenue par </w:t>
                  </w:r>
                  <w:smartTag w:uri="urn:schemas-microsoft-com:office:smarttags" w:element="PersonName">
                    <w:smartTagPr>
                      <w:attr w:name="ProductID" w:val="la Direction"/>
                    </w:smartTagPr>
                    <w:r>
                      <w:rPr>
                        <w:i/>
                        <w:spacing w:val="2"/>
                        <w:sz w:val="16"/>
                        <w:szCs w:val="16"/>
                      </w:rPr>
                      <w:t>la Direction</w:t>
                    </w:r>
                  </w:smartTag>
                  <w:r>
                    <w:rPr>
                      <w:i/>
                      <w:spacing w:val="2"/>
                      <w:sz w:val="16"/>
                      <w:szCs w:val="16"/>
                    </w:rPr>
                    <w:t xml:space="preserve"> de l’école de départ, celle-ci prend contact avec le service de l’obligation scolaire (obsi@cfwb.be).</w:t>
                  </w:r>
                </w:p>
                <w:p>
                  <w:pPr>
                    <w:ind w:right="-648" w:hanging="720"/>
                    <w:rPr>
                      <w:spacing w:val="2"/>
                      <w:sz w:val="16"/>
                      <w:szCs w:val="16"/>
                    </w:rPr>
                  </w:pPr>
                </w:p>
                <w:p>
                  <w:pPr>
                    <w:pBdr>
                      <w:top w:val="single" w:sz="4" w:space="1" w:color="auto"/>
                      <w:left w:val="single" w:sz="4" w:space="4" w:color="auto"/>
                      <w:bottom w:val="single" w:sz="4" w:space="1" w:color="auto"/>
                      <w:right w:val="single" w:sz="4" w:space="4" w:color="auto"/>
                    </w:pBdr>
                    <w:ind w:right="-648" w:hanging="720"/>
                    <w:rPr>
                      <w:b/>
                      <w:spacing w:val="2"/>
                    </w:rPr>
                  </w:pPr>
                  <w:r>
                    <w:rPr>
                      <w:b/>
                      <w:spacing w:val="2"/>
                      <w:u w:val="single"/>
                    </w:rPr>
                    <w:t>Cadre C.</w:t>
                  </w:r>
                  <w:r>
                    <w:rPr>
                      <w:b/>
                      <w:spacing w:val="2"/>
                    </w:rPr>
                    <w:t xml:space="preserve">  </w:t>
                  </w:r>
                  <w:r>
                    <w:rPr>
                      <w:b/>
                      <w:spacing w:val="-4"/>
                    </w:rPr>
                    <w:t xml:space="preserve">PREMIER JOUR DE CLASSE DANS </w:t>
                  </w:r>
                  <w:smartTag w:uri="urn:schemas-microsoft-com:office:smarttags" w:element="PersonName">
                    <w:smartTagPr>
                      <w:attr w:name="ProductID" w:val="LA NOUVELLE ECOLE"/>
                    </w:smartTagPr>
                    <w:r>
                      <w:rPr>
                        <w:b/>
                        <w:spacing w:val="-4"/>
                      </w:rPr>
                      <w:t>LA NOUVELLE ECOLE</w:t>
                    </w:r>
                  </w:smartTag>
                </w:p>
                <w:p>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r>
                    <w:rPr>
                      <w:b/>
                      <w:spacing w:val="2"/>
                      <w:sz w:val="18"/>
                      <w:szCs w:val="18"/>
                    </w:rPr>
                    <w:t>(à remplir après l’arrivée de l’enfant)</w:t>
                  </w:r>
                </w:p>
                <w:p>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p>
                <w:p>
                  <w:pPr>
                    <w:pBdr>
                      <w:top w:val="single" w:sz="4" w:space="1" w:color="auto"/>
                      <w:left w:val="single" w:sz="4" w:space="4" w:color="auto"/>
                      <w:bottom w:val="single" w:sz="4" w:space="1" w:color="auto"/>
                      <w:right w:val="single" w:sz="4" w:space="4" w:color="auto"/>
                    </w:pBdr>
                    <w:ind w:right="-648" w:hanging="720"/>
                    <w:jc w:val="center"/>
                    <w:rPr>
                      <w:b/>
                      <w:spacing w:val="2"/>
                    </w:rPr>
                  </w:pPr>
                  <w:r>
                    <w:rPr>
                      <w:b/>
                      <w:spacing w:val="2"/>
                    </w:rPr>
                    <w:t>……/…../………</w:t>
                  </w:r>
                </w:p>
                <w:p>
                  <w:pPr>
                    <w:pBdr>
                      <w:top w:val="single" w:sz="4" w:space="1" w:color="auto"/>
                      <w:left w:val="single" w:sz="4" w:space="4" w:color="auto"/>
                      <w:bottom w:val="single" w:sz="4" w:space="1" w:color="auto"/>
                      <w:right w:val="single" w:sz="4" w:space="4" w:color="auto"/>
                    </w:pBdr>
                    <w:ind w:right="-648" w:hanging="720"/>
                    <w:jc w:val="center"/>
                    <w:rPr>
                      <w:b/>
                      <w:spacing w:val="2"/>
                      <w:sz w:val="8"/>
                      <w:szCs w:val="8"/>
                    </w:rPr>
                  </w:pPr>
                </w:p>
                <w:p>
                  <w:pPr>
                    <w:pBdr>
                      <w:top w:val="single" w:sz="4" w:space="1" w:color="auto"/>
                      <w:left w:val="single" w:sz="4" w:space="4" w:color="auto"/>
                      <w:bottom w:val="single" w:sz="4" w:space="1" w:color="auto"/>
                      <w:right w:val="single" w:sz="4" w:space="4" w:color="auto"/>
                    </w:pBdr>
                    <w:ind w:right="-648" w:hanging="720"/>
                    <w:rPr>
                      <w:spacing w:val="2"/>
                    </w:rPr>
                  </w:pPr>
                  <w:r>
                    <w:rPr>
                      <w:spacing w:val="2"/>
                    </w:rPr>
                    <w:t>Signature :</w:t>
                  </w:r>
                </w:p>
                <w:p>
                  <w:pPr>
                    <w:pBdr>
                      <w:top w:val="single" w:sz="4" w:space="1" w:color="auto"/>
                      <w:left w:val="single" w:sz="4" w:space="4" w:color="auto"/>
                      <w:bottom w:val="single" w:sz="4" w:space="1" w:color="auto"/>
                      <w:right w:val="single" w:sz="4" w:space="4" w:color="auto"/>
                    </w:pBdr>
                    <w:ind w:right="-648" w:hanging="720"/>
                    <w:rPr>
                      <w:spacing w:val="2"/>
                    </w:rPr>
                  </w:pPr>
                  <w:r>
                    <w:rPr>
                      <w:i/>
                      <w:spacing w:val="2"/>
                      <w:sz w:val="16"/>
                      <w:szCs w:val="16"/>
                    </w:rPr>
                    <w:t>Communiquer immédiatement à l’école de départ, la date d’arrivée effective de l’élève.</w:t>
                  </w:r>
                </w:p>
                <w:p>
                  <w:pPr>
                    <w:pBdr>
                      <w:top w:val="single" w:sz="4" w:space="1" w:color="auto"/>
                      <w:left w:val="single" w:sz="4" w:space="4" w:color="auto"/>
                      <w:bottom w:val="single" w:sz="4" w:space="1" w:color="auto"/>
                      <w:right w:val="single" w:sz="4" w:space="4" w:color="auto"/>
                    </w:pBdr>
                    <w:ind w:right="-648" w:hanging="720"/>
                    <w:rPr>
                      <w:spacing w:val="2"/>
                      <w:sz w:val="8"/>
                      <w:szCs w:val="8"/>
                    </w:rPr>
                  </w:pPr>
                </w:p>
                <w:p>
                  <w:pPr>
                    <w:ind w:right="-648" w:hanging="720"/>
                    <w:rPr>
                      <w:spacing w:val="2"/>
                      <w:sz w:val="16"/>
                      <w:szCs w:val="16"/>
                    </w:rPr>
                  </w:pPr>
                </w:p>
                <w:p>
                  <w:pPr>
                    <w:pBdr>
                      <w:top w:val="single" w:sz="4" w:space="1" w:color="auto"/>
                      <w:left w:val="single" w:sz="4" w:space="4" w:color="auto"/>
                      <w:bottom w:val="single" w:sz="4" w:space="1" w:color="auto"/>
                      <w:right w:val="single" w:sz="4" w:space="4" w:color="auto"/>
                    </w:pBdr>
                    <w:ind w:right="-648" w:hanging="720"/>
                    <w:rPr>
                      <w:b/>
                      <w:spacing w:val="-2"/>
                      <w:sz w:val="20"/>
                      <w:szCs w:val="20"/>
                    </w:rPr>
                  </w:pPr>
                  <w:r>
                    <w:rPr>
                      <w:b/>
                      <w:spacing w:val="2"/>
                      <w:u w:val="single"/>
                    </w:rPr>
                    <w:t>Cadre D</w:t>
                  </w:r>
                  <w:r>
                    <w:rPr>
                      <w:b/>
                      <w:spacing w:val="2"/>
                    </w:rPr>
                    <w:t xml:space="preserve">.  </w:t>
                  </w:r>
                  <w:r>
                    <w:rPr>
                      <w:b/>
                      <w:spacing w:val="-2"/>
                      <w:sz w:val="20"/>
                      <w:szCs w:val="20"/>
                    </w:rPr>
                    <w:t>INTERVENTION DE L’ORGANISME DE GUIDANCE - AVIS</w:t>
                  </w:r>
                </w:p>
                <w:p>
                  <w:pPr>
                    <w:pBdr>
                      <w:top w:val="single" w:sz="4" w:space="1" w:color="auto"/>
                      <w:left w:val="single" w:sz="4" w:space="4" w:color="auto"/>
                      <w:bottom w:val="single" w:sz="4" w:space="1" w:color="auto"/>
                      <w:right w:val="single" w:sz="4" w:space="4" w:color="auto"/>
                    </w:pBdr>
                    <w:ind w:right="-648" w:hanging="720"/>
                    <w:rPr>
                      <w:spacing w:val="2"/>
                      <w:sz w:val="8"/>
                      <w:szCs w:val="8"/>
                    </w:rPr>
                  </w:pPr>
                </w:p>
                <w:p>
                  <w:pPr>
                    <w:pBdr>
                      <w:top w:val="single" w:sz="4" w:space="1" w:color="auto"/>
                      <w:left w:val="single" w:sz="4" w:space="4" w:color="auto"/>
                      <w:bottom w:val="single" w:sz="4" w:space="1" w:color="auto"/>
                      <w:right w:val="single" w:sz="4" w:space="4" w:color="auto"/>
                    </w:pBdr>
                    <w:ind w:right="-648" w:hanging="720"/>
                    <w:rPr>
                      <w:spacing w:val="2"/>
                    </w:rPr>
                  </w:pPr>
                  <w:r>
                    <w:rPr>
                      <w:spacing w:val="2"/>
                    </w:rPr>
                    <w:t>Date de réception de la demande : ….…..……………………………………………………….………...………</w:t>
                  </w:r>
                </w:p>
                <w:p>
                  <w:pPr>
                    <w:pBdr>
                      <w:top w:val="single" w:sz="4" w:space="1" w:color="auto"/>
                      <w:left w:val="single" w:sz="4" w:space="4" w:color="auto"/>
                      <w:bottom w:val="single" w:sz="4" w:space="1" w:color="auto"/>
                      <w:right w:val="single" w:sz="4" w:space="4" w:color="auto"/>
                    </w:pBdr>
                    <w:ind w:right="-648" w:hanging="720"/>
                    <w:rPr>
                      <w:spacing w:val="2"/>
                      <w:sz w:val="8"/>
                      <w:szCs w:val="8"/>
                    </w:rPr>
                  </w:pPr>
                  <w:r>
                    <w:rPr>
                      <w:spacing w:val="2"/>
                    </w:rPr>
                    <w:t>Date d’avis :……..…..….……….......................…………………………………………………………………….</w:t>
                  </w: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r>
                    <w:rPr>
                      <w:b/>
                      <w:spacing w:val="2"/>
                    </w:rPr>
                    <w:t xml:space="preserve">Changement d’école : </w:t>
                  </w:r>
                  <w:r>
                    <w:rPr>
                      <w:b/>
                      <w:spacing w:val="2"/>
                    </w:rPr>
                    <w:tab/>
                    <w:t>avis favorable    -    avis défavorable *</w:t>
                  </w: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spacing w:val="2"/>
                      <w:sz w:val="8"/>
                      <w:szCs w:val="8"/>
                    </w:rPr>
                  </w:pPr>
                </w:p>
                <w:p>
                  <w:pPr>
                    <w:pBdr>
                      <w:top w:val="single" w:sz="4" w:space="1" w:color="auto"/>
                      <w:left w:val="single" w:sz="4" w:space="4" w:color="auto"/>
                      <w:bottom w:val="single" w:sz="4" w:space="1" w:color="auto"/>
                      <w:right w:val="single" w:sz="4" w:space="4" w:color="auto"/>
                    </w:pBdr>
                    <w:tabs>
                      <w:tab w:val="left" w:pos="4140"/>
                    </w:tabs>
                    <w:ind w:right="-648" w:hanging="720"/>
                    <w:rPr>
                      <w:spacing w:val="2"/>
                    </w:rPr>
                  </w:pPr>
                  <w:r>
                    <w:rPr>
                      <w:spacing w:val="2"/>
                    </w:rPr>
                    <w:t>Nom et prénom :                                            Signature :                          N° de téléphone :</w:t>
                  </w:r>
                </w:p>
                <w:p>
                  <w:pPr>
                    <w:pBdr>
                      <w:top w:val="single" w:sz="4" w:space="1" w:color="auto"/>
                      <w:left w:val="single" w:sz="4" w:space="4" w:color="auto"/>
                      <w:bottom w:val="single" w:sz="4" w:space="1" w:color="auto"/>
                      <w:right w:val="single" w:sz="4" w:space="4" w:color="auto"/>
                    </w:pBdr>
                    <w:tabs>
                      <w:tab w:val="left" w:pos="4140"/>
                    </w:tabs>
                    <w:ind w:right="-648" w:hanging="720"/>
                    <w:rPr>
                      <w:spacing w:val="2"/>
                    </w:rPr>
                  </w:pPr>
                </w:p>
                <w:p>
                  <w:pPr>
                    <w:pBdr>
                      <w:top w:val="single" w:sz="4" w:space="1" w:color="auto"/>
                      <w:left w:val="single" w:sz="4" w:space="4" w:color="auto"/>
                      <w:bottom w:val="single" w:sz="4" w:space="1" w:color="auto"/>
                      <w:right w:val="single" w:sz="4" w:space="4" w:color="auto"/>
                    </w:pBdr>
                    <w:tabs>
                      <w:tab w:val="left" w:pos="4140"/>
                    </w:tabs>
                    <w:ind w:right="-648" w:hanging="720"/>
                    <w:rPr>
                      <w:spacing w:val="2"/>
                    </w:rPr>
                  </w:pPr>
                </w:p>
                <w:p>
                  <w:pPr>
                    <w:ind w:right="-648" w:hanging="720"/>
                    <w:rPr>
                      <w:spacing w:val="2"/>
                      <w:sz w:val="16"/>
                      <w:szCs w:val="16"/>
                    </w:rPr>
                  </w:pPr>
                </w:p>
                <w:p>
                  <w:pPr>
                    <w:ind w:right="-648" w:hanging="720"/>
                    <w:rPr>
                      <w:sz w:val="20"/>
                      <w:szCs w:val="16"/>
                    </w:rPr>
                  </w:pPr>
                  <w:r>
                    <w:rPr>
                      <w:sz w:val="20"/>
                      <w:szCs w:val="16"/>
                    </w:rPr>
                    <w:t>* Biffer la mention inutile</w:t>
                  </w:r>
                </w:p>
                <w:p>
                  <w:pPr>
                    <w:rPr>
                      <w:sz w:val="16"/>
                      <w:szCs w:val="16"/>
                    </w:rPr>
                  </w:pPr>
                  <w:r>
                    <w:rPr>
                      <w:sz w:val="16"/>
                      <w:szCs w:val="16"/>
                    </w:rPr>
                    <w:br w:type="page"/>
                  </w:r>
                </w:p>
                <w:p>
                  <w:pPr>
                    <w:ind w:right="-648" w:hanging="720"/>
                    <w:rPr>
                      <w:i/>
                      <w:spacing w:val="2"/>
                      <w:sz w:val="2"/>
                      <w:szCs w:val="2"/>
                    </w:rPr>
                  </w:pPr>
                </w:p>
                <w:p>
                  <w:pPr>
                    <w:pStyle w:val="Titre4"/>
                  </w:pPr>
                  <w:bookmarkStart w:id="1173" w:name="_Annexe_5bis_:"/>
                  <w:bookmarkStart w:id="1174" w:name="_Toc295913867"/>
                  <w:bookmarkStart w:id="1175" w:name="_Toc328123830"/>
                  <w:bookmarkEnd w:id="1173"/>
                  <w:r>
                    <w:t xml:space="preserve">Annexe 5bis :  Demande d’autorisation de changement d’école en cours d’année scolaire (sans changement de type) au sein de l’enseignement spécialisé : FWB </w:t>
                  </w:r>
                  <w:r>
                    <w:sym w:font="Wingdings" w:char="F0E0"/>
                  </w:r>
                  <w:r>
                    <w:t xml:space="preserve"> FWB – Formule II</w:t>
                  </w:r>
                  <w:bookmarkEnd w:id="1174"/>
                  <w:bookmarkEnd w:id="1175"/>
                </w:p>
                <w:p>
                  <w:pPr>
                    <w:ind w:right="-648"/>
                    <w:rPr>
                      <w:spacing w:val="2"/>
                    </w:rPr>
                  </w:pPr>
                </w:p>
                <w:p>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r>
                    <w:rPr>
                      <w:b/>
                      <w:spacing w:val="2"/>
                    </w:rPr>
                    <w:t>DEMANDE D’AUTORISATION DE CHANGEMENT D’ECOLE (sans changement de type) EN COURS D’ANNEE SCOLAIRE – ENSEIGNEMENT SPECIALISE</w:t>
                  </w:r>
                </w:p>
                <w:p>
                  <w:pPr>
                    <w:pBdr>
                      <w:top w:val="single" w:sz="4" w:space="1" w:color="auto"/>
                      <w:left w:val="single" w:sz="4" w:space="4" w:color="auto"/>
                      <w:bottom w:val="single" w:sz="4" w:space="1" w:color="auto"/>
                      <w:right w:val="single" w:sz="4" w:space="4" w:color="auto"/>
                    </w:pBdr>
                    <w:ind w:right="-648" w:hanging="720"/>
                    <w:jc w:val="center"/>
                    <w:rPr>
                      <w:b/>
                      <w:spacing w:val="2"/>
                    </w:rPr>
                  </w:pPr>
                  <w:r>
                    <w:rPr>
                      <w:b/>
                      <w:spacing w:val="2"/>
                    </w:rPr>
                    <w:t xml:space="preserve">Fédération Wallonie-Bruxelles </w:t>
                  </w:r>
                  <w:r>
                    <w:rPr>
                      <w:b/>
                      <w:spacing w:val="2"/>
                    </w:rPr>
                    <w:sym w:font="Symbol" w:char="F0AE"/>
                  </w:r>
                  <w:r>
                    <w:rPr>
                      <w:b/>
                      <w:spacing w:val="2"/>
                    </w:rPr>
                    <w:t xml:space="preserve"> Fédération Wallonie-Bruxelles</w:t>
                  </w:r>
                </w:p>
                <w:p>
                  <w:pPr>
                    <w:ind w:right="-648" w:hanging="720"/>
                    <w:rPr>
                      <w:spacing w:val="2"/>
                    </w:rPr>
                  </w:pPr>
                </w:p>
                <w:p>
                  <w:pPr>
                    <w:ind w:right="-648" w:hanging="720"/>
                    <w:jc w:val="center"/>
                    <w:rPr>
                      <w:b/>
                      <w:spacing w:val="2"/>
                      <w:u w:val="single"/>
                    </w:rPr>
                  </w:pPr>
                  <w:r>
                    <w:rPr>
                      <w:b/>
                      <w:spacing w:val="2"/>
                      <w:u w:val="single"/>
                    </w:rPr>
                    <w:t>FORMULE II</w:t>
                  </w:r>
                </w:p>
                <w:p>
                  <w:pPr>
                    <w:ind w:right="-648" w:hanging="720"/>
                    <w:jc w:val="center"/>
                    <w:rPr>
                      <w:spacing w:val="2"/>
                    </w:rPr>
                  </w:pPr>
                  <w:r>
                    <w:rPr>
                      <w:spacing w:val="2"/>
                    </w:rPr>
                    <w:t>à remplir en 1 exemplaire</w:t>
                  </w:r>
                </w:p>
                <w:p>
                  <w:pPr>
                    <w:ind w:right="-648" w:hanging="720"/>
                    <w:jc w:val="center"/>
                    <w:rPr>
                      <w:spacing w:val="2"/>
                    </w:rPr>
                  </w:pPr>
                  <w:r>
                    <w:rPr>
                      <w:b/>
                      <w:spacing w:val="2"/>
                      <w:sz w:val="20"/>
                      <w:szCs w:val="20"/>
                      <w:u w:val="single"/>
                    </w:rPr>
                    <w:t>dans un cas de force majeure ou d’absolue nécessité</w:t>
                  </w:r>
                  <w:r>
                    <w:rPr>
                      <w:b/>
                      <w:spacing w:val="2"/>
                      <w:sz w:val="20"/>
                      <w:szCs w:val="20"/>
                    </w:rPr>
                    <w:t xml:space="preserve"> </w:t>
                  </w:r>
                </w:p>
                <w:p>
                  <w:pPr>
                    <w:ind w:right="-648" w:hanging="720"/>
                    <w:rPr>
                      <w:spacing w:val="2"/>
                    </w:rPr>
                  </w:pPr>
                </w:p>
                <w:p>
                  <w:pPr>
                    <w:pBdr>
                      <w:top w:val="single" w:sz="4" w:space="1" w:color="auto"/>
                      <w:left w:val="single" w:sz="4" w:space="4" w:color="auto"/>
                      <w:bottom w:val="single" w:sz="4" w:space="1" w:color="auto"/>
                      <w:right w:val="single" w:sz="4" w:space="4" w:color="auto"/>
                    </w:pBdr>
                    <w:ind w:right="-648" w:hanging="720"/>
                    <w:rPr>
                      <w:b/>
                      <w:spacing w:val="2"/>
                    </w:rPr>
                  </w:pPr>
                  <w:r>
                    <w:rPr>
                      <w:b/>
                      <w:spacing w:val="2"/>
                    </w:rPr>
                    <w:t>RENSEIGNEMENTS CONCERNANT L’ELEVE</w:t>
                  </w:r>
                </w:p>
                <w:p>
                  <w:pPr>
                    <w:pBdr>
                      <w:top w:val="single" w:sz="4" w:space="1" w:color="auto"/>
                      <w:left w:val="single" w:sz="4" w:space="4" w:color="auto"/>
                      <w:bottom w:val="single" w:sz="4" w:space="1" w:color="auto"/>
                      <w:right w:val="single" w:sz="4" w:space="4" w:color="auto"/>
                    </w:pBdr>
                    <w:spacing w:before="60"/>
                    <w:ind w:right="-648" w:hanging="720"/>
                    <w:rPr>
                      <w:b/>
                      <w:spacing w:val="2"/>
                    </w:rPr>
                  </w:pPr>
                  <w:r>
                    <w:rPr>
                      <w:b/>
                      <w:spacing w:val="2"/>
                    </w:rPr>
                    <w:t>(à remplir par la direction de l’école de départ)</w:t>
                  </w: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spacing w:val="2"/>
                    </w:rPr>
                  </w:pPr>
                  <w:r>
                    <w:rPr>
                      <w:spacing w:val="2"/>
                    </w:rPr>
                    <w:t>Nom en imprimé, prénom : …………………………………………………………………………………….…..</w:t>
                  </w: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spacing w:val="2"/>
                    </w:rPr>
                  </w:pPr>
                  <w:r>
                    <w:rPr>
                      <w:spacing w:val="2"/>
                    </w:rPr>
                    <w:t>Date de naissance : ……………………………………………………………..…………………………………..</w:t>
                  </w:r>
                </w:p>
                <w:p>
                  <w:pPr>
                    <w:pBdr>
                      <w:top w:val="single" w:sz="4" w:space="1" w:color="auto"/>
                      <w:left w:val="single" w:sz="4" w:space="4" w:color="auto"/>
                      <w:bottom w:val="single" w:sz="4" w:space="1" w:color="auto"/>
                      <w:right w:val="single" w:sz="4" w:space="4" w:color="auto"/>
                    </w:pBdr>
                    <w:ind w:right="-648" w:hanging="720"/>
                    <w:rPr>
                      <w:spacing w:val="2"/>
                    </w:rPr>
                  </w:pPr>
                </w:p>
                <w:p>
                  <w:pPr>
                    <w:pStyle w:val="Corpsdetexte3"/>
                    <w:ind w:right="-648" w:hanging="720"/>
                  </w:pPr>
                </w:p>
                <w:p>
                  <w:pPr>
                    <w:pBdr>
                      <w:top w:val="single" w:sz="4" w:space="1" w:color="auto"/>
                      <w:left w:val="single" w:sz="4" w:space="4" w:color="auto"/>
                      <w:bottom w:val="single" w:sz="4" w:space="1" w:color="auto"/>
                      <w:right w:val="single" w:sz="4" w:space="4" w:color="auto"/>
                    </w:pBdr>
                    <w:ind w:right="-648" w:hanging="720"/>
                    <w:rPr>
                      <w:b/>
                      <w:spacing w:val="2"/>
                    </w:rPr>
                  </w:pPr>
                  <w:r>
                    <w:rPr>
                      <w:b/>
                      <w:spacing w:val="2"/>
                    </w:rPr>
                    <w:t xml:space="preserve">INTERVENTION DE </w:t>
                  </w:r>
                  <w:smartTag w:uri="urn:schemas-microsoft-com:office:smarttags" w:element="PersonName">
                    <w:smartTagPr>
                      <w:attr w:name="ProductID" w:val="LA DIRECTION DE L"/>
                    </w:smartTagPr>
                    <w:r>
                      <w:rPr>
                        <w:b/>
                        <w:spacing w:val="2"/>
                      </w:rPr>
                      <w:t>LA DIRECTION DE L</w:t>
                    </w:r>
                  </w:smartTag>
                  <w:r>
                    <w:rPr>
                      <w:b/>
                      <w:spacing w:val="2"/>
                    </w:rPr>
                    <w:t>’ECOLE DE DEPART</w:t>
                  </w:r>
                </w:p>
                <w:p>
                  <w:pPr>
                    <w:pBdr>
                      <w:top w:val="single" w:sz="4" w:space="1" w:color="auto"/>
                      <w:left w:val="single" w:sz="4" w:space="4" w:color="auto"/>
                      <w:bottom w:val="single" w:sz="4" w:space="1" w:color="auto"/>
                      <w:right w:val="single" w:sz="4" w:space="4" w:color="auto"/>
                    </w:pBdr>
                    <w:spacing w:before="60"/>
                    <w:ind w:right="-648" w:hanging="720"/>
                    <w:rPr>
                      <w:b/>
                      <w:spacing w:val="2"/>
                    </w:rPr>
                  </w:pPr>
                  <w:r>
                    <w:rPr>
                      <w:b/>
                      <w:spacing w:val="2"/>
                    </w:rPr>
                    <w:t xml:space="preserve">Justification de l’avis défavorable exprimé au cadre A de </w:t>
                  </w:r>
                  <w:smartTag w:uri="urn:schemas-microsoft-com:office:smarttags" w:element="PersonName">
                    <w:smartTagPr>
                      <w:attr w:name="ProductID" w:val="la formule I"/>
                    </w:smartTagPr>
                    <w:r>
                      <w:rPr>
                        <w:b/>
                        <w:spacing w:val="2"/>
                      </w:rPr>
                      <w:t>la formule I</w:t>
                    </w:r>
                  </w:smartTag>
                </w:p>
                <w:p>
                  <w:pPr>
                    <w:pBdr>
                      <w:top w:val="single" w:sz="4" w:space="1" w:color="auto"/>
                      <w:left w:val="single" w:sz="4" w:space="4" w:color="auto"/>
                      <w:bottom w:val="single" w:sz="4" w:space="1" w:color="auto"/>
                      <w:right w:val="single" w:sz="4" w:space="4" w:color="auto"/>
                    </w:pBdr>
                    <w:ind w:right="-648" w:hanging="720"/>
                    <w:jc w:val="center"/>
                    <w:rPr>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tabs>
                      <w:tab w:val="left" w:pos="5220"/>
                    </w:tabs>
                    <w:ind w:right="-648" w:hanging="720"/>
                    <w:rPr>
                      <w:spacing w:val="2"/>
                    </w:rPr>
                  </w:pPr>
                  <w:r>
                    <w:rPr>
                      <w:spacing w:val="2"/>
                    </w:rPr>
                    <w:t xml:space="preserve">Nom et Prénom : </w:t>
                  </w:r>
                  <w:r>
                    <w:rPr>
                      <w:spacing w:val="2"/>
                    </w:rPr>
                    <w:tab/>
                  </w:r>
                  <w:r>
                    <w:rPr>
                      <w:spacing w:val="2"/>
                    </w:rPr>
                    <w:tab/>
                    <w:t>Date et signature :</w:t>
                  </w: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rPr>
                      <w:b/>
                      <w:u w:val="single"/>
                    </w:rPr>
                  </w:pPr>
                  <w:bookmarkStart w:id="1176" w:name="_Toc295913869"/>
                  <w:bookmarkStart w:id="1177" w:name="_Toc328123832"/>
                  <w:r>
                    <w:rPr>
                      <w:b/>
                      <w:u w:val="single"/>
                    </w:rPr>
                    <w:br w:type="page"/>
                  </w:r>
                </w:p>
                <w:p>
                  <w:pPr>
                    <w:pStyle w:val="Titre4"/>
                  </w:pPr>
                  <w:r>
                    <w:t>Annexe 5ter : Demande d’autorisation de changement d’école(sans changement de type) en cours d’année scolaire au sein de l’enseignement spécialisé – Procès verbal d’audition.</w:t>
                  </w:r>
                  <w:bookmarkEnd w:id="1176"/>
                  <w:bookmarkEnd w:id="1177"/>
                </w:p>
                <w:p>
                  <w:pPr>
                    <w:rPr>
                      <w:sz w:val="28"/>
                      <w:szCs w:val="28"/>
                      <w:u w:val="single"/>
                    </w:rPr>
                  </w:pPr>
                </w:p>
                <w:p>
                  <w:pPr>
                    <w:jc w:val="center"/>
                    <w:rPr>
                      <w:sz w:val="28"/>
                      <w:szCs w:val="28"/>
                      <w:u w:val="single"/>
                    </w:rPr>
                  </w:pPr>
                  <w:r>
                    <w:rPr>
                      <w:sz w:val="28"/>
                      <w:szCs w:val="28"/>
                      <w:u w:val="single"/>
                    </w:rPr>
                    <w:t>Enseignement spécialisé</w:t>
                  </w:r>
                </w:p>
                <w:p>
                  <w:pPr>
                    <w:jc w:val="center"/>
                  </w:pPr>
                </w:p>
                <w:p>
                  <w:pPr>
                    <w:pBdr>
                      <w:top w:val="single" w:sz="8" w:space="1" w:color="auto"/>
                      <w:left w:val="single" w:sz="8" w:space="4" w:color="auto"/>
                      <w:bottom w:val="single" w:sz="8" w:space="1" w:color="auto"/>
                      <w:right w:val="single" w:sz="8" w:space="4" w:color="auto"/>
                    </w:pBdr>
                    <w:jc w:val="center"/>
                    <w:rPr>
                      <w:b/>
                    </w:rPr>
                  </w:pPr>
                  <w:r>
                    <w:rPr>
                      <w:b/>
                    </w:rPr>
                    <w:t>CHANGEMENT D’ECOLE (sans changement de type) EN COURS D’ANNEE SCOLAIRE</w:t>
                  </w:r>
                </w:p>
                <w:p>
                  <w:pPr>
                    <w:jc w:val="center"/>
                  </w:pPr>
                </w:p>
                <w:tbl>
                  <w:tblPr>
                    <w:tblW w:w="0" w:type="auto"/>
                    <w:tblInd w:w="2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tblGrid>
                  <w:tr>
                    <w:tc>
                      <w:tcPr>
                        <w:tcW w:w="3240" w:type="dxa"/>
                        <w:shd w:val="clear" w:color="auto" w:fill="auto"/>
                      </w:tcPr>
                      <w:p>
                        <w:pPr>
                          <w:jc w:val="center"/>
                          <w:rPr>
                            <w:b/>
                            <w:u w:val="single"/>
                          </w:rPr>
                        </w:pPr>
                        <w:r>
                          <w:rPr>
                            <w:b/>
                            <w:sz w:val="24"/>
                            <w:u w:val="single"/>
                          </w:rPr>
                          <w:t>Procès verbal d’audition</w:t>
                        </w:r>
                      </w:p>
                    </w:tc>
                  </w:tr>
                </w:tbl>
                <w:p>
                  <w:pPr>
                    <w:ind w:left="360" w:right="325"/>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03"/>
                    <w:gridCol w:w="4448"/>
                  </w:tblGrid>
                  <w:tr>
                    <w:tc>
                      <w:tcPr>
                        <w:tcW w:w="4903" w:type="dxa"/>
                        <w:shd w:val="clear" w:color="auto" w:fill="auto"/>
                      </w:tcPr>
                      <w:p>
                        <w:pPr>
                          <w:jc w:val="center"/>
                        </w:pPr>
                        <w:r>
                          <w:t>Date de l’audition</w:t>
                        </w:r>
                      </w:p>
                    </w:tc>
                    <w:tc>
                      <w:tcPr>
                        <w:tcW w:w="4448" w:type="dxa"/>
                        <w:shd w:val="clear" w:color="auto" w:fill="auto"/>
                      </w:tcPr>
                      <w:p>
                        <w:pPr>
                          <w:jc w:val="center"/>
                        </w:pPr>
                        <w:r>
                          <w:t>Heure de l’audition</w:t>
                        </w:r>
                      </w:p>
                    </w:tc>
                  </w:tr>
                  <w:tr>
                    <w:tc>
                      <w:tcPr>
                        <w:tcW w:w="4903" w:type="dxa"/>
                        <w:shd w:val="clear" w:color="auto" w:fill="auto"/>
                        <w:vAlign w:val="center"/>
                      </w:tcPr>
                      <w:p>
                        <w:pPr>
                          <w:jc w:val="center"/>
                          <w:rPr>
                            <w:u w:val="single"/>
                          </w:rPr>
                        </w:pPr>
                      </w:p>
                    </w:tc>
                    <w:tc>
                      <w:tcPr>
                        <w:tcW w:w="4448" w:type="dxa"/>
                        <w:shd w:val="clear" w:color="auto" w:fill="auto"/>
                        <w:vAlign w:val="center"/>
                      </w:tcPr>
                      <w:p>
                        <w:pPr>
                          <w:jc w:val="center"/>
                          <w:rPr>
                            <w:u w:val="single"/>
                          </w:rPr>
                        </w:pPr>
                      </w:p>
                      <w:p>
                        <w:pPr>
                          <w:jc w:val="center"/>
                          <w:rPr>
                            <w:u w:val="single"/>
                          </w:rPr>
                        </w:pPr>
                      </w:p>
                    </w:tc>
                  </w:tr>
                </w:tbl>
                <w:p>
                  <w:pPr>
                    <w:jc w:val="center"/>
                  </w:pPr>
                </w:p>
                <w:p>
                  <w:r>
                    <w:rPr>
                      <w:b/>
                      <w:u w:val="single"/>
                    </w:rPr>
                    <w:t>Entre</w:t>
                  </w:r>
                  <w:r>
                    <w:t> </w:t>
                  </w:r>
                  <w:r>
                    <w:rPr>
                      <w:b/>
                    </w:rPr>
                    <w:t>:</w:t>
                  </w:r>
                </w:p>
                <w:p>
                  <w:pPr>
                    <w:jc w:val="center"/>
                  </w:pPr>
                </w:p>
                <w:tbl>
                  <w:tblPr>
                    <w:tblW w:w="9351" w:type="dxa"/>
                    <w:tblLayout w:type="fixed"/>
                    <w:tblLook w:val="01E0" w:firstRow="1" w:lastRow="1" w:firstColumn="1" w:lastColumn="1" w:noHBand="0" w:noVBand="0"/>
                  </w:tblPr>
                  <w:tblGrid>
                    <w:gridCol w:w="5308"/>
                    <w:gridCol w:w="1100"/>
                    <w:gridCol w:w="2943"/>
                  </w:tblGrid>
                  <w:tr>
                    <w:tc>
                      <w:tcPr>
                        <w:tcW w:w="9351" w:type="dxa"/>
                        <w:gridSpan w:val="3"/>
                        <w:tcBorders>
                          <w:top w:val="single" w:sz="4" w:space="0" w:color="auto"/>
                          <w:left w:val="single" w:sz="4" w:space="0" w:color="auto"/>
                          <w:bottom w:val="single" w:sz="4" w:space="0" w:color="auto"/>
                          <w:right w:val="single" w:sz="4" w:space="0" w:color="auto"/>
                        </w:tcBorders>
                        <w:shd w:val="clear" w:color="auto" w:fill="auto"/>
                      </w:tcPr>
                      <w:p>
                        <w:pPr>
                          <w:jc w:val="center"/>
                        </w:pPr>
                        <w:r>
                          <w:t>ECOLE</w:t>
                        </w:r>
                      </w:p>
                    </w:tc>
                  </w:tr>
                  <w:tr>
                    <w:trPr>
                      <w:trHeight w:val="562"/>
                    </w:trPr>
                    <w:tc>
                      <w:tcPr>
                        <w:tcW w:w="5308" w:type="dxa"/>
                        <w:tcBorders>
                          <w:top w:val="single" w:sz="4" w:space="0" w:color="auto"/>
                          <w:left w:val="single" w:sz="4" w:space="0" w:color="auto"/>
                          <w:bottom w:val="single" w:sz="4" w:space="0" w:color="auto"/>
                          <w:right w:val="single" w:sz="4" w:space="0" w:color="auto"/>
                        </w:tcBorders>
                        <w:shd w:val="clear" w:color="auto" w:fill="auto"/>
                      </w:tcPr>
                      <w:p>
                        <w:pPr>
                          <w:jc w:val="center"/>
                        </w:pPr>
                        <w:r>
                          <w:t>Dénomination et adresse de l’établissement scolaire</w:t>
                        </w:r>
                      </w:p>
                    </w:tc>
                    <w:tc>
                      <w:tcPr>
                        <w:tcW w:w="1100" w:type="dxa"/>
                        <w:tcBorders>
                          <w:top w:val="single" w:sz="4" w:space="0" w:color="auto"/>
                          <w:left w:val="single" w:sz="4" w:space="0" w:color="auto"/>
                          <w:bottom w:val="single" w:sz="4" w:space="0" w:color="auto"/>
                          <w:right w:val="single" w:sz="4" w:space="0" w:color="auto"/>
                        </w:tcBorders>
                        <w:shd w:val="clear" w:color="auto" w:fill="auto"/>
                      </w:tcPr>
                      <w:p>
                        <w:pPr>
                          <w:jc w:val="center"/>
                        </w:pPr>
                        <w:r>
                          <w:t>N°Fase</w:t>
                        </w:r>
                      </w:p>
                    </w:tc>
                    <w:tc>
                      <w:tcPr>
                        <w:tcW w:w="2943" w:type="dxa"/>
                        <w:tcBorders>
                          <w:top w:val="single" w:sz="4" w:space="0" w:color="auto"/>
                          <w:left w:val="single" w:sz="4" w:space="0" w:color="auto"/>
                          <w:bottom w:val="single" w:sz="4" w:space="0" w:color="auto"/>
                          <w:right w:val="single" w:sz="4" w:space="0" w:color="auto"/>
                        </w:tcBorders>
                        <w:shd w:val="clear" w:color="auto" w:fill="auto"/>
                      </w:tcPr>
                      <w:p>
                        <w:pPr>
                          <w:jc w:val="center"/>
                        </w:pPr>
                        <w:r>
                          <w:t>Direction</w:t>
                        </w:r>
                      </w:p>
                    </w:tc>
                  </w:tr>
                  <w:tr>
                    <w:trPr>
                      <w:trHeight w:val="562"/>
                    </w:trPr>
                    <w:tc>
                      <w:tcPr>
                        <w:tcW w:w="5308" w:type="dxa"/>
                        <w:tcBorders>
                          <w:top w:val="single" w:sz="4" w:space="0" w:color="auto"/>
                          <w:left w:val="single" w:sz="4" w:space="0" w:color="auto"/>
                          <w:bottom w:val="single" w:sz="4" w:space="0" w:color="auto"/>
                          <w:right w:val="single" w:sz="4" w:space="0" w:color="auto"/>
                        </w:tcBorders>
                        <w:shd w:val="clear" w:color="auto" w:fill="auto"/>
                      </w:tcPr>
                      <w:p>
                        <w:pPr>
                          <w:jc w:val="center"/>
                        </w:pPr>
                      </w:p>
                      <w:p>
                        <w:pPr>
                          <w:jc w:val="center"/>
                        </w:pPr>
                      </w:p>
                    </w:tc>
                    <w:tc>
                      <w:tcPr>
                        <w:tcW w:w="1100" w:type="dxa"/>
                        <w:tcBorders>
                          <w:top w:val="single" w:sz="4" w:space="0" w:color="auto"/>
                          <w:left w:val="single" w:sz="4" w:space="0" w:color="auto"/>
                          <w:bottom w:val="single" w:sz="4" w:space="0" w:color="auto"/>
                          <w:right w:val="single" w:sz="4" w:space="0" w:color="auto"/>
                        </w:tcBorders>
                        <w:shd w:val="clear" w:color="auto" w:fill="auto"/>
                      </w:tcPr>
                      <w:p>
                        <w:pPr>
                          <w:jc w:val="center"/>
                        </w:pPr>
                      </w:p>
                    </w:tc>
                    <w:tc>
                      <w:tcPr>
                        <w:tcW w:w="2943" w:type="dxa"/>
                        <w:tcBorders>
                          <w:top w:val="single" w:sz="4" w:space="0" w:color="auto"/>
                          <w:left w:val="single" w:sz="4" w:space="0" w:color="auto"/>
                          <w:bottom w:val="single" w:sz="4" w:space="0" w:color="auto"/>
                          <w:right w:val="single" w:sz="4" w:space="0" w:color="auto"/>
                        </w:tcBorders>
                        <w:shd w:val="clear" w:color="auto" w:fill="auto"/>
                      </w:tcPr>
                      <w:p>
                        <w:pPr>
                          <w:jc w:val="center"/>
                        </w:pPr>
                      </w:p>
                    </w:tc>
                  </w:tr>
                </w:tbl>
                <w:p/>
                <w:p>
                  <w:pPr>
                    <w:rPr>
                      <w:b/>
                    </w:rPr>
                  </w:pPr>
                  <w:r>
                    <w:rPr>
                      <w:b/>
                      <w:u w:val="single"/>
                    </w:rPr>
                    <w:t>Et </w:t>
                  </w:r>
                  <w:r>
                    <w:rPr>
                      <w:b/>
                    </w:rPr>
                    <w:t>:</w:t>
                  </w:r>
                </w:p>
                <w:p>
                  <w:pPr>
                    <w:jc w:val="center"/>
                    <w:rPr>
                      <w:b/>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3"/>
                    <w:gridCol w:w="4388"/>
                  </w:tblGrid>
                  <w:tr>
                    <w:tc>
                      <w:tcPr>
                        <w:tcW w:w="9351" w:type="dxa"/>
                        <w:gridSpan w:val="2"/>
                        <w:shd w:val="clear" w:color="auto" w:fill="auto"/>
                      </w:tcPr>
                      <w:p>
                        <w:pPr>
                          <w:jc w:val="center"/>
                        </w:pPr>
                        <w:r>
                          <w:t>PARENTS</w:t>
                        </w:r>
                      </w:p>
                    </w:tc>
                  </w:tr>
                  <w:tr>
                    <w:tc>
                      <w:tcPr>
                        <w:tcW w:w="4963" w:type="dxa"/>
                        <w:shd w:val="clear" w:color="auto" w:fill="auto"/>
                      </w:tcPr>
                      <w:p>
                        <w:pPr>
                          <w:jc w:val="center"/>
                        </w:pPr>
                        <w:r>
                          <w:t>Nom et coordonnées de la/des personne(s) investie(s) de l’autorité parentale</w:t>
                        </w:r>
                      </w:p>
                    </w:tc>
                    <w:tc>
                      <w:tcPr>
                        <w:tcW w:w="4388" w:type="dxa"/>
                        <w:shd w:val="clear" w:color="auto" w:fill="auto"/>
                      </w:tcPr>
                      <w:p>
                        <w:pPr>
                          <w:jc w:val="center"/>
                        </w:pPr>
                      </w:p>
                      <w:p>
                        <w:pPr>
                          <w:jc w:val="center"/>
                        </w:pPr>
                      </w:p>
                      <w:p/>
                    </w:tc>
                  </w:tr>
                </w:tbl>
                <w:p>
                  <w:pPr>
                    <w:jc w:val="center"/>
                  </w:pPr>
                </w:p>
                <w:tbl>
                  <w:tblPr>
                    <w:tblW w:w="106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2"/>
                    <w:gridCol w:w="4862"/>
                    <w:gridCol w:w="4489"/>
                    <w:gridCol w:w="657"/>
                  </w:tblGrid>
                  <w:tr>
                    <w:trPr>
                      <w:gridBefore w:val="1"/>
                      <w:gridAfter w:val="1"/>
                      <w:wBefore w:w="612" w:type="dxa"/>
                      <w:wAfter w:w="657" w:type="dxa"/>
                    </w:trPr>
                    <w:tc>
                      <w:tcPr>
                        <w:tcW w:w="9351" w:type="dxa"/>
                        <w:gridSpan w:val="2"/>
                        <w:shd w:val="clear" w:color="auto" w:fill="auto"/>
                      </w:tcPr>
                      <w:p>
                        <w:pPr>
                          <w:jc w:val="center"/>
                        </w:pPr>
                        <w:r>
                          <w:t>ELEVE(S)</w:t>
                        </w:r>
                      </w:p>
                    </w:tc>
                  </w:tr>
                  <w:tr>
                    <w:trPr>
                      <w:gridBefore w:val="1"/>
                      <w:gridAfter w:val="1"/>
                      <w:wBefore w:w="612" w:type="dxa"/>
                      <w:wAfter w:w="657" w:type="dxa"/>
                    </w:trPr>
                    <w:tc>
                      <w:tcPr>
                        <w:tcW w:w="4862" w:type="dxa"/>
                        <w:shd w:val="clear" w:color="auto" w:fill="auto"/>
                      </w:tcPr>
                      <w:p>
                        <w:pPr>
                          <w:jc w:val="center"/>
                        </w:pPr>
                        <w:r>
                          <w:t>Nom du ou des élève(s) concerné(s) par la demande de changement d’école</w:t>
                        </w:r>
                      </w:p>
                      <w:p>
                        <w:pPr>
                          <w:jc w:val="center"/>
                        </w:pPr>
                      </w:p>
                      <w:p>
                        <w:pPr>
                          <w:jc w:val="center"/>
                        </w:pPr>
                      </w:p>
                    </w:tc>
                    <w:tc>
                      <w:tcPr>
                        <w:tcW w:w="4489" w:type="dxa"/>
                        <w:shd w:val="clear" w:color="auto" w:fill="auto"/>
                      </w:tcPr>
                      <w:p>
                        <w:pPr>
                          <w:jc w:val="center"/>
                          <w:rPr>
                            <w:b/>
                            <w:bCs/>
                          </w:rPr>
                        </w:pPr>
                      </w:p>
                    </w:tc>
                  </w:tr>
                  <w:tr>
                    <w:trPr>
                      <w:trHeight w:val="70"/>
                    </w:trPr>
                    <w:tc>
                      <w:tcPr>
                        <w:tcW w:w="10620" w:type="dxa"/>
                        <w:gridSpan w:val="4"/>
                        <w:shd w:val="clear" w:color="auto" w:fill="auto"/>
                      </w:tcPr>
                      <w:p>
                        <w:r>
                          <w:rPr>
                            <w:u w:val="single"/>
                          </w:rPr>
                          <w:t>Contenu de l’entretien</w:t>
                        </w:r>
                        <w:r>
                          <w:t> :</w:t>
                        </w:r>
                      </w:p>
                      <w:p/>
                      <w:p/>
                      <w:p/>
                      <w:p/>
                      <w:p/>
                      <w:p/>
                      <w:p/>
                      <w:p/>
                      <w:p/>
                      <w:p/>
                      <w:p/>
                      <w:p/>
                      <w:p/>
                      <w:p/>
                      <w:p/>
                      <w:p/>
                      <w:p/>
                      <w:p/>
                      <w:p/>
                      <w:p>
                        <w:pPr>
                          <w:rPr>
                            <w:u w:val="single"/>
                          </w:rPr>
                        </w:pPr>
                      </w:p>
                    </w:tc>
                  </w:tr>
                </w:tb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7"/>
                    <w:gridCol w:w="4457"/>
                  </w:tblGrid>
                  <w:tr>
                    <w:tc>
                      <w:tcPr>
                        <w:tcW w:w="5046" w:type="dxa"/>
                        <w:shd w:val="clear" w:color="auto" w:fill="auto"/>
                      </w:tcPr>
                      <w:p>
                        <w:pPr>
                          <w:jc w:val="center"/>
                        </w:pPr>
                        <w:r>
                          <w:t>Date et signature de la direction de l’école</w:t>
                        </w:r>
                      </w:p>
                    </w:tc>
                    <w:tc>
                      <w:tcPr>
                        <w:tcW w:w="4587" w:type="dxa"/>
                        <w:shd w:val="clear" w:color="auto" w:fill="auto"/>
                      </w:tcPr>
                      <w:p>
                        <w:pPr>
                          <w:jc w:val="center"/>
                        </w:pPr>
                        <w:r>
                          <w:t>Date et signature de la/des personne(s) investie(s) de l’autorité parentale</w:t>
                        </w:r>
                      </w:p>
                    </w:tc>
                  </w:tr>
                  <w:tr>
                    <w:tc>
                      <w:tcPr>
                        <w:tcW w:w="5046" w:type="dxa"/>
                        <w:shd w:val="clear" w:color="auto" w:fill="auto"/>
                      </w:tcPr>
                      <w:p/>
                      <w:p/>
                      <w:p/>
                    </w:tc>
                    <w:tc>
                      <w:tcPr>
                        <w:tcW w:w="4587" w:type="dxa"/>
                        <w:shd w:val="clear" w:color="auto" w:fill="auto"/>
                      </w:tcPr>
                      <w:p/>
                    </w:tc>
                  </w:tr>
                </w:tbl>
                <w:p/>
                <w:p>
                  <w:r>
                    <w:t>Remarques éventuelles :</w:t>
                  </w:r>
                </w:p>
                <w:p>
                  <w:r>
                    <w:br w:type="page"/>
                  </w:r>
                  <w:bookmarkEnd w:id="1165"/>
                  <w:bookmarkEnd w:id="1166"/>
                  <w:bookmarkEnd w:id="1167"/>
                  <w:bookmarkEnd w:id="1168"/>
                  <w:bookmarkEnd w:id="1169"/>
                  <w:bookmarkEnd w:id="1170"/>
                  <w:bookmarkEnd w:id="1171"/>
                  <w:bookmarkEnd w:id="1172"/>
                </w:p>
                <w:p>
                  <w:pPr>
                    <w:rPr>
                      <w:lang w:eastAsia="ar-SA"/>
                    </w:rPr>
                    <w:sectPr>
                      <w:headerReference w:type="default" r:id="rId73"/>
                      <w:footerReference w:type="default" r:id="rId74"/>
                      <w:pgSz w:w="11906" w:h="16838"/>
                      <w:pgMar w:top="1134" w:right="1134" w:bottom="1134" w:left="1418" w:header="720" w:footer="218" w:gutter="0"/>
                      <w:pgNumType w:chapStyle="1"/>
                      <w:cols w:space="720"/>
                      <w:titlePg/>
                      <w:docGrid w:linePitch="360"/>
                    </w:sectPr>
                  </w:pPr>
                </w:p>
                <w:p>
                  <w:pPr>
                    <w:rPr>
                      <w:b/>
                      <w:u w:val="single"/>
                    </w:rPr>
                  </w:pPr>
                  <w:bookmarkStart w:id="1178" w:name="_Annexe_8_A."/>
                  <w:bookmarkStart w:id="1179" w:name="annexe9"/>
                  <w:bookmarkStart w:id="1180" w:name="_Toc412204101"/>
                  <w:bookmarkStart w:id="1181" w:name="_Toc414352909"/>
                  <w:bookmarkStart w:id="1182" w:name="_Toc453836932"/>
                  <w:bookmarkEnd w:id="1178"/>
                </w:p>
                <w:p/>
                <w:p>
                  <w:pPr>
                    <w:pStyle w:val="Titre4"/>
                  </w:pPr>
                  <w:bookmarkStart w:id="1183" w:name="_Annexe_6_:_2"/>
                  <w:bookmarkEnd w:id="1183"/>
                  <w:r>
                    <w:t>Annexe 6 </w:t>
                  </w:r>
                  <w:bookmarkEnd w:id="1179"/>
                  <w:r>
                    <w:t>: Proposition de modèle de signalement au Conseiller de l'Aide à la Jeunesse des élèves mineurs en situation de difficulté ou de danger</w:t>
                  </w:r>
                  <w:bookmarkEnd w:id="1180"/>
                  <w:bookmarkEnd w:id="1181"/>
                  <w:bookmarkEnd w:id="1182"/>
                </w:p>
                <w:p>
                  <w:pPr>
                    <w:rPr>
                      <w:rFonts w:cs="Arial"/>
                      <w:b/>
                      <w:bCs/>
                    </w:rPr>
                  </w:pPr>
                </w:p>
                <w:p>
                  <w:pPr>
                    <w:rPr>
                      <w:rFonts w:cs="Arial"/>
                      <w:b/>
                      <w:bCs/>
                    </w:rPr>
                  </w:pPr>
                  <w:r>
                    <w:rPr>
                      <w:rFonts w:cs="Arial"/>
                      <w:b/>
                      <w:bCs/>
                    </w:rPr>
                    <w:t>Signalement précédent à la date du……../………/……………..</w:t>
                  </w:r>
                </w:p>
                <w:p>
                  <w:pPr>
                    <w:rPr>
                      <w:rFonts w:cs="Arial"/>
                      <w:b/>
                      <w:bCs/>
                    </w:rPr>
                  </w:pPr>
                </w:p>
                <w:p>
                  <w:pPr>
                    <w:rPr>
                      <w:rFonts w:cs="Arial"/>
                      <w:b/>
                      <w:bCs/>
                    </w:rPr>
                  </w:pPr>
                  <w:r>
                    <w:rPr>
                      <w:rFonts w:cs="Arial"/>
                      <w:b/>
                      <w:bCs/>
                    </w:rPr>
                    <w:t>Identification du jeune</w:t>
                  </w:r>
                </w:p>
                <w:p>
                  <w:pPr>
                    <w:rPr>
                      <w:rFonts w:cs="Arial"/>
                      <w:b/>
                      <w:bCs/>
                    </w:rP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tc>
                      <w:tcPr>
                        <w:tcW w:w="7072" w:type="dxa"/>
                        <w:tcBorders>
                          <w:top w:val="single" w:sz="4" w:space="0" w:color="000000"/>
                          <w:left w:val="single" w:sz="4" w:space="0" w:color="000000"/>
                          <w:bottom w:val="single" w:sz="4" w:space="0" w:color="000000"/>
                        </w:tcBorders>
                      </w:tcPr>
                      <w:p>
                        <w:pPr>
                          <w:snapToGrid w:val="0"/>
                          <w:rPr>
                            <w:rFonts w:cs="Arial"/>
                          </w:rPr>
                        </w:pPr>
                        <w:r>
                          <w:rPr>
                            <w:rFonts w:cs="Arial"/>
                            <w:b/>
                          </w:rPr>
                          <w:t>Nom :</w:t>
                        </w:r>
                        <w:r>
                          <w:rPr>
                            <w:rFonts w:cs="Arial"/>
                          </w:rPr>
                          <w:t>…………………………………</w:t>
                        </w:r>
                      </w:p>
                      <w:p>
                        <w:pPr>
                          <w:rPr>
                            <w:rFonts w:cs="Arial"/>
                          </w:rPr>
                        </w:pPr>
                        <w:r>
                          <w:rPr>
                            <w:rFonts w:cs="Arial"/>
                            <w:b/>
                          </w:rPr>
                          <w:t>Prénom :</w:t>
                        </w:r>
                        <w:r>
                          <w:rPr>
                            <w:rFonts w:cs="Arial"/>
                          </w:rPr>
                          <w:t>……………………………..</w:t>
                        </w:r>
                      </w:p>
                      <w:p>
                        <w:pPr>
                          <w:rPr>
                            <w:rFonts w:cs="Arial"/>
                          </w:rPr>
                        </w:pPr>
                        <w:r>
                          <w:rPr>
                            <w:rFonts w:cs="Arial"/>
                            <w:b/>
                          </w:rPr>
                          <w:t>Classe de :</w:t>
                        </w:r>
                        <w:r>
                          <w:rPr>
                            <w:rFonts w:cs="Arial"/>
                          </w:rPr>
                          <w:t>……………………………</w:t>
                        </w:r>
                        <w:r>
                          <w:rPr>
                            <w:rFonts w:cs="Arial"/>
                            <w:b/>
                          </w:rPr>
                          <w:t>section/option :</w:t>
                        </w:r>
                        <w:r>
                          <w:rPr>
                            <w:rFonts w:cs="Arial"/>
                          </w:rPr>
                          <w:t>……………………….</w:t>
                        </w:r>
                      </w:p>
                      <w:p>
                        <w:pPr>
                          <w:rPr>
                            <w:rFonts w:cs="Arial"/>
                          </w:rPr>
                        </w:pPr>
                        <w:r>
                          <w:rPr>
                            <w:rFonts w:cs="Arial"/>
                            <w:b/>
                          </w:rPr>
                          <w:t xml:space="preserve">                                                              secteur/métier :</w:t>
                        </w:r>
                        <w:r>
                          <w:rPr>
                            <w:rFonts w:cs="Arial"/>
                          </w:rPr>
                          <w:t xml:space="preserve"> ………………………</w:t>
                        </w:r>
                      </w:p>
                      <w:p>
                        <w:pPr>
                          <w:rPr>
                            <w:rFonts w:cs="Arial"/>
                          </w:rPr>
                        </w:pPr>
                        <w:r>
                          <w:rPr>
                            <w:rFonts w:cs="Arial"/>
                            <w:b/>
                          </w:rPr>
                          <w:t xml:space="preserve">Né(e) à </w:t>
                        </w:r>
                        <w:r>
                          <w:rPr>
                            <w:rFonts w:cs="Arial"/>
                          </w:rPr>
                          <w:t>…………………………….</w:t>
                        </w:r>
                        <w:r>
                          <w:rPr>
                            <w:rFonts w:cs="Arial"/>
                            <w:b/>
                          </w:rPr>
                          <w:t>le</w:t>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b/>
                            <w:u w:val="single"/>
                          </w:rPr>
                        </w:pPr>
                        <w:r>
                          <w:rPr>
                            <w:rFonts w:cs="Arial"/>
                            <w:b/>
                            <w:u w:val="single"/>
                          </w:rPr>
                          <w:t>Adresse de vie du jeune (Si différente de celle des responsables légaux) :</w:t>
                        </w:r>
                      </w:p>
                      <w:p>
                        <w:pPr>
                          <w:rPr>
                            <w:rFonts w:cs="Arial"/>
                          </w:rPr>
                        </w:pPr>
                        <w:r>
                          <w:rPr>
                            <w:rFonts w:cs="Arial"/>
                          </w:rPr>
                          <w:t>rue :………………………………………………     n° :………………….</w:t>
                        </w:r>
                      </w:p>
                      <w:p>
                        <w:pPr>
                          <w:rPr>
                            <w:rFonts w:cs="Arial"/>
                          </w:rPr>
                        </w:pPr>
                        <w:r>
                          <w:rPr>
                            <w:rFonts w:cs="Arial"/>
                          </w:rPr>
                          <w:t>Code Postal :………………………..     Commune :……………………….</w:t>
                        </w:r>
                      </w:p>
                      <w:p>
                        <w:pPr>
                          <w:rPr>
                            <w:rFonts w:cs="Arial"/>
                          </w:rPr>
                        </w:pPr>
                        <w:r>
                          <w:rPr>
                            <w:rFonts w:cs="Arial"/>
                          </w:rPr>
                          <w:sym w:font="Wingdings" w:char="F028"/>
                        </w:r>
                        <w:r>
                          <w:rPr>
                            <w:rFonts w:cs="Arial"/>
                          </w:rPr>
                          <w:t xml:space="preserve"> :…………………………………    </w:t>
                        </w:r>
                        <w:r>
                          <w:rPr>
                            <w:b/>
                            <w:bCs/>
                          </w:rPr>
                          <w:sym w:font="Webdings" w:char="F0CA"/>
                        </w:r>
                        <w:r>
                          <w:rPr>
                            <w:rFonts w:cs="Arial"/>
                          </w:rPr>
                          <w:t xml:space="preserve">:……………………………... </w:t>
                        </w:r>
                      </w:p>
                      <w:p>
                        <w:pPr>
                          <w:rPr>
                            <w:rFonts w:cs="Arial"/>
                          </w:rPr>
                        </w:pPr>
                      </w:p>
                    </w:tc>
                  </w:tr>
                  <w:tr>
                    <w:tc>
                      <w:tcPr>
                        <w:tcW w:w="7072" w:type="dxa"/>
                        <w:tcBorders>
                          <w:top w:val="single" w:sz="4" w:space="0" w:color="000000"/>
                          <w:left w:val="single" w:sz="4" w:space="0" w:color="000000"/>
                          <w:bottom w:val="single" w:sz="4" w:space="0" w:color="000000"/>
                        </w:tcBorders>
                      </w:tcPr>
                      <w:p>
                        <w:pPr>
                          <w:snapToGrid w:val="0"/>
                          <w:rPr>
                            <w:rFonts w:cs="Arial"/>
                            <w:b/>
                            <w:u w:val="single"/>
                          </w:rPr>
                        </w:pPr>
                      </w:p>
                      <w:p>
                        <w:pPr>
                          <w:snapToGrid w:val="0"/>
                          <w:rPr>
                            <w:rFonts w:cs="Arial"/>
                          </w:rPr>
                        </w:pPr>
                        <w:r>
                          <w:rPr>
                            <w:rFonts w:cs="Arial"/>
                            <w:b/>
                            <w:u w:val="single"/>
                          </w:rPr>
                          <w:t>Adresse du domicile légal du jeune :</w:t>
                        </w:r>
                        <w:r>
                          <w:rPr>
                            <w:rFonts w:cs="Arial"/>
                            <w:b/>
                          </w:rPr>
                          <w:t xml:space="preserve">  </w:t>
                        </w:r>
                        <w:r>
                          <w:rPr>
                            <w:rFonts w:cs="Arial"/>
                          </w:rPr>
                          <w:t>rue :……………………….. n° :……..</w:t>
                        </w:r>
                      </w:p>
                      <w:p>
                        <w:pPr>
                          <w:rPr>
                            <w:rFonts w:cs="Arial"/>
                          </w:rPr>
                        </w:pPr>
                        <w:r>
                          <w:rPr>
                            <w:rFonts w:cs="Arial"/>
                          </w:rPr>
                          <w:t>Code Postal :…………………….         Commune :…………………………...</w:t>
                        </w:r>
                      </w:p>
                      <w:p>
                        <w:pPr>
                          <w:rPr>
                            <w:rFonts w:cs="Arial"/>
                          </w:rPr>
                        </w:pPr>
                        <w:r>
                          <w:rPr>
                            <w:rFonts w:cs="Arial"/>
                          </w:rPr>
                          <w:sym w:font="Wingdings" w:char="F028"/>
                        </w:r>
                        <w:r>
                          <w:rPr>
                            <w:rFonts w:cs="Arial"/>
                          </w:rPr>
                          <w:t xml:space="preserve"> :……………………………..         </w:t>
                        </w:r>
                        <w:r>
                          <w:rPr>
                            <w:b/>
                            <w:bCs/>
                          </w:rPr>
                          <w:sym w:font="Webdings" w:char="F0CA"/>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b/>
                            <w:u w:val="single"/>
                          </w:rPr>
                        </w:pPr>
                      </w:p>
                      <w:p>
                        <w:pPr>
                          <w:snapToGrid w:val="0"/>
                          <w:rPr>
                            <w:rFonts w:cs="Arial"/>
                            <w:b/>
                            <w:u w:val="single"/>
                          </w:rPr>
                        </w:pPr>
                        <w:r>
                          <w:rPr>
                            <w:rFonts w:cs="Arial"/>
                            <w:b/>
                            <w:u w:val="single"/>
                          </w:rPr>
                          <w:t>Noms des parents / tuteurs / responsables légaux :</w:t>
                        </w:r>
                      </w:p>
                      <w:p>
                        <w:pPr>
                          <w:rPr>
                            <w:rFonts w:cs="Arial"/>
                          </w:rPr>
                        </w:pPr>
                        <w:r>
                          <w:rPr>
                            <w:rFonts w:cs="Arial"/>
                          </w:rPr>
                          <w:t>Adresse :…………………………………….    n° :………….</w:t>
                        </w:r>
                      </w:p>
                      <w:p>
                        <w:pPr>
                          <w:rPr>
                            <w:rFonts w:cs="Arial"/>
                          </w:rPr>
                        </w:pPr>
                        <w:r>
                          <w:rPr>
                            <w:rFonts w:cs="Arial"/>
                          </w:rPr>
                          <w:t>Code Postal :……………………..     Commune :……………………………</w:t>
                        </w:r>
                      </w:p>
                      <w:p>
                        <w:pPr>
                          <w:rPr>
                            <w:rFonts w:cs="Arial"/>
                          </w:rPr>
                        </w:pPr>
                        <w:r>
                          <w:rPr>
                            <w:rFonts w:cs="Arial"/>
                          </w:rPr>
                          <w:sym w:font="Wingdings" w:char="F028"/>
                        </w:r>
                        <w:r>
                          <w:rPr>
                            <w:rFonts w:cs="Arial"/>
                          </w:rPr>
                          <w:t xml:space="preserve"> :………………………………    </w:t>
                        </w:r>
                        <w:r>
                          <w:rPr>
                            <w:b/>
                            <w:bCs/>
                          </w:rPr>
                          <w:sym w:font="Webdings" w:char="F0CA"/>
                        </w:r>
                        <w:r>
                          <w:rPr>
                            <w:rFonts w:cs="Arial"/>
                          </w:rPr>
                          <w:t> :…………………………………..</w:t>
                        </w:r>
                      </w:p>
                    </w:tc>
                  </w:tr>
                </w:tbl>
                <w:p>
                  <w:pPr>
                    <w:jc w:val="cente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tc>
                      <w:tcPr>
                        <w:tcW w:w="7072" w:type="dxa"/>
                        <w:tcBorders>
                          <w:top w:val="single" w:sz="4" w:space="0" w:color="000000"/>
                          <w:left w:val="single" w:sz="4" w:space="0" w:color="000000"/>
                          <w:bottom w:val="single" w:sz="4" w:space="0" w:color="000000"/>
                        </w:tcBorders>
                      </w:tcPr>
                      <w:p>
                        <w:pPr>
                          <w:snapToGrid w:val="0"/>
                          <w:jc w:val="center"/>
                          <w:rPr>
                            <w:rFonts w:cs="Arial"/>
                            <w:b/>
                          </w:rPr>
                        </w:pPr>
                        <w:r>
                          <w:rPr>
                            <w:rFonts w:cs="Arial"/>
                            <w:b/>
                          </w:rPr>
                          <w:t>Volet école</w:t>
                        </w:r>
                      </w:p>
                    </w:tc>
                    <w:tc>
                      <w:tcPr>
                        <w:tcW w:w="7122"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Volet C.P.M.S./S.P.S.E.</w:t>
                        </w:r>
                      </w:p>
                    </w:tc>
                  </w:tr>
                  <w:tr>
                    <w:tc>
                      <w:tcPr>
                        <w:tcW w:w="7072" w:type="dxa"/>
                        <w:tcBorders>
                          <w:top w:val="single" w:sz="4" w:space="0" w:color="000000"/>
                          <w:left w:val="single" w:sz="4" w:space="0" w:color="000000"/>
                          <w:bottom w:val="single" w:sz="4" w:space="0" w:color="000000"/>
                        </w:tcBorders>
                      </w:tcPr>
                      <w:p>
                        <w:pPr>
                          <w:snapToGrid w:val="0"/>
                          <w:rPr>
                            <w:rFonts w:cs="Arial"/>
                          </w:rPr>
                        </w:pPr>
                        <w:r>
                          <w:rPr>
                            <w:rFonts w:cs="Arial"/>
                          </w:rPr>
                          <w:t>Nom de l’école :………………………………………………………………...</w:t>
                        </w:r>
                      </w:p>
                      <w:p>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 xml:space="preserve">Nom du </w:t>
                        </w:r>
                        <w:r>
                          <w:rPr>
                            <w:rFonts w:cs="Arial"/>
                            <w:b/>
                          </w:rPr>
                          <w:t>C.P.M.S./S.P.S.E</w:t>
                        </w:r>
                        <w:r>
                          <w:rPr>
                            <w:rFonts w:cs="Arial"/>
                          </w:rPr>
                          <w:t>. :………………………………………………………...</w:t>
                        </w:r>
                      </w:p>
                    </w:tc>
                  </w:tr>
                  <w:tr>
                    <w:tc>
                      <w:tcPr>
                        <w:tcW w:w="7072" w:type="dxa"/>
                        <w:tcBorders>
                          <w:top w:val="single" w:sz="4" w:space="0" w:color="000000"/>
                          <w:left w:val="single" w:sz="4" w:space="0" w:color="000000"/>
                          <w:bottom w:val="single" w:sz="4" w:space="0" w:color="000000"/>
                        </w:tcBorders>
                      </w:tcPr>
                      <w:p>
                        <w:pPr>
                          <w:snapToGrid w:val="0"/>
                          <w:rPr>
                            <w:rFonts w:cs="Arial"/>
                          </w:rPr>
                        </w:pPr>
                        <w:r>
                          <w:rPr>
                            <w:rFonts w:cs="Arial"/>
                          </w:rPr>
                          <w:t>Adresse :………………………………………………………………………...</w:t>
                        </w:r>
                      </w:p>
                      <w:p>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Adresse :………………………………………………………………………...</w:t>
                        </w:r>
                      </w:p>
                    </w:tc>
                  </w:tr>
                  <w:tr>
                    <w:tc>
                      <w:tcPr>
                        <w:tcW w:w="7072" w:type="dxa"/>
                        <w:tcBorders>
                          <w:top w:val="single" w:sz="4" w:space="0" w:color="000000"/>
                          <w:left w:val="single" w:sz="4" w:space="0" w:color="000000"/>
                          <w:bottom w:val="single" w:sz="4" w:space="0" w:color="000000"/>
                        </w:tcBorders>
                      </w:tcPr>
                      <w:p>
                        <w:pPr>
                          <w:snapToGrid w:val="0"/>
                          <w:rPr>
                            <w:rFonts w:cs="Arial"/>
                          </w:rPr>
                        </w:pPr>
                        <w:r>
                          <w:rPr>
                            <w:rFonts w:cs="Arial"/>
                          </w:rPr>
                          <w:sym w:font="Wingdings" w:char="F028"/>
                        </w:r>
                        <w:r>
                          <w:rPr>
                            <w:rFonts w:cs="Arial"/>
                          </w:rPr>
                          <w:t xml:space="preserve"> :……………………………     </w:t>
                        </w:r>
                        <w:r>
                          <w:rPr>
                            <w:b/>
                            <w:bCs/>
                          </w:rPr>
                          <w:sym w:font="Webdings" w:char="F0CA"/>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sym w:font="Wingdings" w:char="F028"/>
                        </w:r>
                        <w:r>
                          <w:rPr>
                            <w:rFonts w:cs="Arial"/>
                          </w:rPr>
                          <w:t xml:space="preserve"> :……………………………     </w:t>
                        </w:r>
                        <w:r>
                          <w:rPr>
                            <w:b/>
                            <w:bCs/>
                          </w:rPr>
                          <w:sym w:font="Webdings" w:char="F0CA"/>
                        </w:r>
                        <w:r>
                          <w:rPr>
                            <w:rFonts w:cs="Arial"/>
                          </w:rPr>
                          <w:t>:………………………………………</w:t>
                        </w:r>
                      </w:p>
                    </w:tc>
                  </w:tr>
                  <w:tr>
                    <w:tc>
                      <w:tcPr>
                        <w:tcW w:w="7072" w:type="dxa"/>
                        <w:tcBorders>
                          <w:top w:val="single" w:sz="4" w:space="0" w:color="000000"/>
                          <w:left w:val="single" w:sz="4" w:space="0" w:color="000000"/>
                          <w:bottom w:val="single" w:sz="4" w:space="0" w:color="000000"/>
                        </w:tcBorders>
                      </w:tcPr>
                      <w:p>
                        <w:pPr>
                          <w:snapToGrid w:val="0"/>
                          <w:rPr>
                            <w:rFonts w:cs="Arial"/>
                          </w:rPr>
                        </w:pPr>
                        <w:r>
                          <w:rPr>
                            <w:rFonts w:cs="Arial"/>
                          </w:rPr>
                          <w:t>Directeur(trice) ou délégué(e) :………………………………………………………….</w:t>
                        </w:r>
                      </w:p>
                      <w:p>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Référent :……………………………………………………………………….</w:t>
                        </w:r>
                      </w:p>
                    </w:tc>
                  </w:tr>
                  <w:tr>
                    <w:tc>
                      <w:tcPr>
                        <w:tcW w:w="7072" w:type="dxa"/>
                        <w:tcBorders>
                          <w:top w:val="single" w:sz="4" w:space="0" w:color="000000"/>
                          <w:left w:val="single" w:sz="4" w:space="0" w:color="000000"/>
                          <w:bottom w:val="single" w:sz="4" w:space="0" w:color="000000"/>
                        </w:tcBorders>
                      </w:tcPr>
                      <w:p>
                        <w:pPr>
                          <w:snapToGrid w:val="0"/>
                          <w:rPr>
                            <w:rFonts w:cs="Arial"/>
                          </w:rPr>
                        </w:pPr>
                        <w:r>
                          <w:rPr>
                            <w:rFonts w:cs="Arial"/>
                          </w:rPr>
                          <w:t>Gestionnaire du dossier (Directeur(trice), sous-directeur(trice), éducateur(trice) : ……….…….</w:t>
                        </w:r>
                      </w:p>
                      <w:p>
                        <w:pPr>
                          <w:rPr>
                            <w:rFonts w:cs="Arial"/>
                          </w:rPr>
                        </w:pPr>
                        <w:r>
                          <w:rPr>
                            <w:rFonts w:cs="Arial"/>
                          </w:rPr>
                          <w:t>Coordonnées : …………………………………………………………………..</w:t>
                        </w:r>
                      </w:p>
                      <w:p>
                        <w:pPr>
                          <w:rPr>
                            <w:rFonts w:cs="Arial"/>
                          </w:rPr>
                        </w:pPr>
                        <w:r>
                          <w:rPr>
                            <w:rFonts w:cs="Arial"/>
                          </w:rPr>
                          <w:sym w:font="Wingdings" w:char="F028"/>
                        </w:r>
                        <w:r>
                          <w:rPr>
                            <w:rFonts w:cs="Arial"/>
                          </w:rPr>
                          <w:t xml:space="preserve"> : …………………………….     </w:t>
                        </w:r>
                        <w:r>
                          <w:rPr>
                            <w:b/>
                            <w:bCs/>
                          </w:rPr>
                          <w:sym w:font="Webdings" w:char="F0CA"/>
                        </w:r>
                        <w:r>
                          <w:rPr>
                            <w:rFonts w:cs="Arial"/>
                          </w:rPr>
                          <w:t>: ……………………………………...</w:t>
                        </w: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Coordonnées :……………………………………………………………………………………………………………………………………………………</w:t>
                        </w:r>
                      </w:p>
                      <w:p>
                        <w:pPr>
                          <w:rPr>
                            <w:rFonts w:cs="Arial"/>
                          </w:rPr>
                        </w:pPr>
                        <w:r>
                          <w:rPr>
                            <w:rFonts w:cs="Arial"/>
                          </w:rPr>
                          <w:sym w:font="Wingdings" w:char="F028"/>
                        </w:r>
                        <w:r>
                          <w:rPr>
                            <w:rFonts w:cs="Arial"/>
                          </w:rPr>
                          <w:t xml:space="preserve"> :……………………………     </w:t>
                        </w:r>
                        <w:r>
                          <w:rPr>
                            <w:b/>
                            <w:bCs/>
                          </w:rPr>
                          <w:sym w:font="Webdings" w:char="F0CA"/>
                        </w:r>
                        <w:r>
                          <w:rPr>
                            <w:rFonts w:cs="Arial"/>
                          </w:rPr>
                          <w:t> :………………………………………</w:t>
                        </w:r>
                      </w:p>
                    </w:tc>
                  </w:tr>
                  <w:tr>
                    <w:tc>
                      <w:tcPr>
                        <w:tcW w:w="7072" w:type="dxa"/>
                        <w:tcBorders>
                          <w:top w:val="single" w:sz="4" w:space="0" w:color="000000"/>
                          <w:left w:val="single" w:sz="4" w:space="0" w:color="000000"/>
                          <w:bottom w:val="single" w:sz="4" w:space="0" w:color="000000"/>
                        </w:tcBorders>
                      </w:tcPr>
                      <w:p>
                        <w:pPr>
                          <w:snapToGrid w:val="0"/>
                          <w:rPr>
                            <w:rFonts w:cs="Arial"/>
                          </w:rPr>
                        </w:pPr>
                        <w:r>
                          <w:rPr>
                            <w:rFonts w:cs="Arial"/>
                          </w:rPr>
                          <w:t>Coordonnées du médiateur(trice) scolaire : …………………………………………...</w:t>
                        </w:r>
                      </w:p>
                      <w:p>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p>
                    </w:tc>
                  </w:tr>
                </w:tbl>
                <w:p>
                  <w:pPr>
                    <w:jc w:val="center"/>
                    <w:rPr>
                      <w:rFonts w:cs="Arial"/>
                      <w:b/>
                    </w:rPr>
                  </w:pPr>
                </w:p>
                <w:p>
                  <w:pPr>
                    <w:rPr>
                      <w:rFonts w:cs="Arial"/>
                      <w:b/>
                    </w:rPr>
                  </w:pPr>
                </w:p>
                <w:p>
                  <w:pPr>
                    <w:jc w:val="center"/>
                    <w:rPr>
                      <w:rFonts w:cs="Arial"/>
                      <w:b/>
                    </w:rPr>
                  </w:pPr>
                  <w:r>
                    <w:rPr>
                      <w:rFonts w:cs="Arial"/>
                      <w:b/>
                    </w:rPr>
                    <w:t>Appréciation de la situation</w:t>
                  </w:r>
                </w:p>
                <w:p>
                  <w:pPr>
                    <w:jc w:val="center"/>
                    <w:rPr>
                      <w:rFonts w:cs="Arial"/>
                      <w:b/>
                    </w:rP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tc>
                      <w:tcPr>
                        <w:tcW w:w="7072" w:type="dxa"/>
                        <w:tcBorders>
                          <w:top w:val="single" w:sz="4" w:space="0" w:color="000000"/>
                          <w:left w:val="single" w:sz="4" w:space="0" w:color="000000"/>
                          <w:bottom w:val="single" w:sz="4" w:space="0" w:color="000000"/>
                        </w:tcBorders>
                      </w:tcPr>
                      <w:p>
                        <w:pPr>
                          <w:snapToGrid w:val="0"/>
                          <w:jc w:val="center"/>
                          <w:rPr>
                            <w:rFonts w:cs="Arial"/>
                            <w:b/>
                          </w:rPr>
                        </w:pPr>
                        <w:r>
                          <w:rPr>
                            <w:rFonts w:cs="Arial"/>
                            <w:b/>
                          </w:rPr>
                          <w:t>Volet école</w:t>
                        </w:r>
                      </w:p>
                    </w:tc>
                    <w:tc>
                      <w:tcPr>
                        <w:tcW w:w="7122"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Volet C.P.M.S/S.P.S.E.</w:t>
                        </w:r>
                      </w:p>
                    </w:tc>
                  </w:tr>
                  <w:tr>
                    <w:trPr>
                      <w:cantSplit/>
                    </w:trPr>
                    <w:tc>
                      <w:tcPr>
                        <w:tcW w:w="7072" w:type="dxa"/>
                        <w:vMerge w:val="restart"/>
                        <w:tcBorders>
                          <w:top w:val="single" w:sz="4" w:space="0" w:color="000000"/>
                          <w:left w:val="single" w:sz="4" w:space="0" w:color="000000"/>
                          <w:bottom w:val="single" w:sz="4" w:space="0" w:color="000000"/>
                        </w:tcBorders>
                      </w:tcPr>
                      <w:p>
                        <w:pPr>
                          <w:snapToGrid w:val="0"/>
                          <w:rPr>
                            <w:rFonts w:cs="Arial"/>
                          </w:rPr>
                        </w:pPr>
                        <w:r>
                          <w:rPr>
                            <w:rFonts w:ascii="Times New Roman" w:hAnsi="Times New Roman" w:cs="Times New Roman"/>
                          </w:rPr>
                          <w:t>□</w:t>
                        </w:r>
                        <w:r>
                          <w:rPr>
                            <w:rFonts w:cs="Arial"/>
                          </w:rPr>
                          <w:t xml:space="preserve"> </w:t>
                        </w:r>
                        <w:r>
                          <w:rPr>
                            <w:rFonts w:cs="Arial"/>
                            <w:b/>
                            <w:bCs/>
                          </w:rPr>
                          <w:t>I</w:t>
                        </w:r>
                        <w:r>
                          <w:rPr>
                            <w:rFonts w:cs="Arial"/>
                            <w:b/>
                          </w:rPr>
                          <w:t>ndices</w:t>
                        </w:r>
                        <w:r>
                          <w:rPr>
                            <w:rFonts w:cs="Arial"/>
                          </w:rPr>
                          <w:t xml:space="preserve"> de difficulté ou de danger</w:t>
                        </w:r>
                      </w:p>
                      <w:p>
                        <w:pPr>
                          <w:rPr>
                            <w:rFonts w:cs="Arial"/>
                          </w:rPr>
                        </w:pPr>
                        <w:r>
                          <w:rPr>
                            <w:rFonts w:cs="Arial"/>
                            <w:b/>
                          </w:rPr>
                          <w:t xml:space="preserve">Faits concrets </w:t>
                        </w:r>
                        <w:r>
                          <w:rPr>
                            <w:rFonts w:cs="Arial"/>
                          </w:rPr>
                          <w:t>fournissant des indices de difficulté ou de danger</w:t>
                        </w:r>
                      </w:p>
                      <w:p>
                        <w:pPr>
                          <w:numPr>
                            <w:ilvl w:val="0"/>
                            <w:numId w:val="91"/>
                          </w:numPr>
                          <w:tabs>
                            <w:tab w:val="left" w:pos="360"/>
                          </w:tabs>
                          <w:suppressAutoHyphens/>
                          <w:ind w:left="0" w:firstLine="0"/>
                          <w:rPr>
                            <w:rFonts w:cs="Arial"/>
                          </w:rPr>
                        </w:pPr>
                        <w:r>
                          <w:rPr>
                            <w:rFonts w:cs="Arial"/>
                          </w:rPr>
                          <w:t xml:space="preserve"> </w:t>
                        </w:r>
                      </w:p>
                      <w:p>
                        <w:pPr>
                          <w:numPr>
                            <w:ilvl w:val="0"/>
                            <w:numId w:val="91"/>
                          </w:numPr>
                          <w:tabs>
                            <w:tab w:val="left" w:pos="360"/>
                          </w:tabs>
                          <w:suppressAutoHyphens/>
                          <w:ind w:left="0" w:firstLine="0"/>
                          <w:rPr>
                            <w:rFonts w:cs="Arial"/>
                          </w:rPr>
                        </w:pPr>
                        <w:r>
                          <w:rPr>
                            <w:rFonts w:cs="Arial"/>
                          </w:rPr>
                          <w:t xml:space="preserve"> </w:t>
                        </w:r>
                      </w:p>
                      <w:p>
                        <w:pPr>
                          <w:numPr>
                            <w:ilvl w:val="0"/>
                            <w:numId w:val="91"/>
                          </w:numPr>
                          <w:tabs>
                            <w:tab w:val="left" w:pos="360"/>
                          </w:tabs>
                          <w:suppressAutoHyphens/>
                          <w:ind w:left="0" w:firstLine="0"/>
                          <w:rPr>
                            <w:rFonts w:cs="Arial"/>
                          </w:rPr>
                        </w:pPr>
                        <w:r>
                          <w:rPr>
                            <w:rFonts w:cs="Arial"/>
                          </w:rPr>
                          <w:t xml:space="preserve"> </w:t>
                        </w:r>
                      </w:p>
                      <w:p>
                        <w:pPr>
                          <w:rPr>
                            <w:rFonts w:cs="Arial"/>
                          </w:rPr>
                        </w:pPr>
                        <w:r>
                          <w:rPr>
                            <w:rFonts w:ascii="Times New Roman" w:hAnsi="Times New Roman" w:cs="Times New Roman"/>
                          </w:rPr>
                          <w:t>□</w:t>
                        </w:r>
                        <w:r>
                          <w:rPr>
                            <w:rFonts w:cs="Arial"/>
                          </w:rPr>
                          <w:t xml:space="preserve"> Avis </w:t>
                        </w:r>
                        <w:r>
                          <w:rPr>
                            <w:rFonts w:cs="Cambria"/>
                          </w:rPr>
                          <w:t>é</w:t>
                        </w:r>
                        <w:r>
                          <w:rPr>
                            <w:rFonts w:cs="Arial"/>
                          </w:rPr>
                          <w:t>ducateur(trice) joint (Facultatif)</w:t>
                        </w:r>
                      </w:p>
                      <w:p>
                        <w:pPr>
                          <w:rPr>
                            <w:rFonts w:cs="Arial"/>
                          </w:rPr>
                        </w:pPr>
                        <w:r>
                          <w:rPr>
                            <w:rFonts w:ascii="Times New Roman" w:hAnsi="Times New Roman" w:cs="Times New Roman"/>
                          </w:rPr>
                          <w:t>□</w:t>
                        </w:r>
                        <w:r>
                          <w:rPr>
                            <w:rFonts w:cs="Arial"/>
                          </w:rPr>
                          <w:t xml:space="preserve"> Avis du conseil de classe et/ou enseignant(s) joint (Facultatif)</w:t>
                        </w:r>
                      </w:p>
                      <w:p>
                        <w:pPr>
                          <w:rPr>
                            <w:rFonts w:cs="Arial"/>
                          </w:rPr>
                        </w:pP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b/>
                          </w:rPr>
                        </w:pPr>
                        <w:r>
                          <w:rPr>
                            <w:rFonts w:cs="Arial"/>
                            <w:b/>
                          </w:rPr>
                          <w:t>Appréciation de la situation de difficulté ou de danger ou date d'envoi du rapport au CAJ</w:t>
                        </w:r>
                      </w:p>
                    </w:tc>
                  </w:tr>
                  <w:tr>
                    <w:trPr>
                      <w:cantSplit/>
                    </w:trPr>
                    <w:tc>
                      <w:tcPr>
                        <w:tcW w:w="7072" w:type="dxa"/>
                        <w:vMerge/>
                        <w:tcBorders>
                          <w:top w:val="single" w:sz="4" w:space="0" w:color="000000"/>
                          <w:left w:val="single" w:sz="4" w:space="0" w:color="000000"/>
                          <w:bottom w:val="single" w:sz="4" w:space="0" w:color="000000"/>
                        </w:tcBorders>
                        <w:vAlign w:val="center"/>
                      </w:tcPr>
                      <w:p>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w:t>
                        </w:r>
                      </w:p>
                      <w:p>
                        <w:pPr>
                          <w:rPr>
                            <w:rFonts w:cs="Arial"/>
                          </w:rPr>
                        </w:pPr>
                        <w:r>
                          <w:rPr>
                            <w:rFonts w:cs="Arial"/>
                          </w:rPr>
                          <w:t>……………………………………………………………………………………………………</w:t>
                        </w:r>
                      </w:p>
                      <w:p>
                        <w:pPr>
                          <w:rPr>
                            <w:rFonts w:cs="Arial"/>
                          </w:rPr>
                        </w:pPr>
                        <w:r>
                          <w:rPr>
                            <w:rFonts w:cs="Arial"/>
                            <w:b/>
                          </w:rPr>
                          <w:t xml:space="preserve">Refus parental de la guidance individuelle    </w:t>
                        </w:r>
                        <w:r>
                          <w:rPr>
                            <w:rFonts w:ascii="Times New Roman" w:hAnsi="Times New Roman" w:cs="Times New Roman"/>
                          </w:rPr>
                          <w:t>□</w:t>
                        </w:r>
                        <w:r>
                          <w:rPr>
                            <w:rFonts w:cs="Arial"/>
                          </w:rPr>
                          <w:t xml:space="preserve">   oui     </w:t>
                        </w:r>
                        <w:r>
                          <w:rPr>
                            <w:rFonts w:ascii="Times New Roman" w:hAnsi="Times New Roman" w:cs="Times New Roman"/>
                          </w:rPr>
                          <w:t>□</w:t>
                        </w:r>
                        <w:r>
                          <w:rPr>
                            <w:rFonts w:cs="Arial"/>
                          </w:rPr>
                          <w:t xml:space="preserve">   non</w:t>
                        </w:r>
                      </w:p>
                      <w:p>
                        <w:pPr>
                          <w:rPr>
                            <w:rFonts w:cs="Arial"/>
                          </w:rPr>
                        </w:pPr>
                      </w:p>
                    </w:tc>
                  </w:tr>
                </w:tbl>
                <w:p>
                  <w:pPr>
                    <w:rPr>
                      <w:rFonts w:ascii="Times New Roman" w:hAnsi="Times New Roman" w:cs="Times New Roman"/>
                    </w:rPr>
                  </w:pPr>
                </w:p>
                <w:p>
                  <w:pPr>
                    <w:rPr>
                      <w:rFonts w:cs="Arial"/>
                      <w:b/>
                    </w:rPr>
                  </w:pPr>
                  <w:r>
                    <w:rPr>
                      <w:rFonts w:ascii="Times New Roman" w:hAnsi="Times New Roman" w:cs="Times New Roman"/>
                    </w:rPr>
                    <w:t>□</w:t>
                  </w:r>
                  <w:r>
                    <w:rPr>
                      <w:rFonts w:cs="Arial"/>
                    </w:rPr>
                    <w:t xml:space="preserve"> </w:t>
                  </w:r>
                  <w:r>
                    <w:rPr>
                      <w:rFonts w:cs="Arial"/>
                      <w:b/>
                    </w:rPr>
                    <w:t>Absences</w:t>
                  </w:r>
                </w:p>
                <w:p>
                  <w:pPr>
                    <w:rPr>
                      <w:rFonts w:cs="Arial"/>
                      <w:b/>
                    </w:rPr>
                  </w:pPr>
                </w:p>
                <w:tbl>
                  <w:tblPr>
                    <w:tblW w:w="0" w:type="auto"/>
                    <w:tblInd w:w="-25" w:type="dxa"/>
                    <w:tblLayout w:type="fixed"/>
                    <w:tblCellMar>
                      <w:left w:w="70" w:type="dxa"/>
                      <w:right w:w="70" w:type="dxa"/>
                    </w:tblCellMar>
                    <w:tblLook w:val="0000" w:firstRow="0" w:lastRow="0" w:firstColumn="0" w:lastColumn="0" w:noHBand="0" w:noVBand="0"/>
                  </w:tblPr>
                  <w:tblGrid>
                    <w:gridCol w:w="10935"/>
                  </w:tblGrid>
                  <w:tr>
                    <w:tc>
                      <w:tcPr>
                        <w:tcW w:w="10935"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Nombre de ½ jours d’absences injustifiées :………………….à la date du………………</w:t>
                        </w:r>
                      </w:p>
                    </w:tc>
                  </w:tr>
                  <w:tr>
                    <w:tc>
                      <w:tcPr>
                        <w:tcW w:w="10935"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Nombre de ½ jours d’absences justifiées par certificat médical (Facultatif)………………</w:t>
                        </w:r>
                      </w:p>
                    </w:tc>
                  </w:tr>
                  <w:tr>
                    <w:tc>
                      <w:tcPr>
                        <w:tcW w:w="10935"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Nombre de ½ jours d’absences justifiées (Facultatif) :…………………………………….</w:t>
                        </w:r>
                      </w:p>
                    </w:tc>
                  </w:tr>
                </w:tbl>
                <w:p>
                  <w:pPr>
                    <w:rPr>
                      <w:rFonts w:cs="Arial"/>
                      <w:b/>
                    </w:rPr>
                  </w:pPr>
                </w:p>
                <w:p>
                  <w:pPr>
                    <w:rPr>
                      <w:rFonts w:cs="Arial"/>
                    </w:rPr>
                  </w:pPr>
                  <w:r>
                    <w:rPr>
                      <w:rFonts w:cs="Arial"/>
                      <w:b/>
                    </w:rPr>
                    <w:t>Nom du jeune :</w:t>
                  </w:r>
                  <w:r>
                    <w:rPr>
                      <w:rFonts w:cs="Arial"/>
                    </w:rPr>
                    <w:tab/>
                  </w:r>
                  <w:r>
                    <w:rPr>
                      <w:rFonts w:cs="Arial"/>
                    </w:rPr>
                    <w:tab/>
                  </w:r>
                  <w:r>
                    <w:rPr>
                      <w:rFonts w:cs="Arial"/>
                    </w:rPr>
                    <w:tab/>
                  </w:r>
                  <w:r>
                    <w:rPr>
                      <w:rFonts w:cs="Arial"/>
                    </w:rPr>
                    <w:tab/>
                  </w:r>
                  <w:r>
                    <w:rPr>
                      <w:rFonts w:cs="Arial"/>
                    </w:rPr>
                    <w:tab/>
                  </w:r>
                  <w:r>
                    <w:rPr>
                      <w:rFonts w:cs="Arial"/>
                    </w:rPr>
                    <w:tab/>
                    <w:t xml:space="preserve"> </w:t>
                  </w:r>
                  <w:r>
                    <w:rPr>
                      <w:rFonts w:cs="Arial"/>
                      <w:b/>
                    </w:rPr>
                    <w:t>Prénom :</w:t>
                  </w:r>
                  <w:r>
                    <w:rPr>
                      <w:rFonts w:cs="Arial"/>
                    </w:rPr>
                    <w:tab/>
                  </w:r>
                  <w:r>
                    <w:rPr>
                      <w:rFonts w:cs="Arial"/>
                    </w:rPr>
                    <w:tab/>
                  </w:r>
                  <w:r>
                    <w:rPr>
                      <w:rFonts w:cs="Arial"/>
                    </w:rPr>
                    <w:tab/>
                  </w:r>
                  <w:r>
                    <w:rPr>
                      <w:rFonts w:cs="Arial"/>
                    </w:rPr>
                    <w:tab/>
                  </w:r>
                  <w:r>
                    <w:rPr>
                      <w:rFonts w:cs="Arial"/>
                    </w:rPr>
                    <w:tab/>
                  </w:r>
                  <w:r>
                    <w:rPr>
                      <w:rFonts w:cs="Arial"/>
                    </w:rPr>
                    <w:tab/>
                  </w:r>
                  <w:r>
                    <w:rPr>
                      <w:rFonts w:cs="Arial"/>
                    </w:rPr>
                    <w:tab/>
                    <w:t xml:space="preserve"> </w:t>
                  </w:r>
                  <w:r>
                    <w:rPr>
                      <w:rFonts w:cs="Arial"/>
                      <w:b/>
                    </w:rPr>
                    <w:t>École :</w:t>
                  </w:r>
                  <w:r>
                    <w:rPr>
                      <w:rFonts w:cs="Arial"/>
                    </w:rPr>
                    <w:t>-</w:t>
                  </w: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tc>
                      <w:tcPr>
                        <w:tcW w:w="7072" w:type="dxa"/>
                        <w:tcBorders>
                          <w:top w:val="single" w:sz="4" w:space="0" w:color="000000"/>
                          <w:left w:val="single" w:sz="4" w:space="0" w:color="000000"/>
                          <w:bottom w:val="single" w:sz="4" w:space="0" w:color="000000"/>
                        </w:tcBorders>
                      </w:tcPr>
                      <w:p>
                        <w:pPr>
                          <w:snapToGrid w:val="0"/>
                          <w:jc w:val="center"/>
                          <w:rPr>
                            <w:rFonts w:cs="Arial"/>
                            <w:b/>
                          </w:rPr>
                        </w:pPr>
                        <w:r>
                          <w:rPr>
                            <w:rFonts w:cs="Arial"/>
                            <w:b/>
                          </w:rPr>
                          <w:t>Volet école</w:t>
                        </w:r>
                      </w:p>
                    </w:tc>
                    <w:tc>
                      <w:tcPr>
                        <w:tcW w:w="7122"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Volet C.P.M.S./S.P.S.E.</w:t>
                        </w:r>
                      </w:p>
                    </w:tc>
                  </w:tr>
                  <w:tr>
                    <w:tc>
                      <w:tcPr>
                        <w:tcW w:w="7072" w:type="dxa"/>
                        <w:tcBorders>
                          <w:top w:val="single" w:sz="4" w:space="0" w:color="000000"/>
                          <w:left w:val="single" w:sz="4" w:space="0" w:color="000000"/>
                          <w:bottom w:val="single" w:sz="4" w:space="0" w:color="000000"/>
                        </w:tcBorders>
                      </w:tcPr>
                      <w:p>
                        <w:pPr>
                          <w:snapToGrid w:val="0"/>
                          <w:rPr>
                            <w:rFonts w:cs="Arial"/>
                            <w:b/>
                          </w:rPr>
                        </w:pPr>
                        <w:r>
                          <w:rPr>
                            <w:rFonts w:cs="Arial"/>
                            <w:b/>
                          </w:rPr>
                          <w:t>Contact(s) parents, tuteur</w:t>
                        </w:r>
                      </w:p>
                      <w:p>
                        <w:pPr>
                          <w:rPr>
                            <w:rFonts w:cs="Arial"/>
                          </w:rPr>
                        </w:pPr>
                        <w:r>
                          <w:rPr>
                            <w:rFonts w:ascii="Times New Roman" w:hAnsi="Times New Roman" w:cs="Times New Roman"/>
                            <w:b/>
                          </w:rPr>
                          <w:t>□</w:t>
                        </w:r>
                        <w:r>
                          <w:rPr>
                            <w:rFonts w:cs="Arial"/>
                            <w:b/>
                          </w:rPr>
                          <w:t xml:space="preserve"> </w:t>
                        </w:r>
                        <w:r>
                          <w:rPr>
                            <w:rFonts w:cs="Arial"/>
                          </w:rPr>
                          <w:t>téléphone(s), le(s)…………….</w:t>
                        </w:r>
                      </w:p>
                      <w:p>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pPr>
                          <w:rPr>
                            <w:rFonts w:cs="Arial"/>
                          </w:rPr>
                        </w:pPr>
                        <w:r>
                          <w:rPr>
                            <w:rFonts w:ascii="Times New Roman" w:hAnsi="Times New Roman" w:cs="Times New Roman"/>
                          </w:rPr>
                          <w:t>□</w:t>
                        </w:r>
                        <w:r>
                          <w:rPr>
                            <w:rFonts w:cs="Arial"/>
                          </w:rPr>
                          <w:t xml:space="preserve"> visite(s) domicile le(s)</w:t>
                        </w:r>
                        <w:r>
                          <w:rPr>
                            <w:rFonts w:cs="Cambria"/>
                          </w:rPr>
                          <w:t>………………</w:t>
                        </w:r>
                      </w:p>
                      <w:p>
                        <w:pPr>
                          <w:rPr>
                            <w:rFonts w:cs="Arial"/>
                          </w:rPr>
                        </w:pPr>
                        <w:r>
                          <w:rPr>
                            <w:rFonts w:cs="Arial"/>
                            <w:b/>
                          </w:rPr>
                          <w:t>Résultats :</w:t>
                        </w:r>
                        <w:r>
                          <w:rPr>
                            <w:rFonts w:cs="Arial"/>
                          </w:rPr>
                          <w:t>…………………………………………………………………..……………………………………………………………………………………………………………………………………</w:t>
                        </w:r>
                      </w:p>
                      <w:p>
                        <w:pPr>
                          <w:rPr>
                            <w:rFonts w:cs="Arial"/>
                          </w:rPr>
                        </w:pP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b/>
                          </w:rPr>
                        </w:pPr>
                        <w:r>
                          <w:rPr>
                            <w:rFonts w:cs="Arial"/>
                            <w:b/>
                          </w:rPr>
                          <w:t xml:space="preserve">Prise en charge par le C.P.M.S./S.P.S.E. </w:t>
                        </w:r>
                        <w:r>
                          <w:rPr>
                            <w:rFonts w:cs="Arial"/>
                          </w:rPr>
                          <w:t>depuis le ……./……../………</w:t>
                        </w:r>
                      </w:p>
                      <w:p>
                        <w:pPr>
                          <w:rPr>
                            <w:rFonts w:cs="Arial"/>
                            <w:b/>
                          </w:rPr>
                        </w:pPr>
                        <w:r>
                          <w:rPr>
                            <w:rFonts w:cs="Arial"/>
                            <w:b/>
                          </w:rPr>
                          <w:t>Contact(s) parents, tuteur</w:t>
                        </w:r>
                      </w:p>
                      <w:p>
                        <w:pPr>
                          <w:rPr>
                            <w:rFonts w:cs="Arial"/>
                          </w:rPr>
                        </w:pPr>
                        <w:r>
                          <w:rPr>
                            <w:rFonts w:ascii="Times New Roman" w:hAnsi="Times New Roman" w:cs="Times New Roman"/>
                            <w:b/>
                          </w:rPr>
                          <w:t>□</w:t>
                        </w:r>
                        <w:r>
                          <w:rPr>
                            <w:rFonts w:cs="Arial"/>
                            <w:b/>
                          </w:rPr>
                          <w:t xml:space="preserve"> </w:t>
                        </w:r>
                        <w:r>
                          <w:rPr>
                            <w:rFonts w:cs="Arial"/>
                          </w:rPr>
                          <w:t>téléphone(s), le(s)…………….</w:t>
                        </w:r>
                      </w:p>
                      <w:p>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pPr>
                          <w:rPr>
                            <w:rFonts w:cs="Arial"/>
                          </w:rPr>
                        </w:pPr>
                        <w:r>
                          <w:rPr>
                            <w:rFonts w:ascii="Times New Roman" w:hAnsi="Times New Roman" w:cs="Times New Roman"/>
                          </w:rPr>
                          <w:t>□</w:t>
                        </w:r>
                        <w:r>
                          <w:rPr>
                            <w:rFonts w:cs="Arial"/>
                          </w:rPr>
                          <w:t xml:space="preserve"> visite(s) domicile le(s)</w:t>
                        </w:r>
                        <w:r>
                          <w:rPr>
                            <w:rFonts w:cs="Cambria"/>
                          </w:rPr>
                          <w:t>………………</w:t>
                        </w:r>
                      </w:p>
                      <w:p>
                        <w:pPr>
                          <w:rPr>
                            <w:rFonts w:cs="Arial"/>
                          </w:rPr>
                        </w:pPr>
                        <w:r>
                          <w:rPr>
                            <w:rFonts w:cs="Arial"/>
                            <w:b/>
                          </w:rPr>
                          <w:t>Résultats :</w:t>
                        </w:r>
                        <w:r>
                          <w:rPr>
                            <w:rFonts w:cs="Arial"/>
                          </w:rPr>
                          <w:t>…………………………………………………………………….………………………………………………………………………………………………………………………………………</w:t>
                        </w:r>
                      </w:p>
                    </w:tc>
                  </w:tr>
                  <w:tr>
                    <w:tc>
                      <w:tcPr>
                        <w:tcW w:w="7072" w:type="dxa"/>
                        <w:tcBorders>
                          <w:top w:val="single" w:sz="4" w:space="0" w:color="000000"/>
                          <w:left w:val="single" w:sz="4" w:space="0" w:color="000000"/>
                          <w:bottom w:val="single" w:sz="4" w:space="0" w:color="000000"/>
                        </w:tcBorders>
                      </w:tcPr>
                      <w:p>
                        <w:pPr>
                          <w:snapToGrid w:val="0"/>
                          <w:rPr>
                            <w:rFonts w:cs="Arial"/>
                            <w:b/>
                          </w:rPr>
                        </w:pPr>
                        <w:r>
                          <w:rPr>
                            <w:rFonts w:cs="Arial"/>
                            <w:b/>
                          </w:rPr>
                          <w:t>Contact(s) élève</w:t>
                        </w:r>
                      </w:p>
                      <w:p>
                        <w:pPr>
                          <w:rPr>
                            <w:rFonts w:cs="Arial"/>
                          </w:rPr>
                        </w:pPr>
                        <w:r>
                          <w:rPr>
                            <w:rFonts w:ascii="Times New Roman" w:hAnsi="Times New Roman" w:cs="Times New Roman"/>
                            <w:b/>
                          </w:rPr>
                          <w:t>□</w:t>
                        </w:r>
                        <w:r>
                          <w:rPr>
                            <w:rFonts w:cs="Arial"/>
                            <w:b/>
                          </w:rPr>
                          <w:t xml:space="preserve"> </w:t>
                        </w:r>
                        <w:r>
                          <w:rPr>
                            <w:rFonts w:cs="Arial"/>
                          </w:rPr>
                          <w:t>téléphone(s), le(s)…………….</w:t>
                        </w:r>
                      </w:p>
                      <w:p>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pPr>
                          <w:rPr>
                            <w:rFonts w:cs="Arial"/>
                          </w:rPr>
                        </w:pPr>
                        <w:r>
                          <w:rPr>
                            <w:rFonts w:ascii="Times New Roman" w:hAnsi="Times New Roman" w:cs="Times New Roman"/>
                          </w:rPr>
                          <w:t>□</w:t>
                        </w:r>
                        <w:r>
                          <w:rPr>
                            <w:rFonts w:cs="Arial"/>
                          </w:rPr>
                          <w:t xml:space="preserve"> visite(s) domicile le(s)</w:t>
                        </w:r>
                        <w:r>
                          <w:rPr>
                            <w:rFonts w:cs="Cambria"/>
                          </w:rPr>
                          <w:t>………………</w:t>
                        </w:r>
                      </w:p>
                      <w:p>
                        <w:pPr>
                          <w:rPr>
                            <w:rFonts w:cs="Arial"/>
                          </w:rPr>
                        </w:pPr>
                        <w:r>
                          <w:rPr>
                            <w:rFonts w:cs="Arial"/>
                            <w:b/>
                          </w:rPr>
                          <w:t>Résultats :</w:t>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b/>
                          </w:rPr>
                        </w:pPr>
                        <w:r>
                          <w:rPr>
                            <w:rFonts w:cs="Arial"/>
                            <w:b/>
                          </w:rPr>
                          <w:t>Contact(s) élève</w:t>
                        </w:r>
                      </w:p>
                      <w:p>
                        <w:pPr>
                          <w:rPr>
                            <w:rFonts w:cs="Arial"/>
                          </w:rPr>
                        </w:pPr>
                        <w:r>
                          <w:rPr>
                            <w:rFonts w:ascii="Times New Roman" w:hAnsi="Times New Roman" w:cs="Times New Roman"/>
                            <w:b/>
                          </w:rPr>
                          <w:t>□</w:t>
                        </w:r>
                        <w:r>
                          <w:rPr>
                            <w:rFonts w:cs="Arial"/>
                            <w:b/>
                          </w:rPr>
                          <w:t xml:space="preserve"> </w:t>
                        </w:r>
                        <w:r>
                          <w:rPr>
                            <w:rFonts w:cs="Arial"/>
                          </w:rPr>
                          <w:t>téléphone(s), le(s)…………….</w:t>
                        </w:r>
                      </w:p>
                      <w:p>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pPr>
                          <w:rPr>
                            <w:rFonts w:cs="Arial"/>
                          </w:rPr>
                        </w:pPr>
                        <w:r>
                          <w:rPr>
                            <w:rFonts w:ascii="Times New Roman" w:hAnsi="Times New Roman" w:cs="Times New Roman"/>
                          </w:rPr>
                          <w:t>□</w:t>
                        </w:r>
                        <w:r>
                          <w:rPr>
                            <w:rFonts w:cs="Arial"/>
                          </w:rPr>
                          <w:t xml:space="preserve"> visite(s) domicile le(s)</w:t>
                        </w:r>
                        <w:r>
                          <w:rPr>
                            <w:rFonts w:cs="Cambria"/>
                          </w:rPr>
                          <w:t>………………</w:t>
                        </w:r>
                      </w:p>
                      <w:p>
                        <w:pPr>
                          <w:rPr>
                            <w:rFonts w:cs="Arial"/>
                          </w:rPr>
                        </w:pPr>
                        <w:r>
                          <w:rPr>
                            <w:rFonts w:cs="Arial"/>
                            <w:b/>
                          </w:rPr>
                          <w:t>Résultats :</w:t>
                        </w:r>
                        <w:r>
                          <w:rPr>
                            <w:rFonts w:cs="Arial"/>
                          </w:rPr>
                          <w:t>…………………………………………………………………..…………………………………………………………………………………………………………………………………………………………………………………………………………………………………………………………………………………………………………………………………………………………………………</w:t>
                        </w:r>
                      </w:p>
                    </w:tc>
                  </w:tr>
                  <w:tr>
                    <w:tc>
                      <w:tcPr>
                        <w:tcW w:w="7072" w:type="dxa"/>
                        <w:tcBorders>
                          <w:top w:val="single" w:sz="4" w:space="0" w:color="000000"/>
                          <w:left w:val="single" w:sz="4" w:space="0" w:color="000000"/>
                          <w:bottom w:val="single" w:sz="4" w:space="0" w:color="000000"/>
                        </w:tcBorders>
                      </w:tcPr>
                      <w:p>
                        <w:pPr>
                          <w:snapToGrid w:val="0"/>
                          <w:rPr>
                            <w:rFonts w:cs="Arial"/>
                            <w:b/>
                          </w:rPr>
                        </w:pPr>
                        <w:r>
                          <w:rPr>
                            <w:rFonts w:cs="Arial"/>
                            <w:b/>
                          </w:rPr>
                          <w:t>Autres contacts (familiers, tiers, services sociaux)</w:t>
                        </w:r>
                      </w:p>
                      <w:p>
                        <w:pPr>
                          <w:rPr>
                            <w:rFonts w:cs="Arial"/>
                          </w:rPr>
                        </w:pPr>
                        <w:r>
                          <w:rPr>
                            <w:rFonts w:ascii="Times New Roman" w:hAnsi="Times New Roman" w:cs="Times New Roman"/>
                            <w:b/>
                          </w:rPr>
                          <w:t>□</w:t>
                        </w:r>
                        <w:r>
                          <w:rPr>
                            <w:rFonts w:cs="Arial"/>
                            <w:b/>
                          </w:rPr>
                          <w:t xml:space="preserve"> </w:t>
                        </w:r>
                        <w:r>
                          <w:rPr>
                            <w:rFonts w:cs="Arial"/>
                          </w:rPr>
                          <w:t>téléphone(s), le(s)…………….</w:t>
                        </w:r>
                      </w:p>
                      <w:p>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pPr>
                          <w:rPr>
                            <w:rFonts w:cs="Arial"/>
                          </w:rPr>
                        </w:pPr>
                        <w:r>
                          <w:rPr>
                            <w:rFonts w:ascii="Times New Roman" w:hAnsi="Times New Roman" w:cs="Times New Roman"/>
                          </w:rPr>
                          <w:t>□</w:t>
                        </w:r>
                        <w:r>
                          <w:rPr>
                            <w:rFonts w:cs="Arial"/>
                          </w:rPr>
                          <w:t xml:space="preserve"> visite(s) domicile le(s)</w:t>
                        </w:r>
                        <w:r>
                          <w:rPr>
                            <w:rFonts w:cs="Cambria"/>
                          </w:rPr>
                          <w:t>………………</w:t>
                        </w:r>
                      </w:p>
                      <w:p>
                        <w:pPr>
                          <w:rPr>
                            <w:rFonts w:cs="Arial"/>
                          </w:rPr>
                        </w:pPr>
                        <w:r>
                          <w:rPr>
                            <w:rFonts w:cs="Arial"/>
                            <w:b/>
                          </w:rPr>
                          <w:t>Résultats :</w:t>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b/>
                          </w:rPr>
                        </w:pPr>
                        <w:r>
                          <w:rPr>
                            <w:rFonts w:cs="Arial"/>
                            <w:b/>
                          </w:rPr>
                          <w:t>Autres contacts (familiers, tiers, services sociaux)</w:t>
                        </w:r>
                      </w:p>
                      <w:p>
                        <w:pPr>
                          <w:rPr>
                            <w:rFonts w:cs="Arial"/>
                          </w:rPr>
                        </w:pPr>
                        <w:r>
                          <w:rPr>
                            <w:rFonts w:ascii="Times New Roman" w:hAnsi="Times New Roman" w:cs="Times New Roman"/>
                            <w:b/>
                          </w:rPr>
                          <w:t>□</w:t>
                        </w:r>
                        <w:r>
                          <w:rPr>
                            <w:rFonts w:cs="Arial"/>
                            <w:b/>
                          </w:rPr>
                          <w:t xml:space="preserve"> </w:t>
                        </w:r>
                        <w:r>
                          <w:rPr>
                            <w:rFonts w:cs="Arial"/>
                          </w:rPr>
                          <w:t>téléphone(s), le(s)…………….</w:t>
                        </w:r>
                      </w:p>
                      <w:p>
                        <w:pPr>
                          <w:rPr>
                            <w:rFonts w:cs="Arial"/>
                          </w:rPr>
                        </w:pPr>
                        <w:r>
                          <w:rPr>
                            <w:rFonts w:ascii="Times New Roman" w:hAnsi="Times New Roman" w:cs="Times New Roman"/>
                          </w:rPr>
                          <w:t>□</w:t>
                        </w:r>
                        <w:r>
                          <w:rPr>
                            <w:rFonts w:cs="Arial"/>
                          </w:rPr>
                          <w:t xml:space="preserve"> lettre(s) le(s)………………………..</w:t>
                        </w:r>
                      </w:p>
                      <w:p>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pPr>
                          <w:rPr>
                            <w:rFonts w:cs="Arial"/>
                          </w:rPr>
                        </w:pPr>
                        <w:r>
                          <w:rPr>
                            <w:rFonts w:ascii="Times New Roman" w:hAnsi="Times New Roman" w:cs="Times New Roman"/>
                          </w:rPr>
                          <w:t>□</w:t>
                        </w:r>
                        <w:r>
                          <w:rPr>
                            <w:rFonts w:cs="Arial"/>
                          </w:rPr>
                          <w:t xml:space="preserve"> visite(s) domicile le(s)</w:t>
                        </w:r>
                        <w:r>
                          <w:rPr>
                            <w:rFonts w:cs="Cambria"/>
                          </w:rPr>
                          <w:t>………………</w:t>
                        </w:r>
                      </w:p>
                      <w:p>
                        <w:pPr>
                          <w:rPr>
                            <w:rFonts w:cs="Arial"/>
                          </w:rPr>
                        </w:pPr>
                        <w:r>
                          <w:rPr>
                            <w:rFonts w:cs="Arial"/>
                            <w:b/>
                          </w:rPr>
                          <w:t>Résultats :</w:t>
                        </w:r>
                        <w:r>
                          <w:rPr>
                            <w:rFonts w:cs="Arial"/>
                          </w:rPr>
                          <w:t>…………………………………………………………………..…………………………………………………………………………………………………………………………………………………………………………………………………………………………………………………………………………………………………………………………………………………………………………</w:t>
                        </w:r>
                      </w:p>
                    </w:tc>
                  </w:tr>
                  <w:tr>
                    <w:tc>
                      <w:tcPr>
                        <w:tcW w:w="7072" w:type="dxa"/>
                        <w:tcBorders>
                          <w:top w:val="single" w:sz="4" w:space="0" w:color="000000"/>
                          <w:left w:val="single" w:sz="4" w:space="0" w:color="000000"/>
                          <w:bottom w:val="single" w:sz="4" w:space="0" w:color="000000"/>
                        </w:tcBorders>
                      </w:tcPr>
                      <w:p>
                        <w:pPr>
                          <w:snapToGrid w:val="0"/>
                          <w:rPr>
                            <w:rFonts w:cs="Arial"/>
                          </w:rPr>
                        </w:pPr>
                        <w:r>
                          <w:rPr>
                            <w:rFonts w:cs="Arial"/>
                          </w:rPr>
                          <w:t>Signalement transmis par l’école au C.P.M.S./</w:t>
                        </w:r>
                        <w:r>
                          <w:rPr>
                            <w:rFonts w:cs="Arial"/>
                            <w:b/>
                          </w:rPr>
                          <w:t>S.P.S.E</w:t>
                        </w:r>
                        <w:r>
                          <w:rPr>
                            <w:rFonts w:cs="Arial"/>
                          </w:rPr>
                          <w:t>. le……/……./………….</w:t>
                        </w: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Document remis par le C.P.M.S./</w:t>
                        </w:r>
                        <w:r>
                          <w:rPr>
                            <w:rFonts w:cs="Arial"/>
                            <w:b/>
                          </w:rPr>
                          <w:t>S.P.S.E</w:t>
                        </w:r>
                        <w:r>
                          <w:rPr>
                            <w:rFonts w:cs="Arial"/>
                          </w:rPr>
                          <w:t>. à l ‘école le………/………/………..</w:t>
                        </w:r>
                      </w:p>
                    </w:tc>
                  </w:tr>
                  <w:tr>
                    <w:trPr>
                      <w:cantSplit/>
                    </w:trPr>
                    <w:tc>
                      <w:tcPr>
                        <w:tcW w:w="14194" w:type="dxa"/>
                        <w:gridSpan w:val="2"/>
                        <w:tcBorders>
                          <w:top w:val="single" w:sz="4" w:space="0" w:color="000000"/>
                          <w:left w:val="single" w:sz="4" w:space="0" w:color="000000"/>
                          <w:bottom w:val="single" w:sz="4" w:space="0" w:color="000000"/>
                          <w:right w:val="single" w:sz="4" w:space="0" w:color="000000"/>
                        </w:tcBorders>
                      </w:tcPr>
                      <w:p>
                        <w:pPr>
                          <w:snapToGrid w:val="0"/>
                          <w:rPr>
                            <w:rFonts w:cs="Arial"/>
                            <w:b/>
                          </w:rPr>
                        </w:pPr>
                        <w:r>
                          <w:rPr>
                            <w:rFonts w:cs="Arial"/>
                            <w:b/>
                          </w:rPr>
                          <w:t>Prise en charge par un autre service :</w:t>
                        </w:r>
                      </w:p>
                      <w:p>
                        <w:pPr>
                          <w:rPr>
                            <w:rFonts w:cs="Arial"/>
                          </w:rPr>
                        </w:pPr>
                        <w:r>
                          <w:rPr>
                            <w:rFonts w:cs="Arial"/>
                          </w:rPr>
                          <w:t>Coordonnées du ou des  services :……………………………………………… ……………………………………………………………………………………………………</w:t>
                        </w:r>
                      </w:p>
                      <w:p>
                        <w:pPr>
                          <w:rPr>
                            <w:rFonts w:cs="Arial"/>
                          </w:rPr>
                        </w:pPr>
                        <w:r>
                          <w:rPr>
                            <w:rFonts w:cs="Arial"/>
                          </w:rPr>
                          <w:t>……………………………………………………………………………………………………………………………………………………</w:t>
                        </w:r>
                      </w:p>
                      <w:p>
                        <w:pPr>
                          <w:rPr>
                            <w:rFonts w:cs="Arial"/>
                          </w:rPr>
                        </w:pPr>
                        <w:r>
                          <w:rPr>
                            <w:rFonts w:cs="Arial"/>
                          </w:rPr>
                          <w:t>…………………………………………………………………………………………………………………………………………………………</w:t>
                        </w:r>
                      </w:p>
                      <w:p>
                        <w:pPr>
                          <w:rPr>
                            <w:rFonts w:cs="Arial"/>
                          </w:rPr>
                        </w:pPr>
                        <w:r>
                          <w:rPr>
                            <w:rFonts w:cs="Arial"/>
                          </w:rPr>
                          <w:t>…………………………………………………………………………………………………………………………………………………………</w:t>
                        </w:r>
                      </w:p>
                      <w:p>
                        <w:pPr>
                          <w:rPr>
                            <w:rFonts w:cs="Arial"/>
                          </w:rPr>
                        </w:pPr>
                        <w:r>
                          <w:rPr>
                            <w:rFonts w:cs="Arial"/>
                          </w:rPr>
                          <w:t>…………………………………………………………………………………………………………………………………………………………</w:t>
                        </w:r>
                      </w:p>
                      <w:p>
                        <w:pPr>
                          <w:rPr>
                            <w:rFonts w:cs="Arial"/>
                          </w:rPr>
                        </w:pPr>
                        <w:r>
                          <w:rPr>
                            <w:rFonts w:cs="Arial"/>
                          </w:rPr>
                          <w:t>Nom de(s) personne(s) contact(s) :……………………………………………………………………………………………………………………</w:t>
                        </w:r>
                      </w:p>
                      <w:p>
                        <w:pPr>
                          <w:rPr>
                            <w:rFonts w:cs="Arial"/>
                          </w:rPr>
                        </w:pPr>
                        <w:r>
                          <w:rPr>
                            <w:rFonts w:cs="Arial"/>
                          </w:rPr>
                          <w:t>…………………………………………………………………………………………………………………………………………………………</w:t>
                        </w:r>
                      </w:p>
                    </w:tc>
                  </w:tr>
                  <w:tr>
                    <w:tc>
                      <w:tcPr>
                        <w:tcW w:w="7072" w:type="dxa"/>
                        <w:tcBorders>
                          <w:top w:val="single" w:sz="4" w:space="0" w:color="000000"/>
                          <w:left w:val="single" w:sz="4" w:space="0" w:color="000000"/>
                          <w:bottom w:val="single" w:sz="4" w:space="0" w:color="000000"/>
                        </w:tcBorders>
                      </w:tcPr>
                      <w:p>
                        <w:pPr>
                          <w:snapToGrid w:val="0"/>
                          <w:rPr>
                            <w:rFonts w:cs="Arial"/>
                          </w:rPr>
                        </w:pPr>
                        <w:r>
                          <w:rPr>
                            <w:rFonts w:cs="Arial"/>
                          </w:rPr>
                          <w:t>Date et signature le ………/………./…………</w:t>
                        </w: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Date et signature le ………/………./…………</w:t>
                        </w:r>
                      </w:p>
                    </w:tc>
                  </w:tr>
                </w:tbl>
                <w:p>
                  <w:pPr>
                    <w:sectPr>
                      <w:headerReference w:type="even" r:id="rId75"/>
                      <w:headerReference w:type="default" r:id="rId76"/>
                      <w:footerReference w:type="even" r:id="rId77"/>
                      <w:headerReference w:type="first" r:id="rId78"/>
                      <w:footerReference w:type="first" r:id="rId79"/>
                      <w:pgSz w:w="16838" w:h="11906" w:orient="landscape"/>
                      <w:pgMar w:top="1134" w:right="1134" w:bottom="1134" w:left="1418" w:header="720" w:footer="185" w:gutter="0"/>
                      <w:cols w:space="720"/>
                      <w:docGrid w:linePitch="360"/>
                    </w:sectPr>
                  </w:pPr>
                </w:p>
                <w:p>
                  <w:pPr>
                    <w:pStyle w:val="Titre4"/>
                  </w:pPr>
                  <w:bookmarkStart w:id="1184" w:name="_Annexe_10_:_1"/>
                  <w:bookmarkStart w:id="1185" w:name="_Annexe_7_:"/>
                  <w:bookmarkStart w:id="1186" w:name="annexe10"/>
                  <w:bookmarkStart w:id="1187" w:name="_Toc412204102"/>
                  <w:bookmarkStart w:id="1188" w:name="_Toc414352910"/>
                  <w:bookmarkStart w:id="1189" w:name="_Toc453836933"/>
                  <w:bookmarkEnd w:id="1184"/>
                  <w:bookmarkEnd w:id="1185"/>
                  <w:r>
                    <w:t>Annexe 7 </w:t>
                  </w:r>
                  <w:bookmarkEnd w:id="1186"/>
                  <w:r>
                    <w:t>: Coordonnées des Conseillers de l’Aide à la Jeunesse</w:t>
                  </w:r>
                  <w:bookmarkEnd w:id="1187"/>
                  <w:bookmarkEnd w:id="1188"/>
                  <w:bookmarkEnd w:id="1189"/>
                </w:p>
                <w:p>
                  <w:pPr>
                    <w:rPr>
                      <w:rFonts w:cs="Arial"/>
                    </w:rPr>
                  </w:pPr>
                  <w:r>
                    <w:rPr>
                      <w:rFonts w:cs="Arial"/>
                      <w:noProof/>
                      <w:lang w:eastAsia="fr-BE"/>
                    </w:rPr>
                    <mc:AlternateContent>
                      <mc:Choice Requires="wps">
                        <w:drawing>
                          <wp:anchor distT="0" distB="0" distL="114300" distR="114300" simplePos="0" relativeHeight="252091392" behindDoc="0" locked="0" layoutInCell="1" allowOverlap="1">
                            <wp:simplePos x="0" y="0"/>
                            <wp:positionH relativeFrom="column">
                              <wp:posOffset>6448425</wp:posOffset>
                            </wp:positionH>
                            <wp:positionV relativeFrom="paragraph">
                              <wp:posOffset>175895</wp:posOffset>
                            </wp:positionV>
                            <wp:extent cx="0" cy="8686800"/>
                            <wp:effectExtent l="0" t="0" r="19050" b="19050"/>
                            <wp:wrapNone/>
                            <wp:docPr id="21" name="Connecteur droit 21"/>
                            <wp:cNvGraphicFramePr/>
                            <a:graphic xmlns:a="http://schemas.openxmlformats.org/drawingml/2006/main">
                              <a:graphicData uri="http://schemas.microsoft.com/office/word/2010/wordprocessingShape">
                                <wps:wsp>
                                  <wps:cNvCnPr/>
                                  <wps:spPr>
                                    <a:xfrm>
                                      <a:off x="0" y="0"/>
                                      <a:ext cx="0" cy="86868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09A7B7" id="Connecteur droit 21" o:spid="_x0000_s1026" style="position:absolute;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7.75pt,13.85pt" to="507.75pt,69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" strokecolor="black [3040]"/>
                        </w:pict>
                      </mc:Fallback>
                    </mc:AlternateContent>
                  </w:r>
                </w:p>
                <w:tbl>
                  <w:tblPr>
                    <w:tblStyle w:val="Grilledutableau"/>
                    <w:tblW w:w="9634" w:type="dxa"/>
                    <w:tblLook w:val="04A0" w:firstRow="1" w:lastRow="0" w:firstColumn="1" w:lastColumn="0" w:noHBand="0" w:noVBand="1"/>
                  </w:tblPr>
                  <w:tblGrid>
                    <w:gridCol w:w="1268"/>
                    <w:gridCol w:w="3494"/>
                    <w:gridCol w:w="1484"/>
                    <w:gridCol w:w="3388"/>
                  </w:tblGrid>
                  <w:tr>
                    <w:tc>
                      <w:tcPr>
                        <w:tcW w:w="1271" w:type="dxa"/>
                      </w:tcPr>
                      <w:p>
                        <w:pPr>
                          <w:jc w:val="center"/>
                          <w:rPr>
                            <w:b/>
                            <w:sz w:val="22"/>
                            <w:szCs w:val="22"/>
                          </w:rPr>
                        </w:pPr>
                        <w:r>
                          <w:rPr>
                            <w:b/>
                            <w:sz w:val="22"/>
                            <w:szCs w:val="22"/>
                          </w:rPr>
                          <w:t>SAJ d’Arlon</w:t>
                        </w:r>
                      </w:p>
                    </w:tc>
                    <w:tc>
                      <w:tcPr>
                        <w:tcW w:w="3544" w:type="dxa"/>
                      </w:tcPr>
                      <w:p>
                        <w:pPr>
                          <w:pStyle w:val="Corpsdetexte"/>
                          <w:rPr>
                            <w:sz w:val="22"/>
                            <w:szCs w:val="22"/>
                          </w:rPr>
                        </w:pPr>
                        <w:r>
                          <w:rPr>
                            <w:sz w:val="22"/>
                            <w:szCs w:val="22"/>
                          </w:rPr>
                          <w:t>Madame Martine NOTHOMB</w:t>
                        </w:r>
                      </w:p>
                      <w:p>
                        <w:pPr>
                          <w:pStyle w:val="Corpsdetexte"/>
                          <w:rPr>
                            <w:sz w:val="22"/>
                            <w:szCs w:val="22"/>
                          </w:rPr>
                        </w:pPr>
                        <w:r>
                          <w:rPr>
                            <w:sz w:val="22"/>
                            <w:szCs w:val="22"/>
                          </w:rPr>
                          <w:t>Conseillère de l’aide à la jeunesse</w:t>
                        </w:r>
                      </w:p>
                      <w:p>
                        <w:pPr>
                          <w:pStyle w:val="Corpsdetexte"/>
                          <w:rPr>
                            <w:sz w:val="22"/>
                            <w:szCs w:val="22"/>
                          </w:rPr>
                        </w:pPr>
                        <w:r>
                          <w:rPr>
                            <w:sz w:val="22"/>
                            <w:szCs w:val="22"/>
                          </w:rPr>
                          <w:t>Rue Netzer, 1, blocA</w:t>
                        </w:r>
                      </w:p>
                      <w:p>
                        <w:pPr>
                          <w:pStyle w:val="Corpsdetexte"/>
                          <w:rPr>
                            <w:sz w:val="22"/>
                            <w:szCs w:val="22"/>
                          </w:rPr>
                        </w:pPr>
                        <w:r>
                          <w:rPr>
                            <w:sz w:val="22"/>
                            <w:szCs w:val="22"/>
                          </w:rPr>
                          <w:t>2ème</w:t>
                        </w:r>
                        <w:r>
                          <w:rPr>
                            <w:sz w:val="22"/>
                            <w:szCs w:val="22"/>
                            <w:vertAlign w:val="superscript"/>
                          </w:rPr>
                          <w:t xml:space="preserve"> </w:t>
                        </w:r>
                        <w:r>
                          <w:rPr>
                            <w:sz w:val="22"/>
                            <w:szCs w:val="22"/>
                          </w:rPr>
                          <w:t xml:space="preserve"> étage</w:t>
                        </w:r>
                      </w:p>
                      <w:p>
                        <w:pPr>
                          <w:pStyle w:val="Corpsdetexte"/>
                          <w:rPr>
                            <w:sz w:val="22"/>
                            <w:szCs w:val="22"/>
                          </w:rPr>
                        </w:pPr>
                        <w:r>
                          <w:rPr>
                            <w:sz w:val="22"/>
                            <w:szCs w:val="22"/>
                          </w:rPr>
                          <w:t>6700  ARLON</w:t>
                        </w:r>
                      </w:p>
                      <w:p>
                        <w:pPr>
                          <w:pStyle w:val="Corpsdetexte"/>
                          <w:rPr>
                            <w:sz w:val="22"/>
                            <w:szCs w:val="22"/>
                          </w:rPr>
                        </w:pPr>
                        <w:r>
                          <w:rPr>
                            <w:sz w:val="22"/>
                            <w:szCs w:val="22"/>
                          </w:rPr>
                          <w:sym w:font="Wingdings" w:char="F028"/>
                        </w:r>
                        <w:r>
                          <w:rPr>
                            <w:sz w:val="22"/>
                            <w:szCs w:val="22"/>
                          </w:rPr>
                          <w:t> : 063/22.19.93</w:t>
                        </w:r>
                      </w:p>
                      <w:p>
                        <w:pPr>
                          <w:pStyle w:val="Corpsdetexte"/>
                          <w:rPr>
                            <w:sz w:val="22"/>
                            <w:szCs w:val="22"/>
                          </w:rPr>
                        </w:pPr>
                        <w:r>
                          <w:rPr>
                            <w:sz w:val="22"/>
                            <w:szCs w:val="22"/>
                          </w:rPr>
                          <w:sym w:font="Webdings" w:char="F0CA"/>
                        </w:r>
                        <w:r>
                          <w:rPr>
                            <w:sz w:val="22"/>
                            <w:szCs w:val="22"/>
                          </w:rPr>
                          <w:t>: 063/23.46.08</w:t>
                        </w:r>
                      </w:p>
                      <w:p>
                        <w:pPr>
                          <w:pStyle w:val="Corpsdetexte"/>
                          <w:rPr>
                            <w:sz w:val="22"/>
                            <w:szCs w:val="22"/>
                          </w:rPr>
                        </w:pPr>
                        <w:r>
                          <w:rPr>
                            <w:bCs/>
                            <w:sz w:val="22"/>
                            <w:szCs w:val="22"/>
                          </w:rPr>
                          <w:sym w:font="Wingdings" w:char="F03A"/>
                        </w:r>
                        <w:r>
                          <w:rPr>
                            <w:bCs/>
                            <w:sz w:val="22"/>
                            <w:szCs w:val="22"/>
                          </w:rPr>
                          <w:t xml:space="preserve"> : </w:t>
                        </w:r>
                        <w:hyperlink r:id="rId80" w:history="1">
                          <w:r>
                            <w:rPr>
                              <w:rStyle w:val="Lienhypertexte"/>
                              <w:sz w:val="22"/>
                              <w:szCs w:val="22"/>
                            </w:rPr>
                            <w:t>saj.arlon@cfwb.be</w:t>
                          </w:r>
                        </w:hyperlink>
                      </w:p>
                    </w:tc>
                    <w:tc>
                      <w:tcPr>
                        <w:tcW w:w="1398" w:type="dxa"/>
                      </w:tcPr>
                      <w:p>
                        <w:pPr>
                          <w:jc w:val="center"/>
                          <w:rPr>
                            <w:b/>
                            <w:sz w:val="22"/>
                            <w:szCs w:val="22"/>
                          </w:rPr>
                        </w:pPr>
                        <w:r>
                          <w:rPr>
                            <w:b/>
                            <w:sz w:val="22"/>
                            <w:szCs w:val="22"/>
                          </w:rPr>
                          <w:t>SAJ de Bruxelles</w:t>
                        </w:r>
                      </w:p>
                    </w:tc>
                    <w:tc>
                      <w:tcPr>
                        <w:tcW w:w="3421" w:type="dxa"/>
                      </w:tcPr>
                      <w:p>
                        <w:pPr>
                          <w:pStyle w:val="Corpsdetexte"/>
                          <w:rPr>
                            <w:sz w:val="22"/>
                            <w:szCs w:val="22"/>
                          </w:rPr>
                        </w:pPr>
                        <w:r>
                          <w:rPr>
                            <w:sz w:val="22"/>
                            <w:szCs w:val="22"/>
                          </w:rPr>
                          <w:t>Conseiller de l’aide à la jeunesse</w:t>
                        </w:r>
                      </w:p>
                      <w:p>
                        <w:pPr>
                          <w:pStyle w:val="Corpsdetexte"/>
                          <w:rPr>
                            <w:sz w:val="22"/>
                            <w:szCs w:val="22"/>
                          </w:rPr>
                        </w:pPr>
                        <w:r>
                          <w:rPr>
                            <w:sz w:val="22"/>
                            <w:szCs w:val="22"/>
                          </w:rPr>
                          <w:t>Rue de Birmingham, 60</w:t>
                        </w:r>
                      </w:p>
                      <w:p>
                        <w:pPr>
                          <w:pStyle w:val="Corpsdetexte"/>
                          <w:rPr>
                            <w:sz w:val="22"/>
                            <w:szCs w:val="22"/>
                          </w:rPr>
                        </w:pPr>
                        <w:r>
                          <w:rPr>
                            <w:sz w:val="22"/>
                            <w:szCs w:val="22"/>
                          </w:rPr>
                          <w:t>1080 MOLENBEEK SAINT JEAN</w:t>
                        </w:r>
                      </w:p>
                      <w:p>
                        <w:pPr>
                          <w:pStyle w:val="Corpsdetexte"/>
                          <w:rPr>
                            <w:sz w:val="22"/>
                            <w:szCs w:val="22"/>
                          </w:rPr>
                        </w:pPr>
                        <w:r>
                          <w:rPr>
                            <w:sz w:val="22"/>
                            <w:szCs w:val="22"/>
                          </w:rPr>
                          <w:sym w:font="Wingdings" w:char="F028"/>
                        </w:r>
                        <w:r>
                          <w:rPr>
                            <w:sz w:val="22"/>
                            <w:szCs w:val="22"/>
                          </w:rPr>
                          <w:t> : 02/413.39.18</w:t>
                        </w:r>
                      </w:p>
                      <w:p>
                        <w:pPr>
                          <w:pStyle w:val="Corpsdetexte"/>
                          <w:rPr>
                            <w:sz w:val="22"/>
                            <w:szCs w:val="22"/>
                          </w:rPr>
                        </w:pPr>
                        <w:r>
                          <w:rPr>
                            <w:sz w:val="22"/>
                            <w:szCs w:val="22"/>
                          </w:rPr>
                          <w:sym w:font="Webdings" w:char="F0CA"/>
                        </w:r>
                        <w:r>
                          <w:rPr>
                            <w:sz w:val="22"/>
                            <w:szCs w:val="22"/>
                          </w:rPr>
                          <w:t>: 02/413.38.42</w:t>
                        </w:r>
                      </w:p>
                      <w:p>
                        <w:pPr>
                          <w:pStyle w:val="Corpsdetexte"/>
                          <w:rPr>
                            <w:bCs/>
                            <w:sz w:val="22"/>
                            <w:szCs w:val="22"/>
                          </w:rPr>
                        </w:pPr>
                        <w:r>
                          <w:rPr>
                            <w:bCs/>
                            <w:sz w:val="22"/>
                            <w:szCs w:val="22"/>
                          </w:rPr>
                          <w:sym w:font="Wingdings" w:char="F03A"/>
                        </w:r>
                        <w:r>
                          <w:rPr>
                            <w:bCs/>
                            <w:sz w:val="22"/>
                            <w:szCs w:val="22"/>
                          </w:rPr>
                          <w:t xml:space="preserve"> : </w:t>
                        </w:r>
                        <w:hyperlink r:id="rId81" w:history="1">
                          <w:r>
                            <w:rPr>
                              <w:rStyle w:val="Lienhypertexte"/>
                              <w:sz w:val="22"/>
                              <w:szCs w:val="22"/>
                              <w:lang w:val="pt-PT"/>
                            </w:rPr>
                            <w:t>saj.bruxelles@cfwb.be</w:t>
                          </w:r>
                        </w:hyperlink>
                      </w:p>
                    </w:tc>
                  </w:tr>
                  <w:tr>
                    <w:tc>
                      <w:tcPr>
                        <w:tcW w:w="1271" w:type="dxa"/>
                      </w:tcPr>
                      <w:p>
                        <w:pPr>
                          <w:jc w:val="center"/>
                          <w:rPr>
                            <w:b/>
                            <w:sz w:val="22"/>
                            <w:szCs w:val="22"/>
                          </w:rPr>
                        </w:pPr>
                        <w:r>
                          <w:rPr>
                            <w:b/>
                            <w:sz w:val="22"/>
                            <w:szCs w:val="22"/>
                            <w:lang w:val="pt-PT"/>
                          </w:rPr>
                          <w:t>SAJ de Charleroi</w:t>
                        </w:r>
                      </w:p>
                    </w:tc>
                    <w:tc>
                      <w:tcPr>
                        <w:tcW w:w="3544" w:type="dxa"/>
                      </w:tcPr>
                      <w:p>
                        <w:pPr>
                          <w:pStyle w:val="Corpsdetexte"/>
                          <w:rPr>
                            <w:sz w:val="22"/>
                            <w:szCs w:val="22"/>
                            <w:lang w:val="pt-PT"/>
                          </w:rPr>
                        </w:pPr>
                        <w:r>
                          <w:rPr>
                            <w:sz w:val="22"/>
                            <w:szCs w:val="22"/>
                            <w:lang w:val="pt-PT"/>
                          </w:rPr>
                          <w:t>Madame Lydia LA CORTE</w:t>
                        </w:r>
                      </w:p>
                      <w:p>
                        <w:pPr>
                          <w:pStyle w:val="Corpsdetexte"/>
                          <w:rPr>
                            <w:sz w:val="22"/>
                            <w:szCs w:val="22"/>
                          </w:rPr>
                        </w:pPr>
                        <w:r>
                          <w:rPr>
                            <w:sz w:val="22"/>
                            <w:szCs w:val="22"/>
                          </w:rPr>
                          <w:t>Conseillère de l’aide à la jeunesse</w:t>
                        </w:r>
                      </w:p>
                      <w:p>
                        <w:pPr>
                          <w:pStyle w:val="Corpsdetexte"/>
                          <w:rPr>
                            <w:sz w:val="22"/>
                            <w:szCs w:val="22"/>
                          </w:rPr>
                        </w:pPr>
                        <w:r>
                          <w:rPr>
                            <w:sz w:val="22"/>
                            <w:szCs w:val="22"/>
                          </w:rPr>
                          <w:t>rue de la Rivelaine, 7</w:t>
                        </w:r>
                      </w:p>
                      <w:p>
                        <w:pPr>
                          <w:pStyle w:val="Corpsdetexte"/>
                          <w:rPr>
                            <w:sz w:val="22"/>
                            <w:szCs w:val="22"/>
                          </w:rPr>
                        </w:pPr>
                        <w:r>
                          <w:rPr>
                            <w:sz w:val="22"/>
                            <w:szCs w:val="22"/>
                          </w:rPr>
                          <w:t>Site St-Charles</w:t>
                        </w:r>
                      </w:p>
                      <w:p>
                        <w:pPr>
                          <w:pStyle w:val="Corpsdetexte"/>
                          <w:rPr>
                            <w:caps/>
                            <w:sz w:val="22"/>
                            <w:szCs w:val="22"/>
                          </w:rPr>
                        </w:pPr>
                        <w:r>
                          <w:rPr>
                            <w:sz w:val="22"/>
                            <w:szCs w:val="22"/>
                          </w:rPr>
                          <w:t>6061 MONTIGNIES-</w:t>
                        </w:r>
                        <w:r>
                          <w:rPr>
                            <w:caps/>
                            <w:sz w:val="22"/>
                            <w:szCs w:val="22"/>
                          </w:rPr>
                          <w:t>sur-Sambre</w:t>
                        </w:r>
                      </w:p>
                      <w:p>
                        <w:pPr>
                          <w:pStyle w:val="Corpsdetexte"/>
                          <w:rPr>
                            <w:sz w:val="22"/>
                            <w:szCs w:val="22"/>
                          </w:rPr>
                        </w:pPr>
                        <w:r>
                          <w:rPr>
                            <w:sz w:val="22"/>
                            <w:szCs w:val="22"/>
                          </w:rPr>
                          <w:sym w:font="Wingdings" w:char="F028"/>
                        </w:r>
                        <w:r>
                          <w:rPr>
                            <w:sz w:val="22"/>
                            <w:szCs w:val="22"/>
                          </w:rPr>
                          <w:t> : 071/896 011</w:t>
                        </w:r>
                      </w:p>
                      <w:p>
                        <w:pPr>
                          <w:pStyle w:val="Corpsdetexte"/>
                          <w:rPr>
                            <w:sz w:val="22"/>
                            <w:szCs w:val="22"/>
                          </w:rPr>
                        </w:pPr>
                        <w:r>
                          <w:rPr>
                            <w:sz w:val="22"/>
                            <w:szCs w:val="22"/>
                          </w:rPr>
                          <w:sym w:font="Webdings" w:char="F0CA"/>
                        </w:r>
                        <w:r>
                          <w:rPr>
                            <w:sz w:val="22"/>
                            <w:szCs w:val="22"/>
                          </w:rPr>
                          <w:t>: 071/896 009</w:t>
                        </w:r>
                      </w:p>
                      <w:p>
                        <w:pPr>
                          <w:pStyle w:val="Corpsdetexte"/>
                          <w:rPr>
                            <w:bCs/>
                            <w:sz w:val="22"/>
                            <w:szCs w:val="22"/>
                          </w:rPr>
                        </w:pPr>
                        <w:r>
                          <w:rPr>
                            <w:bCs/>
                            <w:sz w:val="22"/>
                            <w:szCs w:val="22"/>
                          </w:rPr>
                          <w:sym w:font="Wingdings" w:char="F03A"/>
                        </w:r>
                        <w:r>
                          <w:rPr>
                            <w:bCs/>
                            <w:sz w:val="22"/>
                            <w:szCs w:val="22"/>
                          </w:rPr>
                          <w:t xml:space="preserve"> : </w:t>
                        </w:r>
                        <w:hyperlink r:id="rId82" w:history="1">
                          <w:r>
                            <w:rPr>
                              <w:rStyle w:val="Lienhypertexte"/>
                              <w:sz w:val="22"/>
                              <w:szCs w:val="22"/>
                            </w:rPr>
                            <w:t>saj.charleroi@cfwb.be</w:t>
                          </w:r>
                        </w:hyperlink>
                      </w:p>
                    </w:tc>
                    <w:tc>
                      <w:tcPr>
                        <w:tcW w:w="1398" w:type="dxa"/>
                      </w:tcPr>
                      <w:p>
                        <w:pPr>
                          <w:jc w:val="center"/>
                          <w:rPr>
                            <w:b/>
                            <w:sz w:val="22"/>
                            <w:szCs w:val="22"/>
                          </w:rPr>
                        </w:pPr>
                        <w:r>
                          <w:rPr>
                            <w:b/>
                            <w:sz w:val="22"/>
                            <w:szCs w:val="22"/>
                          </w:rPr>
                          <w:t>SAJ de Dinant</w:t>
                        </w:r>
                      </w:p>
                    </w:tc>
                    <w:tc>
                      <w:tcPr>
                        <w:tcW w:w="3421" w:type="dxa"/>
                      </w:tcPr>
                      <w:p>
                        <w:pPr>
                          <w:pStyle w:val="Corpsdetexte"/>
                          <w:rPr>
                            <w:sz w:val="22"/>
                            <w:szCs w:val="22"/>
                          </w:rPr>
                        </w:pPr>
                        <w:r>
                          <w:rPr>
                            <w:sz w:val="22"/>
                            <w:szCs w:val="22"/>
                          </w:rPr>
                          <w:t>Madame Joëlle SCARNIERE</w:t>
                        </w:r>
                      </w:p>
                      <w:p>
                        <w:pPr>
                          <w:pStyle w:val="Corpsdetexte"/>
                          <w:rPr>
                            <w:bCs/>
                            <w:sz w:val="22"/>
                            <w:szCs w:val="22"/>
                          </w:rPr>
                        </w:pPr>
                        <w:r>
                          <w:rPr>
                            <w:sz w:val="22"/>
                            <w:szCs w:val="22"/>
                          </w:rPr>
                          <w:t>Conseillère de l’aide à la jeunesse</w:t>
                        </w:r>
                      </w:p>
                      <w:p>
                        <w:pPr>
                          <w:pStyle w:val="Corpsdetexte"/>
                          <w:rPr>
                            <w:sz w:val="22"/>
                            <w:szCs w:val="22"/>
                          </w:rPr>
                        </w:pPr>
                        <w:r>
                          <w:rPr>
                            <w:sz w:val="22"/>
                            <w:szCs w:val="22"/>
                          </w:rPr>
                          <w:t>Rue Grande 62/5</w:t>
                        </w:r>
                      </w:p>
                      <w:p>
                        <w:pPr>
                          <w:pStyle w:val="Corpsdetexte"/>
                          <w:rPr>
                            <w:sz w:val="22"/>
                            <w:szCs w:val="22"/>
                          </w:rPr>
                        </w:pPr>
                        <w:r>
                          <w:rPr>
                            <w:sz w:val="22"/>
                            <w:szCs w:val="22"/>
                          </w:rPr>
                          <w:t>5500   DINANT</w:t>
                        </w:r>
                      </w:p>
                      <w:p>
                        <w:pPr>
                          <w:pStyle w:val="Corpsdetexte"/>
                          <w:rPr>
                            <w:sz w:val="22"/>
                            <w:szCs w:val="22"/>
                          </w:rPr>
                        </w:pPr>
                        <w:r>
                          <w:rPr>
                            <w:sz w:val="22"/>
                            <w:szCs w:val="22"/>
                          </w:rPr>
                          <w:sym w:font="Wingdings" w:char="F028"/>
                        </w:r>
                        <w:r>
                          <w:rPr>
                            <w:sz w:val="22"/>
                            <w:szCs w:val="22"/>
                          </w:rPr>
                          <w:t> : 082/22.43.88</w:t>
                        </w:r>
                      </w:p>
                      <w:p>
                        <w:pPr>
                          <w:pStyle w:val="Corpsdetexte"/>
                          <w:rPr>
                            <w:sz w:val="22"/>
                            <w:szCs w:val="22"/>
                          </w:rPr>
                        </w:pPr>
                        <w:r>
                          <w:rPr>
                            <w:sz w:val="22"/>
                            <w:szCs w:val="22"/>
                          </w:rPr>
                          <w:sym w:font="Webdings" w:char="F0CA"/>
                        </w:r>
                        <w:r>
                          <w:rPr>
                            <w:sz w:val="22"/>
                            <w:szCs w:val="22"/>
                          </w:rPr>
                          <w:t> : 082/22.55.08</w:t>
                        </w:r>
                      </w:p>
                      <w:p>
                        <w:pPr>
                          <w:pStyle w:val="Corpsdetexte"/>
                          <w:rPr>
                            <w:bCs/>
                            <w:sz w:val="22"/>
                            <w:szCs w:val="22"/>
                          </w:rPr>
                        </w:pPr>
                        <w:r>
                          <w:rPr>
                            <w:bCs/>
                            <w:sz w:val="22"/>
                            <w:szCs w:val="22"/>
                          </w:rPr>
                          <w:sym w:font="Wingdings" w:char="F03A"/>
                        </w:r>
                        <w:r>
                          <w:rPr>
                            <w:bCs/>
                            <w:sz w:val="22"/>
                            <w:szCs w:val="22"/>
                          </w:rPr>
                          <w:t xml:space="preserve"> : </w:t>
                        </w:r>
                        <w:hyperlink r:id="rId83" w:history="1">
                          <w:r>
                            <w:rPr>
                              <w:rStyle w:val="Lienhypertexte"/>
                              <w:sz w:val="22"/>
                              <w:szCs w:val="22"/>
                            </w:rPr>
                            <w:t>saj.dinant@cfwb.be</w:t>
                          </w:r>
                        </w:hyperlink>
                      </w:p>
                      <w:p>
                        <w:pPr>
                          <w:pStyle w:val="Corpsdetexte"/>
                          <w:rPr>
                            <w:sz w:val="22"/>
                            <w:szCs w:val="22"/>
                          </w:rPr>
                        </w:pPr>
                      </w:p>
                    </w:tc>
                  </w:tr>
                  <w:tr>
                    <w:tc>
                      <w:tcPr>
                        <w:tcW w:w="1271" w:type="dxa"/>
                      </w:tcPr>
                      <w:p>
                        <w:pPr>
                          <w:jc w:val="center"/>
                          <w:rPr>
                            <w:b/>
                            <w:sz w:val="22"/>
                            <w:szCs w:val="22"/>
                          </w:rPr>
                        </w:pPr>
                        <w:r>
                          <w:rPr>
                            <w:b/>
                            <w:sz w:val="22"/>
                            <w:szCs w:val="22"/>
                          </w:rPr>
                          <w:t>SAJ de Huy</w:t>
                        </w:r>
                      </w:p>
                    </w:tc>
                    <w:tc>
                      <w:tcPr>
                        <w:tcW w:w="3544" w:type="dxa"/>
                      </w:tcPr>
                      <w:p>
                        <w:pPr>
                          <w:pStyle w:val="Corpsdetexte"/>
                          <w:rPr>
                            <w:sz w:val="22"/>
                            <w:szCs w:val="22"/>
                          </w:rPr>
                        </w:pPr>
                        <w:r>
                          <w:rPr>
                            <w:sz w:val="22"/>
                            <w:szCs w:val="22"/>
                          </w:rPr>
                          <w:t>Madame Isabelle WALHAIN</w:t>
                        </w:r>
                      </w:p>
                      <w:p>
                        <w:pPr>
                          <w:pStyle w:val="Corpsdetexte"/>
                          <w:rPr>
                            <w:sz w:val="22"/>
                            <w:szCs w:val="22"/>
                          </w:rPr>
                        </w:pPr>
                        <w:r>
                          <w:rPr>
                            <w:sz w:val="22"/>
                            <w:szCs w:val="22"/>
                          </w:rPr>
                          <w:t>Conseillère de l’aide à la jeunesse</w:t>
                        </w:r>
                      </w:p>
                      <w:p>
                        <w:pPr>
                          <w:pStyle w:val="Corpsdetexte"/>
                          <w:rPr>
                            <w:sz w:val="22"/>
                            <w:szCs w:val="22"/>
                          </w:rPr>
                        </w:pPr>
                        <w:r>
                          <w:rPr>
                            <w:sz w:val="22"/>
                            <w:szCs w:val="22"/>
                          </w:rPr>
                          <w:t>Avenue du Condroz, 3/1</w:t>
                        </w:r>
                      </w:p>
                      <w:p>
                        <w:pPr>
                          <w:pStyle w:val="Corpsdetexte"/>
                          <w:rPr>
                            <w:sz w:val="22"/>
                            <w:szCs w:val="22"/>
                          </w:rPr>
                        </w:pPr>
                        <w:r>
                          <w:rPr>
                            <w:sz w:val="22"/>
                            <w:szCs w:val="22"/>
                          </w:rPr>
                          <w:t>1</w:t>
                        </w:r>
                        <w:r>
                          <w:rPr>
                            <w:sz w:val="22"/>
                            <w:szCs w:val="22"/>
                            <w:vertAlign w:val="superscript"/>
                          </w:rPr>
                          <w:t>er</w:t>
                        </w:r>
                        <w:r>
                          <w:rPr>
                            <w:sz w:val="22"/>
                            <w:szCs w:val="22"/>
                          </w:rPr>
                          <w:t xml:space="preserve"> et 2</w:t>
                        </w:r>
                        <w:r>
                          <w:rPr>
                            <w:sz w:val="22"/>
                            <w:szCs w:val="22"/>
                            <w:vertAlign w:val="superscript"/>
                          </w:rPr>
                          <w:t>ème</w:t>
                        </w:r>
                        <w:r>
                          <w:rPr>
                            <w:sz w:val="22"/>
                            <w:szCs w:val="22"/>
                          </w:rPr>
                          <w:t xml:space="preserve"> étage</w:t>
                        </w:r>
                      </w:p>
                      <w:p>
                        <w:pPr>
                          <w:pStyle w:val="Corpsdetexte"/>
                          <w:rPr>
                            <w:sz w:val="22"/>
                            <w:szCs w:val="22"/>
                            <w:lang w:val="es-ES_tradnl"/>
                          </w:rPr>
                        </w:pPr>
                        <w:r>
                          <w:rPr>
                            <w:sz w:val="22"/>
                            <w:szCs w:val="22"/>
                            <w:lang w:val="es-ES_tradnl"/>
                          </w:rPr>
                          <w:t>4500  HUY</w:t>
                        </w:r>
                      </w:p>
                      <w:p>
                        <w:pPr>
                          <w:pStyle w:val="Corpsdetexte"/>
                          <w:rPr>
                            <w:sz w:val="22"/>
                            <w:szCs w:val="22"/>
                            <w:lang w:val="es-ES_tradnl"/>
                          </w:rPr>
                        </w:pPr>
                        <w:r>
                          <w:rPr>
                            <w:sz w:val="22"/>
                            <w:szCs w:val="22"/>
                          </w:rPr>
                          <w:sym w:font="Wingdings" w:char="F028"/>
                        </w:r>
                        <w:r>
                          <w:rPr>
                            <w:sz w:val="22"/>
                            <w:szCs w:val="22"/>
                            <w:lang w:val="es-ES_tradnl"/>
                          </w:rPr>
                          <w:t> : 085/ 27.86.40</w:t>
                        </w:r>
                      </w:p>
                      <w:p>
                        <w:pPr>
                          <w:pStyle w:val="Corpsdetexte"/>
                          <w:rPr>
                            <w:sz w:val="22"/>
                            <w:szCs w:val="22"/>
                            <w:lang w:val="es-ES_tradnl"/>
                          </w:rPr>
                        </w:pPr>
                        <w:r>
                          <w:rPr>
                            <w:sz w:val="22"/>
                            <w:szCs w:val="22"/>
                          </w:rPr>
                          <w:sym w:font="Webdings" w:char="F0CA"/>
                        </w:r>
                        <w:r>
                          <w:rPr>
                            <w:sz w:val="22"/>
                            <w:szCs w:val="22"/>
                            <w:lang w:val="es-ES_tradnl"/>
                          </w:rPr>
                          <w:t> : 085/ 23.47.24</w:t>
                        </w:r>
                      </w:p>
                      <w:p>
                        <w:pPr>
                          <w:pStyle w:val="Corpsdetexte"/>
                          <w:rPr>
                            <w:bCs/>
                            <w:sz w:val="22"/>
                            <w:szCs w:val="22"/>
                            <w:lang w:val="es-ES_tradnl"/>
                          </w:rPr>
                        </w:pPr>
                        <w:r>
                          <w:rPr>
                            <w:bCs/>
                            <w:sz w:val="22"/>
                            <w:szCs w:val="22"/>
                          </w:rPr>
                          <w:sym w:font="Wingdings" w:char="F03A"/>
                        </w:r>
                        <w:r>
                          <w:rPr>
                            <w:bCs/>
                            <w:sz w:val="22"/>
                            <w:szCs w:val="22"/>
                            <w:lang w:val="es-ES_tradnl"/>
                          </w:rPr>
                          <w:t xml:space="preserve"> : </w:t>
                        </w:r>
                        <w:hyperlink r:id="rId84" w:history="1">
                          <w:r>
                            <w:rPr>
                              <w:rStyle w:val="Lienhypertexte"/>
                              <w:sz w:val="22"/>
                              <w:szCs w:val="22"/>
                              <w:lang w:val="es-ES_tradnl"/>
                            </w:rPr>
                            <w:t>saj.huy@cfwb.be</w:t>
                          </w:r>
                        </w:hyperlink>
                      </w:p>
                    </w:tc>
                    <w:tc>
                      <w:tcPr>
                        <w:tcW w:w="1398" w:type="dxa"/>
                      </w:tcPr>
                      <w:p>
                        <w:pPr>
                          <w:jc w:val="center"/>
                          <w:rPr>
                            <w:b/>
                            <w:sz w:val="22"/>
                            <w:szCs w:val="22"/>
                          </w:rPr>
                        </w:pPr>
                        <w:r>
                          <w:rPr>
                            <w:b/>
                            <w:sz w:val="22"/>
                            <w:szCs w:val="22"/>
                          </w:rPr>
                          <w:t>SAJ de Nivelles</w:t>
                        </w:r>
                      </w:p>
                    </w:tc>
                    <w:tc>
                      <w:tcPr>
                        <w:tcW w:w="3421" w:type="dxa"/>
                      </w:tcPr>
                      <w:p>
                        <w:pPr>
                          <w:pStyle w:val="Corpsdetexte"/>
                          <w:rPr>
                            <w:sz w:val="22"/>
                            <w:szCs w:val="22"/>
                          </w:rPr>
                        </w:pPr>
                        <w:r>
                          <w:rPr>
                            <w:sz w:val="22"/>
                            <w:szCs w:val="22"/>
                          </w:rPr>
                          <w:t>Madame Thérèse BINCZYK</w:t>
                        </w:r>
                      </w:p>
                      <w:p>
                        <w:pPr>
                          <w:pStyle w:val="Corpsdetexte"/>
                          <w:rPr>
                            <w:sz w:val="22"/>
                            <w:szCs w:val="22"/>
                          </w:rPr>
                        </w:pPr>
                        <w:r>
                          <w:rPr>
                            <w:sz w:val="22"/>
                            <w:szCs w:val="22"/>
                          </w:rPr>
                          <w:t>Conseillère f.f. de l’aide à la jeunesse</w:t>
                        </w:r>
                      </w:p>
                      <w:p>
                        <w:pPr>
                          <w:pStyle w:val="Corpsdetexte"/>
                          <w:rPr>
                            <w:sz w:val="22"/>
                            <w:szCs w:val="22"/>
                          </w:rPr>
                        </w:pPr>
                        <w:r>
                          <w:rPr>
                            <w:sz w:val="22"/>
                            <w:szCs w:val="22"/>
                          </w:rPr>
                          <w:t>Chée de Nivelles, 81</w:t>
                        </w:r>
                      </w:p>
                      <w:p>
                        <w:pPr>
                          <w:pStyle w:val="Corpsdetexte"/>
                          <w:rPr>
                            <w:sz w:val="22"/>
                            <w:szCs w:val="22"/>
                          </w:rPr>
                        </w:pPr>
                        <w:r>
                          <w:rPr>
                            <w:sz w:val="22"/>
                            <w:szCs w:val="22"/>
                          </w:rPr>
                          <w:t>1420 BRAINE-L’ALLEUD</w:t>
                        </w:r>
                      </w:p>
                      <w:p>
                        <w:pPr>
                          <w:pStyle w:val="Corpsdetexte"/>
                          <w:rPr>
                            <w:sz w:val="22"/>
                            <w:szCs w:val="22"/>
                          </w:rPr>
                        </w:pPr>
                        <w:r>
                          <w:rPr>
                            <w:sz w:val="22"/>
                            <w:szCs w:val="22"/>
                          </w:rPr>
                          <w:sym w:font="Wingdings" w:char="F028"/>
                        </w:r>
                        <w:r>
                          <w:rPr>
                            <w:sz w:val="22"/>
                            <w:szCs w:val="22"/>
                          </w:rPr>
                          <w:t> : 067/ 89.59.60</w:t>
                        </w:r>
                      </w:p>
                      <w:p>
                        <w:pPr>
                          <w:pStyle w:val="Corpsdetexte"/>
                          <w:rPr>
                            <w:sz w:val="22"/>
                            <w:szCs w:val="22"/>
                          </w:rPr>
                        </w:pPr>
                        <w:r>
                          <w:rPr>
                            <w:sz w:val="22"/>
                            <w:szCs w:val="22"/>
                          </w:rPr>
                          <w:t>Fax : 067/ 84.18.16</w:t>
                        </w:r>
                      </w:p>
                      <w:p>
                        <w:pPr>
                          <w:pStyle w:val="Corpsdetexte"/>
                          <w:rPr>
                            <w:bCs/>
                            <w:sz w:val="22"/>
                            <w:szCs w:val="22"/>
                          </w:rPr>
                        </w:pPr>
                        <w:r>
                          <w:rPr>
                            <w:bCs/>
                            <w:sz w:val="22"/>
                            <w:szCs w:val="22"/>
                          </w:rPr>
                          <w:sym w:font="Wingdings" w:char="F03A"/>
                        </w:r>
                        <w:r>
                          <w:rPr>
                            <w:bCs/>
                            <w:sz w:val="22"/>
                            <w:szCs w:val="22"/>
                          </w:rPr>
                          <w:t xml:space="preserve"> : </w:t>
                        </w:r>
                        <w:hyperlink r:id="rId85" w:history="1">
                          <w:r>
                            <w:rPr>
                              <w:rStyle w:val="Lienhypertexte"/>
                              <w:sz w:val="22"/>
                              <w:szCs w:val="22"/>
                            </w:rPr>
                            <w:t>saj.nivelles@cfwb.be</w:t>
                          </w:r>
                        </w:hyperlink>
                      </w:p>
                      <w:p>
                        <w:pPr>
                          <w:pStyle w:val="Corpsdetexte"/>
                          <w:rPr>
                            <w:sz w:val="22"/>
                            <w:szCs w:val="22"/>
                          </w:rPr>
                        </w:pPr>
                      </w:p>
                    </w:tc>
                  </w:tr>
                  <w:tr>
                    <w:tc>
                      <w:tcPr>
                        <w:tcW w:w="1271" w:type="dxa"/>
                      </w:tcPr>
                      <w:p>
                        <w:pPr>
                          <w:jc w:val="center"/>
                          <w:rPr>
                            <w:b/>
                            <w:sz w:val="22"/>
                            <w:szCs w:val="22"/>
                          </w:rPr>
                        </w:pPr>
                        <w:r>
                          <w:rPr>
                            <w:b/>
                            <w:sz w:val="22"/>
                            <w:szCs w:val="22"/>
                          </w:rPr>
                          <w:t>SAJ de Verviers</w:t>
                        </w:r>
                      </w:p>
                    </w:tc>
                    <w:tc>
                      <w:tcPr>
                        <w:tcW w:w="3544" w:type="dxa"/>
                      </w:tcPr>
                      <w:p>
                        <w:pPr>
                          <w:pStyle w:val="Corpsdetexte"/>
                          <w:rPr>
                            <w:sz w:val="22"/>
                            <w:szCs w:val="22"/>
                          </w:rPr>
                        </w:pPr>
                        <w:r>
                          <w:rPr>
                            <w:sz w:val="22"/>
                            <w:szCs w:val="22"/>
                          </w:rPr>
                          <w:t>Conseillère de l’aide à la jeunesse</w:t>
                        </w:r>
                      </w:p>
                      <w:p>
                        <w:pPr>
                          <w:pStyle w:val="Corpsdetexte"/>
                          <w:rPr>
                            <w:sz w:val="22"/>
                            <w:szCs w:val="22"/>
                          </w:rPr>
                        </w:pPr>
                        <w:r>
                          <w:rPr>
                            <w:sz w:val="22"/>
                            <w:szCs w:val="22"/>
                          </w:rPr>
                          <w:t>Rue de Dinant 13-15</w:t>
                        </w:r>
                      </w:p>
                      <w:p>
                        <w:pPr>
                          <w:pStyle w:val="Corpsdetexte"/>
                          <w:rPr>
                            <w:sz w:val="22"/>
                            <w:szCs w:val="22"/>
                          </w:rPr>
                        </w:pPr>
                        <w:r>
                          <w:rPr>
                            <w:sz w:val="22"/>
                            <w:szCs w:val="22"/>
                          </w:rPr>
                          <w:t>4800  VERVIERS</w:t>
                        </w:r>
                      </w:p>
                      <w:p>
                        <w:pPr>
                          <w:pStyle w:val="Corpsdetexte"/>
                          <w:rPr>
                            <w:sz w:val="22"/>
                            <w:szCs w:val="22"/>
                          </w:rPr>
                        </w:pPr>
                        <w:r>
                          <w:rPr>
                            <w:sz w:val="22"/>
                            <w:szCs w:val="22"/>
                          </w:rPr>
                          <w:sym w:font="Wingdings" w:char="F028"/>
                        </w:r>
                        <w:r>
                          <w:rPr>
                            <w:sz w:val="22"/>
                            <w:szCs w:val="22"/>
                          </w:rPr>
                          <w:t> : 087/ 29.95.00</w:t>
                        </w:r>
                      </w:p>
                      <w:p>
                        <w:pPr>
                          <w:pStyle w:val="Corpsdetexte"/>
                          <w:rPr>
                            <w:sz w:val="22"/>
                            <w:szCs w:val="22"/>
                          </w:rPr>
                        </w:pPr>
                        <w:r>
                          <w:rPr>
                            <w:sz w:val="22"/>
                            <w:szCs w:val="22"/>
                          </w:rPr>
                          <w:sym w:font="Webdings" w:char="F0CA"/>
                        </w:r>
                        <w:r>
                          <w:rPr>
                            <w:sz w:val="22"/>
                            <w:szCs w:val="22"/>
                          </w:rPr>
                          <w:t> : 087/ 22.16.18</w:t>
                        </w:r>
                      </w:p>
                      <w:p>
                        <w:pPr>
                          <w:pStyle w:val="Corpsdetexte"/>
                          <w:rPr>
                            <w:bCs/>
                            <w:sz w:val="22"/>
                            <w:szCs w:val="22"/>
                          </w:rPr>
                        </w:pPr>
                        <w:r>
                          <w:rPr>
                            <w:bCs/>
                            <w:sz w:val="22"/>
                            <w:szCs w:val="22"/>
                          </w:rPr>
                          <w:sym w:font="Wingdings" w:char="F03A"/>
                        </w:r>
                        <w:r>
                          <w:rPr>
                            <w:bCs/>
                            <w:sz w:val="22"/>
                            <w:szCs w:val="22"/>
                          </w:rPr>
                          <w:t xml:space="preserve"> : </w:t>
                        </w:r>
                        <w:hyperlink r:id="rId86" w:history="1">
                          <w:r>
                            <w:rPr>
                              <w:rStyle w:val="Lienhypertexte"/>
                              <w:sz w:val="22"/>
                              <w:szCs w:val="22"/>
                            </w:rPr>
                            <w:t>saj.verviers@cfwb.be</w:t>
                          </w:r>
                        </w:hyperlink>
                      </w:p>
                    </w:tc>
                    <w:tc>
                      <w:tcPr>
                        <w:tcW w:w="1398" w:type="dxa"/>
                      </w:tcPr>
                      <w:p>
                        <w:pPr>
                          <w:jc w:val="center"/>
                          <w:rPr>
                            <w:b/>
                            <w:sz w:val="22"/>
                            <w:szCs w:val="22"/>
                          </w:rPr>
                        </w:pPr>
                        <w:r>
                          <w:rPr>
                            <w:b/>
                            <w:sz w:val="22"/>
                            <w:szCs w:val="22"/>
                            <w:lang w:val="pt-PT"/>
                          </w:rPr>
                          <w:t>SAJ de Liège</w:t>
                        </w:r>
                      </w:p>
                    </w:tc>
                    <w:tc>
                      <w:tcPr>
                        <w:tcW w:w="3421" w:type="dxa"/>
                      </w:tcPr>
                      <w:p>
                        <w:pPr>
                          <w:pStyle w:val="Corpsdetexte"/>
                          <w:rPr>
                            <w:sz w:val="22"/>
                            <w:szCs w:val="22"/>
                          </w:rPr>
                        </w:pPr>
                        <w:r>
                          <w:rPr>
                            <w:sz w:val="22"/>
                            <w:szCs w:val="22"/>
                          </w:rPr>
                          <w:t>Conseiller de l’aide à la jeunesse</w:t>
                        </w:r>
                      </w:p>
                      <w:p>
                        <w:pPr>
                          <w:pStyle w:val="Corpsdetexte"/>
                          <w:rPr>
                            <w:sz w:val="22"/>
                            <w:szCs w:val="22"/>
                          </w:rPr>
                        </w:pPr>
                        <w:r>
                          <w:rPr>
                            <w:sz w:val="22"/>
                            <w:szCs w:val="22"/>
                          </w:rPr>
                          <w:t>Place Xavier Neujean, 1</w:t>
                        </w:r>
                      </w:p>
                      <w:p>
                        <w:pPr>
                          <w:pStyle w:val="Corpsdetexte"/>
                          <w:rPr>
                            <w:sz w:val="22"/>
                            <w:szCs w:val="22"/>
                          </w:rPr>
                        </w:pPr>
                        <w:r>
                          <w:rPr>
                            <w:sz w:val="22"/>
                            <w:szCs w:val="22"/>
                          </w:rPr>
                          <w:t>4000  LIEGE</w:t>
                        </w:r>
                      </w:p>
                      <w:p>
                        <w:pPr>
                          <w:pStyle w:val="Corpsdetexte"/>
                          <w:rPr>
                            <w:sz w:val="22"/>
                            <w:szCs w:val="22"/>
                          </w:rPr>
                        </w:pPr>
                        <w:r>
                          <w:rPr>
                            <w:sz w:val="22"/>
                            <w:szCs w:val="22"/>
                          </w:rPr>
                          <w:sym w:font="Wingdings" w:char="F028"/>
                        </w:r>
                        <w:r>
                          <w:rPr>
                            <w:sz w:val="22"/>
                            <w:szCs w:val="22"/>
                          </w:rPr>
                          <w:t> : 04/220.67.20</w:t>
                        </w:r>
                      </w:p>
                      <w:p>
                        <w:pPr>
                          <w:pStyle w:val="Corpsdetexte"/>
                          <w:rPr>
                            <w:bCs/>
                            <w:sz w:val="22"/>
                            <w:szCs w:val="22"/>
                          </w:rPr>
                        </w:pPr>
                        <w:r>
                          <w:rPr>
                            <w:bCs/>
                            <w:sz w:val="22"/>
                            <w:szCs w:val="22"/>
                          </w:rPr>
                          <w:sym w:font="Webdings" w:char="F0CA"/>
                        </w:r>
                        <w:r>
                          <w:rPr>
                            <w:bCs/>
                            <w:sz w:val="22"/>
                            <w:szCs w:val="22"/>
                          </w:rPr>
                          <w:t>:04/221.04.57</w:t>
                        </w:r>
                        <w:r>
                          <w:rPr>
                            <w:bCs/>
                            <w:sz w:val="22"/>
                            <w:szCs w:val="22"/>
                          </w:rPr>
                          <w:br/>
                        </w:r>
                        <w:r>
                          <w:rPr>
                            <w:bCs/>
                            <w:sz w:val="22"/>
                            <w:szCs w:val="22"/>
                          </w:rPr>
                          <w:sym w:font="Wingdings" w:char="F03A"/>
                        </w:r>
                        <w:r>
                          <w:rPr>
                            <w:bCs/>
                            <w:sz w:val="22"/>
                            <w:szCs w:val="22"/>
                          </w:rPr>
                          <w:t xml:space="preserve"> : </w:t>
                        </w:r>
                        <w:hyperlink r:id="rId87" w:history="1">
                          <w:r>
                            <w:rPr>
                              <w:rStyle w:val="Lienhypertexte"/>
                              <w:sz w:val="22"/>
                              <w:szCs w:val="22"/>
                            </w:rPr>
                            <w:t>saj.liege@cfwb.be</w:t>
                          </w:r>
                        </w:hyperlink>
                      </w:p>
                      <w:p>
                        <w:pPr>
                          <w:pStyle w:val="Corpsdetexte"/>
                          <w:rPr>
                            <w:sz w:val="22"/>
                            <w:szCs w:val="22"/>
                          </w:rPr>
                        </w:pPr>
                      </w:p>
                    </w:tc>
                  </w:tr>
                  <w:tr>
                    <w:tc>
                      <w:tcPr>
                        <w:tcW w:w="1271" w:type="dxa"/>
                      </w:tcPr>
                      <w:p>
                        <w:pPr>
                          <w:jc w:val="center"/>
                          <w:rPr>
                            <w:b/>
                            <w:sz w:val="22"/>
                            <w:szCs w:val="22"/>
                          </w:rPr>
                        </w:pPr>
                        <w:r>
                          <w:rPr>
                            <w:b/>
                            <w:sz w:val="22"/>
                            <w:szCs w:val="22"/>
                          </w:rPr>
                          <w:t>SAJ de Marche-en-Famenne</w:t>
                        </w:r>
                      </w:p>
                    </w:tc>
                    <w:tc>
                      <w:tcPr>
                        <w:tcW w:w="3544" w:type="dxa"/>
                      </w:tcPr>
                      <w:p>
                        <w:pPr>
                          <w:pStyle w:val="Corpsdetexte"/>
                          <w:rPr>
                            <w:sz w:val="22"/>
                            <w:szCs w:val="22"/>
                          </w:rPr>
                        </w:pPr>
                        <w:r>
                          <w:rPr>
                            <w:sz w:val="22"/>
                            <w:szCs w:val="22"/>
                          </w:rPr>
                          <w:t>Monsieur Julien BOLLAND</w:t>
                        </w:r>
                      </w:p>
                      <w:p>
                        <w:pPr>
                          <w:pStyle w:val="Corpsdetexte"/>
                          <w:rPr>
                            <w:sz w:val="22"/>
                            <w:szCs w:val="22"/>
                          </w:rPr>
                        </w:pPr>
                        <w:r>
                          <w:rPr>
                            <w:sz w:val="22"/>
                            <w:szCs w:val="22"/>
                          </w:rPr>
                          <w:t>Conseiller de l’aide à la jeunesse</w:t>
                        </w:r>
                      </w:p>
                      <w:p>
                        <w:pPr>
                          <w:pStyle w:val="Corpsdetexte"/>
                          <w:rPr>
                            <w:sz w:val="22"/>
                            <w:szCs w:val="22"/>
                          </w:rPr>
                        </w:pPr>
                        <w:r>
                          <w:rPr>
                            <w:sz w:val="22"/>
                            <w:szCs w:val="22"/>
                          </w:rPr>
                          <w:t>Rue des Trois  Bosses, 11a</w:t>
                        </w:r>
                      </w:p>
                      <w:p>
                        <w:pPr>
                          <w:pStyle w:val="Corpsdetexte"/>
                          <w:rPr>
                            <w:sz w:val="22"/>
                            <w:szCs w:val="22"/>
                          </w:rPr>
                        </w:pPr>
                        <w:r>
                          <w:rPr>
                            <w:sz w:val="22"/>
                            <w:szCs w:val="22"/>
                          </w:rPr>
                          <w:t>6900  MARCHE-EN-FAMENNE</w:t>
                        </w:r>
                      </w:p>
                      <w:p>
                        <w:pPr>
                          <w:pStyle w:val="Corpsdetexte"/>
                          <w:rPr>
                            <w:sz w:val="22"/>
                            <w:szCs w:val="22"/>
                          </w:rPr>
                        </w:pPr>
                        <w:r>
                          <w:rPr>
                            <w:sz w:val="22"/>
                            <w:szCs w:val="22"/>
                          </w:rPr>
                          <w:sym w:font="Wingdings" w:char="F028"/>
                        </w:r>
                        <w:r>
                          <w:rPr>
                            <w:sz w:val="22"/>
                            <w:szCs w:val="22"/>
                          </w:rPr>
                          <w:t> : 084/37.44.00</w:t>
                        </w:r>
                      </w:p>
                      <w:p>
                        <w:pPr>
                          <w:pStyle w:val="Corpsdetexte"/>
                          <w:rPr>
                            <w:sz w:val="22"/>
                            <w:szCs w:val="22"/>
                          </w:rPr>
                        </w:pPr>
                        <w:r>
                          <w:rPr>
                            <w:sz w:val="22"/>
                            <w:szCs w:val="22"/>
                          </w:rPr>
                          <w:sym w:font="Webdings" w:char="F0CA"/>
                        </w:r>
                        <w:r>
                          <w:rPr>
                            <w:sz w:val="22"/>
                            <w:szCs w:val="22"/>
                          </w:rPr>
                          <w:t> : 084/37.44.49</w:t>
                        </w:r>
                      </w:p>
                      <w:p>
                        <w:pPr>
                          <w:pStyle w:val="Corpsdetexte"/>
                          <w:rPr>
                            <w:bCs/>
                            <w:sz w:val="22"/>
                            <w:szCs w:val="22"/>
                          </w:rPr>
                        </w:pPr>
                        <w:r>
                          <w:rPr>
                            <w:bCs/>
                            <w:sz w:val="22"/>
                            <w:szCs w:val="22"/>
                          </w:rPr>
                          <w:sym w:font="Wingdings" w:char="F03A"/>
                        </w:r>
                        <w:r>
                          <w:rPr>
                            <w:bCs/>
                            <w:sz w:val="22"/>
                            <w:szCs w:val="22"/>
                          </w:rPr>
                          <w:t xml:space="preserve"> : </w:t>
                        </w:r>
                        <w:hyperlink r:id="rId88" w:history="1">
                          <w:r>
                            <w:rPr>
                              <w:rStyle w:val="Lienhypertexte"/>
                              <w:sz w:val="22"/>
                              <w:szCs w:val="22"/>
                            </w:rPr>
                            <w:t>saj.marche@cfwb.be</w:t>
                          </w:r>
                        </w:hyperlink>
                      </w:p>
                    </w:tc>
                    <w:tc>
                      <w:tcPr>
                        <w:tcW w:w="1398" w:type="dxa"/>
                      </w:tcPr>
                      <w:p>
                        <w:pPr>
                          <w:jc w:val="center"/>
                          <w:rPr>
                            <w:b/>
                            <w:sz w:val="22"/>
                            <w:szCs w:val="22"/>
                          </w:rPr>
                        </w:pPr>
                        <w:r>
                          <w:rPr>
                            <w:b/>
                            <w:sz w:val="22"/>
                            <w:szCs w:val="22"/>
                          </w:rPr>
                          <w:t>SAJ de Mons</w:t>
                        </w:r>
                      </w:p>
                    </w:tc>
                    <w:tc>
                      <w:tcPr>
                        <w:tcW w:w="3421" w:type="dxa"/>
                      </w:tcPr>
                      <w:p>
                        <w:pPr>
                          <w:pStyle w:val="Corpsdetexte"/>
                          <w:rPr>
                            <w:sz w:val="22"/>
                            <w:szCs w:val="22"/>
                          </w:rPr>
                        </w:pPr>
                        <w:r>
                          <w:rPr>
                            <w:sz w:val="22"/>
                            <w:szCs w:val="22"/>
                          </w:rPr>
                          <w:t>Monsieur Guy DECLERCQ</w:t>
                        </w:r>
                      </w:p>
                      <w:p>
                        <w:pPr>
                          <w:pStyle w:val="Corpsdetexte"/>
                          <w:rPr>
                            <w:sz w:val="22"/>
                            <w:szCs w:val="22"/>
                          </w:rPr>
                        </w:pPr>
                        <w:r>
                          <w:rPr>
                            <w:sz w:val="22"/>
                            <w:szCs w:val="22"/>
                          </w:rPr>
                          <w:t>Conseiller de l’aide à la jeunesse</w:t>
                        </w:r>
                      </w:p>
                      <w:p>
                        <w:pPr>
                          <w:pStyle w:val="Corpsdetexte"/>
                          <w:rPr>
                            <w:sz w:val="22"/>
                            <w:szCs w:val="22"/>
                          </w:rPr>
                        </w:pPr>
                        <w:r>
                          <w:rPr>
                            <w:sz w:val="22"/>
                            <w:szCs w:val="22"/>
                          </w:rPr>
                          <w:t>Rue du Chemin de Fer, 433</w:t>
                        </w:r>
                      </w:p>
                      <w:p>
                        <w:pPr>
                          <w:pStyle w:val="Corpsdetexte"/>
                          <w:rPr>
                            <w:sz w:val="22"/>
                            <w:szCs w:val="22"/>
                            <w:lang w:val="es-ES_tradnl"/>
                          </w:rPr>
                        </w:pPr>
                        <w:r>
                          <w:rPr>
                            <w:sz w:val="22"/>
                            <w:szCs w:val="22"/>
                            <w:lang w:val="es-ES_tradnl"/>
                          </w:rPr>
                          <w:t>7033  CUESMES</w:t>
                        </w:r>
                      </w:p>
                      <w:p>
                        <w:pPr>
                          <w:jc w:val="center"/>
                          <w:rPr>
                            <w:bCs/>
                            <w:sz w:val="22"/>
                            <w:szCs w:val="22"/>
                            <w:lang w:val="es-ES_tradnl"/>
                          </w:rPr>
                        </w:pPr>
                        <w:r>
                          <w:rPr>
                            <w:sz w:val="22"/>
                            <w:szCs w:val="22"/>
                          </w:rPr>
                          <w:sym w:font="Wingdings" w:char="F028"/>
                        </w:r>
                        <w:r>
                          <w:rPr>
                            <w:sz w:val="22"/>
                            <w:szCs w:val="22"/>
                            <w:lang w:val="es-ES_tradnl"/>
                          </w:rPr>
                          <w:t xml:space="preserve"> : </w:t>
                        </w:r>
                        <w:r>
                          <w:rPr>
                            <w:bCs/>
                            <w:sz w:val="22"/>
                            <w:szCs w:val="22"/>
                            <w:lang w:val="es-ES_tradnl"/>
                          </w:rPr>
                          <w:t>065/ 39.58.50</w:t>
                        </w:r>
                      </w:p>
                      <w:p>
                        <w:pPr>
                          <w:jc w:val="center"/>
                          <w:rPr>
                            <w:bCs/>
                            <w:sz w:val="22"/>
                            <w:szCs w:val="22"/>
                            <w:lang w:val="es-ES_tradnl"/>
                          </w:rPr>
                        </w:pPr>
                        <w:r>
                          <w:rPr>
                            <w:b/>
                            <w:bCs/>
                            <w:sz w:val="22"/>
                            <w:szCs w:val="22"/>
                          </w:rPr>
                          <w:sym w:font="Webdings" w:char="F0CA"/>
                        </w:r>
                        <w:r>
                          <w:rPr>
                            <w:bCs/>
                            <w:sz w:val="22"/>
                            <w:szCs w:val="22"/>
                            <w:lang w:val="es-ES_tradnl"/>
                          </w:rPr>
                          <w:t> : 065/ 84.24.78</w:t>
                        </w:r>
                      </w:p>
                      <w:p>
                        <w:pPr>
                          <w:jc w:val="center"/>
                          <w:rPr>
                            <w:bCs/>
                            <w:sz w:val="22"/>
                            <w:szCs w:val="22"/>
                            <w:lang w:val="es-ES_tradnl"/>
                          </w:rPr>
                        </w:pPr>
                        <w:r>
                          <w:rPr>
                            <w:bCs/>
                            <w:sz w:val="22"/>
                            <w:szCs w:val="22"/>
                          </w:rPr>
                          <w:sym w:font="Wingdings" w:char="F03A"/>
                        </w:r>
                        <w:r>
                          <w:rPr>
                            <w:bCs/>
                            <w:sz w:val="22"/>
                            <w:szCs w:val="22"/>
                            <w:lang w:val="es-ES_tradnl"/>
                          </w:rPr>
                          <w:t xml:space="preserve"> : </w:t>
                        </w:r>
                        <w:hyperlink r:id="rId89" w:history="1">
                          <w:r>
                            <w:rPr>
                              <w:rStyle w:val="Lienhypertexte"/>
                              <w:sz w:val="22"/>
                              <w:szCs w:val="22"/>
                              <w:lang w:val="es-ES_tradnl"/>
                            </w:rPr>
                            <w:t>saj.mons@cfwb.be</w:t>
                          </w:r>
                        </w:hyperlink>
                      </w:p>
                    </w:tc>
                  </w:tr>
                  <w:tr>
                    <w:tc>
                      <w:tcPr>
                        <w:tcW w:w="1271" w:type="dxa"/>
                      </w:tcPr>
                      <w:p>
                        <w:pPr>
                          <w:jc w:val="center"/>
                          <w:rPr>
                            <w:b/>
                            <w:sz w:val="22"/>
                            <w:szCs w:val="22"/>
                          </w:rPr>
                        </w:pPr>
                        <w:r>
                          <w:rPr>
                            <w:b/>
                            <w:sz w:val="22"/>
                            <w:szCs w:val="22"/>
                          </w:rPr>
                          <w:t>SAJ de Namur</w:t>
                        </w:r>
                      </w:p>
                    </w:tc>
                    <w:tc>
                      <w:tcPr>
                        <w:tcW w:w="3544" w:type="dxa"/>
                      </w:tcPr>
                      <w:p>
                        <w:pPr>
                          <w:pStyle w:val="Corpsdetexte"/>
                          <w:rPr>
                            <w:sz w:val="22"/>
                            <w:szCs w:val="22"/>
                          </w:rPr>
                        </w:pPr>
                        <w:r>
                          <w:rPr>
                            <w:sz w:val="22"/>
                            <w:szCs w:val="22"/>
                          </w:rPr>
                          <w:t>Conseiller de l’aide à la jeunesse</w:t>
                        </w:r>
                      </w:p>
                      <w:p>
                        <w:pPr>
                          <w:pStyle w:val="Corpsdetexte"/>
                          <w:rPr>
                            <w:sz w:val="22"/>
                            <w:szCs w:val="22"/>
                          </w:rPr>
                        </w:pPr>
                        <w:r>
                          <w:rPr>
                            <w:sz w:val="22"/>
                            <w:szCs w:val="22"/>
                          </w:rPr>
                          <w:t>Place  Monseigneur Heylen, 4</w:t>
                        </w:r>
                      </w:p>
                      <w:p>
                        <w:pPr>
                          <w:pStyle w:val="Corpsdetexte"/>
                          <w:rPr>
                            <w:sz w:val="22"/>
                            <w:szCs w:val="22"/>
                          </w:rPr>
                        </w:pPr>
                        <w:r>
                          <w:rPr>
                            <w:sz w:val="22"/>
                            <w:szCs w:val="22"/>
                          </w:rPr>
                          <w:t>5000  NAMUR</w:t>
                        </w:r>
                      </w:p>
                      <w:p>
                        <w:pPr>
                          <w:pStyle w:val="Corpsdetexte"/>
                          <w:rPr>
                            <w:sz w:val="22"/>
                            <w:szCs w:val="22"/>
                          </w:rPr>
                        </w:pPr>
                        <w:r>
                          <w:rPr>
                            <w:sz w:val="22"/>
                            <w:szCs w:val="22"/>
                          </w:rPr>
                          <w:sym w:font="Wingdings" w:char="F028"/>
                        </w:r>
                        <w:r>
                          <w:rPr>
                            <w:sz w:val="22"/>
                            <w:szCs w:val="22"/>
                          </w:rPr>
                          <w:t> : 081/ 23.75.75</w:t>
                        </w:r>
                      </w:p>
                      <w:p>
                        <w:pPr>
                          <w:pStyle w:val="Corpsdetexte"/>
                          <w:rPr>
                            <w:sz w:val="22"/>
                            <w:szCs w:val="22"/>
                          </w:rPr>
                        </w:pPr>
                        <w:r>
                          <w:rPr>
                            <w:sz w:val="22"/>
                            <w:szCs w:val="22"/>
                          </w:rPr>
                          <w:sym w:font="Webdings" w:char="F0CA"/>
                        </w:r>
                        <w:r>
                          <w:rPr>
                            <w:sz w:val="22"/>
                            <w:szCs w:val="22"/>
                          </w:rPr>
                          <w:t>: 081/ 22.72.16</w:t>
                        </w:r>
                      </w:p>
                      <w:p>
                        <w:pPr>
                          <w:pStyle w:val="Corpsdetexte"/>
                          <w:rPr>
                            <w:bCs/>
                            <w:sz w:val="22"/>
                            <w:szCs w:val="22"/>
                          </w:rPr>
                        </w:pPr>
                        <w:r>
                          <w:rPr>
                            <w:bCs/>
                            <w:sz w:val="22"/>
                            <w:szCs w:val="22"/>
                          </w:rPr>
                          <w:sym w:font="Wingdings" w:char="F03A"/>
                        </w:r>
                        <w:r>
                          <w:rPr>
                            <w:bCs/>
                            <w:sz w:val="22"/>
                            <w:szCs w:val="22"/>
                          </w:rPr>
                          <w:t xml:space="preserve"> : </w:t>
                        </w:r>
                        <w:hyperlink r:id="rId90" w:history="1">
                          <w:r>
                            <w:rPr>
                              <w:rStyle w:val="Lienhypertexte"/>
                              <w:sz w:val="22"/>
                              <w:szCs w:val="22"/>
                            </w:rPr>
                            <w:t>saj.namur@cfwb.be</w:t>
                          </w:r>
                        </w:hyperlink>
                      </w:p>
                    </w:tc>
                    <w:tc>
                      <w:tcPr>
                        <w:tcW w:w="1398" w:type="dxa"/>
                      </w:tcPr>
                      <w:p>
                        <w:pPr>
                          <w:jc w:val="center"/>
                          <w:rPr>
                            <w:b/>
                            <w:sz w:val="22"/>
                            <w:szCs w:val="22"/>
                          </w:rPr>
                        </w:pPr>
                        <w:r>
                          <w:rPr>
                            <w:b/>
                            <w:sz w:val="22"/>
                            <w:szCs w:val="22"/>
                          </w:rPr>
                          <w:t>SAJ de Neufchâteau</w:t>
                        </w:r>
                      </w:p>
                    </w:tc>
                    <w:tc>
                      <w:tcPr>
                        <w:tcW w:w="3421" w:type="dxa"/>
                      </w:tcPr>
                      <w:p>
                        <w:pPr>
                          <w:pStyle w:val="Corpsdetexte"/>
                          <w:rPr>
                            <w:sz w:val="22"/>
                            <w:szCs w:val="22"/>
                          </w:rPr>
                        </w:pPr>
                        <w:r>
                          <w:rPr>
                            <w:sz w:val="22"/>
                            <w:szCs w:val="22"/>
                          </w:rPr>
                          <w:t>Monsieur Joël TANGHE</w:t>
                        </w:r>
                      </w:p>
                      <w:p>
                        <w:pPr>
                          <w:pStyle w:val="Corpsdetexte"/>
                          <w:rPr>
                            <w:sz w:val="22"/>
                            <w:szCs w:val="22"/>
                          </w:rPr>
                        </w:pPr>
                        <w:r>
                          <w:rPr>
                            <w:sz w:val="22"/>
                            <w:szCs w:val="22"/>
                          </w:rPr>
                          <w:t>Conseiller de l’aide à la jeunesse</w:t>
                        </w:r>
                      </w:p>
                      <w:p>
                        <w:pPr>
                          <w:pStyle w:val="Corpsdetexte"/>
                          <w:rPr>
                            <w:sz w:val="22"/>
                            <w:szCs w:val="22"/>
                          </w:rPr>
                        </w:pPr>
                        <w:r>
                          <w:rPr>
                            <w:sz w:val="22"/>
                            <w:szCs w:val="22"/>
                          </w:rPr>
                          <w:t>Avenue de la Victoire, 64 A</w:t>
                        </w:r>
                      </w:p>
                      <w:p>
                        <w:pPr>
                          <w:tabs>
                            <w:tab w:val="left" w:pos="3875"/>
                            <w:tab w:val="left" w:pos="5535"/>
                            <w:tab w:val="left" w:pos="7795"/>
                            <w:tab w:val="left" w:pos="10335"/>
                            <w:tab w:val="left" w:pos="11675"/>
                            <w:tab w:val="left" w:pos="12895"/>
                            <w:tab w:val="left" w:pos="14355"/>
                            <w:tab w:val="left" w:pos="15775"/>
                            <w:tab w:val="left" w:pos="17135"/>
                            <w:tab w:val="left" w:pos="20535"/>
                          </w:tabs>
                          <w:jc w:val="center"/>
                          <w:rPr>
                            <w:sz w:val="22"/>
                            <w:szCs w:val="22"/>
                          </w:rPr>
                        </w:pPr>
                        <w:r>
                          <w:rPr>
                            <w:sz w:val="22"/>
                            <w:szCs w:val="22"/>
                          </w:rPr>
                          <w:t>6840  NEUFCHATEAU</w:t>
                        </w:r>
                      </w:p>
                      <w:p>
                        <w:pPr>
                          <w:pStyle w:val="Corpsdetexte"/>
                          <w:rPr>
                            <w:sz w:val="22"/>
                            <w:szCs w:val="22"/>
                          </w:rPr>
                        </w:pPr>
                        <w:r>
                          <w:rPr>
                            <w:sz w:val="22"/>
                            <w:szCs w:val="22"/>
                          </w:rPr>
                          <w:sym w:font="Wingdings" w:char="F028"/>
                        </w:r>
                        <w:r>
                          <w:rPr>
                            <w:sz w:val="22"/>
                            <w:szCs w:val="22"/>
                          </w:rPr>
                          <w:t> :061/ 41.03.80</w:t>
                        </w:r>
                      </w:p>
                      <w:p>
                        <w:pPr>
                          <w:pStyle w:val="Corpsdetexte"/>
                          <w:rPr>
                            <w:sz w:val="22"/>
                            <w:szCs w:val="22"/>
                          </w:rPr>
                        </w:pPr>
                        <w:r>
                          <w:rPr>
                            <w:sz w:val="22"/>
                            <w:szCs w:val="22"/>
                          </w:rPr>
                          <w:sym w:font="Webdings" w:char="F0CA"/>
                        </w:r>
                        <w:r>
                          <w:rPr>
                            <w:sz w:val="22"/>
                            <w:szCs w:val="22"/>
                          </w:rPr>
                          <w:t>: 061/ 27.96.94</w:t>
                        </w:r>
                      </w:p>
                      <w:p>
                        <w:pPr>
                          <w:pStyle w:val="Corpsdetexte"/>
                          <w:rPr>
                            <w:bCs/>
                            <w:sz w:val="22"/>
                            <w:szCs w:val="22"/>
                          </w:rPr>
                        </w:pPr>
                        <w:r>
                          <w:rPr>
                            <w:bCs/>
                            <w:sz w:val="22"/>
                            <w:szCs w:val="22"/>
                          </w:rPr>
                          <w:sym w:font="Wingdings" w:char="F03A"/>
                        </w:r>
                        <w:r>
                          <w:rPr>
                            <w:bCs/>
                            <w:sz w:val="22"/>
                            <w:szCs w:val="22"/>
                          </w:rPr>
                          <w:t xml:space="preserve"> : </w:t>
                        </w:r>
                        <w:hyperlink r:id="rId91" w:history="1">
                          <w:r>
                            <w:rPr>
                              <w:rStyle w:val="Lienhypertexte"/>
                              <w:sz w:val="22"/>
                              <w:szCs w:val="22"/>
                            </w:rPr>
                            <w:t>saj.neufchateau@cfwb.be</w:t>
                          </w:r>
                        </w:hyperlink>
                      </w:p>
                    </w:tc>
                  </w:tr>
                  <w:tr>
                    <w:tc>
                      <w:tcPr>
                        <w:tcW w:w="1271" w:type="dxa"/>
                      </w:tcPr>
                      <w:p>
                        <w:pPr>
                          <w:jc w:val="center"/>
                          <w:rPr>
                            <w:b/>
                            <w:sz w:val="22"/>
                            <w:szCs w:val="22"/>
                          </w:rPr>
                        </w:pPr>
                        <w:r>
                          <w:rPr>
                            <w:b/>
                            <w:sz w:val="22"/>
                            <w:szCs w:val="22"/>
                          </w:rPr>
                          <w:t>SAJ de Tournai</w:t>
                        </w:r>
                      </w:p>
                    </w:tc>
                    <w:tc>
                      <w:tcPr>
                        <w:tcW w:w="3544" w:type="dxa"/>
                      </w:tcPr>
                      <w:p>
                        <w:pPr>
                          <w:pStyle w:val="Corpsdetexte"/>
                          <w:rPr>
                            <w:sz w:val="22"/>
                            <w:szCs w:val="22"/>
                          </w:rPr>
                        </w:pPr>
                        <w:r>
                          <w:rPr>
                            <w:sz w:val="22"/>
                            <w:szCs w:val="22"/>
                          </w:rPr>
                          <w:t>Madame Marie-Paule RENDERS</w:t>
                        </w:r>
                      </w:p>
                      <w:p>
                        <w:pPr>
                          <w:pStyle w:val="Corpsdetexte"/>
                          <w:rPr>
                            <w:sz w:val="22"/>
                            <w:szCs w:val="22"/>
                          </w:rPr>
                        </w:pPr>
                        <w:r>
                          <w:rPr>
                            <w:sz w:val="22"/>
                            <w:szCs w:val="22"/>
                          </w:rPr>
                          <w:t>Conseillère de l’aide à la jeunesse</w:t>
                        </w:r>
                      </w:p>
                      <w:p>
                        <w:pPr>
                          <w:pStyle w:val="Corpsdetexte"/>
                          <w:rPr>
                            <w:sz w:val="22"/>
                            <w:szCs w:val="22"/>
                          </w:rPr>
                        </w:pPr>
                        <w:r>
                          <w:rPr>
                            <w:sz w:val="22"/>
                            <w:szCs w:val="22"/>
                          </w:rPr>
                          <w:t>Place du Becquerelle, 21</w:t>
                        </w:r>
                      </w:p>
                      <w:p>
                        <w:pPr>
                          <w:pStyle w:val="Corpsdetexte"/>
                          <w:rPr>
                            <w:sz w:val="22"/>
                            <w:szCs w:val="22"/>
                          </w:rPr>
                        </w:pPr>
                        <w:r>
                          <w:rPr>
                            <w:sz w:val="22"/>
                            <w:szCs w:val="22"/>
                          </w:rPr>
                          <w:t>7500  TOURNAI</w:t>
                        </w:r>
                      </w:p>
                      <w:p>
                        <w:pPr>
                          <w:pStyle w:val="Corpsdetexte"/>
                          <w:rPr>
                            <w:sz w:val="22"/>
                            <w:szCs w:val="22"/>
                          </w:rPr>
                        </w:pPr>
                        <w:r>
                          <w:rPr>
                            <w:sz w:val="22"/>
                            <w:szCs w:val="22"/>
                          </w:rPr>
                          <w:sym w:font="Wingdings" w:char="F028"/>
                        </w:r>
                        <w:r>
                          <w:rPr>
                            <w:sz w:val="22"/>
                            <w:szCs w:val="22"/>
                          </w:rPr>
                          <w:t> : 069/ 53.28.40</w:t>
                        </w:r>
                      </w:p>
                      <w:p>
                        <w:pPr>
                          <w:pStyle w:val="Corpsdetexte"/>
                          <w:rPr>
                            <w:sz w:val="22"/>
                            <w:szCs w:val="22"/>
                          </w:rPr>
                        </w:pPr>
                        <w:r>
                          <w:rPr>
                            <w:sz w:val="22"/>
                            <w:szCs w:val="22"/>
                          </w:rPr>
                          <w:sym w:font="Webdings" w:char="F0CA"/>
                        </w:r>
                        <w:r>
                          <w:rPr>
                            <w:sz w:val="22"/>
                            <w:szCs w:val="22"/>
                          </w:rPr>
                          <w:t>: 069/ 84.39.01</w:t>
                        </w:r>
                      </w:p>
                      <w:p>
                        <w:pPr>
                          <w:pStyle w:val="Corpsdetexte"/>
                          <w:rPr>
                            <w:sz w:val="22"/>
                            <w:szCs w:val="22"/>
                          </w:rPr>
                        </w:pPr>
                        <w:r>
                          <w:rPr>
                            <w:bCs/>
                            <w:sz w:val="22"/>
                            <w:szCs w:val="22"/>
                          </w:rPr>
                          <w:sym w:font="Wingdings" w:char="F03A"/>
                        </w:r>
                        <w:r>
                          <w:rPr>
                            <w:bCs/>
                            <w:sz w:val="22"/>
                            <w:szCs w:val="22"/>
                          </w:rPr>
                          <w:t xml:space="preserve"> : </w:t>
                        </w:r>
                        <w:hyperlink r:id="rId92" w:history="1">
                          <w:r>
                            <w:rPr>
                              <w:rStyle w:val="Lienhypertexte"/>
                              <w:sz w:val="22"/>
                              <w:szCs w:val="22"/>
                            </w:rPr>
                            <w:t>saj.tournai@cfwb.be</w:t>
                          </w:r>
                        </w:hyperlink>
                      </w:p>
                    </w:tc>
                    <w:tc>
                      <w:tcPr>
                        <w:tcW w:w="1398" w:type="dxa"/>
                      </w:tcPr>
                      <w:p>
                        <w:pPr>
                          <w:pStyle w:val="Corpsdetexte"/>
                          <w:rPr>
                            <w:sz w:val="22"/>
                            <w:szCs w:val="22"/>
                          </w:rPr>
                        </w:pPr>
                      </w:p>
                    </w:tc>
                    <w:tc>
                      <w:tcPr>
                        <w:tcW w:w="3421" w:type="dxa"/>
                      </w:tcPr>
                      <w:p>
                        <w:pPr>
                          <w:pStyle w:val="Corpsdetexte"/>
                          <w:rPr>
                            <w:sz w:val="22"/>
                            <w:szCs w:val="22"/>
                          </w:rPr>
                        </w:pPr>
                      </w:p>
                    </w:tc>
                  </w:tr>
                </w:tbl>
                <w:p>
                  <w:pPr>
                    <w:pStyle w:val="Titre4"/>
                  </w:pPr>
                  <w:bookmarkStart w:id="1190" w:name="_Annexe_8_:_1"/>
                  <w:bookmarkStart w:id="1191" w:name="annexe14"/>
                  <w:bookmarkStart w:id="1192" w:name="_Toc412204106"/>
                  <w:bookmarkStart w:id="1193" w:name="_Toc414352914"/>
                  <w:bookmarkStart w:id="1194" w:name="_Toc453836938"/>
                  <w:bookmarkEnd w:id="1190"/>
                  <w:r>
                    <w:t>Annexe 8 </w:t>
                  </w:r>
                  <w:bookmarkEnd w:id="1191"/>
                  <w:r>
                    <w:t>: Schéma de la procédure d’exclusion</w:t>
                  </w:r>
                  <w:bookmarkEnd w:id="1192"/>
                  <w:bookmarkEnd w:id="1193"/>
                  <w:bookmarkEnd w:id="1194"/>
                </w:p>
                <w:p>
                  <w:pPr>
                    <w:jc w:val="both"/>
                    <w:rPr>
                      <w:rFonts w:cs="Arial"/>
                    </w:rPr>
                  </w:pPr>
                </w:p>
                <w:p>
                  <w:pPr>
                    <w:numPr>
                      <w:ilvl w:val="0"/>
                      <w:numId w:val="95"/>
                    </w:numPr>
                    <w:tabs>
                      <w:tab w:val="clear" w:pos="284"/>
                      <w:tab w:val="num" w:pos="567"/>
                    </w:tabs>
                    <w:suppressAutoHyphens/>
                    <w:ind w:left="567" w:hanging="567"/>
                    <w:jc w:val="both"/>
                    <w:rPr>
                      <w:rFonts w:cs="Arial"/>
                    </w:rPr>
                  </w:pPr>
                  <w:r>
                    <w:rPr>
                      <w:rFonts w:cs="Arial"/>
                      <w:caps/>
                    </w:rPr>
                    <w:t>ê</w:t>
                  </w:r>
                  <w:r>
                    <w:rPr>
                      <w:rFonts w:cs="Arial"/>
                    </w:rPr>
                    <w:t>tre certain que le(s) fait(s) reproché(s) à l’élève constitue(nt) un motif d’exclusion.</w:t>
                  </w:r>
                </w:p>
                <w:p>
                  <w:pPr>
                    <w:numPr>
                      <w:ilvl w:val="0"/>
                      <w:numId w:val="95"/>
                    </w:numPr>
                    <w:tabs>
                      <w:tab w:val="clear" w:pos="284"/>
                      <w:tab w:val="num" w:pos="567"/>
                    </w:tabs>
                    <w:suppressAutoHyphens/>
                    <w:ind w:left="567" w:hanging="567"/>
                    <w:jc w:val="both"/>
                    <w:rPr>
                      <w:rFonts w:cs="Arial"/>
                    </w:rPr>
                  </w:pPr>
                  <w:r>
                    <w:rPr>
                      <w:rFonts w:cs="Arial"/>
                    </w:rPr>
                    <w:t>S’assurer que les faits reprochés sont précis et prouvés.</w:t>
                  </w:r>
                </w:p>
                <w:p>
                  <w:pPr>
                    <w:numPr>
                      <w:ilvl w:val="0"/>
                      <w:numId w:val="95"/>
                    </w:numPr>
                    <w:tabs>
                      <w:tab w:val="clear" w:pos="284"/>
                      <w:tab w:val="num" w:pos="567"/>
                    </w:tabs>
                    <w:suppressAutoHyphens/>
                    <w:ind w:left="567" w:hanging="567"/>
                    <w:jc w:val="both"/>
                    <w:rPr>
                      <w:rFonts w:cs="Arial"/>
                    </w:rPr>
                  </w:pPr>
                  <w:r>
                    <w:rPr>
                      <w:rFonts w:cs="Arial"/>
                    </w:rPr>
                    <w:t>Si la gravité des faits le justifie, par exemple, si les faits qui ont entraîné l’exclusion ont mis en danger une autre personne, le (la) chef(fe) d’établissement pour le réseau organisé par la Communauté française, le PO ou son délégué pour le réseau subventionné peut écarter provisoirement l’élève de l’établissement pendant la procédure d’exclusion.</w:t>
                  </w:r>
                </w:p>
                <w:p>
                  <w:pPr>
                    <w:numPr>
                      <w:ilvl w:val="0"/>
                      <w:numId w:val="95"/>
                    </w:numPr>
                    <w:tabs>
                      <w:tab w:val="clear" w:pos="284"/>
                      <w:tab w:val="num" w:pos="567"/>
                    </w:tabs>
                    <w:suppressAutoHyphens/>
                    <w:ind w:left="567" w:hanging="567"/>
                    <w:jc w:val="both"/>
                    <w:rPr>
                      <w:rFonts w:cs="Arial"/>
                    </w:rPr>
                  </w:pPr>
                  <w:r>
                    <w:rPr>
                      <w:rFonts w:cs="Arial"/>
                    </w:rPr>
                    <w:t xml:space="preserve">Le (La) chef(fe) d’établissement pour le réseau organisé par la Communauté française, le PO ou son délégué pour le réseau subventionné s’assure que les parents de l’élève mineur ou la personne investie de l’autorité parentale sont informés de la mesure d’écartement prise à l’égard de leur enfant. </w:t>
                  </w:r>
                </w:p>
                <w:p>
                  <w:pPr>
                    <w:numPr>
                      <w:ilvl w:val="0"/>
                      <w:numId w:val="95"/>
                    </w:numPr>
                    <w:tabs>
                      <w:tab w:val="clear" w:pos="284"/>
                      <w:tab w:val="num" w:pos="567"/>
                    </w:tabs>
                    <w:suppressAutoHyphens/>
                    <w:ind w:left="567" w:hanging="567"/>
                    <w:jc w:val="both"/>
                    <w:rPr>
                      <w:rFonts w:cs="Arial"/>
                    </w:rPr>
                  </w:pPr>
                  <w:r>
                    <w:rPr>
                      <w:rFonts w:cs="Arial"/>
                    </w:rPr>
                    <w:t>Procéder à l’audition de l'élève, s'il est majeur, de l'élève mineur et de ses parents ou de la personne investie de l'autorité parentale (Appelés ci-après « les intéressés »). La convocation doit indiquer explicitement qu’une procédure pouvant conduire à l’exclusion définitive est engagée et contenir un résumé des faits pris en considération.</w:t>
                  </w:r>
                </w:p>
                <w:p>
                  <w:pPr>
                    <w:pStyle w:val="Corpsdetexte21"/>
                    <w:numPr>
                      <w:ilvl w:val="1"/>
                      <w:numId w:val="95"/>
                    </w:numPr>
                    <w:ind w:left="1701" w:hanging="567"/>
                    <w:jc w:val="both"/>
                    <w:rPr>
                      <w:rFonts w:asciiTheme="majorHAnsi" w:hAnsiTheme="majorHAnsi"/>
                      <w:sz w:val="22"/>
                      <w:szCs w:val="22"/>
                    </w:rPr>
                  </w:pPr>
                  <w:r>
                    <w:rPr>
                      <w:rFonts w:asciiTheme="majorHAnsi" w:hAnsiTheme="majorHAnsi"/>
                      <w:sz w:val="22"/>
                      <w:szCs w:val="22"/>
                    </w:rPr>
                    <w:t>Inviter les intéressés par lettre recommandée avec accusé de réception. Ils peuvent se faire assister d’un défenseur.</w:t>
                  </w:r>
                </w:p>
                <w:p>
                  <w:pPr>
                    <w:pStyle w:val="Corpsdetexte21"/>
                    <w:numPr>
                      <w:ilvl w:val="1"/>
                      <w:numId w:val="95"/>
                    </w:numPr>
                    <w:ind w:left="1701" w:hanging="567"/>
                    <w:jc w:val="both"/>
                    <w:rPr>
                      <w:rFonts w:asciiTheme="majorHAnsi" w:hAnsiTheme="majorHAnsi"/>
                      <w:sz w:val="22"/>
                      <w:szCs w:val="22"/>
                    </w:rPr>
                  </w:pPr>
                  <w:r>
                    <w:rPr>
                      <w:rFonts w:asciiTheme="majorHAnsi" w:hAnsiTheme="majorHAnsi"/>
                      <w:sz w:val="22"/>
                      <w:szCs w:val="22"/>
                    </w:rPr>
                    <w:t>La date proposée aux parents ou à la personne investie de l’autorité parentale est au plus tôt le 4</w:t>
                  </w:r>
                  <w:r>
                    <w:rPr>
                      <w:rFonts w:asciiTheme="majorHAnsi" w:hAnsiTheme="majorHAnsi"/>
                      <w:sz w:val="22"/>
                      <w:szCs w:val="22"/>
                      <w:vertAlign w:val="superscript"/>
                    </w:rPr>
                    <w:t>ème</w:t>
                  </w:r>
                  <w:r>
                    <w:rPr>
                      <w:rFonts w:asciiTheme="majorHAnsi" w:hAnsiTheme="majorHAnsi"/>
                      <w:sz w:val="22"/>
                      <w:szCs w:val="22"/>
                    </w:rPr>
                    <w:t xml:space="preserve"> jour ouvrable qui suit la présentation de la lettre d’invitation.</w:t>
                  </w:r>
                </w:p>
                <w:p>
                  <w:pPr>
                    <w:numPr>
                      <w:ilvl w:val="1"/>
                      <w:numId w:val="95"/>
                    </w:numPr>
                    <w:suppressAutoHyphens/>
                    <w:ind w:left="1701" w:hanging="567"/>
                    <w:jc w:val="both"/>
                    <w:rPr>
                      <w:rFonts w:cs="Arial"/>
                    </w:rPr>
                  </w:pPr>
                  <w:r>
                    <w:rPr>
                      <w:rFonts w:cs="Arial"/>
                    </w:rPr>
                    <w:t xml:space="preserve">Le (La) chef(fe) d’établissement leur expose le(s) fait(s) reproché(s) </w:t>
                  </w:r>
                  <w:r>
                    <w:rPr>
                      <w:rFonts w:cs="Arial"/>
                      <w:u w:val="single"/>
                    </w:rPr>
                    <w:t>et permet la consultation du dossier disciplinaire par les intéressés</w:t>
                  </w:r>
                  <w:r>
                    <w:rPr>
                      <w:rFonts w:cs="Arial"/>
                    </w:rPr>
                    <w:t>. Afin d’assurer les droits de la défense et d’éviter toute erreur de procédure, il est recommandé aux chefs d’établissement de fournir aux parents, à la personne investie de l’autorité parentale ou à l’élève majeur un document récapitulant les faits sur base desquels une exclusion est envisagée.</w:t>
                  </w:r>
                </w:p>
                <w:p>
                  <w:pPr>
                    <w:numPr>
                      <w:ilvl w:val="1"/>
                      <w:numId w:val="95"/>
                    </w:numPr>
                    <w:suppressAutoHyphens/>
                    <w:ind w:left="1701" w:hanging="567"/>
                    <w:jc w:val="both"/>
                    <w:rPr>
                      <w:rFonts w:cs="Arial"/>
                    </w:rPr>
                  </w:pPr>
                  <w:r>
                    <w:rPr>
                      <w:rFonts w:cs="Arial"/>
                    </w:rPr>
                    <w:t>Il entend le point de vue des intéressés.</w:t>
                  </w:r>
                </w:p>
                <w:p>
                  <w:pPr>
                    <w:numPr>
                      <w:ilvl w:val="1"/>
                      <w:numId w:val="95"/>
                    </w:numPr>
                    <w:suppressAutoHyphens/>
                    <w:ind w:left="1701" w:hanging="567"/>
                    <w:jc w:val="both"/>
                    <w:rPr>
                      <w:rFonts w:cs="Arial"/>
                    </w:rPr>
                  </w:pPr>
                  <w:r>
                    <w:rPr>
                      <w:rFonts w:cs="Arial"/>
                    </w:rPr>
                    <w:t xml:space="preserve">Il dresse un procès-verbal de l’audition reprenant les différents avis et joint la liste éventuelle des pièces dont les personnes ont pris connaissance.  </w:t>
                  </w:r>
                </w:p>
                <w:p>
                  <w:pPr>
                    <w:numPr>
                      <w:ilvl w:val="1"/>
                      <w:numId w:val="95"/>
                    </w:numPr>
                    <w:suppressAutoHyphens/>
                    <w:ind w:left="1701" w:hanging="567"/>
                    <w:jc w:val="both"/>
                    <w:rPr>
                      <w:rFonts w:cs="Arial"/>
                    </w:rPr>
                  </w:pPr>
                  <w:r>
                    <w:rPr>
                      <w:rFonts w:cs="Arial"/>
                    </w:rPr>
                    <w:t>L’élève majeur ou les parents ou la personne investie de l’autorité parentale de l’élève mineur, après avoir éventuellement ajouté une remarque, signent le procès-verbal d’audition.</w:t>
                  </w:r>
                </w:p>
                <w:p>
                  <w:pPr>
                    <w:numPr>
                      <w:ilvl w:val="1"/>
                      <w:numId w:val="95"/>
                    </w:numPr>
                    <w:suppressAutoHyphens/>
                    <w:ind w:left="1701" w:hanging="567"/>
                    <w:jc w:val="both"/>
                    <w:rPr>
                      <w:rFonts w:cs="Arial"/>
                    </w:rPr>
                  </w:pPr>
                  <w:r>
                    <w:rPr>
                      <w:rFonts w:cs="Arial"/>
                    </w:rPr>
                    <w:t>Au cas où les intéressés refusent de signer le procès-verbal ou ne répondent pas à la convocation du chef d’établissement, un procès-verbal de carence est établi et signé par un membre du personnel enseignant ou auxiliaire d’éducation.</w:t>
                  </w:r>
                </w:p>
                <w:p>
                  <w:pPr>
                    <w:pStyle w:val="Paragraphedeliste"/>
                    <w:numPr>
                      <w:ilvl w:val="0"/>
                      <w:numId w:val="95"/>
                    </w:numPr>
                    <w:tabs>
                      <w:tab w:val="clear" w:pos="284"/>
                      <w:tab w:val="num" w:pos="709"/>
                    </w:tabs>
                    <w:ind w:left="709" w:hanging="709"/>
                    <w:jc w:val="both"/>
                    <w:rPr>
                      <w:rFonts w:asciiTheme="majorHAnsi" w:hAnsiTheme="majorHAnsi"/>
                      <w:b/>
                      <w:sz w:val="22"/>
                      <w:szCs w:val="22"/>
                      <w:u w:val="single"/>
                    </w:rPr>
                  </w:pPr>
                  <w:r>
                    <w:rPr>
                      <w:rFonts w:asciiTheme="majorHAnsi" w:hAnsiTheme="majorHAnsi"/>
                      <w:b/>
                      <w:sz w:val="22"/>
                      <w:szCs w:val="22"/>
                      <w:u w:val="single"/>
                    </w:rPr>
                    <w:t xml:space="preserve">Prendre l’avis du conseil de classe ou du corps enseignant </w:t>
                  </w:r>
                </w:p>
                <w:p>
                  <w:pPr>
                    <w:numPr>
                      <w:ilvl w:val="1"/>
                      <w:numId w:val="95"/>
                    </w:numPr>
                    <w:suppressAutoHyphens/>
                    <w:ind w:left="1701" w:hanging="567"/>
                    <w:jc w:val="both"/>
                    <w:rPr>
                      <w:rFonts w:cs="Arial"/>
                    </w:rPr>
                  </w:pPr>
                  <w:r>
                    <w:rPr>
                      <w:rFonts w:cs="Arial"/>
                    </w:rPr>
                    <w:t>Le conseil de classe ou le corps enseignant émet un avis au</w:t>
                  </w:r>
                  <w:r>
                    <w:rPr>
                      <w:rFonts w:cs="Arial"/>
                      <w:b/>
                    </w:rPr>
                    <w:t xml:space="preserve"> chef d’établissement pour le réseau organisé par la Fédération Wallonie-Bruxelles, le PO ou son délégué pour le réseau subventionné.</w:t>
                  </w:r>
                  <w:r>
                    <w:rPr>
                      <w:rFonts w:cs="Arial"/>
                    </w:rPr>
                    <w:t xml:space="preserve"> </w:t>
                  </w:r>
                </w:p>
                <w:p>
                  <w:pPr>
                    <w:numPr>
                      <w:ilvl w:val="1"/>
                      <w:numId w:val="95"/>
                    </w:numPr>
                    <w:suppressAutoHyphens/>
                    <w:ind w:left="1701" w:hanging="567"/>
                    <w:jc w:val="both"/>
                    <w:rPr>
                      <w:rFonts w:cs="Arial"/>
                    </w:rPr>
                  </w:pPr>
                  <w:r>
                    <w:rPr>
                      <w:rFonts w:cs="Arial"/>
                    </w:rPr>
                    <w:t>Un procès-verbal de la réunion du conseil de classe ou du corps enseignantest rédigé et signé par les membres présents.</w:t>
                  </w:r>
                </w:p>
                <w:p>
                  <w:pPr>
                    <w:numPr>
                      <w:ilvl w:val="0"/>
                      <w:numId w:val="95"/>
                    </w:numPr>
                    <w:tabs>
                      <w:tab w:val="clear" w:pos="284"/>
                      <w:tab w:val="num" w:pos="709"/>
                    </w:tabs>
                    <w:suppressAutoHyphens/>
                    <w:ind w:left="709" w:hanging="709"/>
                    <w:jc w:val="both"/>
                    <w:rPr>
                      <w:rFonts w:cs="Arial"/>
                      <w:b/>
                    </w:rPr>
                  </w:pPr>
                  <w:r>
                    <w:rPr>
                      <w:rFonts w:cs="Arial"/>
                      <w:b/>
                    </w:rPr>
                    <w:t>Le (La) chef(fe) d’établissement pour le réseau organisé par la Fédération Wallonie-Bruxelles, le PO ou son délégué pour le réseau subventionné prend la décision. Il la communique aux intéressés par lettre recommandée avec accusé de réception.</w:t>
                  </w:r>
                </w:p>
                <w:p>
                  <w:pPr>
                    <w:jc w:val="both"/>
                    <w:rPr>
                      <w:rFonts w:cs="Arial"/>
                    </w:rPr>
                  </w:pPr>
                </w:p>
                <w:p>
                  <w:pPr>
                    <w:jc w:val="both"/>
                    <w:rPr>
                      <w:rFonts w:cs="Arial"/>
                    </w:rPr>
                  </w:pPr>
                  <w:r>
                    <w:rPr>
                      <w:rFonts w:cs="Arial"/>
                    </w:rPr>
                    <w:t xml:space="preserve">Dans cette lettre, </w:t>
                  </w:r>
                  <w:r>
                    <w:rPr>
                      <w:rFonts w:cs="Arial"/>
                      <w:b/>
                    </w:rPr>
                    <w:t xml:space="preserve">le (la) chef(fe) d’établissement pour le réseau organisé par la Fédération Wallonie-Bruxelles, le PO ou son délégué pour le réseau subventionné </w:t>
                  </w:r>
                  <w:r>
                    <w:rPr>
                      <w:rFonts w:cs="Arial"/>
                    </w:rPr>
                    <w:t xml:space="preserve">communique non seulement sa décision mais il explicite aussi la motivation de sa décision directement en rapport avec les griefs communiqués à ou aux intéressé(s) </w:t>
                  </w:r>
                  <w:r>
                    <w:rPr>
                      <w:rFonts w:cs="Arial"/>
                      <w:u w:val="single"/>
                    </w:rPr>
                    <w:t>dans la convocation</w:t>
                  </w:r>
                  <w:r>
                    <w:rPr>
                      <w:rFonts w:cs="Arial"/>
                    </w:rPr>
                    <w:t xml:space="preserve"> et lors de l’audition.</w:t>
                  </w:r>
                </w:p>
                <w:p>
                  <w:pPr>
                    <w:jc w:val="both"/>
                    <w:rPr>
                      <w:rFonts w:cs="Arial"/>
                    </w:rPr>
                  </w:pPr>
                </w:p>
                <w:p>
                  <w:pPr>
                    <w:jc w:val="both"/>
                    <w:rPr>
                      <w:rFonts w:cs="Arial"/>
                    </w:rPr>
                  </w:pPr>
                  <w:r>
                    <w:rPr>
                      <w:rFonts w:cs="Arial"/>
                    </w:rPr>
                    <w:t xml:space="preserve">La lettre recommandée mentionne la possibilité d’une procédure de recours et ses modalités, ainsi que les coordonnées des services auprès desquels une aide peut être obtenue pour la réinscription. </w:t>
                  </w:r>
                </w:p>
                <w:p>
                  <w:pPr>
                    <w:jc w:val="both"/>
                    <w:rPr>
                      <w:rFonts w:cs="Arial"/>
                    </w:rPr>
                  </w:pPr>
                  <w:r>
                    <w:rPr>
                      <w:rFonts w:cs="Arial"/>
                    </w:rPr>
                    <w:t xml:space="preserve"> </w:t>
                  </w:r>
                </w:p>
                <w:p>
                  <w:pPr>
                    <w:jc w:val="both"/>
                    <w:rPr>
                      <w:rFonts w:cs="Arial"/>
                    </w:rPr>
                  </w:pPr>
                  <w:r>
                    <w:rPr>
                      <w:rFonts w:cs="Arial"/>
                    </w:rPr>
                    <w:t>L’introduction du recours n’est pas suspensive de la décision d’exclusion.</w:t>
                  </w:r>
                </w:p>
                <w:p>
                  <w:pPr>
                    <w:rPr>
                      <w:rFonts w:cs="Arial"/>
                    </w:rPr>
                  </w:pPr>
                  <w:r>
                    <w:rPr>
                      <w:rFonts w:cs="Arial"/>
                    </w:rPr>
                    <w:br w:type="page"/>
                  </w:r>
                </w:p>
                <w:p>
                  <w:pPr>
                    <w:pStyle w:val="Titre4"/>
                  </w:pPr>
                  <w:bookmarkStart w:id="1195" w:name="_Annexe_9_:_1"/>
                  <w:bookmarkStart w:id="1196" w:name="annexe15"/>
                  <w:bookmarkStart w:id="1197" w:name="_Toc412204107"/>
                  <w:bookmarkStart w:id="1198" w:name="_Toc414352915"/>
                  <w:bookmarkStart w:id="1199" w:name="_Toc453836939"/>
                  <w:bookmarkEnd w:id="1195"/>
                  <w:r>
                    <w:t>Annexe 9 </w:t>
                  </w:r>
                  <w:bookmarkEnd w:id="1196"/>
                  <w:r>
                    <w:t xml:space="preserve">: Modèle de lettre pour convoquer l’élève et ses parents - Enseignement organisé par la </w:t>
                  </w:r>
                  <w:bookmarkEnd w:id="1197"/>
                  <w:bookmarkEnd w:id="1198"/>
                  <w:r>
                    <w:t>FWB</w:t>
                  </w:r>
                  <w:bookmarkEnd w:id="1199"/>
                </w:p>
                <w:p>
                  <w:pPr>
                    <w:rPr>
                      <w:rFonts w:cs="Arial"/>
                      <w:b/>
                      <w:u w:val="single"/>
                    </w:rPr>
                  </w:pPr>
                </w:p>
                <w:p>
                  <w:pPr>
                    <w:pBdr>
                      <w:top w:val="single" w:sz="4" w:space="1" w:color="auto"/>
                      <w:left w:val="single" w:sz="4" w:space="4" w:color="auto"/>
                      <w:bottom w:val="single" w:sz="4" w:space="1" w:color="auto"/>
                      <w:right w:val="single" w:sz="4" w:space="4" w:color="auto"/>
                    </w:pBdr>
                    <w:jc w:val="center"/>
                  </w:pPr>
                  <w:r>
                    <w:t>A adapter pour l’élève majeur / RECOMMANDE AVEC ACCUSE de réception</w:t>
                  </w:r>
                </w:p>
                <w:p>
                  <w:pPr>
                    <w:rPr>
                      <w:b/>
                    </w:rPr>
                  </w:pPr>
                </w:p>
                <w:p>
                  <w:pPr>
                    <w:rPr>
                      <w:rFonts w:cs="Arial"/>
                      <w:b/>
                      <w:u w:val="single"/>
                    </w:rPr>
                  </w:pPr>
                </w:p>
                <w:p>
                  <w:pPr>
                    <w:jc w:val="both"/>
                    <w:rPr>
                      <w:rFonts w:cs="Arial"/>
                      <w:b/>
                      <w:u w:val="single"/>
                    </w:rPr>
                  </w:pPr>
                </w:p>
                <w:p>
                  <w:pPr>
                    <w:jc w:val="both"/>
                    <w:rPr>
                      <w:rFonts w:cs="Arial"/>
                      <w:spacing w:val="-2"/>
                    </w:rPr>
                  </w:pPr>
                  <w:r>
                    <w:rPr>
                      <w:rFonts w:cs="Arial"/>
                      <w:spacing w:val="-2"/>
                    </w:rPr>
                    <w:t>Madame,</w:t>
                  </w:r>
                </w:p>
                <w:p>
                  <w:pPr>
                    <w:jc w:val="both"/>
                    <w:rPr>
                      <w:rFonts w:cs="Arial"/>
                      <w:spacing w:val="-2"/>
                    </w:rPr>
                  </w:pPr>
                  <w:r>
                    <w:rPr>
                      <w:rFonts w:cs="Arial"/>
                      <w:spacing w:val="-2"/>
                    </w:rPr>
                    <w:t>Monsieur,</w:t>
                  </w:r>
                </w:p>
                <w:p>
                  <w:pPr>
                    <w:jc w:val="both"/>
                    <w:rPr>
                      <w:rFonts w:cs="Arial"/>
                      <w:spacing w:val="-2"/>
                    </w:rPr>
                  </w:pPr>
                </w:p>
                <w:p>
                  <w:pPr>
                    <w:jc w:val="both"/>
                    <w:rPr>
                      <w:rFonts w:cs="Arial"/>
                      <w:spacing w:val="-2"/>
                    </w:rPr>
                  </w:pPr>
                </w:p>
                <w:p>
                  <w:pPr>
                    <w:jc w:val="both"/>
                    <w:rPr>
                      <w:rFonts w:cs="Arial"/>
                      <w:spacing w:val="-2"/>
                    </w:rPr>
                  </w:pPr>
                  <w:r>
                    <w:rPr>
                      <w:rFonts w:cs="Arial"/>
                      <w:spacing w:val="-2"/>
                    </w:rPr>
                    <w:t xml:space="preserve">Je vous invite à vous présenter en mon bureau ce </w:t>
                  </w:r>
                  <w:r>
                    <w:rPr>
                      <w:rFonts w:cs="Arial"/>
                      <w:spacing w:val="-2"/>
                    </w:rPr>
                    <w:tab/>
                  </w:r>
                  <w:r>
                    <w:rPr>
                      <w:rFonts w:cs="Arial"/>
                      <w:spacing w:val="-2"/>
                    </w:rPr>
                    <w:tab/>
                  </w:r>
                  <w:r>
                    <w:rPr>
                      <w:rFonts w:cs="Arial"/>
                      <w:spacing w:val="-2"/>
                    </w:rPr>
                    <w:tab/>
                    <w:t>à</w:t>
                  </w:r>
                  <w:r>
                    <w:rPr>
                      <w:rFonts w:cs="Arial"/>
                      <w:spacing w:val="-2"/>
                    </w:rPr>
                    <w:tab/>
                    <w:t>h</w:t>
                  </w:r>
                  <w:r>
                    <w:rPr>
                      <w:rFonts w:cs="Arial"/>
                      <w:spacing w:val="-2"/>
                    </w:rPr>
                    <w:tab/>
                    <w:t xml:space="preserve">aux fins d'y être entendu(e)(s) avec votre fils (fille) </w:t>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t>, élève de</w:t>
                  </w:r>
                  <w:r>
                    <w:rPr>
                      <w:rFonts w:cs="Arial"/>
                      <w:spacing w:val="-2"/>
                    </w:rPr>
                    <w:tab/>
                  </w:r>
                  <w:r>
                    <w:rPr>
                      <w:rFonts w:cs="Arial"/>
                      <w:spacing w:val="-2"/>
                    </w:rPr>
                    <w:tab/>
                    <w:t>sur le(s) fait(s) repris ci-dessous qui lui est (sont) reproché(s):</w:t>
                  </w:r>
                </w:p>
                <w:p>
                  <w:pPr>
                    <w:jc w:val="both"/>
                    <w:rPr>
                      <w:rFonts w:cs="Arial"/>
                      <w:spacing w:val="-2"/>
                    </w:rPr>
                  </w:pPr>
                </w:p>
                <w:p>
                  <w:pPr>
                    <w:jc w:val="both"/>
                    <w:rPr>
                      <w:rFonts w:cs="Arial"/>
                      <w:spacing w:val="-2"/>
                    </w:rPr>
                  </w:pPr>
                  <w:r>
                    <w:rPr>
                      <w:rFonts w:cs="Arial"/>
                      <w:spacing w:val="-2"/>
                    </w:rPr>
                    <w:t>-</w:t>
                  </w:r>
                  <w:r>
                    <w:rPr>
                      <w:rFonts w:cs="Arial"/>
                      <w:spacing w:val="-2"/>
                    </w:rPr>
                    <w:tab/>
                    <w:t>…………………………………………………………………………………………………………………….</w:t>
                  </w:r>
                </w:p>
                <w:p>
                  <w:pPr>
                    <w:jc w:val="both"/>
                    <w:rPr>
                      <w:rFonts w:cs="Arial"/>
                      <w:spacing w:val="-2"/>
                    </w:rPr>
                  </w:pPr>
                  <w:r>
                    <w:rPr>
                      <w:rFonts w:cs="Arial"/>
                      <w:spacing w:val="-2"/>
                    </w:rPr>
                    <w:t>-</w:t>
                  </w:r>
                  <w:r>
                    <w:rPr>
                      <w:rFonts w:cs="Arial"/>
                      <w:spacing w:val="-2"/>
                    </w:rPr>
                    <w:tab/>
                    <w:t>…………………………………………………………………………………………………………………….</w:t>
                  </w:r>
                </w:p>
                <w:p>
                  <w:pPr>
                    <w:jc w:val="both"/>
                    <w:rPr>
                      <w:rFonts w:cs="Arial"/>
                      <w:spacing w:val="-2"/>
                    </w:rPr>
                  </w:pPr>
                  <w:r>
                    <w:rPr>
                      <w:rFonts w:cs="Arial"/>
                      <w:spacing w:val="-2"/>
                    </w:rPr>
                    <w:t>-</w:t>
                  </w:r>
                  <w:r>
                    <w:rPr>
                      <w:rFonts w:cs="Arial"/>
                      <w:spacing w:val="-2"/>
                    </w:rPr>
                    <w:tab/>
                    <w:t>…………………………………………………………………………………………………………………….</w:t>
                  </w:r>
                </w:p>
                <w:p>
                  <w:pPr>
                    <w:jc w:val="both"/>
                    <w:rPr>
                      <w:rFonts w:cs="Arial"/>
                      <w:spacing w:val="-2"/>
                    </w:rPr>
                  </w:pPr>
                  <w:r>
                    <w:rPr>
                      <w:rFonts w:cs="Arial"/>
                      <w:spacing w:val="-2"/>
                    </w:rPr>
                    <w:t>-</w:t>
                  </w:r>
                  <w:r>
                    <w:rPr>
                      <w:rFonts w:cs="Arial"/>
                      <w:spacing w:val="-2"/>
                    </w:rPr>
                    <w:tab/>
                    <w:t>…………………………………………………………………………………………………………………….</w:t>
                  </w:r>
                </w:p>
                <w:p>
                  <w:pPr>
                    <w:jc w:val="both"/>
                    <w:rPr>
                      <w:rFonts w:cs="Arial"/>
                      <w:spacing w:val="-2"/>
                    </w:rPr>
                  </w:pPr>
                  <w:r>
                    <w:rPr>
                      <w:rFonts w:cs="Arial"/>
                      <w:spacing w:val="-2"/>
                    </w:rPr>
                    <w:t>-</w:t>
                  </w:r>
                  <w:r>
                    <w:rPr>
                      <w:rFonts w:cs="Arial"/>
                      <w:spacing w:val="-2"/>
                    </w:rPr>
                    <w:tab/>
                    <w:t>…………………………………………………………………………………………………………………….</w:t>
                  </w:r>
                </w:p>
                <w:p>
                  <w:pPr>
                    <w:jc w:val="both"/>
                    <w:rPr>
                      <w:rFonts w:cs="Arial"/>
                      <w:spacing w:val="-2"/>
                    </w:rPr>
                  </w:pPr>
                </w:p>
                <w:p>
                  <w:pPr>
                    <w:jc w:val="both"/>
                    <w:rPr>
                      <w:rFonts w:cs="Arial"/>
                      <w:spacing w:val="-2"/>
                    </w:rPr>
                  </w:pPr>
                  <w:r>
                    <w:rPr>
                      <w:rFonts w:cs="Arial"/>
                      <w:spacing w:val="-2"/>
                    </w:rPr>
                    <w:t>Il(s) a (ont) fait l'objet :</w:t>
                  </w:r>
                </w:p>
                <w:p>
                  <w:pPr>
                    <w:jc w:val="both"/>
                    <w:rPr>
                      <w:rFonts w:cs="Arial"/>
                      <w:spacing w:val="-2"/>
                    </w:rPr>
                  </w:pPr>
                </w:p>
                <w:p>
                  <w:pPr>
                    <w:jc w:val="both"/>
                    <w:rPr>
                      <w:rFonts w:cs="Arial"/>
                      <w:spacing w:val="-2"/>
                    </w:rPr>
                  </w:pPr>
                  <w:r>
                    <w:rPr>
                      <w:rFonts w:cs="Arial"/>
                      <w:spacing w:val="-2"/>
                    </w:rPr>
                    <w:t xml:space="preserve">- de ma (mes) lettre(s) du (des) </w:t>
                  </w:r>
                </w:p>
                <w:p>
                  <w:pPr>
                    <w:jc w:val="both"/>
                    <w:rPr>
                      <w:rFonts w:cs="Arial"/>
                      <w:spacing w:val="-2"/>
                    </w:rPr>
                  </w:pPr>
                </w:p>
                <w:p>
                  <w:pPr>
                    <w:jc w:val="both"/>
                    <w:rPr>
                      <w:rFonts w:cs="Arial"/>
                      <w:spacing w:val="-2"/>
                    </w:rPr>
                  </w:pPr>
                  <w:r>
                    <w:rPr>
                      <w:rFonts w:cs="Arial"/>
                      <w:spacing w:val="-2"/>
                    </w:rPr>
                    <w:t xml:space="preserve">- de ma (mes) note(s) au journal de classe du (des) </w:t>
                  </w:r>
                </w:p>
                <w:p>
                  <w:pPr>
                    <w:jc w:val="both"/>
                    <w:rPr>
                      <w:rFonts w:cs="Arial"/>
                      <w:spacing w:val="-2"/>
                    </w:rPr>
                  </w:pPr>
                </w:p>
                <w:p>
                  <w:pPr>
                    <w:jc w:val="both"/>
                    <w:rPr>
                      <w:rFonts w:cs="Arial"/>
                      <w:spacing w:val="-2"/>
                    </w:rPr>
                  </w:pPr>
                  <w:r>
                    <w:rPr>
                      <w:rFonts w:cs="Arial"/>
                      <w:spacing w:val="-2"/>
                    </w:rPr>
                    <w:t xml:space="preserve">- de l’audition de l’élève mineur en présence du responsable légal du </w:t>
                  </w:r>
                </w:p>
                <w:p>
                  <w:pPr>
                    <w:jc w:val="both"/>
                    <w:rPr>
                      <w:rFonts w:cs="Arial"/>
                      <w:spacing w:val="-2"/>
                    </w:rPr>
                  </w:pPr>
                </w:p>
                <w:p>
                  <w:pPr>
                    <w:pStyle w:val="Corpsdetexte"/>
                  </w:pPr>
                  <w:r>
                    <w:t>Suite à votre audition, la procédure ainsi entamée pourrait conduire à une décision d’exclusion définitive conformément aux prescrits de l’article 81 du décret « missions » du 24 juillet 1997.</w:t>
                  </w:r>
                </w:p>
                <w:p>
                  <w:pPr>
                    <w:jc w:val="both"/>
                    <w:rPr>
                      <w:rFonts w:cs="Arial"/>
                      <w:spacing w:val="-2"/>
                    </w:rPr>
                  </w:pPr>
                </w:p>
                <w:p>
                  <w:pPr>
                    <w:jc w:val="both"/>
                    <w:rPr>
                      <w:rFonts w:cs="Arial"/>
                      <w:spacing w:val="-2"/>
                    </w:rPr>
                  </w:pPr>
                  <w:r>
                    <w:rPr>
                      <w:rFonts w:cs="Arial"/>
                      <w:spacing w:val="-2"/>
                    </w:rPr>
                    <w:t>En cas d'impossibilité de vous libérer ce jour-là, je vous invite à prendre contact avec moi pour fixer un autre rendez-vous.</w:t>
                  </w:r>
                </w:p>
                <w:p>
                  <w:pPr>
                    <w:jc w:val="both"/>
                    <w:rPr>
                      <w:rFonts w:cs="Arial"/>
                      <w:spacing w:val="-2"/>
                    </w:rPr>
                  </w:pPr>
                </w:p>
                <w:p>
                  <w:pPr>
                    <w:jc w:val="both"/>
                    <w:rPr>
                      <w:rFonts w:cs="Arial"/>
                      <w:spacing w:val="-2"/>
                    </w:rPr>
                  </w:pPr>
                  <w:r>
                    <w:rPr>
                      <w:rFonts w:cs="Arial"/>
                      <w:spacing w:val="-2"/>
                    </w:rPr>
                    <w:t>J'insiste sur l'urgence.</w:t>
                  </w:r>
                </w:p>
                <w:p>
                  <w:pPr>
                    <w:jc w:val="both"/>
                    <w:rPr>
                      <w:rFonts w:cs="Arial"/>
                      <w:spacing w:val="-2"/>
                    </w:rPr>
                  </w:pPr>
                </w:p>
                <w:p>
                  <w:pPr>
                    <w:jc w:val="both"/>
                    <w:rPr>
                      <w:rFonts w:cs="Arial"/>
                      <w:spacing w:val="-2"/>
                    </w:rPr>
                  </w:pPr>
                  <w:r>
                    <w:rPr>
                      <w:rFonts w:cs="Arial"/>
                      <w:spacing w:val="-2"/>
                    </w:rPr>
                    <w:t>Il vous sera loisible de consulter sur place le dossier disciplinaire établi à charge de votre fils/fille. Vous pouvez vous faire assister, si vous le souhaitez, d'un défenseur.</w:t>
                  </w:r>
                </w:p>
                <w:p>
                  <w:pPr>
                    <w:jc w:val="both"/>
                    <w:rPr>
                      <w:rFonts w:cs="Arial"/>
                      <w:spacing w:val="-2"/>
                    </w:rPr>
                  </w:pPr>
                  <w:r>
                    <w:rPr>
                      <w:rFonts w:cs="Arial"/>
                      <w:spacing w:val="-2"/>
                    </w:rPr>
                    <w:t>J’attire votre attention sur le fait que si vous n’estimiez pas devoir donner suite à la présente convocation, la procédure disciplinaire serait poursuivie d’office.</w:t>
                  </w:r>
                </w:p>
                <w:p>
                  <w:pPr>
                    <w:jc w:val="both"/>
                    <w:rPr>
                      <w:rFonts w:cs="Arial"/>
                      <w:spacing w:val="-2"/>
                    </w:rPr>
                  </w:pPr>
                </w:p>
                <w:p>
                  <w:pPr>
                    <w:jc w:val="both"/>
                    <w:rPr>
                      <w:rFonts w:cs="Arial"/>
                      <w:i/>
                      <w:spacing w:val="-2"/>
                    </w:rPr>
                  </w:pPr>
                  <w:r>
                    <w:rPr>
                      <w:rFonts w:cs="Arial"/>
                      <w:b/>
                      <w:i/>
                      <w:caps/>
                      <w:spacing w:val="-2"/>
                    </w:rPr>
                    <w:t>éventuellement s’il y a danger</w:t>
                  </w:r>
                  <w:r>
                    <w:rPr>
                      <w:rFonts w:cs="Arial"/>
                      <w:b/>
                      <w:i/>
                      <w:spacing w:val="-2"/>
                    </w:rPr>
                    <w:t> </w:t>
                  </w:r>
                  <w:r>
                    <w:rPr>
                      <w:rFonts w:cs="Arial"/>
                      <w:i/>
                      <w:spacing w:val="-2"/>
                    </w:rPr>
                    <w:t>:</w:t>
                  </w:r>
                </w:p>
                <w:p>
                  <w:pPr>
                    <w:jc w:val="both"/>
                    <w:rPr>
                      <w:rFonts w:cs="Arial"/>
                      <w:i/>
                      <w:spacing w:val="-2"/>
                    </w:rPr>
                  </w:pPr>
                </w:p>
                <w:p>
                  <w:pPr>
                    <w:jc w:val="both"/>
                    <w:rPr>
                      <w:rFonts w:cs="Arial"/>
                      <w:spacing w:val="-2"/>
                    </w:rPr>
                  </w:pPr>
                  <w:r>
                    <w:rPr>
                      <w:rFonts w:cs="Arial"/>
                      <w:spacing w:val="-2"/>
                    </w:rPr>
                    <w:t xml:space="preserve">Jusqu'à la décision que je prendrai suite à votre audition et à la procédure qui s'en suivra, eu égard à la gravité du (des) fait(s) susceptible(s) d'entraîner une exclusion définitive, je vous signale que votre fils/fille est écarté(e) provisoirement de l'établissement à partir du </w:t>
                  </w:r>
                  <w:r>
                    <w:rPr>
                      <w:rFonts w:cs="Arial"/>
                      <w:spacing w:val="-2"/>
                    </w:rPr>
                    <w:tab/>
                  </w:r>
                  <w:r>
                    <w:rPr>
                      <w:rFonts w:cs="Arial"/>
                      <w:spacing w:val="-2"/>
                    </w:rPr>
                    <w:tab/>
                  </w:r>
                  <w:r>
                    <w:rPr>
                      <w:rFonts w:cs="Arial"/>
                      <w:spacing w:val="-2"/>
                    </w:rPr>
                    <w:tab/>
                  </w:r>
                  <w:r>
                    <w:rPr>
                      <w:rFonts w:cs="Arial"/>
                      <w:spacing w:val="-2"/>
                    </w:rPr>
                    <w:tab/>
                  </w:r>
                  <w:r>
                    <w:rPr>
                      <w:rFonts w:cs="Arial"/>
                      <w:spacing w:val="-2"/>
                    </w:rPr>
                    <w:tab/>
                    <w:t>et ce conformément au prescrit l’article 81 § 2 du décret « missions ».</w:t>
                  </w:r>
                </w:p>
                <w:p>
                  <w:pPr>
                    <w:jc w:val="both"/>
                    <w:rPr>
                      <w:rFonts w:cs="Arial"/>
                      <w:spacing w:val="-2"/>
                    </w:rPr>
                  </w:pPr>
                </w:p>
                <w:p>
                  <w:pPr>
                    <w:jc w:val="both"/>
                    <w:rPr>
                      <w:rFonts w:cs="Arial"/>
                      <w:spacing w:val="-2"/>
                    </w:rPr>
                  </w:pPr>
                  <w:r>
                    <w:rPr>
                      <w:rFonts w:cs="Arial"/>
                      <w:spacing w:val="-2"/>
                    </w:rPr>
                    <w:t>Eu égard à son importance, la présente vous est à la fois adressée par pli ordinaire et par pli recommandé.</w:t>
                  </w:r>
                </w:p>
                <w:p>
                  <w:pPr>
                    <w:jc w:val="both"/>
                    <w:rPr>
                      <w:rFonts w:cs="Arial"/>
                      <w:spacing w:val="-2"/>
                    </w:rPr>
                  </w:pPr>
                </w:p>
                <w:p>
                  <w:pPr>
                    <w:jc w:val="both"/>
                    <w:rPr>
                      <w:rFonts w:cs="Arial"/>
                      <w:spacing w:val="-2"/>
                    </w:rPr>
                  </w:pPr>
                  <w:r>
                    <w:rPr>
                      <w:rFonts w:cs="Arial"/>
                      <w:spacing w:val="-2"/>
                    </w:rPr>
                    <w:t>Veuillez agréer, Madame, Monsieur, l'assurance de ma considération distinguée.</w:t>
                  </w:r>
                </w:p>
                <w:p>
                  <w:pPr>
                    <w:rPr>
                      <w:rFonts w:cs="Arial"/>
                      <w:spacing w:val="-2"/>
                    </w:rPr>
                  </w:pPr>
                  <w:r>
                    <w:rPr>
                      <w:rFonts w:cs="Arial"/>
                      <w:spacing w:val="-2"/>
                    </w:rPr>
                    <w:br w:type="page"/>
                  </w:r>
                </w:p>
                <w:p>
                  <w:pPr>
                    <w:pStyle w:val="Titre4"/>
                  </w:pPr>
                  <w:bookmarkStart w:id="1200" w:name="_Annexe_10_:_2"/>
                  <w:bookmarkStart w:id="1201" w:name="annexe16"/>
                  <w:bookmarkStart w:id="1202" w:name="_Toc412204108"/>
                  <w:bookmarkStart w:id="1203" w:name="_Toc414352916"/>
                  <w:bookmarkStart w:id="1204" w:name="_Toc453836940"/>
                  <w:bookmarkEnd w:id="1200"/>
                  <w:r>
                    <w:t>Annexe 10 </w:t>
                  </w:r>
                  <w:bookmarkEnd w:id="1201"/>
                  <w:r>
                    <w:t xml:space="preserve">: Modèle de lettre de notification de la décision d’exclusion  (Parents) - Enseignement organisé par la </w:t>
                  </w:r>
                  <w:bookmarkEnd w:id="1202"/>
                  <w:bookmarkEnd w:id="1203"/>
                  <w:r>
                    <w:t>FWB</w:t>
                  </w:r>
                  <w:bookmarkEnd w:id="1204"/>
                </w:p>
                <w:p>
                  <w:pPr>
                    <w:rPr>
                      <w:rFonts w:cs="Arial"/>
                      <w:b/>
                      <w:u w:val="single"/>
                    </w:rPr>
                  </w:pPr>
                </w:p>
                <w:p>
                  <w:pPr>
                    <w:pBdr>
                      <w:top w:val="single" w:sz="4" w:space="1" w:color="auto"/>
                      <w:left w:val="single" w:sz="4" w:space="4" w:color="auto"/>
                      <w:bottom w:val="single" w:sz="4" w:space="1" w:color="auto"/>
                      <w:right w:val="single" w:sz="4" w:space="4" w:color="auto"/>
                    </w:pBdr>
                    <w:jc w:val="center"/>
                  </w:pPr>
                  <w:r>
                    <w:t>A adapter pour l’élève majeur / RECOMMANDE AVEC ACCUSE de réception</w:t>
                  </w:r>
                </w:p>
                <w:p>
                  <w:pPr>
                    <w:rPr>
                      <w:rFonts w:cs="Arial"/>
                      <w:b/>
                      <w:u w:val="single"/>
                    </w:rPr>
                  </w:pPr>
                </w:p>
                <w:p>
                  <w:pPr>
                    <w:rPr>
                      <w:rFonts w:cs="Arial"/>
                      <w:b/>
                      <w:u w:val="single"/>
                    </w:rPr>
                  </w:pPr>
                </w:p>
                <w:p>
                  <w:pPr>
                    <w:rPr>
                      <w:rFonts w:cs="Arial"/>
                      <w:spacing w:val="-2"/>
                    </w:rPr>
                  </w:pPr>
                  <w:r>
                    <w:rPr>
                      <w:rFonts w:cs="Arial"/>
                      <w:spacing w:val="-2"/>
                    </w:rPr>
                    <w:t>Madame,</w:t>
                  </w:r>
                </w:p>
                <w:p>
                  <w:pPr>
                    <w:rPr>
                      <w:rFonts w:cs="Arial"/>
                      <w:spacing w:val="-2"/>
                    </w:rPr>
                  </w:pPr>
                  <w:r>
                    <w:rPr>
                      <w:rFonts w:cs="Arial"/>
                      <w:spacing w:val="-2"/>
                    </w:rPr>
                    <w:t>Monsieur,</w:t>
                  </w:r>
                </w:p>
                <w:p>
                  <w:pPr>
                    <w:rPr>
                      <w:rFonts w:cs="Arial"/>
                      <w:spacing w:val="-2"/>
                    </w:rPr>
                  </w:pPr>
                </w:p>
                <w:p>
                  <w:pPr>
                    <w:rPr>
                      <w:rFonts w:cs="Arial"/>
                      <w:spacing w:val="-2"/>
                    </w:rPr>
                  </w:pPr>
                </w:p>
                <w:p>
                  <w:pPr>
                    <w:rPr>
                      <w:rFonts w:cs="Arial"/>
                      <w:b/>
                      <w:spacing w:val="-2"/>
                      <w:u w:val="single"/>
                    </w:rPr>
                  </w:pPr>
                  <w:r>
                    <w:rPr>
                      <w:rFonts w:cs="Arial"/>
                      <w:b/>
                      <w:spacing w:val="-2"/>
                      <w:u w:val="single"/>
                    </w:rPr>
                    <w:t>Objet</w:t>
                  </w:r>
                  <w:r>
                    <w:rPr>
                      <w:rFonts w:cs="Arial"/>
                      <w:b/>
                      <w:spacing w:val="-2"/>
                    </w:rPr>
                    <w:t xml:space="preserve"> : </w:t>
                  </w:r>
                  <w:r>
                    <w:rPr>
                      <w:rFonts w:cs="Arial"/>
                      <w:b/>
                      <w:spacing w:val="-2"/>
                      <w:u w:val="single"/>
                    </w:rPr>
                    <w:t>Sanction disciplinaire - exclusion définitive</w:t>
                  </w:r>
                </w:p>
                <w:p>
                  <w:pPr>
                    <w:rPr>
                      <w:rFonts w:cs="Arial"/>
                      <w:spacing w:val="-2"/>
                    </w:rPr>
                  </w:pPr>
                </w:p>
                <w:p>
                  <w:pPr>
                    <w:rPr>
                      <w:rFonts w:cs="Arial"/>
                      <w:spacing w:val="-2"/>
                    </w:rPr>
                  </w:pPr>
                </w:p>
                <w:p>
                  <w:pPr>
                    <w:rPr>
                      <w:rFonts w:cs="Arial"/>
                      <w:spacing w:val="-2"/>
                    </w:rPr>
                  </w:pPr>
                  <w:r>
                    <w:rPr>
                      <w:rFonts w:cs="Arial"/>
                      <w:spacing w:val="-2"/>
                    </w:rPr>
                    <w:t xml:space="preserve">Vu la convocation notifiée le </w:t>
                  </w:r>
                </w:p>
                <w:p>
                  <w:pPr>
                    <w:rPr>
                      <w:rFonts w:cs="Arial"/>
                      <w:spacing w:val="-2"/>
                    </w:rPr>
                  </w:pPr>
                </w:p>
                <w:p>
                  <w:pPr>
                    <w:rPr>
                      <w:rFonts w:cs="Arial"/>
                      <w:spacing w:val="-2"/>
                    </w:rPr>
                  </w:pPr>
                  <w:r>
                    <w:rPr>
                      <w:rFonts w:cs="Arial"/>
                      <w:spacing w:val="-2"/>
                    </w:rPr>
                    <w:t>Après vous avoir entendu(e)(s) avec à votre fils (fille)</w:t>
                  </w:r>
                </w:p>
                <w:p>
                  <w:pPr>
                    <w:rPr>
                      <w:rFonts w:cs="Arial"/>
                      <w:spacing w:val="-2"/>
                    </w:rPr>
                  </w:pPr>
                  <w:r>
                    <w:rPr>
                      <w:rFonts w:cs="Arial"/>
                      <w:spacing w:val="-2"/>
                    </w:rPr>
                    <w:t xml:space="preserve">le </w:t>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t xml:space="preserve"> (Assisté(e)(s) de votre conseil) à propos des faits reprochés ;</w:t>
                  </w:r>
                </w:p>
                <w:p>
                  <w:pPr>
                    <w:rPr>
                      <w:rFonts w:cs="Arial"/>
                      <w:spacing w:val="-2"/>
                    </w:rPr>
                  </w:pPr>
                </w:p>
                <w:p>
                  <w:pPr>
                    <w:rPr>
                      <w:rFonts w:cs="Arial"/>
                      <w:spacing w:val="-2"/>
                    </w:rPr>
                  </w:pPr>
                  <w:r>
                    <w:rPr>
                      <w:rFonts w:cs="Arial"/>
                      <w:spacing w:val="-2"/>
                    </w:rPr>
                    <w:t>Vu l'absence de réaction quant à cette convocation;</w:t>
                  </w:r>
                </w:p>
                <w:p>
                  <w:pPr>
                    <w:rPr>
                      <w:rFonts w:cs="Arial"/>
                      <w:spacing w:val="-2"/>
                    </w:rPr>
                  </w:pPr>
                </w:p>
                <w:p>
                  <w:pPr>
                    <w:rPr>
                      <w:rFonts w:cs="Arial"/>
                      <w:spacing w:val="-2"/>
                    </w:rPr>
                  </w:pPr>
                  <w:r>
                    <w:rPr>
                      <w:rFonts w:cs="Arial"/>
                      <w:spacing w:val="-2"/>
                    </w:rPr>
                    <w:t>Vu le dossier disciplinaire mis à votre disposition;</w:t>
                  </w:r>
                </w:p>
                <w:p>
                  <w:pPr>
                    <w:rPr>
                      <w:rFonts w:cs="Arial"/>
                      <w:spacing w:val="-2"/>
                    </w:rPr>
                  </w:pPr>
                </w:p>
                <w:p>
                  <w:pPr>
                    <w:rPr>
                      <w:rFonts w:cs="Arial"/>
                      <w:spacing w:val="-2"/>
                    </w:rPr>
                  </w:pPr>
                  <w:r>
                    <w:rPr>
                      <w:rFonts w:cs="Arial"/>
                      <w:spacing w:val="-2"/>
                    </w:rPr>
                    <w:t>Vu l’avis émis le</w:t>
                  </w:r>
                  <w:r>
                    <w:rPr>
                      <w:rFonts w:cs="Arial"/>
                      <w:spacing w:val="-2"/>
                    </w:rPr>
                    <w:tab/>
                  </w:r>
                  <w:r>
                    <w:rPr>
                      <w:rFonts w:cs="Arial"/>
                      <w:spacing w:val="-2"/>
                    </w:rPr>
                    <w:tab/>
                  </w:r>
                  <w:r>
                    <w:rPr>
                      <w:rFonts w:cs="Arial"/>
                      <w:spacing w:val="-2"/>
                    </w:rPr>
                    <w:tab/>
                  </w:r>
                  <w:r>
                    <w:rPr>
                      <w:rFonts w:cs="Arial"/>
                      <w:spacing w:val="-2"/>
                    </w:rPr>
                    <w:tab/>
                  </w:r>
                  <w:r>
                    <w:rPr>
                      <w:rFonts w:cs="Arial"/>
                      <w:spacing w:val="-2"/>
                    </w:rPr>
                    <w:tab/>
                    <w:t>par le conseil de classe;</w:t>
                  </w:r>
                </w:p>
                <w:p>
                  <w:pPr>
                    <w:rPr>
                      <w:rFonts w:cs="Arial"/>
                      <w:spacing w:val="-2"/>
                    </w:rPr>
                  </w:pPr>
                </w:p>
                <w:p>
                  <w:pPr>
                    <w:rPr>
                      <w:rFonts w:cs="Arial"/>
                      <w:spacing w:val="-2"/>
                    </w:rPr>
                  </w:pPr>
                  <w:r>
                    <w:rPr>
                      <w:rFonts w:cs="Arial"/>
                      <w:spacing w:val="-2"/>
                    </w:rPr>
                    <w:t>Constatant que le(s) fait(s) suivant(s) peut (peuvent) être retenu(s) à charge de votre fils (fille) :</w:t>
                  </w:r>
                </w:p>
                <w:p>
                  <w:pPr>
                    <w:rPr>
                      <w:rFonts w:cs="Arial"/>
                      <w:spacing w:val="-2"/>
                    </w:rPr>
                  </w:pPr>
                </w:p>
                <w:p>
                  <w:pPr>
                    <w:rPr>
                      <w:rFonts w:cs="Arial"/>
                      <w:spacing w:val="-2"/>
                    </w:rPr>
                  </w:pPr>
                  <w:r>
                    <w:rPr>
                      <w:rFonts w:cs="Arial"/>
                      <w:spacing w:val="-2"/>
                    </w:rPr>
                    <w:t>-…………………………………………………………………………………………………………………………..</w:t>
                  </w:r>
                </w:p>
                <w:p>
                  <w:pPr>
                    <w:pStyle w:val="En-tte"/>
                    <w:tabs>
                      <w:tab w:val="clear" w:pos="4536"/>
                      <w:tab w:val="clear" w:pos="9072"/>
                    </w:tabs>
                    <w:rPr>
                      <w:rFonts w:asciiTheme="majorHAnsi" w:hAnsiTheme="majorHAnsi"/>
                      <w:spacing w:val="-2"/>
                      <w:szCs w:val="22"/>
                    </w:rPr>
                  </w:pPr>
                  <w:r>
                    <w:rPr>
                      <w:rFonts w:asciiTheme="majorHAnsi" w:hAnsiTheme="majorHAnsi"/>
                      <w:spacing w:val="-2"/>
                      <w:szCs w:val="22"/>
                    </w:rPr>
                    <w:t>-…………………..………………………………………………………………………………………………………</w:t>
                  </w:r>
                </w:p>
                <w:p>
                  <w:pPr>
                    <w:rPr>
                      <w:rFonts w:cs="Arial"/>
                      <w:spacing w:val="-2"/>
                    </w:rPr>
                  </w:pPr>
                  <w:r>
                    <w:rPr>
                      <w:rFonts w:cs="Arial"/>
                      <w:spacing w:val="-2"/>
                    </w:rPr>
                    <w:t>-…………………………………………………………………………………………………………………………..</w:t>
                  </w:r>
                </w:p>
                <w:p>
                  <w:pPr>
                    <w:rPr>
                      <w:rFonts w:cs="Arial"/>
                      <w:spacing w:val="-2"/>
                    </w:rPr>
                  </w:pPr>
                  <w:r>
                    <w:rPr>
                      <w:rFonts w:cs="Arial"/>
                      <w:spacing w:val="-2"/>
                    </w:rPr>
                    <w:t>-…………………………………………………………………………………………………………………………..</w:t>
                  </w:r>
                </w:p>
                <w:p>
                  <w:pPr>
                    <w:rPr>
                      <w:rFonts w:cs="Arial"/>
                      <w:spacing w:val="-2"/>
                    </w:rPr>
                  </w:pPr>
                </w:p>
                <w:p>
                  <w:pPr>
                    <w:jc w:val="both"/>
                    <w:rPr>
                      <w:rFonts w:cs="Arial"/>
                      <w:spacing w:val="-2"/>
                    </w:rPr>
                  </w:pPr>
                  <w:r>
                    <w:rPr>
                      <w:rFonts w:cs="Arial"/>
                      <w:spacing w:val="-2"/>
                    </w:rPr>
                    <w:t>Considérant dès lors que seule une sanction d'exclusion peut être prononcée, j'ai décidé de l'exclure définitivement de mon établissement à dater du</w:t>
                  </w:r>
                  <w:r>
                    <w:rPr>
                      <w:rFonts w:cs="Arial"/>
                      <w:spacing w:val="-2"/>
                    </w:rPr>
                    <w:tab/>
                  </w:r>
                  <w:r>
                    <w:rPr>
                      <w:rFonts w:cs="Arial"/>
                      <w:spacing w:val="-2"/>
                    </w:rPr>
                    <w:tab/>
                  </w:r>
                  <w:r>
                    <w:rPr>
                      <w:rFonts w:cs="Arial"/>
                      <w:spacing w:val="-2"/>
                    </w:rPr>
                    <w:tab/>
                  </w:r>
                  <w:r>
                    <w:rPr>
                      <w:rFonts w:cs="Arial"/>
                      <w:spacing w:val="-2"/>
                    </w:rPr>
                    <w:tab/>
                  </w:r>
                  <w:r>
                    <w:rPr>
                      <w:rFonts w:cs="Arial"/>
                      <w:spacing w:val="-2"/>
                    </w:rPr>
                    <w:tab/>
                    <w:t>et ce en application de l’article 81 du Décret du 24 juillet 1997 définissant les missions prioritaires de l’enseignement fondamental et de l’enseignement secondaire et organisant les structures propres à les atteindre et en application du règlement d’ordre intérieur de l’établissement scolaire.</w:t>
                  </w:r>
                </w:p>
                <w:p>
                  <w:pPr>
                    <w:jc w:val="both"/>
                    <w:rPr>
                      <w:rFonts w:cs="Arial"/>
                      <w:spacing w:val="-2"/>
                    </w:rPr>
                  </w:pPr>
                </w:p>
                <w:p>
                  <w:pPr>
                    <w:jc w:val="both"/>
                    <w:rPr>
                      <w:rFonts w:cs="Arial"/>
                      <w:spacing w:val="-2"/>
                    </w:rPr>
                  </w:pPr>
                  <w:r>
                    <w:rPr>
                      <w:rFonts w:cs="Arial"/>
                      <w:spacing w:val="-2"/>
                    </w:rPr>
                    <w:t>Je vous rappelle qu'il vous est loisible d'introduire un recours administratif auprès du Ministre de l'Education via le Service général de l’Enseignement organisé par la Fédération Wallonie-Bruxelles, Boulevard du Jardin Botanique, 20-22 à 1000 BRUXELLES. Il doit être introduit par lettre recommandée dans les 10 jours ouvrables  qui suivent la notification de l’exclusion définitive. Ce recours n'est toutefois pas suspensif de l'application de la sanction.</w:t>
                  </w:r>
                </w:p>
                <w:p>
                  <w:pPr>
                    <w:jc w:val="both"/>
                    <w:rPr>
                      <w:rFonts w:cs="Arial"/>
                      <w:spacing w:val="-2"/>
                    </w:rPr>
                  </w:pPr>
                </w:p>
                <w:p>
                  <w:pPr>
                    <w:jc w:val="both"/>
                    <w:rPr>
                      <w:rFonts w:cs="Arial"/>
                      <w:spacing w:val="-2"/>
                    </w:rPr>
                  </w:pPr>
                </w:p>
                <w:p>
                  <w:pPr>
                    <w:jc w:val="both"/>
                    <w:rPr>
                      <w:rFonts w:cs="Arial"/>
                      <w:spacing w:val="-2"/>
                    </w:rPr>
                  </w:pPr>
                </w:p>
                <w:p>
                  <w:pPr>
                    <w:jc w:val="both"/>
                    <w:rPr>
                      <w:rFonts w:cs="Arial"/>
                      <w:spacing w:val="-2"/>
                    </w:rPr>
                  </w:pPr>
                  <w:r>
                    <w:rPr>
                      <w:rFonts w:cs="Arial"/>
                      <w:spacing w:val="-2"/>
                    </w:rPr>
                    <w:t>Veuillez agréer, Madame, Monsieur, l'expression de ma considération distinguée.</w:t>
                  </w:r>
                </w:p>
                <w:p>
                  <w:pPr>
                    <w:rPr>
                      <w:rFonts w:cs="Arial"/>
                      <w:spacing w:val="-2"/>
                    </w:rPr>
                  </w:pPr>
                </w:p>
                <w:p>
                  <w:pPr>
                    <w:rPr>
                      <w:rFonts w:cs="Arial"/>
                      <w:spacing w:val="-2"/>
                    </w:rPr>
                  </w:pPr>
                  <w:r>
                    <w:rPr>
                      <w:rFonts w:cs="Arial"/>
                      <w:spacing w:val="-2"/>
                    </w:rPr>
                    <w:br w:type="page"/>
                  </w:r>
                </w:p>
                <w:p>
                  <w:pPr>
                    <w:pStyle w:val="Titre4"/>
                  </w:pPr>
                  <w:bookmarkStart w:id="1205" w:name="_Annexe_11_:_1"/>
                  <w:bookmarkStart w:id="1206" w:name="annexe17"/>
                  <w:bookmarkStart w:id="1207" w:name="_Toc412204109"/>
                  <w:bookmarkStart w:id="1208" w:name="_Toc414352917"/>
                  <w:bookmarkStart w:id="1209" w:name="_Toc453836941"/>
                  <w:bookmarkEnd w:id="1205"/>
                  <w:r>
                    <w:t>Annexe 11 </w:t>
                  </w:r>
                  <w:bookmarkEnd w:id="1206"/>
                  <w:r>
                    <w:t xml:space="preserve">: Modèle de lettre de notification de la décision de refus de réinscription. (Parents) - Enseignement organisé par la </w:t>
                  </w:r>
                  <w:bookmarkEnd w:id="1207"/>
                  <w:bookmarkEnd w:id="1208"/>
                  <w:r>
                    <w:t>FWB</w:t>
                  </w:r>
                  <w:bookmarkEnd w:id="1209"/>
                </w:p>
                <w:p>
                  <w:pPr>
                    <w:rPr>
                      <w:rFonts w:cs="Arial"/>
                    </w:rPr>
                  </w:pPr>
                </w:p>
                <w:p>
                  <w:pPr>
                    <w:pBdr>
                      <w:top w:val="single" w:sz="4" w:space="1" w:color="auto"/>
                      <w:left w:val="single" w:sz="4" w:space="4" w:color="auto"/>
                      <w:bottom w:val="single" w:sz="4" w:space="1" w:color="auto"/>
                      <w:right w:val="single" w:sz="4" w:space="4" w:color="auto"/>
                    </w:pBdr>
                    <w:jc w:val="center"/>
                  </w:pPr>
                  <w:r>
                    <w:t>A adapter pour l’élève majeur / RECOMMANDE AVEC ACCUSE de réception</w:t>
                  </w:r>
                </w:p>
                <w:p>
                  <w:pPr>
                    <w:rPr>
                      <w:rFonts w:cs="Arial"/>
                      <w:b/>
                      <w:u w:val="single"/>
                    </w:rPr>
                  </w:pPr>
                </w:p>
                <w:p>
                  <w:pPr>
                    <w:rPr>
                      <w:rFonts w:cs="Arial"/>
                      <w:b/>
                      <w:u w:val="single"/>
                    </w:rPr>
                  </w:pPr>
                </w:p>
                <w:p>
                  <w:pPr>
                    <w:rPr>
                      <w:rFonts w:cs="Arial"/>
                      <w:spacing w:val="-2"/>
                    </w:rPr>
                  </w:pPr>
                  <w:r>
                    <w:rPr>
                      <w:rFonts w:cs="Arial"/>
                      <w:spacing w:val="-2"/>
                    </w:rPr>
                    <w:t>Madame,</w:t>
                  </w:r>
                </w:p>
                <w:p>
                  <w:pPr>
                    <w:rPr>
                      <w:rFonts w:cs="Arial"/>
                      <w:spacing w:val="-2"/>
                    </w:rPr>
                  </w:pPr>
                  <w:r>
                    <w:rPr>
                      <w:rFonts w:cs="Arial"/>
                      <w:spacing w:val="-2"/>
                    </w:rPr>
                    <w:t>Monsieur,</w:t>
                  </w:r>
                </w:p>
                <w:p>
                  <w:pPr>
                    <w:rPr>
                      <w:rFonts w:cs="Arial"/>
                      <w:spacing w:val="-2"/>
                    </w:rPr>
                  </w:pPr>
                </w:p>
                <w:p>
                  <w:pPr>
                    <w:rPr>
                      <w:rFonts w:cs="Arial"/>
                      <w:spacing w:val="-2"/>
                    </w:rPr>
                  </w:pPr>
                </w:p>
                <w:p>
                  <w:pPr>
                    <w:rPr>
                      <w:rFonts w:cs="Arial"/>
                      <w:b/>
                      <w:spacing w:val="-2"/>
                      <w:u w:val="single"/>
                    </w:rPr>
                  </w:pPr>
                  <w:r>
                    <w:rPr>
                      <w:rFonts w:cs="Arial"/>
                      <w:b/>
                      <w:spacing w:val="-2"/>
                      <w:u w:val="single"/>
                    </w:rPr>
                    <w:t>Objet</w:t>
                  </w:r>
                  <w:r>
                    <w:rPr>
                      <w:rFonts w:cs="Arial"/>
                      <w:b/>
                      <w:spacing w:val="-2"/>
                    </w:rPr>
                    <w:t xml:space="preserve"> : </w:t>
                  </w:r>
                  <w:r>
                    <w:rPr>
                      <w:rFonts w:cs="Arial"/>
                      <w:b/>
                      <w:spacing w:val="-2"/>
                      <w:u w:val="single"/>
                    </w:rPr>
                    <w:t>Sanction disciplinaire - refus de réinscription</w:t>
                  </w:r>
                </w:p>
                <w:p>
                  <w:pPr>
                    <w:rPr>
                      <w:rFonts w:cs="Arial"/>
                      <w:spacing w:val="-2"/>
                    </w:rPr>
                  </w:pPr>
                </w:p>
                <w:p>
                  <w:pPr>
                    <w:rPr>
                      <w:rFonts w:cs="Arial"/>
                      <w:spacing w:val="-2"/>
                    </w:rPr>
                  </w:pPr>
                  <w:r>
                    <w:rPr>
                      <w:rFonts w:cs="Arial"/>
                      <w:spacing w:val="-2"/>
                    </w:rPr>
                    <w:t xml:space="preserve">Vu la convocation notifiée le </w:t>
                  </w:r>
                </w:p>
                <w:p>
                  <w:pPr>
                    <w:rPr>
                      <w:rFonts w:cs="Arial"/>
                      <w:spacing w:val="-2"/>
                    </w:rPr>
                  </w:pPr>
                </w:p>
                <w:p>
                  <w:pPr>
                    <w:rPr>
                      <w:rFonts w:cs="Arial"/>
                      <w:spacing w:val="-2"/>
                    </w:rPr>
                  </w:pPr>
                  <w:r>
                    <w:rPr>
                      <w:rFonts w:cs="Arial"/>
                      <w:spacing w:val="-2"/>
                    </w:rPr>
                    <w:t xml:space="preserve">Après vous avoir entendu(e)(s) avec à votre fils (fille) </w:t>
                  </w:r>
                </w:p>
                <w:p>
                  <w:pPr>
                    <w:rPr>
                      <w:rFonts w:cs="Arial"/>
                      <w:spacing w:val="-2"/>
                    </w:rPr>
                  </w:pPr>
                  <w:r>
                    <w:rPr>
                      <w:rFonts w:cs="Arial"/>
                      <w:spacing w:val="-2"/>
                    </w:rPr>
                    <w:t xml:space="preserve">le </w:t>
                  </w:r>
                  <w:r>
                    <w:rPr>
                      <w:rFonts w:cs="Arial"/>
                      <w:spacing w:val="-2"/>
                    </w:rPr>
                    <w:tab/>
                  </w:r>
                  <w:r>
                    <w:rPr>
                      <w:rFonts w:cs="Arial"/>
                      <w:spacing w:val="-2"/>
                    </w:rPr>
                    <w:tab/>
                  </w:r>
                  <w:r>
                    <w:rPr>
                      <w:rFonts w:cs="Arial"/>
                      <w:spacing w:val="-2"/>
                    </w:rPr>
                    <w:tab/>
                  </w:r>
                  <w:r>
                    <w:rPr>
                      <w:rFonts w:cs="Arial"/>
                      <w:spacing w:val="-2"/>
                    </w:rPr>
                    <w:tab/>
                  </w:r>
                  <w:r>
                    <w:rPr>
                      <w:rFonts w:cs="Arial"/>
                      <w:spacing w:val="-2"/>
                    </w:rPr>
                    <w:tab/>
                    <w:t>(assisté(e)(s) de votre conseil) à propos des faits reprochés ;</w:t>
                  </w:r>
                </w:p>
                <w:p>
                  <w:pPr>
                    <w:rPr>
                      <w:rFonts w:cs="Arial"/>
                      <w:spacing w:val="-2"/>
                    </w:rPr>
                  </w:pPr>
                </w:p>
                <w:p>
                  <w:pPr>
                    <w:rPr>
                      <w:rFonts w:cs="Arial"/>
                      <w:spacing w:val="-2"/>
                    </w:rPr>
                  </w:pPr>
                  <w:r>
                    <w:rPr>
                      <w:rFonts w:cs="Arial"/>
                      <w:spacing w:val="-2"/>
                    </w:rPr>
                    <w:t>Vu l'absence de réaction quant à cette convocation;</w:t>
                  </w:r>
                </w:p>
                <w:p>
                  <w:pPr>
                    <w:rPr>
                      <w:rFonts w:cs="Arial"/>
                      <w:spacing w:val="-2"/>
                    </w:rPr>
                  </w:pPr>
                </w:p>
                <w:p>
                  <w:pPr>
                    <w:rPr>
                      <w:rFonts w:cs="Arial"/>
                      <w:spacing w:val="-2"/>
                    </w:rPr>
                  </w:pPr>
                  <w:r>
                    <w:rPr>
                      <w:rFonts w:cs="Arial"/>
                      <w:spacing w:val="-2"/>
                    </w:rPr>
                    <w:t>Vu le dossier disciplinaire mis à votre disposition;</w:t>
                  </w:r>
                </w:p>
                <w:p>
                  <w:pPr>
                    <w:rPr>
                      <w:rFonts w:cs="Arial"/>
                      <w:spacing w:val="-2"/>
                    </w:rPr>
                  </w:pPr>
                </w:p>
                <w:p>
                  <w:pPr>
                    <w:rPr>
                      <w:rFonts w:cs="Arial"/>
                      <w:spacing w:val="-2"/>
                    </w:rPr>
                  </w:pPr>
                  <w:r>
                    <w:rPr>
                      <w:rFonts w:cs="Arial"/>
                      <w:spacing w:val="-2"/>
                    </w:rPr>
                    <w:t xml:space="preserve">Vu l'avis émis le </w:t>
                  </w:r>
                  <w:r>
                    <w:rPr>
                      <w:rFonts w:cs="Arial"/>
                      <w:spacing w:val="-2"/>
                    </w:rPr>
                    <w:tab/>
                  </w:r>
                  <w:r>
                    <w:rPr>
                      <w:rFonts w:cs="Arial"/>
                      <w:spacing w:val="-2"/>
                    </w:rPr>
                    <w:tab/>
                  </w:r>
                  <w:r>
                    <w:rPr>
                      <w:rFonts w:cs="Arial"/>
                      <w:spacing w:val="-2"/>
                    </w:rPr>
                    <w:tab/>
                  </w:r>
                  <w:r>
                    <w:rPr>
                      <w:rFonts w:cs="Arial"/>
                      <w:spacing w:val="-2"/>
                    </w:rPr>
                    <w:tab/>
                  </w:r>
                  <w:r>
                    <w:rPr>
                      <w:rFonts w:cs="Arial"/>
                      <w:spacing w:val="-2"/>
                    </w:rPr>
                    <w:tab/>
                    <w:t>par le conseil de classe;</w:t>
                  </w:r>
                </w:p>
                <w:p>
                  <w:pPr>
                    <w:rPr>
                      <w:rFonts w:cs="Arial"/>
                      <w:spacing w:val="-2"/>
                    </w:rPr>
                  </w:pPr>
                </w:p>
                <w:p>
                  <w:pPr>
                    <w:rPr>
                      <w:rFonts w:cs="Arial"/>
                      <w:spacing w:val="-2"/>
                    </w:rPr>
                  </w:pPr>
                  <w:r>
                    <w:rPr>
                      <w:rFonts w:cs="Arial"/>
                      <w:spacing w:val="-2"/>
                    </w:rPr>
                    <w:t>Constatant que le(s) fait(s) suivant(s) peut (peuvent) être retenu(s) à charge de votre fils (fille) :</w:t>
                  </w:r>
                </w:p>
                <w:p>
                  <w:pPr>
                    <w:rPr>
                      <w:rFonts w:cs="Arial"/>
                      <w:spacing w:val="-2"/>
                    </w:rPr>
                  </w:pPr>
                </w:p>
                <w:p>
                  <w:pPr>
                    <w:rPr>
                      <w:rFonts w:cs="Arial"/>
                      <w:spacing w:val="-2"/>
                    </w:rPr>
                  </w:pPr>
                  <w:r>
                    <w:rPr>
                      <w:rFonts w:cs="Arial"/>
                      <w:spacing w:val="-2"/>
                    </w:rPr>
                    <w:t>-…………………………………………………………………………………………………………………………..</w:t>
                  </w:r>
                </w:p>
                <w:p>
                  <w:pPr>
                    <w:pStyle w:val="En-tte"/>
                    <w:tabs>
                      <w:tab w:val="clear" w:pos="4536"/>
                      <w:tab w:val="clear" w:pos="9072"/>
                    </w:tabs>
                    <w:rPr>
                      <w:rFonts w:asciiTheme="majorHAnsi" w:hAnsiTheme="majorHAnsi"/>
                      <w:spacing w:val="-2"/>
                      <w:szCs w:val="22"/>
                    </w:rPr>
                  </w:pPr>
                  <w:r>
                    <w:rPr>
                      <w:rFonts w:asciiTheme="majorHAnsi" w:hAnsiTheme="majorHAnsi"/>
                      <w:spacing w:val="-2"/>
                      <w:szCs w:val="22"/>
                    </w:rPr>
                    <w:t>-………………………………………..…………………………………………………………………………………</w:t>
                  </w:r>
                </w:p>
                <w:p>
                  <w:pPr>
                    <w:rPr>
                      <w:rFonts w:cs="Arial"/>
                      <w:spacing w:val="-2"/>
                    </w:rPr>
                  </w:pPr>
                  <w:r>
                    <w:rPr>
                      <w:rFonts w:cs="Arial"/>
                      <w:spacing w:val="-2"/>
                    </w:rPr>
                    <w:t>-…………………………………………………………………………………………………………………………..</w:t>
                  </w:r>
                </w:p>
                <w:p>
                  <w:pPr>
                    <w:rPr>
                      <w:rFonts w:cs="Arial"/>
                      <w:spacing w:val="-2"/>
                    </w:rPr>
                  </w:pPr>
                  <w:r>
                    <w:rPr>
                      <w:rFonts w:cs="Arial"/>
                      <w:spacing w:val="-2"/>
                    </w:rPr>
                    <w:t>-…………………………………………………………………………………………………………………………..</w:t>
                  </w:r>
                </w:p>
                <w:p>
                  <w:pPr>
                    <w:rPr>
                      <w:rFonts w:cs="Arial"/>
                      <w:spacing w:val="-2"/>
                    </w:rPr>
                  </w:pPr>
                </w:p>
                <w:p>
                  <w:pPr>
                    <w:jc w:val="both"/>
                    <w:rPr>
                      <w:rFonts w:cs="Arial"/>
                      <w:spacing w:val="-2"/>
                    </w:rPr>
                  </w:pPr>
                  <w:r>
                    <w:rPr>
                      <w:rFonts w:cs="Arial"/>
                      <w:spacing w:val="-2"/>
                    </w:rPr>
                    <w:t xml:space="preserve">J'ai décidé de refuser de le réinscrire à partir de l’année scolaire </w:t>
                  </w:r>
                  <w:r>
                    <w:rPr>
                      <w:rFonts w:cs="Arial"/>
                      <w:spacing w:val="-2"/>
                    </w:rPr>
                    <w:tab/>
                  </w:r>
                  <w:r>
                    <w:rPr>
                      <w:rFonts w:cs="Arial"/>
                      <w:spacing w:val="-2"/>
                    </w:rPr>
                    <w:tab/>
                    <w:t>-</w:t>
                  </w:r>
                  <w:r>
                    <w:rPr>
                      <w:rFonts w:cs="Arial"/>
                      <w:spacing w:val="-2"/>
                    </w:rPr>
                    <w:tab/>
                  </w:r>
                  <w:r>
                    <w:rPr>
                      <w:rFonts w:cs="Arial"/>
                      <w:spacing w:val="-2"/>
                    </w:rPr>
                    <w:tab/>
                    <w:t xml:space="preserve"> et ce en </w:t>
                  </w:r>
                  <w:r>
                    <w:rPr>
                      <w:rFonts w:cs="Arial"/>
                      <w:spacing w:val="-2"/>
                      <w:u w:val="single"/>
                    </w:rPr>
                    <w:t>application de l’article 83</w:t>
                  </w:r>
                  <w:r>
                    <w:rPr>
                      <w:rFonts w:cs="Arial"/>
                      <w:b/>
                      <w:spacing w:val="-2"/>
                      <w:u w:val="single"/>
                    </w:rPr>
                    <w:t xml:space="preserve"> </w:t>
                  </w:r>
                  <w:r>
                    <w:rPr>
                      <w:rFonts w:cs="Arial"/>
                      <w:spacing w:val="-2"/>
                      <w:u w:val="single"/>
                    </w:rPr>
                    <w:t>du Décret du 24/7/1997 définissant les missions prioritaires de l’enseignement fondamental et de l’enseignement secondaire et organisant les structures propres à les atteindre et en application du règlement d’ordre intérieur de l’établissement scolaire</w:t>
                  </w:r>
                  <w:r>
                    <w:rPr>
                      <w:rFonts w:cs="Arial"/>
                      <w:spacing w:val="-2"/>
                    </w:rPr>
                    <w:t>.</w:t>
                  </w:r>
                </w:p>
                <w:p>
                  <w:pPr>
                    <w:jc w:val="both"/>
                    <w:rPr>
                      <w:rFonts w:cs="Arial"/>
                      <w:spacing w:val="-2"/>
                    </w:rPr>
                  </w:pPr>
                </w:p>
                <w:p>
                  <w:pPr>
                    <w:jc w:val="both"/>
                    <w:rPr>
                      <w:rFonts w:cs="Arial"/>
                      <w:spacing w:val="-2"/>
                    </w:rPr>
                  </w:pPr>
                  <w:r>
                    <w:rPr>
                      <w:rFonts w:cs="Arial"/>
                      <w:spacing w:val="-2"/>
                    </w:rPr>
                    <w:t>Je vous rappelle qu'il vous est loisible d'introduire un recours administratif auprès du Ministre de l'Education via le Service général de l’Enseignement organisé par la Communauté française, Boulevard du Jardin Botanique, 20-22 à 1000 Bruxelles. Il doit être introduit par lettre recommandée dans les 10 jours ouvrables qui suivent la notification du refus de réinscription. Ce recours n'est toutefois pas suspensif de l'application de la sanction.</w:t>
                  </w:r>
                </w:p>
                <w:p>
                  <w:pPr>
                    <w:jc w:val="both"/>
                    <w:rPr>
                      <w:rFonts w:cs="Arial"/>
                      <w:spacing w:val="-2"/>
                    </w:rPr>
                  </w:pPr>
                </w:p>
                <w:p>
                  <w:pPr>
                    <w:jc w:val="both"/>
                    <w:rPr>
                      <w:rFonts w:cs="Arial"/>
                      <w:spacing w:val="-2"/>
                    </w:rPr>
                  </w:pPr>
                  <w:r>
                    <w:rPr>
                      <w:rFonts w:cs="Arial"/>
                      <w:spacing w:val="-2"/>
                    </w:rPr>
                    <w:t>Veuillez agréer, Madame, Monsieur, l'expression de ma considération distinguée.</w:t>
                  </w:r>
                </w:p>
                <w:p>
                  <w:bookmarkStart w:id="1210" w:name="_Verso_des_annexes_1"/>
                  <w:bookmarkStart w:id="1211" w:name="_Toc412204110"/>
                  <w:bookmarkStart w:id="1212" w:name="_Toc414352918"/>
                  <w:bookmarkStart w:id="1213" w:name="_Toc453836942"/>
                  <w:bookmarkEnd w:id="1210"/>
                </w:p>
                <w:p>
                  <w:pPr>
                    <w:rPr>
                      <w:b/>
                      <w:u w:val="single"/>
                    </w:rPr>
                  </w:pPr>
                  <w:r>
                    <w:br w:type="page"/>
                  </w:r>
                </w:p>
                <w:p>
                  <w:pPr>
                    <w:pStyle w:val="Titre4"/>
                  </w:pPr>
                  <w:bookmarkStart w:id="1214" w:name="_Annexes_16_et"/>
                  <w:bookmarkStart w:id="1215" w:name="_Annexes_11_et"/>
                  <w:bookmarkEnd w:id="1214"/>
                  <w:bookmarkEnd w:id="1215"/>
                  <w:r>
                    <w:t>Annexes 11 et 12/Verso : Services où une assistance peut être obtenue en vue d'une inscription dans un autre établissement scolaire</w:t>
                  </w:r>
                  <w:bookmarkEnd w:id="1211"/>
                  <w:bookmarkEnd w:id="1212"/>
                  <w:bookmarkEnd w:id="1213"/>
                </w:p>
                <w:p>
                  <w:bookmarkStart w:id="1216" w:name="annexe18"/>
                  <w:bookmarkStart w:id="1217" w:name="_Toc412204111"/>
                  <w:bookmarkStart w:id="1218" w:name="_Toc414352919"/>
                  <w:bookmarkStart w:id="1219" w:name="_Toc453836943"/>
                </w:p>
                <w:p>
                  <w:pPr>
                    <w:tabs>
                      <w:tab w:val="num" w:pos="0"/>
                    </w:tabs>
                    <w:rPr>
                      <w:rFonts w:cs="Arial"/>
                      <w:b/>
                      <w:color w:val="000080"/>
                    </w:rPr>
                  </w:pPr>
                  <w:r>
                    <w:rPr>
                      <w:rFonts w:cs="Arial"/>
                      <w:b/>
                      <w:color w:val="000080"/>
                    </w:rPr>
                    <w:t xml:space="preserve">ENSEIGNEMENT ORGANISE PAR LA FEDERATION WALLONIE-BRUXELLES : </w:t>
                  </w:r>
                </w:p>
                <w:p>
                  <w:pPr>
                    <w:rPr>
                      <w:rFonts w:cs="Arial"/>
                      <w:b/>
                      <w:caps/>
                      <w:color w:val="000080"/>
                    </w:rPr>
                  </w:pPr>
                  <w:r>
                    <w:rPr>
                      <w:rFonts w:cs="Arial"/>
                      <w:b/>
                      <w:caps/>
                      <w:color w:val="000080"/>
                    </w:rPr>
                    <w:t>Pour l’enseignement fondamental :</w:t>
                  </w:r>
                </w:p>
                <w:tbl>
                  <w:tblPr>
                    <w:tblStyle w:val="Grilledutableau"/>
                    <w:tblW w:w="0" w:type="auto"/>
                    <w:tblLook w:val="04A0" w:firstRow="1" w:lastRow="0" w:firstColumn="1" w:lastColumn="0" w:noHBand="0" w:noVBand="1"/>
                  </w:tblPr>
                  <w:tblGrid>
                    <w:gridCol w:w="4672"/>
                    <w:gridCol w:w="4672"/>
                  </w:tblGrid>
                  <w:tr>
                    <w:tc>
                      <w:tcPr>
                        <w:tcW w:w="4672" w:type="dxa"/>
                      </w:tcPr>
                      <w:p>
                        <w:pPr>
                          <w:ind w:left="1080" w:hanging="1080"/>
                          <w:rPr>
                            <w:rFonts w:cs="Times New Roman"/>
                            <w:sz w:val="22"/>
                            <w:lang w:val="fr-FR" w:eastAsia="fr-FR"/>
                          </w:rPr>
                        </w:pPr>
                        <w:r>
                          <w:rPr>
                            <w:rFonts w:cs="Times New Roman"/>
                            <w:sz w:val="22"/>
                            <w:lang w:val="fr-FR" w:eastAsia="fr-FR"/>
                          </w:rPr>
                          <w:t>Zone 1: Bruxelles-Capitale</w:t>
                        </w:r>
                      </w:p>
                      <w:p>
                        <w:pPr>
                          <w:ind w:left="1080" w:hanging="1080"/>
                          <w:rPr>
                            <w:rFonts w:cs="Times New Roman"/>
                            <w:sz w:val="22"/>
                            <w:lang w:val="fr-FR" w:eastAsia="fr-FR"/>
                          </w:rPr>
                        </w:pPr>
                        <w:r>
                          <w:rPr>
                            <w:rFonts w:cs="Times New Roman"/>
                            <w:sz w:val="22"/>
                            <w:lang w:val="fr-FR" w:eastAsia="fr-FR"/>
                          </w:rPr>
                          <w:t>Zone 2: Brabant Wallon</w:t>
                        </w:r>
                      </w:p>
                    </w:tc>
                    <w:tc>
                      <w:tcPr>
                        <w:tcW w:w="4672" w:type="dxa"/>
                      </w:tcPr>
                      <w:p>
                        <w:pPr>
                          <w:rPr>
                            <w:rFonts w:cs="Times New Roman"/>
                            <w:sz w:val="22"/>
                            <w:lang w:eastAsia="fr-FR"/>
                          </w:rPr>
                        </w:pPr>
                        <w:r>
                          <w:rPr>
                            <w:rFonts w:cs="Times New Roman"/>
                            <w:sz w:val="22"/>
                            <w:lang w:eastAsia="fr-FR"/>
                          </w:rPr>
                          <w:t>VANDERHEIDEN Renelde</w:t>
                        </w:r>
                      </w:p>
                      <w:p>
                        <w:pPr>
                          <w:rPr>
                            <w:rFonts w:cs="Times New Roman"/>
                            <w:sz w:val="22"/>
                            <w:lang w:eastAsia="fr-FR"/>
                          </w:rPr>
                        </w:pPr>
                        <w:r>
                          <w:rPr>
                            <w:rFonts w:cs="Times New Roman"/>
                            <w:sz w:val="22"/>
                            <w:lang w:eastAsia="fr-FR"/>
                          </w:rPr>
                          <w:t>Boulevard du Jardin Botanique 20-22 (1G13)</w:t>
                        </w:r>
                      </w:p>
                      <w:p>
                        <w:pPr>
                          <w:rPr>
                            <w:rFonts w:cs="Times New Roman"/>
                            <w:sz w:val="22"/>
                            <w:lang w:eastAsia="fr-FR"/>
                          </w:rPr>
                        </w:pPr>
                        <w:r>
                          <w:rPr>
                            <w:rFonts w:cs="Times New Roman"/>
                            <w:sz w:val="22"/>
                            <w:lang w:eastAsia="fr-FR"/>
                          </w:rPr>
                          <w:t xml:space="preserve">1000 </w:t>
                        </w:r>
                        <w:r>
                          <w:rPr>
                            <w:caps/>
                            <w:sz w:val="22"/>
                            <w:lang w:eastAsia="fr-FR"/>
                          </w:rPr>
                          <w:t>Bruxelles</w:t>
                        </w:r>
                      </w:p>
                      <w:p>
                        <w:pPr>
                          <w:rPr>
                            <w:sz w:val="22"/>
                          </w:rPr>
                        </w:pPr>
                        <w:r>
                          <w:rPr>
                            <w:sz w:val="22"/>
                          </w:rPr>
                          <w:sym w:font="Wingdings" w:char="F028"/>
                        </w:r>
                        <w:r>
                          <w:rPr>
                            <w:rFonts w:cs="Times New Roman"/>
                            <w:sz w:val="22"/>
                            <w:lang w:eastAsia="fr-FR"/>
                          </w:rPr>
                          <w:t xml:space="preserve">: 02/690.81.78 - </w:t>
                        </w:r>
                        <w:r>
                          <w:rPr>
                            <w:bCs/>
                            <w:sz w:val="22"/>
                          </w:rPr>
                          <w:sym w:font="Webdings" w:char="F0CA"/>
                        </w:r>
                        <w:r>
                          <w:rPr>
                            <w:bCs/>
                            <w:sz w:val="22"/>
                          </w:rPr>
                          <w:t> : 02/690.81.35</w:t>
                        </w:r>
                      </w:p>
                    </w:tc>
                  </w:tr>
                  <w:tr>
                    <w:tc>
                      <w:tcPr>
                        <w:tcW w:w="4672" w:type="dxa"/>
                      </w:tcPr>
                      <w:p>
                        <w:pPr>
                          <w:ind w:left="1080" w:hanging="1080"/>
                          <w:rPr>
                            <w:rFonts w:cs="Times New Roman"/>
                            <w:sz w:val="22"/>
                            <w:lang w:val="fr-FR" w:eastAsia="fr-FR"/>
                          </w:rPr>
                        </w:pPr>
                        <w:r>
                          <w:rPr>
                            <w:rFonts w:cs="Times New Roman"/>
                            <w:sz w:val="22"/>
                            <w:lang w:val="fr-FR" w:eastAsia="fr-FR"/>
                          </w:rPr>
                          <w:t>Zone 3: Huy-Waremme</w:t>
                        </w:r>
                      </w:p>
                      <w:p>
                        <w:pPr>
                          <w:rPr>
                            <w:sz w:val="22"/>
                          </w:rPr>
                        </w:pPr>
                        <w:r>
                          <w:rPr>
                            <w:rFonts w:cs="Times New Roman"/>
                            <w:sz w:val="22"/>
                            <w:lang w:val="fr-FR" w:eastAsia="fr-FR"/>
                          </w:rPr>
                          <w:t>Zone 6: Namur</w:t>
                        </w:r>
                      </w:p>
                    </w:tc>
                    <w:tc>
                      <w:tcPr>
                        <w:tcW w:w="4672" w:type="dxa"/>
                      </w:tcPr>
                      <w:p>
                        <w:pPr>
                          <w:rPr>
                            <w:rFonts w:cs="Times New Roman"/>
                            <w:sz w:val="22"/>
                            <w:lang w:eastAsia="fr-FR"/>
                          </w:rPr>
                        </w:pPr>
                        <w:r>
                          <w:rPr>
                            <w:rFonts w:cs="Times New Roman"/>
                            <w:sz w:val="22"/>
                            <w:lang w:eastAsia="fr-FR"/>
                          </w:rPr>
                          <w:t>PERAZZO Gianni</w:t>
                        </w:r>
                      </w:p>
                      <w:p>
                        <w:pPr>
                          <w:rPr>
                            <w:rFonts w:cs="Times New Roman"/>
                            <w:sz w:val="22"/>
                            <w:lang w:eastAsia="fr-FR"/>
                          </w:rPr>
                        </w:pPr>
                        <w:r>
                          <w:rPr>
                            <w:rFonts w:cs="Times New Roman"/>
                            <w:sz w:val="22"/>
                            <w:lang w:eastAsia="fr-FR"/>
                          </w:rPr>
                          <w:t>Boulevard du Jardin Botanique 20-22 (1G13)</w:t>
                        </w:r>
                      </w:p>
                      <w:p>
                        <w:pPr>
                          <w:rPr>
                            <w:rFonts w:cs="Times New Roman"/>
                            <w:sz w:val="22"/>
                            <w:lang w:eastAsia="fr-FR"/>
                          </w:rPr>
                        </w:pPr>
                        <w:r>
                          <w:rPr>
                            <w:rFonts w:cs="Times New Roman"/>
                            <w:sz w:val="22"/>
                            <w:lang w:eastAsia="fr-FR"/>
                          </w:rPr>
                          <w:t xml:space="preserve">1000 </w:t>
                        </w:r>
                        <w:r>
                          <w:rPr>
                            <w:caps/>
                            <w:sz w:val="22"/>
                            <w:lang w:eastAsia="fr-FR"/>
                          </w:rPr>
                          <w:t>Bruxelles</w:t>
                        </w:r>
                      </w:p>
                      <w:p>
                        <w:pPr>
                          <w:rPr>
                            <w:sz w:val="22"/>
                          </w:rPr>
                        </w:pPr>
                        <w:r>
                          <w:rPr>
                            <w:sz w:val="22"/>
                          </w:rPr>
                          <w:sym w:font="Wingdings" w:char="F028"/>
                        </w:r>
                        <w:r>
                          <w:rPr>
                            <w:rFonts w:cs="Times New Roman"/>
                            <w:sz w:val="22"/>
                            <w:lang w:eastAsia="fr-FR"/>
                          </w:rPr>
                          <w:t xml:space="preserve">: 02/690.82.88 - </w:t>
                        </w:r>
                        <w:r>
                          <w:rPr>
                            <w:bCs/>
                            <w:sz w:val="22"/>
                          </w:rPr>
                          <w:sym w:font="Webdings" w:char="F0CA"/>
                        </w:r>
                        <w:r>
                          <w:rPr>
                            <w:bCs/>
                            <w:sz w:val="22"/>
                          </w:rPr>
                          <w:t> : 02/690.81.35</w:t>
                        </w:r>
                        <w:r>
                          <w:rPr>
                            <w:rFonts w:cs="Times New Roman"/>
                            <w:sz w:val="22"/>
                            <w:lang w:eastAsia="fr-FR"/>
                          </w:rPr>
                          <w:t xml:space="preserve"> </w:t>
                        </w:r>
                      </w:p>
                    </w:tc>
                  </w:tr>
                  <w:tr>
                    <w:tc>
                      <w:tcPr>
                        <w:tcW w:w="4672" w:type="dxa"/>
                      </w:tcPr>
                      <w:p>
                        <w:pPr>
                          <w:ind w:left="1080" w:hanging="1080"/>
                          <w:rPr>
                            <w:rFonts w:cs="Times New Roman"/>
                            <w:sz w:val="22"/>
                            <w:lang w:val="fr-FR" w:eastAsia="fr-FR"/>
                          </w:rPr>
                        </w:pPr>
                        <w:r>
                          <w:rPr>
                            <w:rFonts w:cs="Times New Roman"/>
                            <w:sz w:val="22"/>
                            <w:lang w:val="fr-FR" w:eastAsia="fr-FR"/>
                          </w:rPr>
                          <w:t>Zone 4: Liège</w:t>
                        </w:r>
                      </w:p>
                      <w:p>
                        <w:pPr>
                          <w:ind w:left="1080" w:hanging="1080"/>
                          <w:rPr>
                            <w:rFonts w:cs="Times New Roman"/>
                            <w:sz w:val="22"/>
                            <w:lang w:val="fr-FR" w:eastAsia="fr-FR"/>
                          </w:rPr>
                        </w:pPr>
                        <w:r>
                          <w:rPr>
                            <w:rFonts w:cs="Times New Roman"/>
                            <w:sz w:val="22"/>
                            <w:lang w:val="fr-FR" w:eastAsia="fr-FR"/>
                          </w:rPr>
                          <w:t xml:space="preserve">Zone 5: Verviers </w:t>
                        </w:r>
                      </w:p>
                      <w:p>
                        <w:pPr>
                          <w:rPr>
                            <w:sz w:val="22"/>
                          </w:rPr>
                        </w:pPr>
                        <w:r>
                          <w:rPr>
                            <w:rFonts w:cs="Times New Roman"/>
                            <w:sz w:val="22"/>
                            <w:lang w:val="fr-FR" w:eastAsia="fr-FR"/>
                          </w:rPr>
                          <w:t>Zone 7: Luxembourg</w:t>
                        </w:r>
                      </w:p>
                    </w:tc>
                    <w:tc>
                      <w:tcPr>
                        <w:tcW w:w="4672" w:type="dxa"/>
                      </w:tcPr>
                      <w:p>
                        <w:pPr>
                          <w:rPr>
                            <w:rFonts w:cs="Times New Roman"/>
                            <w:sz w:val="22"/>
                            <w:lang w:val="en-GB" w:eastAsia="fr-FR"/>
                          </w:rPr>
                        </w:pPr>
                        <w:r>
                          <w:rPr>
                            <w:rFonts w:cs="Times New Roman"/>
                            <w:sz w:val="22"/>
                            <w:lang w:val="en-GB" w:eastAsia="fr-FR"/>
                          </w:rPr>
                          <w:t>SLOTA Isabelle</w:t>
                        </w:r>
                      </w:p>
                      <w:p>
                        <w:pPr>
                          <w:rPr>
                            <w:rFonts w:cs="Times New Roman"/>
                            <w:sz w:val="22"/>
                            <w:lang w:val="en-GB" w:eastAsia="fr-FR"/>
                          </w:rPr>
                        </w:pPr>
                        <w:r>
                          <w:rPr>
                            <w:rFonts w:cs="Times New Roman"/>
                            <w:sz w:val="22"/>
                            <w:lang w:val="en-GB" w:eastAsia="fr-FR"/>
                          </w:rPr>
                          <w:t>Rue Henri Fays, 37</w:t>
                        </w:r>
                      </w:p>
                      <w:p>
                        <w:pPr>
                          <w:rPr>
                            <w:rFonts w:cs="Times New Roman"/>
                            <w:sz w:val="22"/>
                            <w:lang w:val="en-GB" w:eastAsia="fr-FR"/>
                          </w:rPr>
                        </w:pPr>
                        <w:r>
                          <w:rPr>
                            <w:rFonts w:cs="Times New Roman"/>
                            <w:sz w:val="22"/>
                            <w:lang w:val="en-GB" w:eastAsia="fr-FR"/>
                          </w:rPr>
                          <w:t>4160 ANTHISNES</w:t>
                        </w:r>
                      </w:p>
                      <w:p>
                        <w:pPr>
                          <w:rPr>
                            <w:sz w:val="22"/>
                          </w:rPr>
                        </w:pPr>
                        <w:r>
                          <w:rPr>
                            <w:sz w:val="22"/>
                          </w:rPr>
                          <w:sym w:font="Wingdings" w:char="F028"/>
                        </w:r>
                        <w:r>
                          <w:rPr>
                            <w:rFonts w:cs="Times New Roman"/>
                            <w:sz w:val="22"/>
                            <w:lang w:eastAsia="fr-FR"/>
                          </w:rPr>
                          <w:t>: 0473/59.22.95</w:t>
                        </w:r>
                        <w:r>
                          <w:rPr>
                            <w:rFonts w:cs="Times New Roman"/>
                            <w:sz w:val="22"/>
                            <w:lang w:val="en-GB" w:eastAsia="fr-FR"/>
                          </w:rPr>
                          <w:t xml:space="preserve"> </w:t>
                        </w:r>
                      </w:p>
                    </w:tc>
                  </w:tr>
                  <w:tr>
                    <w:tc>
                      <w:tcPr>
                        <w:tcW w:w="4672" w:type="dxa"/>
                      </w:tcPr>
                      <w:p>
                        <w:pPr>
                          <w:ind w:left="1080" w:hanging="1080"/>
                          <w:rPr>
                            <w:rFonts w:cs="Times New Roman"/>
                            <w:sz w:val="22"/>
                            <w:lang w:val="fr-FR" w:eastAsia="fr-FR"/>
                          </w:rPr>
                        </w:pPr>
                        <w:r>
                          <w:rPr>
                            <w:rFonts w:cs="Times New Roman"/>
                            <w:sz w:val="22"/>
                            <w:lang w:val="fr-FR" w:eastAsia="fr-FR"/>
                          </w:rPr>
                          <w:t>Zone 8: Hainaut occidental</w:t>
                        </w:r>
                      </w:p>
                      <w:p>
                        <w:pPr>
                          <w:ind w:left="1080" w:hanging="1080"/>
                          <w:rPr>
                            <w:rFonts w:cs="Times New Roman"/>
                            <w:sz w:val="22"/>
                            <w:lang w:val="fr-FR" w:eastAsia="fr-FR"/>
                          </w:rPr>
                        </w:pPr>
                        <w:r>
                          <w:rPr>
                            <w:rFonts w:cs="Times New Roman"/>
                            <w:sz w:val="22"/>
                            <w:lang w:val="fr-FR" w:eastAsia="fr-FR"/>
                          </w:rPr>
                          <w:t>Zone 9: Mons – Centre</w:t>
                        </w:r>
                      </w:p>
                      <w:p>
                        <w:pPr>
                          <w:rPr>
                            <w:sz w:val="22"/>
                          </w:rPr>
                        </w:pPr>
                        <w:r>
                          <w:rPr>
                            <w:rFonts w:cs="Times New Roman"/>
                            <w:sz w:val="22"/>
                            <w:lang w:val="fr-FR" w:eastAsia="fr-FR"/>
                          </w:rPr>
                          <w:t>Zone 10: Charleroi – Hainaut Sud</w:t>
                        </w:r>
                      </w:p>
                    </w:tc>
                    <w:tc>
                      <w:tcPr>
                        <w:tcW w:w="4672" w:type="dxa"/>
                      </w:tcPr>
                      <w:p>
                        <w:pPr>
                          <w:rPr>
                            <w:rFonts w:cs="Times New Roman"/>
                            <w:sz w:val="22"/>
                            <w:lang w:eastAsia="fr-FR"/>
                          </w:rPr>
                        </w:pPr>
                        <w:r>
                          <w:rPr>
                            <w:rFonts w:cs="Times New Roman"/>
                            <w:sz w:val="22"/>
                            <w:lang w:eastAsia="fr-FR"/>
                          </w:rPr>
                          <w:t>DEBAISIEUX Frédéric</w:t>
                        </w:r>
                      </w:p>
                      <w:p>
                        <w:pPr>
                          <w:rPr>
                            <w:rFonts w:cs="Times New Roman"/>
                            <w:sz w:val="22"/>
                            <w:lang w:eastAsia="fr-FR"/>
                          </w:rPr>
                        </w:pPr>
                        <w:r>
                          <w:rPr>
                            <w:rFonts w:cs="Times New Roman"/>
                            <w:sz w:val="22"/>
                            <w:lang w:eastAsia="fr-FR"/>
                          </w:rPr>
                          <w:t>Internat Walter Ravez</w:t>
                        </w:r>
                      </w:p>
                      <w:p>
                        <w:pPr>
                          <w:rPr>
                            <w:rFonts w:cs="Times New Roman"/>
                            <w:sz w:val="22"/>
                            <w:lang w:eastAsia="fr-FR"/>
                          </w:rPr>
                        </w:pPr>
                        <w:r>
                          <w:rPr>
                            <w:rFonts w:cs="Times New Roman"/>
                            <w:sz w:val="22"/>
                            <w:lang w:eastAsia="fr-FR"/>
                          </w:rPr>
                          <w:t>Quai Vifquin 22-25</w:t>
                        </w:r>
                      </w:p>
                      <w:p>
                        <w:pPr>
                          <w:rPr>
                            <w:caps/>
                            <w:sz w:val="22"/>
                            <w:lang w:eastAsia="fr-FR"/>
                          </w:rPr>
                        </w:pPr>
                        <w:r>
                          <w:rPr>
                            <w:rFonts w:cs="Times New Roman"/>
                            <w:sz w:val="22"/>
                            <w:lang w:eastAsia="fr-FR"/>
                          </w:rPr>
                          <w:t xml:space="preserve">7500 </w:t>
                        </w:r>
                        <w:r>
                          <w:rPr>
                            <w:caps/>
                            <w:sz w:val="22"/>
                            <w:lang w:eastAsia="fr-FR"/>
                          </w:rPr>
                          <w:t>Tournai</w:t>
                        </w:r>
                      </w:p>
                      <w:p>
                        <w:pPr>
                          <w:rPr>
                            <w:rFonts w:cs="Times New Roman"/>
                            <w:sz w:val="22"/>
                            <w:lang w:eastAsia="fr-FR"/>
                          </w:rPr>
                        </w:pPr>
                        <w:r>
                          <w:rPr>
                            <w:sz w:val="22"/>
                          </w:rPr>
                          <w:sym w:font="Wingdings" w:char="F028"/>
                        </w:r>
                        <w:r>
                          <w:rPr>
                            <w:rFonts w:cs="Times New Roman"/>
                            <w:sz w:val="22"/>
                            <w:lang w:eastAsia="fr-FR"/>
                          </w:rPr>
                          <w:t>: 0468/42.85.36</w:t>
                        </w:r>
                      </w:p>
                    </w:tc>
                  </w:tr>
                </w:tbl>
                <w:p>
                  <w:pPr>
                    <w:rPr>
                      <w:rFonts w:cs="Arial"/>
                      <w:b/>
                      <w:smallCaps/>
                    </w:rPr>
                  </w:pPr>
                  <w:r>
                    <w:rPr>
                      <w:rFonts w:cs="Arial"/>
                      <w:b/>
                      <w:smallCaps/>
                      <w:noProof/>
                      <w:lang w:eastAsia="fr-BE"/>
                    </w:rPr>
                    <mc:AlternateContent>
                      <mc:Choice Requires="wps">
                        <w:drawing>
                          <wp:anchor distT="0" distB="0" distL="114300" distR="114300" simplePos="0" relativeHeight="252102656" behindDoc="0" locked="0" layoutInCell="1" allowOverlap="1">
                            <wp:simplePos x="0" y="0"/>
                            <wp:positionH relativeFrom="column">
                              <wp:posOffset>6057900</wp:posOffset>
                            </wp:positionH>
                            <wp:positionV relativeFrom="paragraph">
                              <wp:posOffset>4338955</wp:posOffset>
                            </wp:positionV>
                            <wp:extent cx="0" cy="904875"/>
                            <wp:effectExtent l="0" t="0" r="19050" b="28575"/>
                            <wp:wrapNone/>
                            <wp:docPr id="37" name="Connecteur droit 37"/>
                            <wp:cNvGraphicFramePr/>
                            <a:graphic xmlns:a="http://schemas.openxmlformats.org/drawingml/2006/main">
                              <a:graphicData uri="http://schemas.microsoft.com/office/word/2010/wordprocessingShape">
                                <wps:wsp>
                                  <wps:cNvCnPr/>
                                  <wps:spPr>
                                    <a:xfrm>
                                      <a:off x="0" y="0"/>
                                      <a:ext cx="0" cy="9048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605DFC56" id="Connecteur droit 37" o:spid="_x0000_s1026" style="position:absolute;z-index:252102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77pt,341.65pt" to="477pt,4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" strokecolor="black [3040]"/>
                        </w:pict>
                      </mc:Fallback>
                    </mc:AlternateContent>
                  </w:r>
                  <w:r>
                    <w:rPr>
                      <w:rFonts w:cs="Arial"/>
                      <w:b/>
                      <w:smallCaps/>
                      <w:noProof/>
                      <w:lang w:eastAsia="fr-BE"/>
                    </w:rPr>
                    <mc:AlternateContent>
                      <mc:Choice Requires="wps">
                        <w:drawing>
                          <wp:anchor distT="0" distB="0" distL="114300" distR="114300" simplePos="0" relativeHeight="252101632" behindDoc="0" locked="0" layoutInCell="1" allowOverlap="1">
                            <wp:simplePos x="0" y="0"/>
                            <wp:positionH relativeFrom="column">
                              <wp:posOffset>6057900</wp:posOffset>
                            </wp:positionH>
                            <wp:positionV relativeFrom="paragraph">
                              <wp:posOffset>2986405</wp:posOffset>
                            </wp:positionV>
                            <wp:extent cx="0" cy="285750"/>
                            <wp:effectExtent l="0" t="0" r="19050" b="19050"/>
                            <wp:wrapNone/>
                            <wp:docPr id="4940" name="Connecteur droit 4940"/>
                            <wp:cNvGraphicFramePr/>
                            <a:graphic xmlns:a="http://schemas.openxmlformats.org/drawingml/2006/main">
                              <a:graphicData uri="http://schemas.microsoft.com/office/word/2010/wordprocessingShape">
                                <wps:wsp>
                                  <wps:cNvCnPr/>
                                  <wps:spPr>
                                    <a:xfrm>
                                      <a:off x="0" y="0"/>
                                      <a:ext cx="0" cy="2857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75559CE" id="Connecteur droit 4940" o:spid="_x0000_s1026" style="position:absolute;z-index:252101632;visibility:visible;mso-wrap-style:square;mso-wrap-distance-left:9pt;mso-wrap-distance-top:0;mso-wrap-distance-right:9pt;mso-wrap-distance-bottom:0;mso-position-horizontal:absolute;mso-position-horizontal-relative:text;mso-position-vertical:absolute;mso-position-vertical-relative:text" from="477pt,235.15pt" to="477pt,25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" strokecolor="black [3040]"/>
                        </w:pict>
                      </mc:Fallback>
                    </mc:AlternateContent>
                  </w:r>
                  <w:r>
                    <w:rPr>
                      <w:rFonts w:cs="Arial"/>
                      <w:b/>
                      <w:smallCaps/>
                    </w:rPr>
                    <w:t>Pour l’enseignement secondaire :</w:t>
                  </w:r>
                </w:p>
                <w:tbl>
                  <w:tblPr>
                    <w:tblStyle w:val="Grilledutableau"/>
                    <w:tblW w:w="0" w:type="auto"/>
                    <w:tblLook w:val="04A0" w:firstRow="1" w:lastRow="0" w:firstColumn="1" w:lastColumn="0" w:noHBand="0" w:noVBand="1"/>
                  </w:tblPr>
                  <w:tblGrid>
                    <w:gridCol w:w="4672"/>
                    <w:gridCol w:w="4672"/>
                  </w:tblGrid>
                  <w:tr>
                    <w:tc>
                      <w:tcPr>
                        <w:tcW w:w="4672" w:type="dxa"/>
                      </w:tcPr>
                      <w:p>
                        <w:pPr>
                          <w:tabs>
                            <w:tab w:val="num" w:pos="0"/>
                          </w:tabs>
                          <w:snapToGrid w:val="0"/>
                          <w:rPr>
                            <w:sz w:val="22"/>
                            <w:szCs w:val="22"/>
                          </w:rPr>
                        </w:pPr>
                        <w:r>
                          <w:rPr>
                            <w:sz w:val="22"/>
                            <w:szCs w:val="22"/>
                          </w:rPr>
                          <w:t>Zone 1 : Bruxelles-Capitale</w:t>
                        </w:r>
                      </w:p>
                      <w:p>
                        <w:pPr>
                          <w:tabs>
                            <w:tab w:val="num" w:pos="0"/>
                          </w:tabs>
                          <w:snapToGrid w:val="0"/>
                          <w:rPr>
                            <w:sz w:val="22"/>
                            <w:szCs w:val="22"/>
                          </w:rPr>
                        </w:pPr>
                        <w:r>
                          <w:rPr>
                            <w:sz w:val="22"/>
                            <w:szCs w:val="22"/>
                          </w:rPr>
                          <w:t>BRATUN Annick</w:t>
                        </w:r>
                      </w:p>
                      <w:p>
                        <w:pPr>
                          <w:tabs>
                            <w:tab w:val="num" w:pos="0"/>
                          </w:tabs>
                          <w:snapToGrid w:val="0"/>
                          <w:rPr>
                            <w:sz w:val="22"/>
                            <w:szCs w:val="22"/>
                          </w:rPr>
                        </w:pPr>
                        <w:r>
                          <w:rPr>
                            <w:sz w:val="22"/>
                            <w:szCs w:val="22"/>
                          </w:rPr>
                          <w:t xml:space="preserve">AR de Koekelberg </w:t>
                        </w:r>
                      </w:p>
                      <w:p>
                        <w:pPr>
                          <w:tabs>
                            <w:tab w:val="num" w:pos="0"/>
                          </w:tabs>
                          <w:snapToGrid w:val="0"/>
                          <w:rPr>
                            <w:sz w:val="22"/>
                            <w:szCs w:val="22"/>
                          </w:rPr>
                        </w:pPr>
                        <w:r>
                          <w:rPr>
                            <w:sz w:val="22"/>
                            <w:szCs w:val="22"/>
                          </w:rPr>
                          <w:t>Rue Omer Lépreux 15</w:t>
                        </w:r>
                      </w:p>
                      <w:p>
                        <w:pPr>
                          <w:tabs>
                            <w:tab w:val="num" w:pos="0"/>
                          </w:tabs>
                          <w:snapToGrid w:val="0"/>
                          <w:rPr>
                            <w:sz w:val="22"/>
                            <w:szCs w:val="22"/>
                          </w:rPr>
                        </w:pPr>
                        <w:r>
                          <w:rPr>
                            <w:sz w:val="22"/>
                            <w:szCs w:val="22"/>
                          </w:rPr>
                          <w:t xml:space="preserve">1081 </w:t>
                        </w:r>
                        <w:r>
                          <w:rPr>
                            <w:caps/>
                            <w:sz w:val="22"/>
                            <w:szCs w:val="22"/>
                          </w:rPr>
                          <w:t>Koekelberg</w:t>
                        </w:r>
                      </w:p>
                      <w:p>
                        <w:pPr>
                          <w:tabs>
                            <w:tab w:val="num" w:pos="0"/>
                          </w:tabs>
                          <w:snapToGrid w:val="0"/>
                          <w:rPr>
                            <w:b/>
                            <w:smallCaps/>
                            <w:sz w:val="22"/>
                            <w:szCs w:val="22"/>
                          </w:rPr>
                        </w:pPr>
                        <w:r>
                          <w:rPr>
                            <w:sz w:val="22"/>
                            <w:szCs w:val="22"/>
                          </w:rPr>
                          <w:sym w:font="Wingdings" w:char="F028"/>
                        </w:r>
                        <w:r>
                          <w:rPr>
                            <w:sz w:val="22"/>
                            <w:szCs w:val="22"/>
                          </w:rPr>
                          <w:t xml:space="preserve"> : 02/343.64.75 - </w:t>
                        </w:r>
                        <w:r>
                          <w:rPr>
                            <w:b/>
                            <w:bCs/>
                            <w:sz w:val="22"/>
                            <w:szCs w:val="22"/>
                          </w:rPr>
                          <w:sym w:font="Webdings" w:char="F0CA"/>
                        </w:r>
                        <w:r>
                          <w:rPr>
                            <w:sz w:val="22"/>
                            <w:szCs w:val="22"/>
                          </w:rPr>
                          <w:t> : 02/343.19.81</w:t>
                        </w:r>
                      </w:p>
                    </w:tc>
                    <w:tc>
                      <w:tcPr>
                        <w:tcW w:w="4672" w:type="dxa"/>
                      </w:tcPr>
                      <w:p>
                        <w:pPr>
                          <w:tabs>
                            <w:tab w:val="num" w:pos="0"/>
                          </w:tabs>
                          <w:snapToGrid w:val="0"/>
                          <w:rPr>
                            <w:sz w:val="22"/>
                            <w:szCs w:val="22"/>
                          </w:rPr>
                        </w:pPr>
                        <w:r>
                          <w:rPr>
                            <w:sz w:val="22"/>
                            <w:szCs w:val="22"/>
                          </w:rPr>
                          <w:t>Zone 6 : Namur</w:t>
                        </w:r>
                      </w:p>
                      <w:p>
                        <w:pPr>
                          <w:tabs>
                            <w:tab w:val="num" w:pos="0"/>
                          </w:tabs>
                          <w:snapToGrid w:val="0"/>
                          <w:rPr>
                            <w:sz w:val="22"/>
                            <w:szCs w:val="22"/>
                          </w:rPr>
                        </w:pPr>
                        <w:r>
                          <w:rPr>
                            <w:sz w:val="22"/>
                            <w:szCs w:val="22"/>
                          </w:rPr>
                          <w:t>BEAUMONT Marc</w:t>
                        </w:r>
                      </w:p>
                      <w:p>
                        <w:pPr>
                          <w:tabs>
                            <w:tab w:val="num" w:pos="0"/>
                          </w:tabs>
                          <w:snapToGrid w:val="0"/>
                          <w:rPr>
                            <w:sz w:val="22"/>
                            <w:szCs w:val="22"/>
                          </w:rPr>
                        </w:pPr>
                        <w:r>
                          <w:rPr>
                            <w:sz w:val="22"/>
                            <w:szCs w:val="22"/>
                          </w:rPr>
                          <w:t>ITCA</w:t>
                        </w:r>
                      </w:p>
                      <w:p>
                        <w:pPr>
                          <w:tabs>
                            <w:tab w:val="num" w:pos="0"/>
                          </w:tabs>
                          <w:snapToGrid w:val="0"/>
                          <w:rPr>
                            <w:sz w:val="22"/>
                            <w:szCs w:val="22"/>
                          </w:rPr>
                        </w:pPr>
                        <w:r>
                          <w:rPr>
                            <w:sz w:val="22"/>
                            <w:szCs w:val="22"/>
                          </w:rPr>
                          <w:t>Chaussée de Nivelles 204</w:t>
                        </w:r>
                      </w:p>
                      <w:p>
                        <w:pPr>
                          <w:tabs>
                            <w:tab w:val="num" w:pos="0"/>
                          </w:tabs>
                          <w:snapToGrid w:val="0"/>
                          <w:rPr>
                            <w:sz w:val="22"/>
                            <w:szCs w:val="22"/>
                          </w:rPr>
                        </w:pPr>
                        <w:r>
                          <w:rPr>
                            <w:sz w:val="22"/>
                            <w:szCs w:val="22"/>
                          </w:rPr>
                          <w:t xml:space="preserve">5020 </w:t>
                        </w:r>
                        <w:r>
                          <w:rPr>
                            <w:caps/>
                            <w:sz w:val="22"/>
                            <w:szCs w:val="22"/>
                          </w:rPr>
                          <w:t>Namur</w:t>
                        </w:r>
                      </w:p>
                      <w:p>
                        <w:pPr>
                          <w:tabs>
                            <w:tab w:val="num" w:pos="0"/>
                          </w:tabs>
                          <w:snapToGrid w:val="0"/>
                          <w:rPr>
                            <w:sz w:val="22"/>
                            <w:szCs w:val="22"/>
                          </w:rPr>
                        </w:pPr>
                        <w:r>
                          <w:rPr>
                            <w:sz w:val="22"/>
                            <w:szCs w:val="22"/>
                          </w:rPr>
                          <w:sym w:font="Wingdings" w:char="F028"/>
                        </w:r>
                        <w:r>
                          <w:rPr>
                            <w:sz w:val="22"/>
                            <w:szCs w:val="22"/>
                          </w:rPr>
                          <w:t xml:space="preserve"> 081/73.29.17ou 0476/54.35.78 – </w:t>
                        </w:r>
                        <w:r>
                          <w:rPr>
                            <w:b/>
                            <w:bCs/>
                            <w:sz w:val="22"/>
                            <w:szCs w:val="22"/>
                          </w:rPr>
                          <w:sym w:font="Webdings" w:char="F0CA"/>
                        </w:r>
                        <w:r>
                          <w:rPr>
                            <w:sz w:val="22"/>
                            <w:szCs w:val="22"/>
                          </w:rPr>
                          <w:t>:081/74.50.51</w:t>
                        </w:r>
                      </w:p>
                    </w:tc>
                  </w:tr>
                  <w:tr>
                    <w:tc>
                      <w:tcPr>
                        <w:tcW w:w="4672" w:type="dxa"/>
                      </w:tcPr>
                      <w:p>
                        <w:pPr>
                          <w:tabs>
                            <w:tab w:val="num" w:pos="0"/>
                          </w:tabs>
                          <w:snapToGrid w:val="0"/>
                          <w:rPr>
                            <w:sz w:val="22"/>
                            <w:szCs w:val="22"/>
                          </w:rPr>
                        </w:pPr>
                        <w:r>
                          <w:rPr>
                            <w:sz w:val="22"/>
                            <w:szCs w:val="22"/>
                          </w:rPr>
                          <w:t>Zone 2 : Brabant Wallon</w:t>
                        </w:r>
                      </w:p>
                      <w:p>
                        <w:pPr>
                          <w:tabs>
                            <w:tab w:val="num" w:pos="0"/>
                          </w:tabs>
                          <w:snapToGrid w:val="0"/>
                          <w:rPr>
                            <w:sz w:val="22"/>
                            <w:szCs w:val="22"/>
                          </w:rPr>
                        </w:pPr>
                        <w:r>
                          <w:rPr>
                            <w:sz w:val="22"/>
                            <w:szCs w:val="22"/>
                          </w:rPr>
                          <w:t>FAURE Alain</w:t>
                        </w:r>
                      </w:p>
                      <w:p>
                        <w:pPr>
                          <w:tabs>
                            <w:tab w:val="num" w:pos="0"/>
                            <w:tab w:val="left" w:pos="2538"/>
                          </w:tabs>
                          <w:snapToGrid w:val="0"/>
                          <w:rPr>
                            <w:sz w:val="22"/>
                            <w:szCs w:val="22"/>
                          </w:rPr>
                        </w:pPr>
                        <w:r>
                          <w:rPr>
                            <w:sz w:val="22"/>
                            <w:szCs w:val="22"/>
                          </w:rPr>
                          <w:t>AR Jodoigne</w:t>
                        </w:r>
                      </w:p>
                      <w:p>
                        <w:pPr>
                          <w:tabs>
                            <w:tab w:val="num" w:pos="0"/>
                          </w:tabs>
                          <w:snapToGrid w:val="0"/>
                          <w:rPr>
                            <w:sz w:val="22"/>
                            <w:szCs w:val="22"/>
                          </w:rPr>
                        </w:pPr>
                        <w:r>
                          <w:rPr>
                            <w:sz w:val="22"/>
                            <w:szCs w:val="22"/>
                          </w:rPr>
                          <w:t>Chaussée de Hannut 129</w:t>
                        </w:r>
                      </w:p>
                      <w:p>
                        <w:pPr>
                          <w:tabs>
                            <w:tab w:val="num" w:pos="0"/>
                          </w:tabs>
                          <w:snapToGrid w:val="0"/>
                          <w:rPr>
                            <w:sz w:val="22"/>
                            <w:szCs w:val="22"/>
                          </w:rPr>
                        </w:pPr>
                        <w:r>
                          <w:rPr>
                            <w:sz w:val="22"/>
                            <w:szCs w:val="22"/>
                          </w:rPr>
                          <w:t xml:space="preserve">1370 </w:t>
                        </w:r>
                        <w:r>
                          <w:rPr>
                            <w:caps/>
                            <w:sz w:val="22"/>
                            <w:szCs w:val="22"/>
                          </w:rPr>
                          <w:t>Jodoigne</w:t>
                        </w:r>
                      </w:p>
                      <w:p>
                        <w:pPr>
                          <w:tabs>
                            <w:tab w:val="num" w:pos="0"/>
                          </w:tabs>
                          <w:snapToGrid w:val="0"/>
                          <w:rPr>
                            <w:b/>
                            <w:smallCaps/>
                            <w:sz w:val="22"/>
                            <w:szCs w:val="22"/>
                          </w:rPr>
                        </w:pPr>
                        <w:r>
                          <w:rPr>
                            <w:sz w:val="22"/>
                            <w:szCs w:val="22"/>
                          </w:rPr>
                          <w:sym w:font="Wingdings" w:char="F028"/>
                        </w:r>
                        <w:r>
                          <w:rPr>
                            <w:sz w:val="22"/>
                            <w:szCs w:val="22"/>
                          </w:rPr>
                          <w:t xml:space="preserve"> : 010/81.12.06 – </w:t>
                        </w:r>
                        <w:r>
                          <w:rPr>
                            <w:b/>
                            <w:bCs/>
                            <w:sz w:val="22"/>
                            <w:szCs w:val="22"/>
                          </w:rPr>
                          <w:sym w:font="Webdings" w:char="F0CA"/>
                        </w:r>
                        <w:r>
                          <w:rPr>
                            <w:sz w:val="22"/>
                            <w:szCs w:val="22"/>
                          </w:rPr>
                          <w:t> : 010/81.34.53</w:t>
                        </w:r>
                      </w:p>
                    </w:tc>
                    <w:tc>
                      <w:tcPr>
                        <w:tcW w:w="4672" w:type="dxa"/>
                      </w:tcPr>
                      <w:p>
                        <w:pPr>
                          <w:tabs>
                            <w:tab w:val="num" w:pos="0"/>
                          </w:tabs>
                          <w:snapToGrid w:val="0"/>
                          <w:rPr>
                            <w:sz w:val="22"/>
                            <w:szCs w:val="22"/>
                          </w:rPr>
                        </w:pPr>
                        <w:r>
                          <w:rPr>
                            <w:sz w:val="22"/>
                            <w:szCs w:val="22"/>
                          </w:rPr>
                          <w:t>Zone 7 : Luxembourg</w:t>
                        </w:r>
                      </w:p>
                      <w:p>
                        <w:pPr>
                          <w:tabs>
                            <w:tab w:val="num" w:pos="0"/>
                          </w:tabs>
                          <w:snapToGrid w:val="0"/>
                          <w:rPr>
                            <w:sz w:val="22"/>
                            <w:szCs w:val="22"/>
                          </w:rPr>
                        </w:pPr>
                        <w:r>
                          <w:rPr>
                            <w:sz w:val="22"/>
                            <w:szCs w:val="22"/>
                          </w:rPr>
                          <w:t>REGGERS Richard</w:t>
                        </w:r>
                      </w:p>
                      <w:p>
                        <w:pPr>
                          <w:tabs>
                            <w:tab w:val="num" w:pos="0"/>
                          </w:tabs>
                          <w:snapToGrid w:val="0"/>
                          <w:rPr>
                            <w:sz w:val="22"/>
                            <w:szCs w:val="22"/>
                          </w:rPr>
                        </w:pPr>
                        <w:r>
                          <w:rPr>
                            <w:sz w:val="22"/>
                            <w:szCs w:val="22"/>
                          </w:rPr>
                          <w:t>AR de Bastogne-Houffalize</w:t>
                        </w:r>
                      </w:p>
                      <w:p>
                        <w:pPr>
                          <w:tabs>
                            <w:tab w:val="num" w:pos="0"/>
                          </w:tabs>
                          <w:snapToGrid w:val="0"/>
                          <w:rPr>
                            <w:sz w:val="22"/>
                            <w:szCs w:val="22"/>
                          </w:rPr>
                        </w:pPr>
                        <w:r>
                          <w:rPr>
                            <w:sz w:val="22"/>
                            <w:szCs w:val="22"/>
                          </w:rPr>
                          <w:t>Chaussée d’Houffalize 3</w:t>
                        </w:r>
                      </w:p>
                      <w:p>
                        <w:pPr>
                          <w:tabs>
                            <w:tab w:val="num" w:pos="0"/>
                          </w:tabs>
                          <w:snapToGrid w:val="0"/>
                          <w:rPr>
                            <w:sz w:val="22"/>
                            <w:szCs w:val="22"/>
                          </w:rPr>
                        </w:pPr>
                        <w:r>
                          <w:rPr>
                            <w:sz w:val="22"/>
                            <w:szCs w:val="22"/>
                          </w:rPr>
                          <w:t xml:space="preserve">6000 </w:t>
                        </w:r>
                        <w:r>
                          <w:rPr>
                            <w:caps/>
                            <w:sz w:val="22"/>
                            <w:szCs w:val="22"/>
                          </w:rPr>
                          <w:t>Bastogne</w:t>
                        </w:r>
                      </w:p>
                      <w:p>
                        <w:pPr>
                          <w:tabs>
                            <w:tab w:val="num" w:pos="0"/>
                          </w:tabs>
                          <w:snapToGrid w:val="0"/>
                          <w:rPr>
                            <w:sz w:val="22"/>
                            <w:szCs w:val="22"/>
                          </w:rPr>
                        </w:pPr>
                        <w:r>
                          <w:rPr>
                            <w:sz w:val="22"/>
                            <w:szCs w:val="22"/>
                          </w:rPr>
                          <w:sym w:font="Wingdings" w:char="F028"/>
                        </w:r>
                        <w:r>
                          <w:rPr>
                            <w:sz w:val="22"/>
                            <w:szCs w:val="22"/>
                          </w:rPr>
                          <w:t xml:space="preserve"> : 061/21.82.56 – </w:t>
                        </w:r>
                        <w:r>
                          <w:rPr>
                            <w:b/>
                            <w:bCs/>
                            <w:sz w:val="22"/>
                            <w:szCs w:val="22"/>
                          </w:rPr>
                          <w:sym w:font="Webdings" w:char="F0CA"/>
                        </w:r>
                        <w:r>
                          <w:rPr>
                            <w:sz w:val="22"/>
                            <w:szCs w:val="22"/>
                          </w:rPr>
                          <w:t> : 061/21.86.42</w:t>
                        </w:r>
                      </w:p>
                    </w:tc>
                  </w:tr>
                  <w:tr>
                    <w:tc>
                      <w:tcPr>
                        <w:tcW w:w="4672" w:type="dxa"/>
                      </w:tcPr>
                      <w:p>
                        <w:pPr>
                          <w:tabs>
                            <w:tab w:val="num" w:pos="0"/>
                          </w:tabs>
                          <w:snapToGrid w:val="0"/>
                          <w:rPr>
                            <w:sz w:val="22"/>
                            <w:szCs w:val="22"/>
                          </w:rPr>
                        </w:pPr>
                        <w:r>
                          <w:rPr>
                            <w:sz w:val="22"/>
                            <w:szCs w:val="22"/>
                          </w:rPr>
                          <w:t>Zone 3 : Huy-Waremme</w:t>
                        </w:r>
                      </w:p>
                      <w:p>
                        <w:pPr>
                          <w:tabs>
                            <w:tab w:val="num" w:pos="0"/>
                          </w:tabs>
                          <w:snapToGrid w:val="0"/>
                          <w:rPr>
                            <w:sz w:val="22"/>
                            <w:szCs w:val="22"/>
                          </w:rPr>
                        </w:pPr>
                        <w:r>
                          <w:rPr>
                            <w:sz w:val="22"/>
                            <w:szCs w:val="22"/>
                          </w:rPr>
                          <w:t>DONY Manuel</w:t>
                        </w:r>
                      </w:p>
                      <w:p>
                        <w:pPr>
                          <w:tabs>
                            <w:tab w:val="num" w:pos="0"/>
                          </w:tabs>
                          <w:snapToGrid w:val="0"/>
                          <w:rPr>
                            <w:sz w:val="22"/>
                            <w:szCs w:val="22"/>
                          </w:rPr>
                        </w:pPr>
                        <w:r>
                          <w:rPr>
                            <w:sz w:val="22"/>
                            <w:szCs w:val="22"/>
                          </w:rPr>
                          <w:t>AR Saint-Georges</w:t>
                        </w:r>
                      </w:p>
                      <w:p>
                        <w:pPr>
                          <w:tabs>
                            <w:tab w:val="num" w:pos="0"/>
                          </w:tabs>
                          <w:snapToGrid w:val="0"/>
                          <w:rPr>
                            <w:sz w:val="22"/>
                            <w:szCs w:val="22"/>
                          </w:rPr>
                        </w:pPr>
                        <w:r>
                          <w:rPr>
                            <w:sz w:val="22"/>
                            <w:szCs w:val="22"/>
                          </w:rPr>
                          <w:t>Rue Eloi Fouarge 31</w:t>
                        </w:r>
                      </w:p>
                      <w:p>
                        <w:pPr>
                          <w:tabs>
                            <w:tab w:val="num" w:pos="0"/>
                          </w:tabs>
                          <w:snapToGrid w:val="0"/>
                          <w:rPr>
                            <w:sz w:val="22"/>
                            <w:szCs w:val="22"/>
                          </w:rPr>
                        </w:pPr>
                        <w:r>
                          <w:rPr>
                            <w:sz w:val="22"/>
                            <w:szCs w:val="22"/>
                          </w:rPr>
                          <w:t xml:space="preserve">4470 </w:t>
                        </w:r>
                        <w:r>
                          <w:rPr>
                            <w:caps/>
                            <w:sz w:val="22"/>
                            <w:szCs w:val="22"/>
                          </w:rPr>
                          <w:t>Saint-Georges-sur-Meuse</w:t>
                        </w:r>
                      </w:p>
                      <w:p>
                        <w:pPr>
                          <w:tabs>
                            <w:tab w:val="num" w:pos="0"/>
                          </w:tabs>
                          <w:snapToGrid w:val="0"/>
                          <w:rPr>
                            <w:sz w:val="22"/>
                            <w:szCs w:val="22"/>
                          </w:rPr>
                        </w:pPr>
                        <w:r>
                          <w:rPr>
                            <w:sz w:val="22"/>
                            <w:szCs w:val="22"/>
                          </w:rPr>
                          <w:sym w:font="Wingdings" w:char="F028"/>
                        </w:r>
                        <w:r>
                          <w:rPr>
                            <w:sz w:val="22"/>
                            <w:szCs w:val="22"/>
                          </w:rPr>
                          <w:t> : 0498/12.68.84 - 04 /223.51.79</w:t>
                        </w:r>
                      </w:p>
                    </w:tc>
                    <w:tc>
                      <w:tcPr>
                        <w:tcW w:w="4672" w:type="dxa"/>
                      </w:tcPr>
                      <w:p>
                        <w:pPr>
                          <w:tabs>
                            <w:tab w:val="num" w:pos="0"/>
                          </w:tabs>
                          <w:snapToGrid w:val="0"/>
                          <w:rPr>
                            <w:sz w:val="22"/>
                            <w:szCs w:val="22"/>
                          </w:rPr>
                        </w:pPr>
                        <w:r>
                          <w:rPr>
                            <w:sz w:val="22"/>
                            <w:szCs w:val="22"/>
                          </w:rPr>
                          <w:t>Zone 8 : Hainaut Occidental</w:t>
                        </w:r>
                      </w:p>
                      <w:p>
                        <w:pPr>
                          <w:tabs>
                            <w:tab w:val="num" w:pos="0"/>
                          </w:tabs>
                          <w:snapToGrid w:val="0"/>
                          <w:rPr>
                            <w:sz w:val="22"/>
                            <w:szCs w:val="22"/>
                          </w:rPr>
                        </w:pPr>
                        <w:r>
                          <w:rPr>
                            <w:sz w:val="22"/>
                            <w:szCs w:val="22"/>
                          </w:rPr>
                          <w:t>DECAESTECKER Philippe</w:t>
                        </w:r>
                      </w:p>
                      <w:p>
                        <w:pPr>
                          <w:tabs>
                            <w:tab w:val="num" w:pos="0"/>
                          </w:tabs>
                          <w:snapToGrid w:val="0"/>
                          <w:rPr>
                            <w:sz w:val="22"/>
                            <w:szCs w:val="22"/>
                          </w:rPr>
                        </w:pPr>
                        <w:r>
                          <w:rPr>
                            <w:sz w:val="22"/>
                            <w:szCs w:val="22"/>
                          </w:rPr>
                          <w:t>ITCF Renée Joffroy – site Vauban</w:t>
                        </w:r>
                      </w:p>
                      <w:p>
                        <w:pPr>
                          <w:tabs>
                            <w:tab w:val="num" w:pos="0"/>
                          </w:tabs>
                          <w:snapToGrid w:val="0"/>
                          <w:rPr>
                            <w:sz w:val="22"/>
                            <w:szCs w:val="22"/>
                          </w:rPr>
                        </w:pPr>
                        <w:r>
                          <w:rPr>
                            <w:sz w:val="22"/>
                            <w:szCs w:val="22"/>
                          </w:rPr>
                          <w:t>Avenue Vauban 6A</w:t>
                        </w:r>
                      </w:p>
                      <w:p>
                        <w:pPr>
                          <w:tabs>
                            <w:tab w:val="num" w:pos="0"/>
                          </w:tabs>
                          <w:snapToGrid w:val="0"/>
                          <w:rPr>
                            <w:sz w:val="22"/>
                            <w:szCs w:val="22"/>
                          </w:rPr>
                        </w:pPr>
                        <w:r>
                          <w:rPr>
                            <w:sz w:val="22"/>
                            <w:szCs w:val="22"/>
                          </w:rPr>
                          <w:t xml:space="preserve">7800 </w:t>
                        </w:r>
                        <w:r>
                          <w:rPr>
                            <w:caps/>
                            <w:sz w:val="22"/>
                            <w:szCs w:val="22"/>
                          </w:rPr>
                          <w:t>Ath</w:t>
                        </w:r>
                      </w:p>
                      <w:p>
                        <w:pPr>
                          <w:tabs>
                            <w:tab w:val="num" w:pos="0"/>
                          </w:tabs>
                          <w:snapToGrid w:val="0"/>
                          <w:rPr>
                            <w:sz w:val="22"/>
                            <w:szCs w:val="22"/>
                          </w:rPr>
                        </w:pPr>
                        <w:r>
                          <w:rPr>
                            <w:sz w:val="22"/>
                            <w:szCs w:val="22"/>
                          </w:rPr>
                          <w:sym w:font="Wingdings" w:char="F028"/>
                        </w:r>
                        <w:r>
                          <w:rPr>
                            <w:sz w:val="22"/>
                            <w:szCs w:val="22"/>
                          </w:rPr>
                          <w:t xml:space="preserve"> : 068/26.96.96 – </w:t>
                        </w:r>
                        <w:r>
                          <w:rPr>
                            <w:b/>
                            <w:bCs/>
                            <w:sz w:val="22"/>
                            <w:szCs w:val="22"/>
                          </w:rPr>
                          <w:sym w:font="Webdings" w:char="F0CA"/>
                        </w:r>
                        <w:r>
                          <w:rPr>
                            <w:sz w:val="22"/>
                            <w:szCs w:val="22"/>
                          </w:rPr>
                          <w:t> : 068/33.87.94</w:t>
                        </w:r>
                      </w:p>
                    </w:tc>
                  </w:tr>
                  <w:tr>
                    <w:tc>
                      <w:tcPr>
                        <w:tcW w:w="4672" w:type="dxa"/>
                      </w:tcPr>
                      <w:p>
                        <w:pPr>
                          <w:tabs>
                            <w:tab w:val="num" w:pos="0"/>
                          </w:tabs>
                          <w:snapToGrid w:val="0"/>
                          <w:rPr>
                            <w:sz w:val="22"/>
                            <w:szCs w:val="22"/>
                          </w:rPr>
                        </w:pPr>
                        <w:r>
                          <w:rPr>
                            <w:sz w:val="22"/>
                            <w:szCs w:val="22"/>
                          </w:rPr>
                          <w:t>Zone 4 : Liège</w:t>
                        </w:r>
                      </w:p>
                      <w:p>
                        <w:pPr>
                          <w:tabs>
                            <w:tab w:val="num" w:pos="0"/>
                          </w:tabs>
                          <w:snapToGrid w:val="0"/>
                          <w:rPr>
                            <w:sz w:val="22"/>
                            <w:szCs w:val="22"/>
                          </w:rPr>
                        </w:pPr>
                        <w:r>
                          <w:rPr>
                            <w:sz w:val="22"/>
                            <w:szCs w:val="22"/>
                          </w:rPr>
                          <w:t>ANGENOT Jean-François</w:t>
                        </w:r>
                      </w:p>
                      <w:p>
                        <w:pPr>
                          <w:tabs>
                            <w:tab w:val="num" w:pos="0"/>
                          </w:tabs>
                          <w:snapToGrid w:val="0"/>
                          <w:rPr>
                            <w:sz w:val="22"/>
                            <w:szCs w:val="22"/>
                          </w:rPr>
                        </w:pPr>
                        <w:r>
                          <w:rPr>
                            <w:sz w:val="22"/>
                            <w:szCs w:val="22"/>
                          </w:rPr>
                          <w:t>AR Liège 1</w:t>
                        </w:r>
                      </w:p>
                      <w:p>
                        <w:pPr>
                          <w:tabs>
                            <w:tab w:val="num" w:pos="0"/>
                          </w:tabs>
                          <w:snapToGrid w:val="0"/>
                          <w:rPr>
                            <w:sz w:val="22"/>
                            <w:szCs w:val="22"/>
                          </w:rPr>
                        </w:pPr>
                        <w:r>
                          <w:rPr>
                            <w:sz w:val="22"/>
                            <w:szCs w:val="22"/>
                          </w:rPr>
                          <w:t>Rue des Clarisses 13</w:t>
                        </w:r>
                      </w:p>
                      <w:p>
                        <w:pPr>
                          <w:tabs>
                            <w:tab w:val="num" w:pos="0"/>
                          </w:tabs>
                          <w:snapToGrid w:val="0"/>
                          <w:rPr>
                            <w:sz w:val="22"/>
                            <w:szCs w:val="22"/>
                          </w:rPr>
                        </w:pPr>
                        <w:r>
                          <w:rPr>
                            <w:sz w:val="22"/>
                            <w:szCs w:val="22"/>
                          </w:rPr>
                          <w:t xml:space="preserve">4000 </w:t>
                        </w:r>
                        <w:r>
                          <w:rPr>
                            <w:caps/>
                            <w:sz w:val="22"/>
                            <w:szCs w:val="22"/>
                          </w:rPr>
                          <w:t>Liège</w:t>
                        </w:r>
                      </w:p>
                      <w:p>
                        <w:pPr>
                          <w:tabs>
                            <w:tab w:val="num" w:pos="0"/>
                          </w:tabs>
                          <w:snapToGrid w:val="0"/>
                          <w:rPr>
                            <w:sz w:val="22"/>
                            <w:szCs w:val="22"/>
                          </w:rPr>
                        </w:pPr>
                        <w:r>
                          <w:rPr>
                            <w:sz w:val="22"/>
                            <w:szCs w:val="22"/>
                          </w:rPr>
                          <w:sym w:font="Wingdings" w:char="F028"/>
                        </w:r>
                        <w:r>
                          <w:rPr>
                            <w:sz w:val="22"/>
                            <w:szCs w:val="22"/>
                          </w:rPr>
                          <w:t xml:space="preserve"> : 04/223.31.45 – </w:t>
                        </w:r>
                        <w:r>
                          <w:rPr>
                            <w:b/>
                            <w:bCs/>
                            <w:sz w:val="22"/>
                            <w:szCs w:val="22"/>
                          </w:rPr>
                          <w:sym w:font="Webdings" w:char="F0CA"/>
                        </w:r>
                        <w:r>
                          <w:rPr>
                            <w:sz w:val="22"/>
                            <w:szCs w:val="22"/>
                          </w:rPr>
                          <w:t> : 04/223.64.78</w:t>
                        </w:r>
                      </w:p>
                    </w:tc>
                    <w:tc>
                      <w:tcPr>
                        <w:tcW w:w="4672" w:type="dxa"/>
                      </w:tcPr>
                      <w:p>
                        <w:pPr>
                          <w:tabs>
                            <w:tab w:val="num" w:pos="0"/>
                          </w:tabs>
                          <w:snapToGrid w:val="0"/>
                          <w:rPr>
                            <w:sz w:val="22"/>
                            <w:szCs w:val="22"/>
                          </w:rPr>
                        </w:pPr>
                        <w:r>
                          <w:rPr>
                            <w:sz w:val="22"/>
                            <w:szCs w:val="22"/>
                          </w:rPr>
                          <w:t>Zone 9 : Mons – Centre</w:t>
                        </w:r>
                      </w:p>
                      <w:p>
                        <w:pPr>
                          <w:tabs>
                            <w:tab w:val="num" w:pos="0"/>
                          </w:tabs>
                          <w:snapToGrid w:val="0"/>
                          <w:rPr>
                            <w:sz w:val="22"/>
                            <w:szCs w:val="22"/>
                          </w:rPr>
                        </w:pPr>
                        <w:r>
                          <w:rPr>
                            <w:sz w:val="22"/>
                            <w:szCs w:val="22"/>
                          </w:rPr>
                          <w:t>COLLETTE Francis</w:t>
                        </w:r>
                      </w:p>
                      <w:p>
                        <w:pPr>
                          <w:tabs>
                            <w:tab w:val="num" w:pos="0"/>
                          </w:tabs>
                          <w:snapToGrid w:val="0"/>
                          <w:rPr>
                            <w:sz w:val="22"/>
                            <w:szCs w:val="22"/>
                          </w:rPr>
                        </w:pPr>
                        <w:r>
                          <w:rPr>
                            <w:sz w:val="22"/>
                            <w:szCs w:val="22"/>
                          </w:rPr>
                          <w:t>Local 3.03</w:t>
                        </w:r>
                      </w:p>
                      <w:p>
                        <w:pPr>
                          <w:tabs>
                            <w:tab w:val="num" w:pos="0"/>
                          </w:tabs>
                          <w:snapToGrid w:val="0"/>
                          <w:rPr>
                            <w:sz w:val="22"/>
                            <w:szCs w:val="22"/>
                          </w:rPr>
                        </w:pPr>
                        <w:r>
                          <w:rPr>
                            <w:sz w:val="22"/>
                            <w:szCs w:val="22"/>
                          </w:rPr>
                          <w:t>Rue du Chemin de fer 433</w:t>
                        </w:r>
                      </w:p>
                      <w:p>
                        <w:pPr>
                          <w:tabs>
                            <w:tab w:val="num" w:pos="0"/>
                          </w:tabs>
                          <w:snapToGrid w:val="0"/>
                          <w:rPr>
                            <w:sz w:val="22"/>
                            <w:szCs w:val="22"/>
                          </w:rPr>
                        </w:pPr>
                        <w:r>
                          <w:rPr>
                            <w:sz w:val="22"/>
                            <w:szCs w:val="22"/>
                          </w:rPr>
                          <w:t xml:space="preserve">7000 </w:t>
                        </w:r>
                        <w:r>
                          <w:rPr>
                            <w:caps/>
                            <w:sz w:val="22"/>
                            <w:szCs w:val="22"/>
                          </w:rPr>
                          <w:t>Mons</w:t>
                        </w:r>
                      </w:p>
                      <w:p>
                        <w:pPr>
                          <w:tabs>
                            <w:tab w:val="num" w:pos="0"/>
                          </w:tabs>
                          <w:snapToGrid w:val="0"/>
                          <w:rPr>
                            <w:sz w:val="22"/>
                            <w:szCs w:val="22"/>
                          </w:rPr>
                        </w:pPr>
                        <w:r>
                          <w:rPr>
                            <w:sz w:val="22"/>
                            <w:szCs w:val="22"/>
                          </w:rPr>
                          <w:sym w:font="Wingdings" w:char="F028"/>
                        </w:r>
                        <w:r>
                          <w:rPr>
                            <w:sz w:val="22"/>
                            <w:szCs w:val="22"/>
                          </w:rPr>
                          <w:t xml:space="preserve"> : 065/55.55.51 – </w:t>
                        </w:r>
                        <w:r>
                          <w:rPr>
                            <w:b/>
                            <w:bCs/>
                            <w:sz w:val="22"/>
                            <w:szCs w:val="22"/>
                          </w:rPr>
                          <w:sym w:font="Webdings" w:char="F0CA"/>
                        </w:r>
                        <w:r>
                          <w:rPr>
                            <w:sz w:val="22"/>
                            <w:szCs w:val="22"/>
                          </w:rPr>
                          <w:t>: 02/600.08.77</w:t>
                        </w:r>
                      </w:p>
                    </w:tc>
                  </w:tr>
                  <w:tr>
                    <w:tc>
                      <w:tcPr>
                        <w:tcW w:w="4672" w:type="dxa"/>
                      </w:tcPr>
                      <w:p>
                        <w:pPr>
                          <w:tabs>
                            <w:tab w:val="num" w:pos="0"/>
                          </w:tabs>
                          <w:snapToGrid w:val="0"/>
                          <w:rPr>
                            <w:sz w:val="22"/>
                            <w:szCs w:val="22"/>
                          </w:rPr>
                        </w:pPr>
                        <w:r>
                          <w:rPr>
                            <w:sz w:val="22"/>
                            <w:szCs w:val="22"/>
                          </w:rPr>
                          <w:t>Zone 5 : Verviers</w:t>
                        </w:r>
                      </w:p>
                      <w:p>
                        <w:pPr>
                          <w:tabs>
                            <w:tab w:val="num" w:pos="0"/>
                          </w:tabs>
                          <w:snapToGrid w:val="0"/>
                          <w:rPr>
                            <w:sz w:val="22"/>
                            <w:szCs w:val="22"/>
                          </w:rPr>
                        </w:pPr>
                        <w:r>
                          <w:rPr>
                            <w:sz w:val="22"/>
                            <w:szCs w:val="22"/>
                          </w:rPr>
                          <w:t>ANGENOT Jean-François</w:t>
                        </w:r>
                      </w:p>
                      <w:p>
                        <w:pPr>
                          <w:tabs>
                            <w:tab w:val="num" w:pos="0"/>
                          </w:tabs>
                          <w:snapToGrid w:val="0"/>
                          <w:rPr>
                            <w:sz w:val="22"/>
                            <w:szCs w:val="22"/>
                          </w:rPr>
                        </w:pPr>
                        <w:r>
                          <w:rPr>
                            <w:sz w:val="22"/>
                            <w:szCs w:val="22"/>
                          </w:rPr>
                          <w:t>AR Liège 1</w:t>
                        </w:r>
                      </w:p>
                      <w:p>
                        <w:pPr>
                          <w:tabs>
                            <w:tab w:val="num" w:pos="0"/>
                          </w:tabs>
                          <w:snapToGrid w:val="0"/>
                          <w:rPr>
                            <w:sz w:val="22"/>
                            <w:szCs w:val="22"/>
                          </w:rPr>
                        </w:pPr>
                        <w:r>
                          <w:rPr>
                            <w:sz w:val="22"/>
                            <w:szCs w:val="22"/>
                          </w:rPr>
                          <w:t>Rue des Clarisses 13</w:t>
                        </w:r>
                      </w:p>
                      <w:p>
                        <w:pPr>
                          <w:tabs>
                            <w:tab w:val="num" w:pos="0"/>
                          </w:tabs>
                          <w:snapToGrid w:val="0"/>
                          <w:rPr>
                            <w:sz w:val="22"/>
                            <w:szCs w:val="22"/>
                          </w:rPr>
                        </w:pPr>
                        <w:r>
                          <w:rPr>
                            <w:sz w:val="22"/>
                            <w:szCs w:val="22"/>
                          </w:rPr>
                          <w:t xml:space="preserve">4000 </w:t>
                        </w:r>
                        <w:r>
                          <w:rPr>
                            <w:caps/>
                            <w:sz w:val="22"/>
                            <w:szCs w:val="22"/>
                          </w:rPr>
                          <w:t>Liège</w:t>
                        </w:r>
                      </w:p>
                      <w:p>
                        <w:pPr>
                          <w:tabs>
                            <w:tab w:val="num" w:pos="0"/>
                          </w:tabs>
                          <w:snapToGrid w:val="0"/>
                          <w:rPr>
                            <w:sz w:val="22"/>
                            <w:szCs w:val="22"/>
                          </w:rPr>
                        </w:pPr>
                        <w:r>
                          <w:rPr>
                            <w:sz w:val="22"/>
                            <w:szCs w:val="22"/>
                          </w:rPr>
                          <w:sym w:font="Wingdings" w:char="F028"/>
                        </w:r>
                        <w:r>
                          <w:rPr>
                            <w:sz w:val="22"/>
                            <w:szCs w:val="22"/>
                          </w:rPr>
                          <w:t xml:space="preserve"> : 04/223.31.45 – </w:t>
                        </w:r>
                        <w:r>
                          <w:rPr>
                            <w:b/>
                            <w:bCs/>
                            <w:sz w:val="22"/>
                            <w:szCs w:val="22"/>
                          </w:rPr>
                          <w:sym w:font="Webdings" w:char="F0CA"/>
                        </w:r>
                        <w:r>
                          <w:rPr>
                            <w:sz w:val="22"/>
                            <w:szCs w:val="22"/>
                          </w:rPr>
                          <w:t> : 04/223.64.78</w:t>
                        </w:r>
                      </w:p>
                    </w:tc>
                    <w:tc>
                      <w:tcPr>
                        <w:tcW w:w="4672" w:type="dxa"/>
                      </w:tcPr>
                      <w:p>
                        <w:pPr>
                          <w:tabs>
                            <w:tab w:val="num" w:pos="0"/>
                          </w:tabs>
                          <w:snapToGrid w:val="0"/>
                          <w:rPr>
                            <w:sz w:val="22"/>
                            <w:szCs w:val="22"/>
                          </w:rPr>
                        </w:pPr>
                        <w:r>
                          <w:rPr>
                            <w:sz w:val="22"/>
                            <w:szCs w:val="22"/>
                          </w:rPr>
                          <w:t>Zone 10 : Charleroi – Hainaut Sud</w:t>
                        </w:r>
                      </w:p>
                      <w:p>
                        <w:pPr>
                          <w:tabs>
                            <w:tab w:val="num" w:pos="0"/>
                          </w:tabs>
                          <w:snapToGrid w:val="0"/>
                          <w:rPr>
                            <w:sz w:val="22"/>
                            <w:szCs w:val="22"/>
                          </w:rPr>
                        </w:pPr>
                        <w:r>
                          <w:rPr>
                            <w:sz w:val="22"/>
                            <w:szCs w:val="22"/>
                          </w:rPr>
                          <w:t>JONCKERS Bernard</w:t>
                        </w:r>
                      </w:p>
                      <w:p>
                        <w:pPr>
                          <w:tabs>
                            <w:tab w:val="num" w:pos="0"/>
                          </w:tabs>
                          <w:snapToGrid w:val="0"/>
                          <w:rPr>
                            <w:sz w:val="22"/>
                            <w:szCs w:val="22"/>
                          </w:rPr>
                        </w:pPr>
                        <w:r>
                          <w:rPr>
                            <w:sz w:val="22"/>
                            <w:szCs w:val="22"/>
                          </w:rPr>
                          <w:t>Internat annexé à l’AR Jourdan</w:t>
                        </w:r>
                      </w:p>
                      <w:p>
                        <w:pPr>
                          <w:tabs>
                            <w:tab w:val="num" w:pos="0"/>
                          </w:tabs>
                          <w:snapToGrid w:val="0"/>
                          <w:rPr>
                            <w:sz w:val="22"/>
                            <w:szCs w:val="22"/>
                          </w:rPr>
                        </w:pPr>
                        <w:r>
                          <w:rPr>
                            <w:sz w:val="22"/>
                            <w:szCs w:val="22"/>
                          </w:rPr>
                          <w:t>Sentier du Lycée 10</w:t>
                        </w:r>
                      </w:p>
                      <w:p>
                        <w:pPr>
                          <w:tabs>
                            <w:tab w:val="num" w:pos="0"/>
                          </w:tabs>
                          <w:snapToGrid w:val="0"/>
                          <w:rPr>
                            <w:sz w:val="22"/>
                            <w:szCs w:val="22"/>
                          </w:rPr>
                        </w:pPr>
                        <w:r>
                          <w:rPr>
                            <w:sz w:val="22"/>
                            <w:szCs w:val="22"/>
                          </w:rPr>
                          <w:t xml:space="preserve">6220 </w:t>
                        </w:r>
                        <w:r>
                          <w:rPr>
                            <w:caps/>
                            <w:sz w:val="22"/>
                            <w:szCs w:val="22"/>
                          </w:rPr>
                          <w:t>Fleurus</w:t>
                        </w:r>
                      </w:p>
                      <w:p>
                        <w:pPr>
                          <w:tabs>
                            <w:tab w:val="num" w:pos="0"/>
                          </w:tabs>
                          <w:snapToGrid w:val="0"/>
                          <w:rPr>
                            <w:sz w:val="22"/>
                            <w:szCs w:val="22"/>
                          </w:rPr>
                        </w:pPr>
                        <w:r>
                          <w:rPr>
                            <w:sz w:val="22"/>
                            <w:szCs w:val="22"/>
                          </w:rPr>
                          <w:sym w:font="Wingdings" w:char="F028"/>
                        </w:r>
                        <w:r>
                          <w:rPr>
                            <w:sz w:val="22"/>
                            <w:szCs w:val="22"/>
                          </w:rPr>
                          <w:t> : 0498/40.04.60</w:t>
                        </w:r>
                      </w:p>
                    </w:tc>
                  </w:tr>
                </w:tbl>
                <w:p>
                  <w:r>
                    <w:br w:type="page"/>
                  </w:r>
                </w:p>
                <w:p/>
                <w:p>
                  <w:pPr>
                    <w:pStyle w:val="Titre4"/>
                  </w:pPr>
                  <w:bookmarkStart w:id="1220" w:name="_Annexe_13_:_1"/>
                  <w:bookmarkEnd w:id="1220"/>
                  <w:r>
                    <w:t>Annexe 13 </w:t>
                  </w:r>
                  <w:bookmarkEnd w:id="1216"/>
                  <w:r>
                    <w:t xml:space="preserve">: Modèle de procès-verbal de la réunion du conseil de classe d’exclusion - Enseignement organisé par la </w:t>
                  </w:r>
                  <w:bookmarkEnd w:id="1217"/>
                  <w:bookmarkEnd w:id="1218"/>
                  <w:r>
                    <w:t>FWB</w:t>
                  </w:r>
                  <w:bookmarkEnd w:id="1219"/>
                </w:p>
                <w:p>
                  <w:pPr>
                    <w:rPr>
                      <w:rFonts w:cs="Arial"/>
                    </w:rPr>
                  </w:pPr>
                </w:p>
                <w:p>
                  <w:pPr>
                    <w:rPr>
                      <w:rFonts w:cs="Arial"/>
                      <w:spacing w:val="-2"/>
                    </w:rPr>
                  </w:pPr>
                  <w:r>
                    <w:rPr>
                      <w:rFonts w:cs="Arial"/>
                    </w:rPr>
                    <w:t xml:space="preserve">CONSEIL DE CLASSE du </w:t>
                  </w:r>
                  <w:r>
                    <w:rPr>
                      <w:rFonts w:cs="Arial"/>
                    </w:rPr>
                    <w:br/>
                  </w:r>
                  <w:r>
                    <w:rPr>
                      <w:rFonts w:cs="Arial"/>
                    </w:rPr>
                    <w:br/>
                  </w:r>
                  <w:r>
                    <w:rPr>
                      <w:rFonts w:cs="Arial"/>
                      <w:b/>
                      <w:spacing w:val="-2"/>
                      <w:u w:val="single"/>
                    </w:rPr>
                    <w:t>Concerne</w:t>
                  </w:r>
                  <w:r>
                    <w:rPr>
                      <w:rFonts w:cs="Arial"/>
                      <w:b/>
                      <w:spacing w:val="-2"/>
                    </w:rPr>
                    <w:t xml:space="preserve"> :</w:t>
                  </w:r>
                  <w:r>
                    <w:rPr>
                      <w:rFonts w:cs="Arial"/>
                      <w:spacing w:val="-2"/>
                    </w:rPr>
                    <w:t xml:space="preserve"> </w:t>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t xml:space="preserve">élève de </w:t>
                  </w:r>
                </w:p>
                <w:p>
                  <w:pPr>
                    <w:rPr>
                      <w:rFonts w:cs="Arial"/>
                      <w:b/>
                      <w:spacing w:val="-2"/>
                    </w:rPr>
                  </w:pPr>
                </w:p>
                <w:p>
                  <w:pPr>
                    <w:rPr>
                      <w:rFonts w:cs="Arial"/>
                      <w:spacing w:val="-2"/>
                    </w:rPr>
                  </w:pPr>
                  <w:r>
                    <w:rPr>
                      <w:rFonts w:cs="Arial"/>
                      <w:b/>
                      <w:spacing w:val="-2"/>
                      <w:u w:val="single"/>
                    </w:rPr>
                    <w:t>Présents</w:t>
                  </w:r>
                  <w:r>
                    <w:rPr>
                      <w:rFonts w:cs="Arial"/>
                      <w:b/>
                      <w:spacing w:val="-2"/>
                    </w:rPr>
                    <w:t xml:space="preserve"> :</w:t>
                  </w:r>
                  <w:r>
                    <w:rPr>
                      <w:rFonts w:cs="Arial"/>
                      <w:b/>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t>, Chef(fe) d’établissement,</w:t>
                  </w:r>
                </w:p>
                <w:p>
                  <w:pPr>
                    <w:rPr>
                      <w:rFonts w:cs="Arial"/>
                      <w:spacing w:val="-2"/>
                    </w:rPr>
                  </w:pPr>
                </w:p>
                <w:p>
                  <w:pPr>
                    <w:rPr>
                      <w:rFonts w:cs="Arial"/>
                      <w:spacing w:val="-2"/>
                    </w:rPr>
                  </w:pPr>
                  <w:r>
                    <w:rPr>
                      <w:rFonts w:cs="Arial"/>
                      <w:spacing w:val="-2"/>
                    </w:rPr>
                    <w:t>Mesdames et Messieurs ...................................................…………………………………....………….………………….……………………………………………………………………………………………………..…………………………………………………,professeurs,</w:t>
                  </w:r>
                </w:p>
                <w:p>
                  <w:pPr>
                    <w:rPr>
                      <w:rFonts w:cs="Arial"/>
                      <w:spacing w:val="-2"/>
                    </w:rPr>
                  </w:pPr>
                </w:p>
                <w:p>
                  <w:pPr>
                    <w:rPr>
                      <w:rFonts w:cs="Arial"/>
                      <w:spacing w:val="-2"/>
                    </w:rPr>
                  </w:pPr>
                </w:p>
                <w:p>
                  <w:pPr>
                    <w:rPr>
                      <w:rFonts w:cs="Arial"/>
                      <w:spacing w:val="-2"/>
                    </w:rPr>
                  </w:pPr>
                </w:p>
                <w:p>
                  <w:pPr>
                    <w:rPr>
                      <w:rFonts w:cs="Arial"/>
                      <w:b/>
                      <w:spacing w:val="-2"/>
                    </w:rPr>
                  </w:pPr>
                  <w:r>
                    <w:rPr>
                      <w:rFonts w:cs="Arial"/>
                      <w:b/>
                      <w:spacing w:val="-2"/>
                      <w:u w:val="single"/>
                    </w:rPr>
                    <w:t>Absents</w:t>
                  </w:r>
                  <w:r>
                    <w:rPr>
                      <w:rFonts w:cs="Arial"/>
                      <w:b/>
                      <w:spacing w:val="-2"/>
                    </w:rPr>
                    <w:t xml:space="preserve"> : </w:t>
                  </w:r>
                </w:p>
                <w:p>
                  <w:pPr>
                    <w:rPr>
                      <w:rFonts w:cs="Arial"/>
                      <w:b/>
                      <w:spacing w:val="-2"/>
                    </w:rPr>
                  </w:pPr>
                </w:p>
                <w:p>
                  <w:pPr>
                    <w:jc w:val="both"/>
                    <w:rPr>
                      <w:rFonts w:cs="Arial"/>
                      <w:spacing w:val="-2"/>
                    </w:rPr>
                  </w:pPr>
                  <w:r>
                    <w:rPr>
                      <w:rFonts w:cs="Arial"/>
                      <w:b/>
                      <w:spacing w:val="-2"/>
                      <w:u w:val="single"/>
                    </w:rPr>
                    <w:t>Fait(s) reproché(s) à l'élève</w:t>
                  </w:r>
                  <w:r>
                    <w:rPr>
                      <w:rFonts w:cs="Arial"/>
                      <w:spacing w:val="-2"/>
                    </w:rPr>
                    <w:t xml:space="preserve"> (identiques aux faits repris dans la convocation à l’audition de l’élève majeur ou des parents de l’élève mineur et de celui-ci ou de la personne investie de l’autorité parentale et de l’élève mineur):</w:t>
                  </w:r>
                </w:p>
                <w:p>
                  <w:pPr>
                    <w:jc w:val="both"/>
                    <w:rPr>
                      <w:rFonts w:cs="Arial"/>
                      <w:spacing w:val="-2"/>
                    </w:rPr>
                  </w:pPr>
                  <w:r>
                    <w:rPr>
                      <w:rFonts w:cs="Arial"/>
                      <w:spacing w:val="-2"/>
                    </w:rPr>
                    <w:t>-..............................................................................................................................................…………………</w:t>
                  </w:r>
                </w:p>
                <w:p>
                  <w:pPr>
                    <w:jc w:val="both"/>
                    <w:rPr>
                      <w:rFonts w:cs="Arial"/>
                      <w:spacing w:val="-2"/>
                    </w:rPr>
                  </w:pPr>
                  <w:r>
                    <w:rPr>
                      <w:rFonts w:cs="Arial"/>
                      <w:spacing w:val="-2"/>
                    </w:rPr>
                    <w:t>-..............................................................................................................................................…………………</w:t>
                  </w:r>
                </w:p>
                <w:p>
                  <w:pPr>
                    <w:jc w:val="both"/>
                    <w:rPr>
                      <w:rFonts w:cs="Arial"/>
                      <w:spacing w:val="-2"/>
                    </w:rPr>
                  </w:pPr>
                  <w:r>
                    <w:rPr>
                      <w:rFonts w:cs="Arial"/>
                      <w:spacing w:val="-2"/>
                    </w:rPr>
                    <w:t>-..............................................................................................................................................…………………</w:t>
                  </w:r>
                </w:p>
                <w:p>
                  <w:pPr>
                    <w:jc w:val="both"/>
                    <w:rPr>
                      <w:rFonts w:cs="Arial"/>
                      <w:spacing w:val="-2"/>
                    </w:rPr>
                  </w:pPr>
                </w:p>
                <w:p>
                  <w:pPr>
                    <w:jc w:val="both"/>
                    <w:rPr>
                      <w:rFonts w:cs="Arial"/>
                      <w:spacing w:val="-2"/>
                    </w:rPr>
                  </w:pPr>
                  <w:r>
                    <w:rPr>
                      <w:rFonts w:cs="Arial"/>
                      <w:spacing w:val="-2"/>
                    </w:rPr>
                    <w:t>Ils ont fait l'objet :</w:t>
                  </w:r>
                </w:p>
                <w:p>
                  <w:pPr>
                    <w:jc w:val="both"/>
                    <w:rPr>
                      <w:rFonts w:cs="Arial"/>
                      <w:spacing w:val="-2"/>
                    </w:rPr>
                  </w:pPr>
                </w:p>
                <w:p>
                  <w:pPr>
                    <w:jc w:val="both"/>
                    <w:rPr>
                      <w:rFonts w:cs="Arial"/>
                      <w:spacing w:val="-2"/>
                    </w:rPr>
                  </w:pPr>
                  <w:r>
                    <w:rPr>
                      <w:rFonts w:cs="Arial"/>
                      <w:spacing w:val="-2"/>
                    </w:rPr>
                    <w:t xml:space="preserve">- de la (des) lettre(s) du (des) </w:t>
                  </w:r>
                </w:p>
                <w:p>
                  <w:pPr>
                    <w:jc w:val="both"/>
                    <w:rPr>
                      <w:rFonts w:cs="Arial"/>
                      <w:spacing w:val="-2"/>
                    </w:rPr>
                  </w:pPr>
                </w:p>
                <w:p>
                  <w:pPr>
                    <w:jc w:val="both"/>
                    <w:rPr>
                      <w:rFonts w:cs="Arial"/>
                    </w:rPr>
                  </w:pPr>
                  <w:r>
                    <w:rPr>
                      <w:rFonts w:cs="Arial"/>
                    </w:rPr>
                    <w:t xml:space="preserve">- de la (des) note(s) au journal de classe du (des) </w:t>
                  </w:r>
                </w:p>
                <w:p>
                  <w:pPr>
                    <w:jc w:val="both"/>
                    <w:rPr>
                      <w:rFonts w:cs="Arial"/>
                    </w:rPr>
                  </w:pPr>
                </w:p>
                <w:p>
                  <w:pPr>
                    <w:jc w:val="both"/>
                    <w:rPr>
                      <w:rFonts w:cs="Arial"/>
                    </w:rPr>
                  </w:pPr>
                  <w:r>
                    <w:rPr>
                      <w:rFonts w:cs="Arial"/>
                    </w:rPr>
                    <w:t xml:space="preserve">- de l'(des) entretien(s) du (des) </w:t>
                  </w:r>
                </w:p>
                <w:p>
                  <w:pPr>
                    <w:jc w:val="both"/>
                    <w:rPr>
                      <w:rFonts w:cs="Arial"/>
                    </w:rPr>
                  </w:pPr>
                </w:p>
                <w:p>
                  <w:pPr>
                    <w:jc w:val="both"/>
                    <w:rPr>
                      <w:rFonts w:cs="Arial"/>
                      <w:spacing w:val="-2"/>
                    </w:rPr>
                  </w:pPr>
                  <w:r>
                    <w:rPr>
                      <w:rFonts w:cs="Arial"/>
                      <w:spacing w:val="-2"/>
                    </w:rPr>
                    <w:t xml:space="preserve">- du procès-verbal de l'audition préalable du </w:t>
                  </w:r>
                </w:p>
                <w:p>
                  <w:pPr>
                    <w:jc w:val="both"/>
                    <w:rPr>
                      <w:rFonts w:cs="Arial"/>
                      <w:spacing w:val="-2"/>
                    </w:rPr>
                  </w:pPr>
                </w:p>
                <w:p>
                  <w:pPr>
                    <w:jc w:val="both"/>
                    <w:rPr>
                      <w:rFonts w:cs="Arial"/>
                      <w:spacing w:val="-2"/>
                    </w:rPr>
                  </w:pPr>
                  <w:r>
                    <w:rPr>
                      <w:rFonts w:cs="Arial"/>
                      <w:spacing w:val="-2"/>
                    </w:rPr>
                    <w:t xml:space="preserve">- du procès-verbal de l'audition du </w:t>
                  </w:r>
                </w:p>
                <w:p>
                  <w:pPr>
                    <w:jc w:val="both"/>
                    <w:rPr>
                      <w:rFonts w:cs="Arial"/>
                      <w:spacing w:val="-2"/>
                    </w:rPr>
                  </w:pPr>
                </w:p>
                <w:p>
                  <w:pPr>
                    <w:jc w:val="both"/>
                    <w:rPr>
                      <w:rFonts w:cs="Arial"/>
                      <w:spacing w:val="-2"/>
                    </w:rPr>
                  </w:pPr>
                  <w:r>
                    <w:rPr>
                      <w:rFonts w:cs="Arial"/>
                      <w:spacing w:val="-2"/>
                    </w:rPr>
                    <w:t xml:space="preserve">Après examen de cette (ces) pièce(s), le Conseil de classe est d'avis, dans l'intérêt de l'établissement et des autres élèves de l’établissement, </w:t>
                  </w:r>
                </w:p>
                <w:p>
                  <w:pPr>
                    <w:jc w:val="both"/>
                    <w:rPr>
                      <w:rFonts w:cs="Arial"/>
                      <w:spacing w:val="-2"/>
                    </w:rPr>
                  </w:pPr>
                  <w:r>
                    <w:rPr>
                      <w:rFonts w:cs="Arial"/>
                      <w:spacing w:val="-2"/>
                    </w:rPr>
                    <w:t>1)</w:t>
                  </w:r>
                  <w:r>
                    <w:rPr>
                      <w:rFonts w:cs="Arial"/>
                      <w:spacing w:val="-2"/>
                    </w:rPr>
                    <w:tab/>
                    <w:t>de ne pas exclure l’élève ;</w:t>
                  </w:r>
                </w:p>
                <w:p>
                  <w:pPr>
                    <w:jc w:val="both"/>
                    <w:rPr>
                      <w:rFonts w:cs="Arial"/>
                    </w:rPr>
                  </w:pPr>
                  <w:r>
                    <w:rPr>
                      <w:rFonts w:cs="Arial"/>
                    </w:rPr>
                    <w:t>2)</w:t>
                  </w:r>
                  <w:r>
                    <w:rPr>
                      <w:rFonts w:cs="Arial"/>
                    </w:rPr>
                    <w:tab/>
                    <w:t>d'exclure définitivement l'élève.</w:t>
                  </w:r>
                </w:p>
                <w:p>
                  <w:pPr>
                    <w:jc w:val="both"/>
                    <w:rPr>
                      <w:rFonts w:cs="Arial"/>
                      <w:spacing w:val="-2"/>
                    </w:rPr>
                  </w:pPr>
                </w:p>
                <w:p>
                  <w:pPr>
                    <w:jc w:val="both"/>
                    <w:rPr>
                      <w:rFonts w:cs="Arial"/>
                      <w:spacing w:val="-2"/>
                    </w:rPr>
                  </w:pPr>
                  <w:r>
                    <w:rPr>
                      <w:rFonts w:cs="Arial"/>
                      <w:spacing w:val="-2"/>
                    </w:rPr>
                    <w:t>pour les raisons suivantes :</w:t>
                  </w:r>
                </w:p>
                <w:p>
                  <w:pPr>
                    <w:jc w:val="both"/>
                    <w:rPr>
                      <w:rFonts w:cs="Arial"/>
                      <w:spacing w:val="-2"/>
                    </w:rPr>
                  </w:pPr>
                  <w:r>
                    <w:rPr>
                      <w:rFonts w:cs="Arial"/>
                      <w:spacing w:val="-2"/>
                    </w:rPr>
                    <w:t>......................................................……………………………………………………………………………..………………………………………………………………………………………………….....................................................…………………………………………………………………………………………………………………………………………….……………………</w:t>
                  </w:r>
                </w:p>
                <w:p>
                  <w:pPr>
                    <w:rPr>
                      <w:rFonts w:cs="Arial"/>
                      <w:spacing w:val="-2"/>
                    </w:rPr>
                  </w:pPr>
                </w:p>
                <w:p>
                  <w:pPr>
                    <w:rPr>
                      <w:rFonts w:cs="Arial"/>
                      <w:spacing w:val="-2"/>
                    </w:rPr>
                  </w:pPr>
                  <w:r>
                    <w:rPr>
                      <w:rFonts w:cs="Arial"/>
                      <w:spacing w:val="-2"/>
                    </w:rPr>
                    <w:t>Fait à</w:t>
                  </w:r>
                  <w:r>
                    <w:rPr>
                      <w:rFonts w:cs="Arial"/>
                      <w:spacing w:val="-2"/>
                    </w:rPr>
                    <w:tab/>
                  </w:r>
                  <w:r>
                    <w:rPr>
                      <w:rFonts w:cs="Arial"/>
                      <w:spacing w:val="-2"/>
                    </w:rPr>
                    <w:tab/>
                  </w:r>
                  <w:r>
                    <w:rPr>
                      <w:rFonts w:cs="Arial"/>
                      <w:spacing w:val="-2"/>
                    </w:rPr>
                    <w:tab/>
                  </w:r>
                  <w:r>
                    <w:rPr>
                      <w:rFonts w:cs="Arial"/>
                      <w:spacing w:val="-2"/>
                    </w:rPr>
                    <w:tab/>
                    <w:t>, le</w:t>
                  </w:r>
                </w:p>
                <w:p>
                  <w:pPr>
                    <w:rPr>
                      <w:rFonts w:cs="Arial"/>
                      <w:spacing w:val="-2"/>
                    </w:rPr>
                  </w:pPr>
                </w:p>
                <w:p>
                  <w:pPr>
                    <w:rPr>
                      <w:rFonts w:cs="Arial"/>
                      <w:spacing w:val="-2"/>
                    </w:rPr>
                  </w:pPr>
                  <w:r>
                    <w:rPr>
                      <w:rFonts w:cs="Arial"/>
                      <w:spacing w:val="-2"/>
                    </w:rPr>
                    <w:t xml:space="preserve">Signature du (de la) Chef(fe) d’établissement : </w:t>
                  </w:r>
                </w:p>
                <w:p>
                  <w:pPr>
                    <w:rPr>
                      <w:rFonts w:cs="Arial"/>
                      <w:spacing w:val="-2"/>
                    </w:rPr>
                  </w:pPr>
                  <w:r>
                    <w:rPr>
                      <w:rFonts w:cs="Arial"/>
                      <w:spacing w:val="-2"/>
                    </w:rPr>
                    <w:br w:type="page"/>
                  </w:r>
                </w:p>
                <w:p>
                  <w:pPr>
                    <w:pStyle w:val="Titre4"/>
                  </w:pPr>
                  <w:bookmarkStart w:id="1221" w:name="_Annexe_14_:"/>
                  <w:bookmarkStart w:id="1222" w:name="annexe19"/>
                  <w:bookmarkStart w:id="1223" w:name="_Toc412204112"/>
                  <w:bookmarkStart w:id="1224" w:name="_Toc414352920"/>
                  <w:bookmarkStart w:id="1225" w:name="_Toc453836944"/>
                  <w:bookmarkEnd w:id="1221"/>
                  <w:r>
                    <w:t>Annexe 14 </w:t>
                  </w:r>
                  <w:bookmarkEnd w:id="1222"/>
                  <w:r>
                    <w:t xml:space="preserve">: Procédure d’exclusion définitive : Procès-verbal d’audition de l’élève et ses parents - Enseignement organisé par la </w:t>
                  </w:r>
                  <w:bookmarkEnd w:id="1223"/>
                  <w:bookmarkEnd w:id="1224"/>
                  <w:r>
                    <w:t>FWB</w:t>
                  </w:r>
                  <w:bookmarkEnd w:id="1225"/>
                </w:p>
                <w:p>
                  <w:pPr>
                    <w:jc w:val="both"/>
                  </w:pPr>
                </w:p>
                <w:p>
                  <w:pPr>
                    <w:jc w:val="center"/>
                    <w:rPr>
                      <w:i/>
                    </w:rPr>
                  </w:pPr>
                  <w:bookmarkStart w:id="1226" w:name="_Toc412204113"/>
                  <w:bookmarkStart w:id="1227" w:name="_Toc414352921"/>
                  <w:bookmarkStart w:id="1228" w:name="_Toc453836945"/>
                  <w:r>
                    <w:rPr>
                      <w:i/>
                    </w:rPr>
                    <w:t>A adapter pour l’élève majeur</w:t>
                  </w:r>
                  <w:bookmarkEnd w:id="1226"/>
                  <w:bookmarkEnd w:id="1227"/>
                  <w:bookmarkEnd w:id="1228"/>
                </w:p>
                <w:p>
                  <w:pPr>
                    <w:jc w:val="both"/>
                    <w:rPr>
                      <w:rFonts w:cs="Arial"/>
                    </w:rPr>
                  </w:pPr>
                </w:p>
                <w:p>
                  <w:pPr>
                    <w:jc w:val="both"/>
                  </w:pPr>
                  <w:r>
                    <w:t>Nom :</w:t>
                  </w:r>
                </w:p>
                <w:p>
                  <w:pPr>
                    <w:jc w:val="both"/>
                  </w:pPr>
                  <w:r>
                    <w:t>Prénom :</w:t>
                  </w:r>
                </w:p>
                <w:p>
                  <w:pPr>
                    <w:jc w:val="both"/>
                  </w:pPr>
                  <w:r>
                    <w:t>Date de naissance :</w:t>
                  </w:r>
                </w:p>
                <w:p>
                  <w:pPr>
                    <w:jc w:val="both"/>
                  </w:pPr>
                  <w:r>
                    <w:t>Classe :</w:t>
                  </w:r>
                </w:p>
                <w:p>
                  <w:pPr>
                    <w:jc w:val="both"/>
                  </w:pPr>
                </w:p>
                <w:p>
                  <w:pPr>
                    <w:jc w:val="both"/>
                  </w:pPr>
                  <w:r>
                    <w:rPr>
                      <w:u w:val="single"/>
                    </w:rPr>
                    <w:t>Documents mis à disposition de l’élève et ses parents</w:t>
                  </w:r>
                  <w:r>
                    <w:t xml:space="preserve"> :</w:t>
                  </w:r>
                </w:p>
                <w:p>
                  <w:pPr>
                    <w:jc w:val="both"/>
                  </w:pPr>
                </w:p>
                <w:p>
                  <w:pPr>
                    <w:numPr>
                      <w:ilvl w:val="0"/>
                      <w:numId w:val="110"/>
                    </w:numPr>
                    <w:ind w:left="851" w:hanging="709"/>
                    <w:jc w:val="both"/>
                  </w:pPr>
                  <w:r>
                    <w:t>dossier disciplinaire. (Faits antérieurs).</w:t>
                  </w:r>
                </w:p>
                <w:p>
                  <w:pPr>
                    <w:ind w:left="851" w:hanging="709"/>
                    <w:jc w:val="both"/>
                  </w:pPr>
                </w:p>
                <w:p>
                  <w:pPr>
                    <w:numPr>
                      <w:ilvl w:val="0"/>
                      <w:numId w:val="110"/>
                    </w:numPr>
                    <w:ind w:left="851" w:hanging="709"/>
                    <w:jc w:val="both"/>
                  </w:pPr>
                  <w:r>
                    <w:t>rapport d’incident. (Fait(s) qui donne(nt) lieu à la procédure d’exclusion).</w:t>
                  </w:r>
                </w:p>
                <w:p>
                  <w:pPr>
                    <w:ind w:left="851" w:hanging="709"/>
                    <w:jc w:val="both"/>
                  </w:pPr>
                </w:p>
                <w:p>
                  <w:pPr>
                    <w:numPr>
                      <w:ilvl w:val="0"/>
                      <w:numId w:val="110"/>
                    </w:numPr>
                    <w:ind w:left="851" w:hanging="709"/>
                    <w:jc w:val="both"/>
                  </w:pPr>
                  <w:r>
                    <w:t>témoignages.</w:t>
                  </w:r>
                </w:p>
                <w:p>
                  <w:pPr>
                    <w:ind w:left="851" w:hanging="709"/>
                    <w:jc w:val="both"/>
                  </w:pPr>
                </w:p>
                <w:p>
                  <w:pPr>
                    <w:numPr>
                      <w:ilvl w:val="0"/>
                      <w:numId w:val="110"/>
                    </w:numPr>
                    <w:ind w:left="851" w:hanging="709"/>
                    <w:jc w:val="both"/>
                  </w:pPr>
                  <w:r>
                    <w:t>autres (à préciser) :</w:t>
                  </w:r>
                </w:p>
                <w:p>
                  <w:pPr>
                    <w:jc w:val="both"/>
                  </w:pPr>
                </w:p>
                <w:p>
                  <w:pPr>
                    <w:jc w:val="both"/>
                  </w:pPr>
                  <w:r>
                    <w:rPr>
                      <w:u w:val="single"/>
                    </w:rPr>
                    <w:t>Personnes présentes</w:t>
                  </w:r>
                  <w:r>
                    <w:t> :</w:t>
                  </w:r>
                </w:p>
                <w:p>
                  <w:pPr>
                    <w:jc w:val="both"/>
                  </w:pPr>
                </w:p>
                <w:p>
                  <w:pPr>
                    <w:jc w:val="both"/>
                  </w:pPr>
                </w:p>
                <w:p>
                  <w:pPr>
                    <w:jc w:val="both"/>
                  </w:pPr>
                </w:p>
                <w:p>
                  <w:pPr>
                    <w:jc w:val="both"/>
                  </w:pPr>
                </w:p>
                <w:p>
                  <w:pPr>
                    <w:jc w:val="both"/>
                  </w:pPr>
                  <w:r>
                    <w:rPr>
                      <w:u w:val="single"/>
                    </w:rPr>
                    <w:t>Version des faits présentée par le (la) Chef(fe) d’établissement</w:t>
                  </w:r>
                  <w:r>
                    <w:t> :</w:t>
                  </w:r>
                </w:p>
                <w:p>
                  <w:pPr>
                    <w:jc w:val="both"/>
                  </w:pPr>
                </w:p>
                <w:p>
                  <w:pPr>
                    <w:jc w:val="both"/>
                  </w:pPr>
                </w:p>
                <w:p>
                  <w:pPr>
                    <w:jc w:val="both"/>
                  </w:pPr>
                </w:p>
                <w:p>
                  <w:pPr>
                    <w:jc w:val="both"/>
                  </w:pPr>
                </w:p>
                <w:p>
                  <w:pPr>
                    <w:jc w:val="both"/>
                  </w:pPr>
                </w:p>
                <w:p>
                  <w:pPr>
                    <w:jc w:val="both"/>
                  </w:pPr>
                  <w:r>
                    <w:rPr>
                      <w:u w:val="single"/>
                    </w:rPr>
                    <w:t>Commentaires de l’élève/des parents</w:t>
                  </w:r>
                  <w:r>
                    <w:t> :</w:t>
                  </w:r>
                </w:p>
                <w:p>
                  <w:pPr>
                    <w:jc w:val="both"/>
                  </w:pPr>
                </w:p>
                <w:p>
                  <w:pPr>
                    <w:jc w:val="both"/>
                  </w:pPr>
                </w:p>
                <w:p>
                  <w:pPr>
                    <w:jc w:val="both"/>
                  </w:pPr>
                </w:p>
                <w:p>
                  <w:pPr>
                    <w:jc w:val="both"/>
                  </w:pPr>
                  <w:r>
                    <w:t xml:space="preserve">Fait à                  </w:t>
                  </w:r>
                </w:p>
                <w:p>
                  <w:pPr>
                    <w:jc w:val="both"/>
                  </w:pPr>
                </w:p>
                <w:p>
                  <w:pPr>
                    <w:jc w:val="both"/>
                  </w:pPr>
                  <w:r>
                    <w:t xml:space="preserve">Le  ………………                 </w:t>
                  </w:r>
                </w:p>
                <w:p>
                  <w:pPr>
                    <w:jc w:val="both"/>
                  </w:pPr>
                </w:p>
                <w:p>
                  <w:pPr>
                    <w:jc w:val="both"/>
                  </w:pPr>
                </w:p>
                <w:p>
                  <w:pPr>
                    <w:jc w:val="both"/>
                  </w:pPr>
                  <w:r>
                    <w:rPr>
                      <w:u w:val="single"/>
                    </w:rPr>
                    <w:t>Signature des personnes présentes précédée de la mention « lu et approuvé »</w:t>
                  </w:r>
                  <w:r>
                    <w:t>:</w:t>
                  </w:r>
                </w:p>
                <w:p>
                  <w:pPr>
                    <w:rPr>
                      <w:spacing w:val="-2"/>
                    </w:rPr>
                  </w:pPr>
                  <w:r>
                    <w:rPr>
                      <w:spacing w:val="-2"/>
                    </w:rPr>
                    <w:br w:type="page"/>
                  </w:r>
                </w:p>
                <w:p>
                  <w:pPr>
                    <w:pStyle w:val="Titre4"/>
                  </w:pPr>
                  <w:bookmarkStart w:id="1229" w:name="_Annexe_20_:"/>
                  <w:bookmarkStart w:id="1230" w:name="annexe20"/>
                  <w:bookmarkStart w:id="1231" w:name="_Toc412204114"/>
                  <w:bookmarkStart w:id="1232" w:name="_Toc414352922"/>
                  <w:bookmarkStart w:id="1233" w:name="_Toc453836946"/>
                  <w:bookmarkEnd w:id="1229"/>
                  <w:r>
                    <w:t>Annexe 15 </w:t>
                  </w:r>
                  <w:bookmarkEnd w:id="1230"/>
                  <w:r>
                    <w:t>: Coordonnées des services d’accrochage-scolaire (articles 31 à 33 du décret « sectoriel »</w:t>
                  </w:r>
                  <w:bookmarkEnd w:id="1231"/>
                  <w:bookmarkEnd w:id="1232"/>
                  <w:r>
                    <w:t xml:space="preserve"> du 21 novembre 2013)</w:t>
                  </w:r>
                  <w:bookmarkEnd w:id="1233"/>
                </w:p>
                <w:p/>
                <w:tbl>
                  <w:tblPr>
                    <w:tblStyle w:val="Grilledutableau"/>
                    <w:tblW w:w="0" w:type="auto"/>
                    <w:tblInd w:w="-147" w:type="dxa"/>
                    <w:tblLook w:val="04A0" w:firstRow="1" w:lastRow="0" w:firstColumn="1" w:lastColumn="0" w:noHBand="0" w:noVBand="1"/>
                  </w:tblPr>
                  <w:tblGrid>
                    <w:gridCol w:w="4819"/>
                    <w:gridCol w:w="4672"/>
                  </w:tblGrid>
                  <w:tr>
                    <w:tc>
                      <w:tcPr>
                        <w:tcW w:w="4819" w:type="dxa"/>
                      </w:tcPr>
                      <w:p>
                        <w:pPr>
                          <w:jc w:val="center"/>
                          <w:rPr>
                            <w:b/>
                            <w:sz w:val="22"/>
                            <w:szCs w:val="22"/>
                          </w:rPr>
                        </w:pPr>
                        <w:r>
                          <w:rPr>
                            <w:b/>
                            <w:sz w:val="22"/>
                            <w:szCs w:val="22"/>
                          </w:rPr>
                          <w:t>Zone de Bruxelles-Capitale</w:t>
                        </w:r>
                      </w:p>
                      <w:p>
                        <w:pPr>
                          <w:pStyle w:val="Corpsdetexte"/>
                        </w:pPr>
                        <w:r>
                          <w:t>PARENTHESE – SAS de Bruxelles</w:t>
                        </w:r>
                      </w:p>
                      <w:p>
                        <w:pPr>
                          <w:pStyle w:val="Corpsdetexte"/>
                          <w:rPr>
                            <w:u w:val="single"/>
                          </w:rPr>
                        </w:pPr>
                        <w:r>
                          <w:t>Maurice CORNIL</w:t>
                        </w:r>
                      </w:p>
                      <w:p>
                        <w:pPr>
                          <w:pStyle w:val="Corpsdetexte"/>
                        </w:pPr>
                        <w:r>
                          <w:t>Rue Haute, 88 - 1000 BRUXELLES</w:t>
                        </w:r>
                      </w:p>
                      <w:p>
                        <w:pPr>
                          <w:pStyle w:val="Corpsdetexte"/>
                        </w:pPr>
                        <w:r>
                          <w:sym w:font="Webdings" w:char="F0C9"/>
                        </w:r>
                        <w:r>
                          <w:t xml:space="preserve"> : 02/514.93.15 - </w:t>
                        </w:r>
                        <w:r>
                          <w:sym w:font="Webdings" w:char="F0CA"/>
                        </w:r>
                        <w:r>
                          <w:t> : 02/514.99.16</w:t>
                        </w:r>
                      </w:p>
                      <w:p>
                        <w:pPr>
                          <w:pStyle w:val="Corpsdetexte"/>
                        </w:pPr>
                        <w:r>
                          <w:sym w:font="Webdings" w:char="F0C8"/>
                        </w:r>
                        <w:r>
                          <w:t> : 0486/18.88.89</w:t>
                        </w:r>
                      </w:p>
                      <w:p>
                        <w:pPr>
                          <w:pStyle w:val="Corpsdetexte"/>
                          <w:rPr>
                            <w:bCs/>
                          </w:rPr>
                        </w:pPr>
                        <w:r>
                          <w:rPr>
                            <w:bCs/>
                          </w:rPr>
                          <w:sym w:font="Wingdings" w:char="F03A"/>
                        </w:r>
                        <w:r>
                          <w:rPr>
                            <w:bCs/>
                          </w:rPr>
                          <w:t xml:space="preserve">: </w:t>
                        </w:r>
                        <w:hyperlink r:id="rId93" w:history="1">
                          <w:r>
                            <w:rPr>
                              <w:rStyle w:val="Lienhypertexte"/>
                              <w:sz w:val="22"/>
                              <w:szCs w:val="22"/>
                            </w:rPr>
                            <w:t>info@sas-parenthese.be</w:t>
                          </w:r>
                        </w:hyperlink>
                      </w:p>
                      <w:p>
                        <w:pPr>
                          <w:jc w:val="center"/>
                          <w:rPr>
                            <w:sz w:val="22"/>
                            <w:szCs w:val="22"/>
                          </w:rPr>
                        </w:pPr>
                        <w:r>
                          <w:rPr>
                            <w:sz w:val="22"/>
                            <w:szCs w:val="22"/>
                          </w:rPr>
                          <w:t xml:space="preserve">Site Internet : </w:t>
                        </w:r>
                        <w:r>
                          <w:rPr>
                            <w:bCs/>
                            <w:color w:val="0000FF"/>
                            <w:sz w:val="22"/>
                            <w:szCs w:val="22"/>
                          </w:rPr>
                          <w:t>www.sas-parenthese.be</w:t>
                        </w:r>
                      </w:p>
                    </w:tc>
                    <w:tc>
                      <w:tcPr>
                        <w:tcW w:w="4672" w:type="dxa"/>
                      </w:tcPr>
                      <w:p>
                        <w:pPr>
                          <w:jc w:val="center"/>
                          <w:rPr>
                            <w:b/>
                            <w:sz w:val="22"/>
                            <w:szCs w:val="22"/>
                          </w:rPr>
                        </w:pPr>
                        <w:r>
                          <w:rPr>
                            <w:b/>
                            <w:sz w:val="22"/>
                            <w:szCs w:val="22"/>
                          </w:rPr>
                          <w:t>Zone de Liège-Verviers</w:t>
                        </w:r>
                      </w:p>
                      <w:p>
                        <w:pPr>
                          <w:pStyle w:val="Corpsdetexte"/>
                        </w:pPr>
                        <w:r>
                          <w:t>« Compas-Format »  ASBL</w:t>
                        </w:r>
                      </w:p>
                      <w:p>
                        <w:pPr>
                          <w:pStyle w:val="Corpsdetexte"/>
                          <w:rPr>
                            <w:iCs/>
                          </w:rPr>
                        </w:pPr>
                        <w:r>
                          <w:t>Frédéric DUPREZ</w:t>
                        </w:r>
                      </w:p>
                      <w:p>
                        <w:pPr>
                          <w:pStyle w:val="Corpsdetexte"/>
                        </w:pPr>
                        <w:r>
                          <w:t>Rue Collard Trouillet, 12 - 4100 SERAING</w:t>
                        </w:r>
                      </w:p>
                      <w:p>
                        <w:pPr>
                          <w:pStyle w:val="Corpsdetexte"/>
                          <w:rPr>
                            <w:lang w:val="fr-FR"/>
                          </w:rPr>
                        </w:pPr>
                        <w:r>
                          <w:sym w:font="Webdings" w:char="F0C9"/>
                        </w:r>
                        <w:r>
                          <w:rPr>
                            <w:lang w:val="fr-FR"/>
                          </w:rPr>
                          <w:t xml:space="preserve"> : 04/330.97.10  - </w:t>
                        </w:r>
                        <w:r>
                          <w:sym w:font="Webdings" w:char="F0CA"/>
                        </w:r>
                        <w:r>
                          <w:rPr>
                            <w:lang w:val="fr-FR"/>
                          </w:rPr>
                          <w:t xml:space="preserve"> : 04/330.97.12</w:t>
                        </w:r>
                      </w:p>
                      <w:p>
                        <w:pPr>
                          <w:pStyle w:val="Corpsdetexte"/>
                          <w:rPr>
                            <w:lang w:val="fr-FR"/>
                          </w:rPr>
                        </w:pPr>
                        <w:r>
                          <w:rPr>
                            <w:lang w:val="nl-NL"/>
                          </w:rPr>
                          <w:sym w:font="Webdings" w:char="F0C8"/>
                        </w:r>
                        <w:r>
                          <w:t xml:space="preserve"> : </w:t>
                        </w:r>
                        <w:r>
                          <w:rPr>
                            <w:lang w:val="fr-FR"/>
                          </w:rPr>
                          <w:t>0494/82</w:t>
                        </w:r>
                        <w:r>
                          <w:t>.53.28</w:t>
                        </w:r>
                      </w:p>
                      <w:p>
                        <w:pPr>
                          <w:pStyle w:val="Corpsdetexte"/>
                          <w:rPr>
                            <w:bCs/>
                          </w:rPr>
                        </w:pPr>
                        <w:r>
                          <w:rPr>
                            <w:bCs/>
                          </w:rPr>
                          <w:sym w:font="Wingdings" w:char="F03A"/>
                        </w:r>
                        <w:r>
                          <w:rPr>
                            <w:bCs/>
                          </w:rPr>
                          <w:t xml:space="preserve">: </w:t>
                        </w:r>
                        <w:hyperlink r:id="rId94" w:history="1">
                          <w:r>
                            <w:rPr>
                              <w:rStyle w:val="Lienhypertexte"/>
                              <w:sz w:val="22"/>
                              <w:szCs w:val="22"/>
                            </w:rPr>
                            <w:t>frederic.duprez@compas-format.eu</w:t>
                          </w:r>
                        </w:hyperlink>
                      </w:p>
                      <w:p>
                        <w:pPr>
                          <w:pStyle w:val="Corpsdetexte"/>
                        </w:pPr>
                        <w:r>
                          <w:t xml:space="preserve">Site Internet : </w:t>
                        </w:r>
                        <w:hyperlink r:id="rId95" w:history="1">
                          <w:r>
                            <w:rPr>
                              <w:rStyle w:val="Lienhypertexte"/>
                              <w:bCs/>
                              <w:sz w:val="22"/>
                              <w:szCs w:val="22"/>
                            </w:rPr>
                            <w:t>www.compas-format.eu</w:t>
                          </w:r>
                        </w:hyperlink>
                      </w:p>
                    </w:tc>
                  </w:tr>
                  <w:tr>
                    <w:tc>
                      <w:tcPr>
                        <w:tcW w:w="4819" w:type="dxa"/>
                      </w:tcPr>
                      <w:p>
                        <w:pPr>
                          <w:jc w:val="center"/>
                          <w:rPr>
                            <w:b/>
                            <w:sz w:val="22"/>
                            <w:szCs w:val="22"/>
                          </w:rPr>
                        </w:pPr>
                        <w:r>
                          <w:rPr>
                            <w:b/>
                            <w:sz w:val="22"/>
                            <w:szCs w:val="22"/>
                          </w:rPr>
                          <w:t>Zone de Bruxelles-Capitale</w:t>
                        </w:r>
                      </w:p>
                      <w:p>
                        <w:pPr>
                          <w:pStyle w:val="Corpsdetexte"/>
                        </w:pPr>
                        <w:r>
                          <w:t>Le SAS Bruxelles-Midi</w:t>
                        </w:r>
                      </w:p>
                      <w:p>
                        <w:pPr>
                          <w:pStyle w:val="Corpsdetexte"/>
                        </w:pPr>
                        <w:r>
                          <w:t>Chantal CHARLIER</w:t>
                        </w:r>
                      </w:p>
                      <w:p>
                        <w:pPr>
                          <w:pStyle w:val="Corpsdetexte"/>
                        </w:pPr>
                        <w:r>
                          <w:t>Avenue Clémenceau, 22 - 1070 BRUXELLES</w:t>
                        </w:r>
                      </w:p>
                      <w:p>
                        <w:pPr>
                          <w:pStyle w:val="Corpsdetexte"/>
                        </w:pPr>
                        <w:r>
                          <w:sym w:font="Webdings" w:char="F0C9"/>
                        </w:r>
                        <w:r>
                          <w:t xml:space="preserve"> : 02/640.25.20 - </w:t>
                        </w:r>
                        <w:r>
                          <w:sym w:font="Webdings" w:char="F0C9"/>
                        </w:r>
                        <w:r>
                          <w:t> : 02/534.16.23</w:t>
                        </w:r>
                      </w:p>
                      <w:p>
                        <w:pPr>
                          <w:pStyle w:val="Corpsdetexte"/>
                        </w:pPr>
                        <w:r>
                          <w:sym w:font="Webdings" w:char="F0CA"/>
                        </w:r>
                        <w:r>
                          <w:t> : 02/534.14.85 – 02/640.45.30</w:t>
                        </w:r>
                      </w:p>
                      <w:p>
                        <w:pPr>
                          <w:pStyle w:val="Corpsdetexte"/>
                        </w:pPr>
                        <w:r>
                          <w:rPr>
                            <w:bCs/>
                          </w:rPr>
                          <w:sym w:font="Wingdings" w:char="F03A"/>
                        </w:r>
                        <w:r>
                          <w:rPr>
                            <w:bCs/>
                          </w:rPr>
                          <w:t xml:space="preserve"> : </w:t>
                        </w:r>
                        <w:hyperlink r:id="rId96" w:history="1">
                          <w:r>
                            <w:rPr>
                              <w:rStyle w:val="Lienhypertexte"/>
                              <w:sz w:val="22"/>
                              <w:szCs w:val="22"/>
                            </w:rPr>
                            <w:t>lesasbruxellesmidi@hotmail.com</w:t>
                          </w:r>
                        </w:hyperlink>
                      </w:p>
                    </w:tc>
                    <w:tc>
                      <w:tcPr>
                        <w:tcW w:w="4672" w:type="dxa"/>
                      </w:tcPr>
                      <w:p>
                        <w:pPr>
                          <w:jc w:val="center"/>
                          <w:rPr>
                            <w:b/>
                            <w:sz w:val="22"/>
                            <w:szCs w:val="22"/>
                          </w:rPr>
                        </w:pPr>
                        <w:r>
                          <w:rPr>
                            <w:b/>
                            <w:sz w:val="22"/>
                            <w:szCs w:val="22"/>
                          </w:rPr>
                          <w:t>Zone de Liège-Verviers</w:t>
                        </w:r>
                      </w:p>
                      <w:p>
                        <w:pPr>
                          <w:pStyle w:val="Corpsdetexte"/>
                          <w:rPr>
                            <w:lang w:val="fr-FR"/>
                          </w:rPr>
                        </w:pPr>
                        <w:r>
                          <w:rPr>
                            <w:lang w:val="fr-FR"/>
                          </w:rPr>
                          <w:t>« Compas-Format »  ASBL</w:t>
                        </w:r>
                      </w:p>
                      <w:p>
                        <w:pPr>
                          <w:pStyle w:val="Corpsdetexte"/>
                          <w:rPr>
                            <w:iCs/>
                            <w:lang w:val="fr-FR"/>
                          </w:rPr>
                        </w:pPr>
                        <w:r>
                          <w:t>Samuel PALLADINO</w:t>
                        </w:r>
                      </w:p>
                      <w:p>
                        <w:pPr>
                          <w:pStyle w:val="Corpsdetexte"/>
                        </w:pPr>
                        <w:r>
                          <w:t>Rue Ernest Malvoz, 20A - 4300  WAREMME</w:t>
                        </w:r>
                      </w:p>
                      <w:p>
                        <w:pPr>
                          <w:pStyle w:val="Corpsdetexte"/>
                        </w:pPr>
                        <w:r>
                          <w:sym w:font="Webdings" w:char="F0C9"/>
                        </w:r>
                        <w:r>
                          <w:t xml:space="preserve"> : 019/67.72.03 - </w:t>
                        </w:r>
                        <w:r>
                          <w:sym w:font="Webdings" w:char="F0CA"/>
                        </w:r>
                        <w:r>
                          <w:t xml:space="preserve"> : 019/67.60.88</w:t>
                        </w:r>
                      </w:p>
                      <w:p>
                        <w:pPr>
                          <w:pStyle w:val="Corpsdetexte"/>
                          <w:rPr>
                            <w:bCs/>
                          </w:rPr>
                        </w:pPr>
                        <w:r>
                          <w:sym w:font="Webdings" w:char="F0C8"/>
                        </w:r>
                        <w:r>
                          <w:t> : 0498/50.32.15</w:t>
                        </w:r>
                      </w:p>
                      <w:p>
                        <w:pPr>
                          <w:jc w:val="center"/>
                          <w:rPr>
                            <w:sz w:val="22"/>
                            <w:szCs w:val="22"/>
                          </w:rPr>
                        </w:pPr>
                        <w:r>
                          <w:rPr>
                            <w:bCs/>
                            <w:sz w:val="22"/>
                            <w:szCs w:val="22"/>
                          </w:rPr>
                          <w:sym w:font="Wingdings" w:char="F03A"/>
                        </w:r>
                        <w:r>
                          <w:rPr>
                            <w:bCs/>
                            <w:sz w:val="22"/>
                            <w:szCs w:val="22"/>
                          </w:rPr>
                          <w:t xml:space="preserve">: </w:t>
                        </w:r>
                        <w:hyperlink r:id="rId97" w:history="1">
                          <w:r>
                            <w:rPr>
                              <w:rStyle w:val="Lienhypertexte"/>
                              <w:rFonts w:cs="Arial"/>
                              <w:bCs/>
                              <w:sz w:val="22"/>
                              <w:szCs w:val="22"/>
                            </w:rPr>
                            <w:t>samuel.palladino@compas-format.eu</w:t>
                          </w:r>
                        </w:hyperlink>
                      </w:p>
                    </w:tc>
                  </w:tr>
                  <w:tr>
                    <w:tc>
                      <w:tcPr>
                        <w:tcW w:w="4819" w:type="dxa"/>
                      </w:tcPr>
                      <w:p>
                        <w:pPr>
                          <w:jc w:val="center"/>
                          <w:rPr>
                            <w:b/>
                            <w:sz w:val="22"/>
                            <w:szCs w:val="22"/>
                          </w:rPr>
                        </w:pPr>
                        <w:r>
                          <w:rPr>
                            <w:b/>
                            <w:sz w:val="22"/>
                            <w:szCs w:val="22"/>
                          </w:rPr>
                          <w:t>Zone de Bruxelles-Capitale</w:t>
                        </w:r>
                      </w:p>
                      <w:p>
                        <w:pPr>
                          <w:pStyle w:val="Corpsdetexte"/>
                        </w:pPr>
                        <w:r>
                          <w:t>ASBL « SEUIL »</w:t>
                        </w:r>
                      </w:p>
                      <w:p>
                        <w:pPr>
                          <w:pStyle w:val="Corpsdetexte"/>
                          <w:rPr>
                            <w:iCs/>
                            <w:u w:val="single"/>
                          </w:rPr>
                        </w:pPr>
                        <w:r>
                          <w:t>Catherine OTTE</w:t>
                        </w:r>
                      </w:p>
                      <w:p>
                        <w:pPr>
                          <w:pStyle w:val="Corpsdetexte"/>
                        </w:pPr>
                        <w:r>
                          <w:t>Rue de Theux, 51-53 - 1040 ETTERBEEK</w:t>
                        </w:r>
                      </w:p>
                      <w:p>
                        <w:pPr>
                          <w:pStyle w:val="Corpsdetexte"/>
                        </w:pPr>
                        <w:r>
                          <w:sym w:font="Webdings" w:char="F0C9"/>
                        </w:r>
                        <w:r>
                          <w:t xml:space="preserve"> : 02/644.46.42 - </w:t>
                        </w:r>
                        <w:r>
                          <w:sym w:font="Webdings" w:char="F0CA"/>
                        </w:r>
                        <w:r>
                          <w:t> 02/640.03.58</w:t>
                        </w:r>
                      </w:p>
                      <w:p>
                        <w:pPr>
                          <w:pStyle w:val="Corpsdetexte"/>
                        </w:pPr>
                        <w:r>
                          <w:sym w:font="Webdings" w:char="F0C8"/>
                        </w:r>
                        <w:r>
                          <w:t> : 0479/33.69.06</w:t>
                        </w:r>
                      </w:p>
                      <w:p>
                        <w:pPr>
                          <w:pStyle w:val="Corpsdetexte"/>
                          <w:rPr>
                            <w:bCs/>
                          </w:rPr>
                        </w:pPr>
                        <w:r>
                          <w:rPr>
                            <w:bCs/>
                          </w:rPr>
                          <w:sym w:font="Wingdings" w:char="F03A"/>
                        </w:r>
                        <w:r>
                          <w:rPr>
                            <w:bCs/>
                          </w:rPr>
                          <w:t xml:space="preserve">: </w:t>
                        </w:r>
                        <w:hyperlink r:id="rId98" w:history="1">
                          <w:r>
                            <w:rPr>
                              <w:rStyle w:val="Lienhypertexte"/>
                              <w:sz w:val="22"/>
                              <w:szCs w:val="22"/>
                            </w:rPr>
                            <w:t>seuil.asbl@gmail.com</w:t>
                          </w:r>
                        </w:hyperlink>
                      </w:p>
                      <w:p>
                        <w:pPr>
                          <w:pStyle w:val="Corpsdetexte"/>
                        </w:pPr>
                        <w:r>
                          <w:t xml:space="preserve">Site Internet : </w:t>
                        </w:r>
                        <w:hyperlink r:id="rId99" w:history="1">
                          <w:r>
                            <w:t>www.seuil.be</w:t>
                          </w:r>
                        </w:hyperlink>
                      </w:p>
                    </w:tc>
                    <w:tc>
                      <w:tcPr>
                        <w:tcW w:w="4672" w:type="dxa"/>
                      </w:tcPr>
                      <w:p>
                        <w:pPr>
                          <w:jc w:val="center"/>
                          <w:rPr>
                            <w:b/>
                            <w:sz w:val="22"/>
                            <w:szCs w:val="22"/>
                          </w:rPr>
                        </w:pPr>
                        <w:r>
                          <w:rPr>
                            <w:b/>
                            <w:sz w:val="22"/>
                            <w:szCs w:val="22"/>
                          </w:rPr>
                          <w:t>Zone de Liège-Verviers</w:t>
                        </w:r>
                      </w:p>
                      <w:p>
                        <w:pPr>
                          <w:pStyle w:val="Corpsdetexte"/>
                        </w:pPr>
                        <w:r>
                          <w:t>Compas-Format  ASBL</w:t>
                        </w:r>
                      </w:p>
                      <w:p>
                        <w:pPr>
                          <w:pStyle w:val="Corpsdetexte"/>
                          <w:rPr>
                            <w:iCs/>
                          </w:rPr>
                        </w:pPr>
                        <w:r>
                          <w:t>Frédéric ANGELUCCI</w:t>
                        </w:r>
                      </w:p>
                      <w:p>
                        <w:pPr>
                          <w:pStyle w:val="Corpsdetexte"/>
                        </w:pPr>
                        <w:r>
                          <w:t>Espace Tremplin</w:t>
                        </w:r>
                      </w:p>
                      <w:p>
                        <w:pPr>
                          <w:pStyle w:val="Corpsdetexte"/>
                        </w:pPr>
                        <w:r>
                          <w:t>Rue du Center, 8 - 4800 VERVIERS</w:t>
                        </w:r>
                      </w:p>
                      <w:p>
                        <w:pPr>
                          <w:pStyle w:val="Corpsdetexte"/>
                        </w:pPr>
                        <w:r>
                          <w:sym w:font="Webdings" w:char="F0C9"/>
                        </w:r>
                        <w:r>
                          <w:t xml:space="preserve"> : 087/56.06.53 - </w:t>
                        </w:r>
                        <w:r>
                          <w:sym w:font="Webdings" w:char="F0CA"/>
                        </w:r>
                        <w:r>
                          <w:t> : 087/22.85.52</w:t>
                        </w:r>
                      </w:p>
                      <w:p>
                        <w:pPr>
                          <w:pStyle w:val="Corpsdetexte"/>
                        </w:pPr>
                        <w:r>
                          <w:sym w:font="Webdings" w:char="F0C8"/>
                        </w:r>
                        <w:r>
                          <w:t> : 0496/55.59.39</w:t>
                        </w:r>
                      </w:p>
                      <w:p>
                        <w:pPr>
                          <w:pStyle w:val="Corpsdetexte"/>
                        </w:pPr>
                        <w:r>
                          <w:rPr>
                            <w:bCs/>
                          </w:rPr>
                          <w:sym w:font="Wingdings" w:char="F03A"/>
                        </w:r>
                        <w:r>
                          <w:rPr>
                            <w:bCs/>
                          </w:rPr>
                          <w:t>:</w:t>
                        </w:r>
                        <w:hyperlink r:id="rId100" w:history="1">
                          <w:r>
                            <w:rPr>
                              <w:rStyle w:val="Lienhypertexte"/>
                              <w:sz w:val="22"/>
                              <w:szCs w:val="22"/>
                            </w:rPr>
                            <w:t>frederic.angelucci@compas-format.eu</w:t>
                          </w:r>
                        </w:hyperlink>
                      </w:p>
                    </w:tc>
                  </w:tr>
                  <w:tr>
                    <w:tc>
                      <w:tcPr>
                        <w:tcW w:w="4819" w:type="dxa"/>
                      </w:tcPr>
                      <w:p>
                        <w:pPr>
                          <w:jc w:val="center"/>
                          <w:rPr>
                            <w:b/>
                            <w:sz w:val="22"/>
                            <w:szCs w:val="22"/>
                          </w:rPr>
                        </w:pPr>
                        <w:r>
                          <w:rPr>
                            <w:b/>
                            <w:sz w:val="22"/>
                            <w:szCs w:val="22"/>
                          </w:rPr>
                          <w:t>Zone de Liège</w:t>
                        </w:r>
                      </w:p>
                      <w:p>
                        <w:pPr>
                          <w:pStyle w:val="Corpsdetexte"/>
                        </w:pPr>
                        <w:r>
                          <w:t>Rebonds  ASBL</w:t>
                        </w:r>
                      </w:p>
                      <w:p>
                        <w:pPr>
                          <w:pStyle w:val="Corpsdetexte"/>
                          <w:rPr>
                            <w:iCs/>
                          </w:rPr>
                        </w:pPr>
                        <w:r>
                          <w:t>Dominique CHANDELLE</w:t>
                        </w:r>
                      </w:p>
                      <w:p>
                        <w:pPr>
                          <w:pStyle w:val="Corpsdetexte"/>
                        </w:pPr>
                        <w:r>
                          <w:t>Rue Vivegnis, 71 - 4000 LIEGE</w:t>
                        </w:r>
                      </w:p>
                      <w:p>
                        <w:pPr>
                          <w:pStyle w:val="Corpsdetexte"/>
                        </w:pPr>
                        <w:r>
                          <w:sym w:font="Webdings" w:char="F0C9"/>
                        </w:r>
                        <w:r>
                          <w:t xml:space="preserve"> : 04/225.95.96 - </w:t>
                        </w:r>
                        <w:r>
                          <w:sym w:font="Webdings" w:char="F0CA"/>
                        </w:r>
                        <w:r>
                          <w:t> : 04/225.95.98</w:t>
                        </w:r>
                      </w:p>
                      <w:p>
                        <w:pPr>
                          <w:pStyle w:val="Corpsdetexte"/>
                        </w:pPr>
                        <w:r>
                          <w:rPr>
                            <w:bCs/>
                          </w:rPr>
                          <w:sym w:font="Wingdings" w:char="F03A"/>
                        </w:r>
                        <w:r>
                          <w:rPr>
                            <w:bCs/>
                          </w:rPr>
                          <w:t xml:space="preserve"> : </w:t>
                        </w:r>
                        <w:hyperlink r:id="rId101" w:history="1">
                          <w:r>
                            <w:rPr>
                              <w:rStyle w:val="Lienhypertexte"/>
                              <w:sz w:val="22"/>
                              <w:szCs w:val="22"/>
                            </w:rPr>
                            <w:t>asbl.rebonds@gmail.com</w:t>
                          </w:r>
                        </w:hyperlink>
                      </w:p>
                    </w:tc>
                    <w:tc>
                      <w:tcPr>
                        <w:tcW w:w="4672" w:type="dxa"/>
                      </w:tcPr>
                      <w:p>
                        <w:pPr>
                          <w:jc w:val="center"/>
                          <w:rPr>
                            <w:b/>
                            <w:sz w:val="22"/>
                            <w:szCs w:val="22"/>
                          </w:rPr>
                        </w:pPr>
                        <w:r>
                          <w:rPr>
                            <w:b/>
                            <w:sz w:val="22"/>
                            <w:szCs w:val="22"/>
                          </w:rPr>
                          <w:t>Zone de Charleroi</w:t>
                        </w:r>
                      </w:p>
                      <w:p>
                        <w:pPr>
                          <w:pStyle w:val="Corpsdetexte"/>
                        </w:pPr>
                        <w:r>
                          <w:t>« SENS-SAS»  ASBL</w:t>
                        </w:r>
                      </w:p>
                      <w:p>
                        <w:pPr>
                          <w:pStyle w:val="Corpsdetexte"/>
                          <w:rPr>
                            <w:iCs/>
                          </w:rPr>
                        </w:pPr>
                        <w:r>
                          <w:t>Jean QUERIAT</w:t>
                        </w:r>
                      </w:p>
                      <w:p>
                        <w:pPr>
                          <w:pStyle w:val="Corpsdetexte"/>
                        </w:pPr>
                        <w:r>
                          <w:t>Rue des Fougères, 85 -</w:t>
                        </w:r>
                      </w:p>
                      <w:p>
                        <w:pPr>
                          <w:pStyle w:val="Corpsdetexte"/>
                        </w:pPr>
                        <w:r>
                          <w:t>6110 MONTIGNY-LE-TILLEUL</w:t>
                        </w:r>
                      </w:p>
                      <w:p>
                        <w:pPr>
                          <w:pStyle w:val="Corpsdetexte"/>
                        </w:pPr>
                        <w:r>
                          <w:sym w:font="Webdings" w:char="F0C9"/>
                        </w:r>
                        <w:r>
                          <w:t xml:space="preserve"> : 071/70.34.50 - </w:t>
                        </w:r>
                        <w:r>
                          <w:sym w:font="Webdings" w:char="F0CA"/>
                        </w:r>
                        <w:r>
                          <w:t> : 071/51.35.69</w:t>
                        </w:r>
                      </w:p>
                      <w:p>
                        <w:pPr>
                          <w:pStyle w:val="Corpsdetexte"/>
                        </w:pPr>
                        <w:r>
                          <w:rPr>
                            <w:bCs/>
                          </w:rPr>
                          <w:sym w:font="Wingdings" w:char="F03A"/>
                        </w:r>
                        <w:r>
                          <w:rPr>
                            <w:bCs/>
                          </w:rPr>
                          <w:t xml:space="preserve"> : </w:t>
                        </w:r>
                        <w:hyperlink r:id="rId102" w:history="1">
                          <w:r>
                            <w:rPr>
                              <w:rStyle w:val="Lienhypertexte"/>
                              <w:sz w:val="22"/>
                              <w:szCs w:val="22"/>
                            </w:rPr>
                            <w:t>sens-sas@hotmail.com</w:t>
                          </w:r>
                        </w:hyperlink>
                      </w:p>
                    </w:tc>
                  </w:tr>
                  <w:tr>
                    <w:tc>
                      <w:tcPr>
                        <w:tcW w:w="4819" w:type="dxa"/>
                      </w:tcPr>
                      <w:p>
                        <w:pPr>
                          <w:pStyle w:val="Corpsdetexte"/>
                        </w:pPr>
                        <w:r>
                          <w:t>Zone de Huy</w:t>
                        </w:r>
                      </w:p>
                      <w:p>
                        <w:pPr>
                          <w:pStyle w:val="Corpsdetexte"/>
                        </w:pPr>
                        <w:r>
                          <w:t>« Aux Sources »  ASBL</w:t>
                        </w:r>
                      </w:p>
                      <w:p>
                        <w:pPr>
                          <w:jc w:val="center"/>
                          <w:rPr>
                            <w:sz w:val="22"/>
                            <w:szCs w:val="22"/>
                          </w:rPr>
                        </w:pPr>
                        <w:r>
                          <w:rPr>
                            <w:sz w:val="22"/>
                            <w:szCs w:val="22"/>
                          </w:rPr>
                          <w:t>Jean-Marc CANTINAUX</w:t>
                        </w:r>
                      </w:p>
                      <w:p>
                        <w:pPr>
                          <w:pStyle w:val="Corpsdetexte"/>
                        </w:pPr>
                        <w:r>
                          <w:t xml:space="preserve">Rue des Bons-Enfants, 3 - </w:t>
                        </w:r>
                        <w:r>
                          <w:rPr>
                            <w:lang w:val="fr-FR"/>
                          </w:rPr>
                          <w:t>4500 HUY</w:t>
                        </w:r>
                      </w:p>
                      <w:p>
                        <w:pPr>
                          <w:pStyle w:val="Corpsdetexte"/>
                          <w:rPr>
                            <w:lang w:val="fr-FR"/>
                          </w:rPr>
                        </w:pPr>
                        <w:r>
                          <w:sym w:font="Webdings" w:char="F0C9"/>
                        </w:r>
                        <w:r>
                          <w:rPr>
                            <w:lang w:val="fr-FR"/>
                          </w:rPr>
                          <w:t xml:space="preserve"> : 085/25.28.40 - </w:t>
                        </w:r>
                        <w:r>
                          <w:sym w:font="Webdings" w:char="F0CA"/>
                        </w:r>
                        <w:r>
                          <w:rPr>
                            <w:lang w:val="fr-FR"/>
                          </w:rPr>
                          <w:t> : 085/25.28.41</w:t>
                        </w:r>
                      </w:p>
                      <w:p>
                        <w:pPr>
                          <w:pStyle w:val="Corpsdetexte"/>
                          <w:rPr>
                            <w:lang w:val="de-DE"/>
                          </w:rPr>
                        </w:pPr>
                        <w:r>
                          <w:rPr>
                            <w:bCs/>
                            <w:lang w:val="fr-FR"/>
                          </w:rPr>
                          <w:t xml:space="preserve">@ : </w:t>
                        </w:r>
                        <w:hyperlink r:id="rId103" w:history="1">
                          <w:r>
                            <w:rPr>
                              <w:rStyle w:val="Lienhypertexte"/>
                              <w:sz w:val="22"/>
                              <w:szCs w:val="22"/>
                            </w:rPr>
                            <w:t>sasauxsources@live.be</w:t>
                          </w:r>
                        </w:hyperlink>
                      </w:p>
                      <w:p>
                        <w:pPr>
                          <w:pStyle w:val="Corpsdetexte"/>
                        </w:pPr>
                        <w:r>
                          <w:t xml:space="preserve">Site </w:t>
                        </w:r>
                        <w:r>
                          <w:rPr>
                            <w:bCs/>
                          </w:rPr>
                          <w:t xml:space="preserve">Internet : </w:t>
                        </w:r>
                        <w:hyperlink r:id="rId104" w:history="1">
                          <w:r>
                            <w:rPr>
                              <w:rStyle w:val="Lienhypertexte"/>
                              <w:sz w:val="22"/>
                              <w:szCs w:val="22"/>
                            </w:rPr>
                            <w:t>www.auxsources.be</w:t>
                          </w:r>
                        </w:hyperlink>
                      </w:p>
                    </w:tc>
                    <w:tc>
                      <w:tcPr>
                        <w:tcW w:w="4672" w:type="dxa"/>
                      </w:tcPr>
                      <w:p>
                        <w:pPr>
                          <w:jc w:val="center"/>
                          <w:rPr>
                            <w:b/>
                            <w:sz w:val="22"/>
                            <w:szCs w:val="22"/>
                          </w:rPr>
                        </w:pPr>
                        <w:r>
                          <w:rPr>
                            <w:b/>
                            <w:sz w:val="22"/>
                            <w:szCs w:val="22"/>
                          </w:rPr>
                          <w:t>Zone du sud-Luxembourg</w:t>
                        </w:r>
                      </w:p>
                      <w:p>
                        <w:pPr>
                          <w:pStyle w:val="Corpsdetexte"/>
                        </w:pPr>
                        <w:r>
                          <w:t>Service « Emergence » - Carrefour ASBL</w:t>
                        </w:r>
                      </w:p>
                      <w:p>
                        <w:pPr>
                          <w:pStyle w:val="Corpsdetexte"/>
                        </w:pPr>
                        <w:r>
                          <w:t>Thierry COLARD</w:t>
                        </w:r>
                      </w:p>
                      <w:p>
                        <w:pPr>
                          <w:pStyle w:val="Corpsdetexte"/>
                        </w:pPr>
                        <w:r>
                          <w:t>Rue des Mélèzes 2 - 6800 LIBRAMONT</w:t>
                        </w:r>
                      </w:p>
                      <w:p>
                        <w:pPr>
                          <w:pStyle w:val="Corpsdetexte"/>
                        </w:pPr>
                        <w:r>
                          <w:sym w:font="Webdings" w:char="F0C9"/>
                        </w:r>
                        <w:r>
                          <w:t>/</w:t>
                        </w:r>
                        <w:r>
                          <w:sym w:font="Webdings" w:char="F0CA"/>
                        </w:r>
                        <w:r>
                          <w:t xml:space="preserve">: 061/23.32.07 - </w:t>
                        </w:r>
                        <w:r>
                          <w:sym w:font="Webdings" w:char="F0CA"/>
                        </w:r>
                        <w:r>
                          <w:t> : 061/23.25.07</w:t>
                        </w:r>
                      </w:p>
                      <w:p>
                        <w:pPr>
                          <w:pStyle w:val="Corpsdetexte"/>
                        </w:pPr>
                        <w:r>
                          <w:rPr>
                            <w:bCs/>
                          </w:rPr>
                          <w:t xml:space="preserve">@ : </w:t>
                        </w:r>
                        <w:hyperlink r:id="rId105" w:history="1">
                          <w:r>
                            <w:rPr>
                              <w:rStyle w:val="Lienhypertexte"/>
                              <w:sz w:val="22"/>
                              <w:szCs w:val="22"/>
                            </w:rPr>
                            <w:t>emergenceaccueil@gmail.be</w:t>
                          </w:r>
                        </w:hyperlink>
                      </w:p>
                    </w:tc>
                  </w:tr>
                  <w:tr>
                    <w:tc>
                      <w:tcPr>
                        <w:tcW w:w="4819" w:type="dxa"/>
                      </w:tcPr>
                      <w:p>
                        <w:pPr>
                          <w:jc w:val="center"/>
                          <w:rPr>
                            <w:b/>
                            <w:sz w:val="22"/>
                            <w:szCs w:val="22"/>
                          </w:rPr>
                        </w:pPr>
                        <w:r>
                          <w:rPr>
                            <w:b/>
                            <w:sz w:val="22"/>
                            <w:szCs w:val="22"/>
                          </w:rPr>
                          <w:t>Zone de Tournai</w:t>
                        </w:r>
                      </w:p>
                      <w:p>
                        <w:pPr>
                          <w:jc w:val="center"/>
                          <w:rPr>
                            <w:sz w:val="22"/>
                            <w:szCs w:val="22"/>
                          </w:rPr>
                        </w:pPr>
                        <w:r>
                          <w:rPr>
                            <w:sz w:val="22"/>
                            <w:szCs w:val="22"/>
                            <w:u w:val="single"/>
                          </w:rPr>
                          <w:t>« SAS-HO »</w:t>
                        </w:r>
                        <w:r>
                          <w:rPr>
                            <w:sz w:val="22"/>
                            <w:szCs w:val="22"/>
                          </w:rPr>
                          <w:t xml:space="preserve"> ASBL</w:t>
                        </w:r>
                      </w:p>
                      <w:p>
                        <w:pPr>
                          <w:jc w:val="center"/>
                          <w:rPr>
                            <w:sz w:val="22"/>
                            <w:szCs w:val="22"/>
                          </w:rPr>
                        </w:pPr>
                        <w:r>
                          <w:rPr>
                            <w:bCs/>
                            <w:sz w:val="22"/>
                            <w:szCs w:val="22"/>
                          </w:rPr>
                          <w:t>Antoine VANDENHOVEN</w:t>
                        </w:r>
                      </w:p>
                      <w:p>
                        <w:pPr>
                          <w:jc w:val="center"/>
                          <w:rPr>
                            <w:sz w:val="22"/>
                            <w:szCs w:val="22"/>
                          </w:rPr>
                        </w:pPr>
                        <w:r>
                          <w:rPr>
                            <w:sz w:val="22"/>
                            <w:szCs w:val="22"/>
                          </w:rPr>
                          <w:t>Place de Lille, 2 - 7500 TOURNAI</w:t>
                        </w:r>
                      </w:p>
                      <w:p>
                        <w:pPr>
                          <w:pStyle w:val="Corpsdetexte"/>
                        </w:pPr>
                        <w:r>
                          <w:sym w:font="Webdings" w:char="F0C9"/>
                        </w:r>
                        <w:r>
                          <w:t xml:space="preserve"> : 069/77.72.96 - </w:t>
                        </w:r>
                        <w:r>
                          <w:sym w:font="Webdings" w:char="F0CA"/>
                        </w:r>
                        <w:r>
                          <w:t> : 069/77.79.98</w:t>
                        </w:r>
                      </w:p>
                      <w:p>
                        <w:pPr>
                          <w:pStyle w:val="Corpsdetexte"/>
                        </w:pPr>
                        <w:r>
                          <w:sym w:font="Webdings" w:char="F0C8"/>
                        </w:r>
                        <w:r>
                          <w:t> : 0475/89.82.37</w:t>
                        </w:r>
                      </w:p>
                      <w:p>
                        <w:pPr>
                          <w:pStyle w:val="Corpsdetexte"/>
                          <w:rPr>
                            <w:bCs/>
                          </w:rPr>
                        </w:pPr>
                        <w:r>
                          <w:rPr>
                            <w:bCs/>
                          </w:rPr>
                          <w:sym w:font="Wingdings" w:char="F03A"/>
                        </w:r>
                        <w:r>
                          <w:rPr>
                            <w:bCs/>
                          </w:rPr>
                          <w:t xml:space="preserve">: </w:t>
                        </w:r>
                        <w:hyperlink r:id="rId106" w:history="1">
                          <w:r>
                            <w:rPr>
                              <w:rStyle w:val="Lienhypertexte"/>
                              <w:sz w:val="22"/>
                              <w:szCs w:val="22"/>
                            </w:rPr>
                            <w:t>sas-ho@live.be</w:t>
                          </w:r>
                        </w:hyperlink>
                      </w:p>
                      <w:p>
                        <w:pPr>
                          <w:jc w:val="center"/>
                          <w:rPr>
                            <w:sz w:val="22"/>
                            <w:szCs w:val="22"/>
                          </w:rPr>
                        </w:pPr>
                        <w:r>
                          <w:rPr>
                            <w:sz w:val="22"/>
                            <w:szCs w:val="22"/>
                          </w:rPr>
                          <w:t xml:space="preserve">Site Internet : </w:t>
                        </w:r>
                        <w:hyperlink r:id="rId107" w:history="1">
                          <w:r>
                            <w:rPr>
                              <w:rStyle w:val="Lienhypertexte"/>
                              <w:rFonts w:cs="Arial"/>
                              <w:sz w:val="22"/>
                              <w:szCs w:val="22"/>
                            </w:rPr>
                            <w:t>www.sasho.be/?page_id=161</w:t>
                          </w:r>
                        </w:hyperlink>
                      </w:p>
                    </w:tc>
                    <w:tc>
                      <w:tcPr>
                        <w:tcW w:w="4672" w:type="dxa"/>
                      </w:tcPr>
                      <w:p>
                        <w:pPr>
                          <w:jc w:val="center"/>
                          <w:rPr>
                            <w:b/>
                            <w:sz w:val="22"/>
                            <w:szCs w:val="22"/>
                          </w:rPr>
                        </w:pPr>
                        <w:r>
                          <w:rPr>
                            <w:b/>
                            <w:sz w:val="22"/>
                            <w:szCs w:val="22"/>
                          </w:rPr>
                          <w:t>Zone de Namur</w:t>
                        </w:r>
                      </w:p>
                      <w:p>
                        <w:pPr>
                          <w:pStyle w:val="Corpsdetexte"/>
                        </w:pPr>
                        <w:r>
                          <w:t>« Carrefour accueil »  - ASBL</w:t>
                        </w:r>
                      </w:p>
                      <w:p>
                        <w:pPr>
                          <w:pStyle w:val="Corpsdetexte"/>
                          <w:rPr>
                            <w:bCs/>
                          </w:rPr>
                        </w:pPr>
                        <w:r>
                          <w:t>Joëlle COENRAETS</w:t>
                        </w:r>
                      </w:p>
                      <w:p>
                        <w:pPr>
                          <w:pStyle w:val="Corpsdetexte"/>
                        </w:pPr>
                        <w:r>
                          <w:t>Rue Louis Loiseau, 39 - 5000 NAMUR</w:t>
                        </w:r>
                      </w:p>
                      <w:p>
                        <w:pPr>
                          <w:pStyle w:val="Corpsdetexte"/>
                        </w:pPr>
                        <w:r>
                          <w:sym w:font="Webdings" w:char="F0C9"/>
                        </w:r>
                        <w:r>
                          <w:t xml:space="preserve"> : 081/71.74.28 - </w:t>
                        </w:r>
                        <w:r>
                          <w:sym w:font="Webdings" w:char="F0CA"/>
                        </w:r>
                        <w:r>
                          <w:t> : 081/74.65.02</w:t>
                        </w:r>
                      </w:p>
                      <w:p>
                        <w:pPr>
                          <w:pStyle w:val="Corpsdetexte"/>
                        </w:pPr>
                        <w:r>
                          <w:rPr>
                            <w:bCs/>
                          </w:rPr>
                          <w:sym w:font="Wingdings" w:char="F03A"/>
                        </w:r>
                        <w:r>
                          <w:rPr>
                            <w:bCs/>
                          </w:rPr>
                          <w:t xml:space="preserve"> : </w:t>
                        </w:r>
                        <w:hyperlink r:id="rId108" w:history="1">
                          <w:r>
                            <w:rPr>
                              <w:rStyle w:val="Lienhypertexte"/>
                              <w:sz w:val="22"/>
                              <w:szCs w:val="22"/>
                            </w:rPr>
                            <w:t>carrefour.accueil@wol.be</w:t>
                          </w:r>
                        </w:hyperlink>
                      </w:p>
                      <w:p>
                        <w:pPr>
                          <w:pStyle w:val="Corpsdetexte"/>
                        </w:pPr>
                      </w:p>
                    </w:tc>
                  </w:tr>
                  <w:tr>
                    <w:trPr>
                      <w:trHeight w:val="1728"/>
                    </w:trPr>
                    <w:tc>
                      <w:tcPr>
                        <w:tcW w:w="9491" w:type="dxa"/>
                        <w:gridSpan w:val="2"/>
                      </w:tcPr>
                      <w:p>
                        <w:pPr>
                          <w:jc w:val="center"/>
                          <w:rPr>
                            <w:b/>
                            <w:sz w:val="22"/>
                            <w:szCs w:val="22"/>
                          </w:rPr>
                        </w:pPr>
                        <w:r>
                          <w:rPr>
                            <w:b/>
                            <w:sz w:val="22"/>
                            <w:szCs w:val="22"/>
                          </w:rPr>
                          <w:t>Zone du Brabant Wallon</w:t>
                        </w:r>
                      </w:p>
                      <w:p>
                        <w:pPr>
                          <w:pStyle w:val="Corpsdetexte"/>
                        </w:pPr>
                        <w:r>
                          <w:t>SAS Brabant Wallon</w:t>
                        </w:r>
                      </w:p>
                      <w:p>
                        <w:pPr>
                          <w:pStyle w:val="Corpsdetexte"/>
                          <w:rPr>
                            <w:bCs/>
                          </w:rPr>
                        </w:pPr>
                        <w:r>
                          <w:t>Quentin DERRICKS</w:t>
                        </w:r>
                      </w:p>
                      <w:p>
                        <w:pPr>
                          <w:pStyle w:val="Corpsdetexte"/>
                        </w:pPr>
                        <w:r>
                          <w:t>Rue des Fontaines, 18-20 - 1300 WAVRE</w:t>
                        </w:r>
                      </w:p>
                      <w:p>
                        <w:pPr>
                          <w:pStyle w:val="Corpsdetexte"/>
                        </w:pPr>
                        <w:r>
                          <w:sym w:font="Webdings" w:char="F0C9"/>
                        </w:r>
                        <w:r>
                          <w:t xml:space="preserve"> : 010/24.79.99 - </w:t>
                        </w:r>
                        <w:r>
                          <w:sym w:font="Webdings" w:char="F0CA"/>
                        </w:r>
                        <w:r>
                          <w:t> : 010/24.76.34</w:t>
                        </w:r>
                      </w:p>
                      <w:p>
                        <w:pPr>
                          <w:pStyle w:val="Corpsdetexte"/>
                          <w:rPr>
                            <w:bCs/>
                          </w:rPr>
                        </w:pPr>
                        <w:r>
                          <w:rPr>
                            <w:bCs/>
                          </w:rPr>
                          <w:sym w:font="Webdings" w:char="F0C8"/>
                        </w:r>
                        <w:r>
                          <w:rPr>
                            <w:bCs/>
                          </w:rPr>
                          <w:t xml:space="preserve"> : 0479/99.47.35 - </w:t>
                        </w:r>
                        <w:r>
                          <w:rPr>
                            <w:bCs/>
                          </w:rPr>
                          <w:sym w:font="Wingdings" w:char="F03A"/>
                        </w:r>
                        <w:r>
                          <w:rPr>
                            <w:bCs/>
                          </w:rPr>
                          <w:t xml:space="preserve"> : </w:t>
                        </w:r>
                        <w:hyperlink r:id="rId109" w:history="1">
                          <w:r>
                            <w:rPr>
                              <w:rStyle w:val="Lienhypertexte"/>
                              <w:sz w:val="22"/>
                              <w:szCs w:val="22"/>
                            </w:rPr>
                            <w:t>sasbw@gmail.com</w:t>
                          </w:r>
                        </w:hyperlink>
                      </w:p>
                    </w:tc>
                  </w:tr>
                </w:tbl>
                <w:p>
                  <w:pPr>
                    <w:pStyle w:val="Titre4"/>
                  </w:pPr>
                  <w:bookmarkStart w:id="1234" w:name="_Annexe_21_:"/>
                  <w:bookmarkStart w:id="1235" w:name="_Annexe_16_:"/>
                  <w:bookmarkEnd w:id="1234"/>
                  <w:bookmarkEnd w:id="1235"/>
                  <w:r>
                    <w:br w:type="page"/>
                  </w:r>
                  <w:bookmarkStart w:id="1236" w:name="annexe21"/>
                  <w:bookmarkStart w:id="1237" w:name="_Toc412204115"/>
                  <w:bookmarkStart w:id="1238" w:name="_Toc414352923"/>
                  <w:bookmarkStart w:id="1239" w:name="_Toc453836947"/>
                  <w:r>
                    <w:t>Annexe 16 </w:t>
                  </w:r>
                  <w:bookmarkEnd w:id="1236"/>
                  <w:r>
                    <w:t>: Schéma des degrés de parenté ou d’alliance</w:t>
                  </w:r>
                  <w:bookmarkEnd w:id="1237"/>
                  <w:bookmarkEnd w:id="1238"/>
                  <w:bookmarkEnd w:id="1239"/>
                </w:p>
                <w:p>
                  <w:pPr>
                    <w:pStyle w:val="Default"/>
                    <w:spacing w:after="120" w:line="360" w:lineRule="auto"/>
                    <w:jc w:val="both"/>
                    <w:rPr>
                      <w:rFonts w:asciiTheme="majorHAnsi" w:hAnsiTheme="majorHAnsi"/>
                      <w:color w:val="auto"/>
                      <w:sz w:val="22"/>
                      <w:szCs w:val="22"/>
                      <w:lang w:val="fr-BE"/>
                    </w:rPr>
                  </w:pPr>
                </w:p>
                <w:p>
                  <w:pPr>
                    <w:pStyle w:val="Default"/>
                    <w:spacing w:after="120" w:line="360" w:lineRule="auto"/>
                    <w:jc w:val="both"/>
                    <w:rPr>
                      <w:rFonts w:asciiTheme="majorHAnsi" w:hAnsiTheme="majorHAnsi"/>
                      <w:color w:val="auto"/>
                      <w:sz w:val="22"/>
                      <w:szCs w:val="22"/>
                      <w:lang w:val="fr-BE"/>
                    </w:rPr>
                  </w:pPr>
                </w:p>
                <w:p>
                  <w:pPr>
                    <w:pStyle w:val="Default"/>
                    <w:spacing w:after="120" w:line="360" w:lineRule="auto"/>
                    <w:jc w:val="both"/>
                    <w:rPr>
                      <w:rFonts w:asciiTheme="majorHAnsi" w:hAnsiTheme="majorHAnsi"/>
                      <w:color w:val="auto"/>
                      <w:sz w:val="22"/>
                      <w:szCs w:val="22"/>
                      <w:lang w:val="fr-BE"/>
                    </w:rPr>
                  </w:pP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6912" behindDoc="0" locked="0" layoutInCell="1" allowOverlap="1">
                            <wp:simplePos x="0" y="0"/>
                            <wp:positionH relativeFrom="column">
                              <wp:posOffset>2170430</wp:posOffset>
                            </wp:positionH>
                            <wp:positionV relativeFrom="paragraph">
                              <wp:posOffset>17145</wp:posOffset>
                            </wp:positionV>
                            <wp:extent cx="1828165" cy="456565"/>
                            <wp:effectExtent l="8255" t="6985" r="11430" b="12700"/>
                            <wp:wrapNone/>
                            <wp:docPr id="147" name="Zone de texte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165" cy="456565"/>
                                    </a:xfrm>
                                    <a:prstGeom prst="rect">
                                      <a:avLst/>
                                    </a:prstGeom>
                                    <a:solidFill>
                                      <a:srgbClr val="FFFFFF"/>
                                    </a:solidFill>
                                    <a:ln w="6350">
                                      <a:solidFill>
                                        <a:srgbClr val="000000"/>
                                      </a:solidFill>
                                      <a:miter lim="800000"/>
                                      <a:headEnd/>
                                      <a:tailEnd/>
                                    </a:ln>
                                  </wps:spPr>
                                  <wps:txbx>
                                    <w:txbxContent>
                                      <w:p>
                                        <w:pPr>
                                          <w:rPr>
                                            <w:sz w:val="23"/>
                                            <w:szCs w:val="23"/>
                                          </w:rPr>
                                        </w:pPr>
                                        <w:r>
                                          <w:rPr>
                                            <w:sz w:val="23"/>
                                            <w:szCs w:val="23"/>
                                          </w:rPr>
                                          <w:t>grands parents</w:t>
                                        </w:r>
                                      </w:p>
                                      <w:p>
                                        <w:pPr>
                                          <w:rPr>
                                            <w:sz w:val="23"/>
                                            <w:szCs w:val="23"/>
                                          </w:rPr>
                                        </w:pPr>
                                        <w:r>
                                          <w:rPr>
                                            <w:sz w:val="23"/>
                                            <w:szCs w:val="23"/>
                                          </w:rPr>
                                          <w:t>beaux grands-parents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147" o:spid="_x0000_s1032" type="#_x0000_t202" style="position:absolute;left:0;text-align:left;margin-left:170.9pt;margin-top:1.35pt;width:143.95pt;height:35.95pt;z-index:2516869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" strokeweight=".5pt">
                            <v:textbox inset="7.45pt,3.85pt,7.45pt,3.85pt">
                              <w:txbxContent>
                                <w:p>
                                  <w:pPr>
                                    <w:rPr>
                                      <w:sz w:val="23"/>
                                      <w:szCs w:val="23"/>
                                    </w:rPr>
                                  </w:pPr>
                                  <w:r>
                                    <w:rPr>
                                      <w:sz w:val="23"/>
                                      <w:szCs w:val="23"/>
                                    </w:rPr>
                                    <w:t>grands parents</w:t>
                                  </w:r>
                                </w:p>
                                <w:p>
                                  <w:pPr>
                                    <w:rPr>
                                      <w:sz w:val="23"/>
                                      <w:szCs w:val="23"/>
                                    </w:rPr>
                                  </w:pPr>
                                  <w:r>
                                    <w:rPr>
                                      <w:sz w:val="23"/>
                                      <w:szCs w:val="23"/>
                                    </w:rPr>
                                    <w:t>beaux grands-parents</w:t>
                                  </w:r>
                                </w:p>
                              </w:txbxContent>
                            </v:textbox>
                          </v:shape>
                        </w:pict>
                      </mc:Fallback>
                    </mc:AlternateContent>
                  </w:r>
                  <w:r>
                    <w:rPr>
                      <w:rFonts w:asciiTheme="majorHAnsi" w:hAnsiTheme="majorHAnsi"/>
                      <w:noProof/>
                      <w:sz w:val="22"/>
                      <w:szCs w:val="22"/>
                      <w:lang w:val="fr-BE" w:eastAsia="fr-BE"/>
                    </w:rPr>
                    <mc:AlternateContent>
                      <mc:Choice Requires="wps">
                        <w:drawing>
                          <wp:anchor distT="0" distB="0" distL="114300" distR="114300" simplePos="0" relativeHeight="251687936" behindDoc="0" locked="0" layoutInCell="1" allowOverlap="1">
                            <wp:simplePos x="0" y="0"/>
                            <wp:positionH relativeFrom="column">
                              <wp:posOffset>914400</wp:posOffset>
                            </wp:positionH>
                            <wp:positionV relativeFrom="paragraph">
                              <wp:posOffset>243840</wp:posOffset>
                            </wp:positionV>
                            <wp:extent cx="914400" cy="228600"/>
                            <wp:effectExtent l="28575" t="5080" r="9525" b="61595"/>
                            <wp:wrapNone/>
                            <wp:docPr id="146" name="Connecteur droit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0" cy="2286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B5F056" id="Connecteur droit 146" o:spid="_x0000_s1026" style="position:absolute;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9.2pt" to="2in,3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" strokeweight=".26mm">
                            <v:stroke endarrow="block" joinstyle="miter"/>
                          </v:line>
                        </w:pict>
                      </mc:Fallback>
                    </mc:AlternateConten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300" distR="114300" simplePos="0" relativeHeight="251689984" behindDoc="0" locked="0" layoutInCell="1" allowOverlap="1">
                            <wp:simplePos x="0" y="0"/>
                            <wp:positionH relativeFrom="column">
                              <wp:posOffset>2971800</wp:posOffset>
                            </wp:positionH>
                            <wp:positionV relativeFrom="paragraph">
                              <wp:posOffset>247650</wp:posOffset>
                            </wp:positionV>
                            <wp:extent cx="0" cy="457200"/>
                            <wp:effectExtent l="57150" t="17145" r="57150" b="11430"/>
                            <wp:wrapNone/>
                            <wp:docPr id="145" name="Connecteur droit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572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6F55DF" id="Connecteur droit 145" o:spid="_x0000_s1026" style="position:absolute;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9.5pt" to="234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" strokeweight=".26mm">
                            <v:stroke endarrow="block" joinstyle="miter"/>
                          </v:line>
                        </w:pict>
                      </mc:Fallback>
                    </mc:AlternateContent>
                  </w:r>
                  <w:r>
                    <w:rPr>
                      <w:rFonts w:asciiTheme="majorHAnsi" w:hAnsiTheme="majorHAnsi"/>
                      <w:color w:val="auto"/>
                      <w:sz w:val="22"/>
                      <w:szCs w:val="22"/>
                      <w:lang w:val="fr-BE"/>
                    </w:rPr>
                    <w:t>3</w:t>
                  </w:r>
                  <w:r>
                    <w:rPr>
                      <w:rFonts w:asciiTheme="majorHAnsi" w:hAnsiTheme="majorHAnsi"/>
                      <w:color w:val="auto"/>
                      <w:sz w:val="22"/>
                      <w:szCs w:val="22"/>
                      <w:vertAlign w:val="superscript"/>
                      <w:lang w:val="fr-BE"/>
                    </w:rPr>
                    <w:t>ème</w:t>
                  </w:r>
                  <w:r>
                    <w:rPr>
                      <w:rFonts w:asciiTheme="majorHAnsi" w:hAnsiTheme="majorHAnsi"/>
                      <w:color w:val="auto"/>
                      <w:sz w:val="22"/>
                      <w:szCs w:val="22"/>
                      <w:lang w:val="fr-BE"/>
                    </w:rPr>
                    <w:t xml:space="preserve"> degré</w: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79744" behindDoc="0" locked="0" layoutInCell="1" allowOverlap="1">
                            <wp:simplePos x="0" y="0"/>
                            <wp:positionH relativeFrom="column">
                              <wp:posOffset>-1270</wp:posOffset>
                            </wp:positionH>
                            <wp:positionV relativeFrom="paragraph">
                              <wp:posOffset>21590</wp:posOffset>
                            </wp:positionV>
                            <wp:extent cx="1256665" cy="345440"/>
                            <wp:effectExtent l="8255" t="8890" r="11430" b="7620"/>
                            <wp:wrapNone/>
                            <wp:docPr id="144" name="Zone de texte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6665" cy="345440"/>
                                    </a:xfrm>
                                    <a:prstGeom prst="rect">
                                      <a:avLst/>
                                    </a:prstGeom>
                                    <a:solidFill>
                                      <a:srgbClr val="FFFFFF"/>
                                    </a:solidFill>
                                    <a:ln w="6350">
                                      <a:solidFill>
                                        <a:srgbClr val="000000"/>
                                      </a:solidFill>
                                      <a:miter lim="800000"/>
                                      <a:headEnd/>
                                      <a:tailEnd/>
                                    </a:ln>
                                  </wps:spPr>
                                  <wps:txbx>
                                    <w:txbxContent>
                                      <w:p>
                                        <w:pPr>
                                          <w:rPr>
                                            <w:sz w:val="23"/>
                                            <w:szCs w:val="23"/>
                                          </w:rPr>
                                        </w:pPr>
                                        <w:r>
                                          <w:rPr>
                                            <w:sz w:val="23"/>
                                            <w:szCs w:val="23"/>
                                          </w:rPr>
                                          <w:t>oncles et tantes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4" o:spid="_x0000_s1033" type="#_x0000_t202" style="position:absolute;left:0;text-align:left;margin-left:-.1pt;margin-top:1.7pt;width:98.95pt;height:27.2pt;z-index:25167974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" strokeweight=".5pt">
                            <v:textbox inset="7.45pt,3.85pt,7.45pt,3.85pt">
                              <w:txbxContent>
                                <w:p>
                                  <w:pPr>
                                    <w:rPr>
                                      <w:sz w:val="23"/>
                                      <w:szCs w:val="23"/>
                                    </w:rPr>
                                  </w:pPr>
                                  <w:r>
                                    <w:rPr>
                                      <w:sz w:val="23"/>
                                      <w:szCs w:val="23"/>
                                    </w:rPr>
                                    <w:t>oncles et tantes</w:t>
                                  </w:r>
                                </w:p>
                              </w:txbxContent>
                            </v:textbox>
                          </v:shape>
                        </w:pict>
                      </mc:Fallback>
                    </mc:AlternateContent>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2</w:t>
                  </w:r>
                  <w:r>
                    <w:rPr>
                      <w:rFonts w:asciiTheme="majorHAnsi" w:hAnsiTheme="majorHAnsi"/>
                      <w:color w:val="auto"/>
                      <w:sz w:val="22"/>
                      <w:szCs w:val="22"/>
                      <w:vertAlign w:val="superscript"/>
                      <w:lang w:val="fr-BE"/>
                    </w:rPr>
                    <w:t>ème</w:t>
                  </w:r>
                  <w:r>
                    <w:rPr>
                      <w:rFonts w:asciiTheme="majorHAnsi" w:hAnsiTheme="majorHAnsi"/>
                      <w:color w:val="auto"/>
                      <w:sz w:val="22"/>
                      <w:szCs w:val="22"/>
                      <w:lang w:val="fr-BE"/>
                    </w:rPr>
                    <w:t xml:space="preserve"> degré</w: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5888" behindDoc="0" locked="0" layoutInCell="1" allowOverlap="1">
                            <wp:simplePos x="0" y="0"/>
                            <wp:positionH relativeFrom="column">
                              <wp:posOffset>2399030</wp:posOffset>
                            </wp:positionH>
                            <wp:positionV relativeFrom="paragraph">
                              <wp:posOffset>142875</wp:posOffset>
                            </wp:positionV>
                            <wp:extent cx="1142365" cy="456565"/>
                            <wp:effectExtent l="8255" t="5080" r="11430" b="5080"/>
                            <wp:wrapNone/>
                            <wp:docPr id="143" name="Zone de texte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2365" cy="456565"/>
                                    </a:xfrm>
                                    <a:prstGeom prst="rect">
                                      <a:avLst/>
                                    </a:prstGeom>
                                    <a:solidFill>
                                      <a:srgbClr val="FFFFFF"/>
                                    </a:solidFill>
                                    <a:ln w="6350">
                                      <a:solidFill>
                                        <a:srgbClr val="000000"/>
                                      </a:solidFill>
                                      <a:miter lim="800000"/>
                                      <a:headEnd/>
                                      <a:tailEnd/>
                                    </a:ln>
                                  </wps:spPr>
                                  <wps:txbx>
                                    <w:txbxContent>
                                      <w:p>
                                        <w:pPr>
                                          <w:rPr>
                                            <w:sz w:val="23"/>
                                            <w:szCs w:val="23"/>
                                          </w:rPr>
                                        </w:pPr>
                                        <w:r>
                                          <w:rPr>
                                            <w:sz w:val="23"/>
                                            <w:szCs w:val="23"/>
                                          </w:rPr>
                                          <w:t>parents</w:t>
                                        </w:r>
                                      </w:p>
                                      <w:p>
                                        <w:pPr>
                                          <w:rPr>
                                            <w:sz w:val="23"/>
                                            <w:szCs w:val="23"/>
                                          </w:rPr>
                                        </w:pPr>
                                        <w:r>
                                          <w:rPr>
                                            <w:sz w:val="23"/>
                                            <w:szCs w:val="23"/>
                                          </w:rPr>
                                          <w:t>beaux-parents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3" o:spid="_x0000_s1034" type="#_x0000_t202" style="position:absolute;left:0;text-align:left;margin-left:188.9pt;margin-top:11.25pt;width:89.95pt;height:35.95pt;z-index:25168588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" strokeweight=".5pt">
                            <v:textbox inset="7.45pt,3.85pt,7.45pt,3.85pt">
                              <w:txbxContent>
                                <w:p>
                                  <w:pPr>
                                    <w:rPr>
                                      <w:sz w:val="23"/>
                                      <w:szCs w:val="23"/>
                                    </w:rPr>
                                  </w:pPr>
                                  <w:r>
                                    <w:rPr>
                                      <w:sz w:val="23"/>
                                      <w:szCs w:val="23"/>
                                    </w:rPr>
                                    <w:t>parents</w:t>
                                  </w:r>
                                </w:p>
                                <w:p>
                                  <w:pPr>
                                    <w:rPr>
                                      <w:sz w:val="23"/>
                                      <w:szCs w:val="23"/>
                                    </w:rPr>
                                  </w:pPr>
                                  <w:r>
                                    <w:rPr>
                                      <w:sz w:val="23"/>
                                      <w:szCs w:val="23"/>
                                    </w:rPr>
                                    <w:t>beaux-parents</w:t>
                                  </w:r>
                                </w:p>
                              </w:txbxContent>
                            </v:textbox>
                          </v:shape>
                        </w:pict>
                      </mc:Fallback>
                    </mc:AlternateContent>
                  </w:r>
                  <w:r>
                    <w:rPr>
                      <w:rFonts w:asciiTheme="majorHAnsi" w:hAnsiTheme="majorHAnsi"/>
                      <w:noProof/>
                      <w:sz w:val="22"/>
                      <w:szCs w:val="22"/>
                      <w:lang w:val="fr-BE" w:eastAsia="fr-BE"/>
                    </w:rPr>
                    <mc:AlternateContent>
                      <mc:Choice Requires="wps">
                        <w:drawing>
                          <wp:anchor distT="0" distB="0" distL="114300" distR="114300" simplePos="0" relativeHeight="251688960" behindDoc="0" locked="0" layoutInCell="1" allowOverlap="1">
                            <wp:simplePos x="0" y="0"/>
                            <wp:positionH relativeFrom="column">
                              <wp:posOffset>571500</wp:posOffset>
                            </wp:positionH>
                            <wp:positionV relativeFrom="paragraph">
                              <wp:posOffset>144145</wp:posOffset>
                            </wp:positionV>
                            <wp:extent cx="342900" cy="682625"/>
                            <wp:effectExtent l="9525" t="6350" r="57150" b="34925"/>
                            <wp:wrapNone/>
                            <wp:docPr id="142" name="Connecteur droit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68262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5A94CB" id="Connecteur droit 142"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1.35pt" to="1in,6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" strokeweight=".26mm">
                            <v:stroke endarrow="block" joinstyle="miter"/>
                          </v:line>
                        </w:pict>
                      </mc:Fallback>
                    </mc:AlternateConten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4864" behindDoc="0" locked="0" layoutInCell="1" allowOverlap="1">
                            <wp:simplePos x="0" y="0"/>
                            <wp:positionH relativeFrom="column">
                              <wp:posOffset>4799330</wp:posOffset>
                            </wp:positionH>
                            <wp:positionV relativeFrom="paragraph">
                              <wp:posOffset>257810</wp:posOffset>
                            </wp:positionV>
                            <wp:extent cx="1599565" cy="688340"/>
                            <wp:effectExtent l="8255" t="13335" r="11430" b="12700"/>
                            <wp:wrapNone/>
                            <wp:docPr id="141" name="Zone de texte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9565" cy="688340"/>
                                    </a:xfrm>
                                    <a:prstGeom prst="rect">
                                      <a:avLst/>
                                    </a:prstGeom>
                                    <a:solidFill>
                                      <a:srgbClr val="FFFFFF"/>
                                    </a:solidFill>
                                    <a:ln w="6350">
                                      <a:solidFill>
                                        <a:srgbClr val="000000"/>
                                      </a:solidFill>
                                      <a:miter lim="800000"/>
                                      <a:headEnd/>
                                      <a:tailEnd/>
                                    </a:ln>
                                  </wps:spPr>
                                  <wps:txbx>
                                    <w:txbxContent>
                                      <w:p>
                                        <w:pPr>
                                          <w:rPr>
                                            <w:sz w:val="23"/>
                                            <w:szCs w:val="23"/>
                                          </w:rPr>
                                        </w:pPr>
                                        <w:r>
                                          <w:rPr>
                                            <w:sz w:val="23"/>
                                            <w:szCs w:val="23"/>
                                          </w:rPr>
                                          <w:t>frères et sœurs</w:t>
                                        </w:r>
                                      </w:p>
                                      <w:p>
                                        <w:pPr>
                                          <w:rPr>
                                            <w:sz w:val="23"/>
                                            <w:szCs w:val="23"/>
                                          </w:rPr>
                                        </w:pPr>
                                        <w:r>
                                          <w:rPr>
                                            <w:sz w:val="23"/>
                                            <w:szCs w:val="23"/>
                                          </w:rPr>
                                          <w:t>beaux-frères</w:t>
                                        </w:r>
                                      </w:p>
                                      <w:p>
                                        <w:pPr>
                                          <w:rPr>
                                            <w:sz w:val="23"/>
                                            <w:szCs w:val="23"/>
                                          </w:rPr>
                                        </w:pPr>
                                        <w:r>
                                          <w:rPr>
                                            <w:sz w:val="23"/>
                                            <w:szCs w:val="23"/>
                                          </w:rPr>
                                          <w:t>belles-soeurs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1" o:spid="_x0000_s1035" type="#_x0000_t202" style="position:absolute;left:0;text-align:left;margin-left:377.9pt;margin-top:20.3pt;width:125.95pt;height:54.2pt;z-index:2516848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" strokeweight=".5pt">
                            <v:textbox inset="7.45pt,3.85pt,7.45pt,3.85pt">
                              <w:txbxContent>
                                <w:p>
                                  <w:pPr>
                                    <w:rPr>
                                      <w:sz w:val="23"/>
                                      <w:szCs w:val="23"/>
                                    </w:rPr>
                                  </w:pPr>
                                  <w:r>
                                    <w:rPr>
                                      <w:sz w:val="23"/>
                                      <w:szCs w:val="23"/>
                                    </w:rPr>
                                    <w:t>frères et sœurs</w:t>
                                  </w:r>
                                </w:p>
                                <w:p>
                                  <w:pPr>
                                    <w:rPr>
                                      <w:sz w:val="23"/>
                                      <w:szCs w:val="23"/>
                                    </w:rPr>
                                  </w:pPr>
                                  <w:r>
                                    <w:rPr>
                                      <w:sz w:val="23"/>
                                      <w:szCs w:val="23"/>
                                    </w:rPr>
                                    <w:t>beaux-frères</w:t>
                                  </w:r>
                                </w:p>
                                <w:p>
                                  <w:pPr>
                                    <w:rPr>
                                      <w:sz w:val="23"/>
                                      <w:szCs w:val="23"/>
                                    </w:rPr>
                                  </w:pPr>
                                  <w:r>
                                    <w:rPr>
                                      <w:sz w:val="23"/>
                                      <w:szCs w:val="23"/>
                                    </w:rPr>
                                    <w:t>belles-soeurs</w:t>
                                  </w:r>
                                </w:p>
                              </w:txbxContent>
                            </v:textbox>
                          </v:shape>
                        </w:pict>
                      </mc:Fallback>
                    </mc:AlternateContent>
                  </w:r>
                  <w:r>
                    <w:rPr>
                      <w:rFonts w:asciiTheme="majorHAnsi" w:hAnsiTheme="majorHAnsi"/>
                      <w:noProof/>
                      <w:sz w:val="22"/>
                      <w:szCs w:val="22"/>
                      <w:lang w:val="fr-BE" w:eastAsia="fr-BE"/>
                    </w:rPr>
                    <mc:AlternateContent>
                      <mc:Choice Requires="wps">
                        <w:drawing>
                          <wp:anchor distT="0" distB="0" distL="114300" distR="114300" simplePos="0" relativeHeight="251694080" behindDoc="0" locked="0" layoutInCell="1" allowOverlap="1">
                            <wp:simplePos x="0" y="0"/>
                            <wp:positionH relativeFrom="column">
                              <wp:posOffset>3657600</wp:posOffset>
                            </wp:positionH>
                            <wp:positionV relativeFrom="paragraph">
                              <wp:posOffset>33655</wp:posOffset>
                            </wp:positionV>
                            <wp:extent cx="1028700" cy="454025"/>
                            <wp:effectExtent l="9525" t="8255" r="38100" b="61595"/>
                            <wp:wrapNone/>
                            <wp:docPr id="140" name="Connecteur droit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45402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78E273" id="Connecteur droit 140"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in,2.65pt" to="369pt,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" strokeweight=".26mm">
                            <v:stroke endarrow="block" joinstyle="miter"/>
                          </v:line>
                        </w:pict>
                      </mc:Fallback>
                    </mc:AlternateContent>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2ème degré</w: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1792" behindDoc="0" locked="0" layoutInCell="1" allowOverlap="1">
                            <wp:simplePos x="0" y="0"/>
                            <wp:positionH relativeFrom="column">
                              <wp:posOffset>-1270</wp:posOffset>
                            </wp:positionH>
                            <wp:positionV relativeFrom="paragraph">
                              <wp:posOffset>264795</wp:posOffset>
                            </wp:positionV>
                            <wp:extent cx="1485265" cy="342265"/>
                            <wp:effectExtent l="8255" t="9525" r="11430" b="10160"/>
                            <wp:wrapNone/>
                            <wp:docPr id="139" name="Zone de texte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265" cy="342265"/>
                                    </a:xfrm>
                                    <a:prstGeom prst="rect">
                                      <a:avLst/>
                                    </a:prstGeom>
                                    <a:solidFill>
                                      <a:srgbClr val="FFFFFF"/>
                                    </a:solidFill>
                                    <a:ln w="6350">
                                      <a:solidFill>
                                        <a:srgbClr val="000000"/>
                                      </a:solidFill>
                                      <a:miter lim="800000"/>
                                      <a:headEnd/>
                                      <a:tailEnd/>
                                    </a:ln>
                                  </wps:spPr>
                                  <wps:txbx>
                                    <w:txbxContent>
                                      <w:p>
                                        <w:pPr>
                                          <w:rPr>
                                            <w:sz w:val="23"/>
                                            <w:szCs w:val="23"/>
                                          </w:rPr>
                                        </w:pPr>
                                        <w:r>
                                          <w:rPr>
                                            <w:sz w:val="23"/>
                                            <w:szCs w:val="23"/>
                                          </w:rPr>
                                          <w:t>cousins et cousines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9" o:spid="_x0000_s1036" type="#_x0000_t202" style="position:absolute;left:0;text-align:left;margin-left:-.1pt;margin-top:20.85pt;width:116.95pt;height:26.95pt;z-index:25168179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" strokeweight=".5pt">
                            <v:textbox inset="7.45pt,3.85pt,7.45pt,3.85pt">
                              <w:txbxContent>
                                <w:p>
                                  <w:pPr>
                                    <w:rPr>
                                      <w:sz w:val="23"/>
                                      <w:szCs w:val="23"/>
                                    </w:rPr>
                                  </w:pPr>
                                  <w:r>
                                    <w:rPr>
                                      <w:sz w:val="23"/>
                                      <w:szCs w:val="23"/>
                                    </w:rPr>
                                    <w:t>cousins et cousines</w:t>
                                  </w:r>
                                </w:p>
                              </w:txbxContent>
                            </v:textbox>
                          </v:shape>
                        </w:pict>
                      </mc:Fallback>
                    </mc:AlternateContent>
                  </w:r>
                  <w:r>
                    <w:rPr>
                      <w:rFonts w:asciiTheme="majorHAnsi" w:hAnsiTheme="majorHAnsi"/>
                      <w:noProof/>
                      <w:sz w:val="22"/>
                      <w:szCs w:val="22"/>
                      <w:lang w:val="fr-BE" w:eastAsia="fr-BE"/>
                    </w:rPr>
                    <mc:AlternateContent>
                      <mc:Choice Requires="wps">
                        <w:drawing>
                          <wp:anchor distT="0" distB="0" distL="114300" distR="114300" simplePos="0" relativeHeight="251691008" behindDoc="0" locked="0" layoutInCell="1" allowOverlap="1">
                            <wp:simplePos x="0" y="0"/>
                            <wp:positionH relativeFrom="column">
                              <wp:posOffset>2971800</wp:posOffset>
                            </wp:positionH>
                            <wp:positionV relativeFrom="paragraph">
                              <wp:posOffset>34290</wp:posOffset>
                            </wp:positionV>
                            <wp:extent cx="0" cy="571500"/>
                            <wp:effectExtent l="57150" t="17145" r="57150" b="11430"/>
                            <wp:wrapNone/>
                            <wp:docPr id="138" name="Connecteur droit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715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A6C6D4" id="Connecteur droit 138" o:spid="_x0000_s1026" style="position:absolute;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2.7pt" to="234pt,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" strokeweight=".26mm">
                            <v:stroke endarrow="block" joinstyle="miter"/>
                          </v:line>
                        </w:pict>
                      </mc:Fallback>
                    </mc:AlternateContent>
                  </w:r>
                  <w:r>
                    <w:rPr>
                      <w:rFonts w:asciiTheme="majorHAnsi" w:hAnsiTheme="majorHAnsi"/>
                      <w:color w:val="auto"/>
                      <w:sz w:val="22"/>
                      <w:szCs w:val="22"/>
                      <w:lang w:val="fr-BE"/>
                    </w:rPr>
                    <w:t>4</w:t>
                  </w:r>
                  <w:r>
                    <w:rPr>
                      <w:rFonts w:asciiTheme="majorHAnsi" w:hAnsiTheme="majorHAnsi"/>
                      <w:color w:val="auto"/>
                      <w:sz w:val="22"/>
                      <w:szCs w:val="22"/>
                      <w:vertAlign w:val="superscript"/>
                      <w:lang w:val="fr-BE"/>
                    </w:rPr>
                    <w:t>ème</w:t>
                  </w:r>
                  <w:r>
                    <w:rPr>
                      <w:rFonts w:asciiTheme="majorHAnsi" w:hAnsiTheme="majorHAnsi"/>
                      <w:color w:val="auto"/>
                      <w:sz w:val="22"/>
                      <w:szCs w:val="22"/>
                      <w:lang w:val="fr-BE"/>
                    </w:rPr>
                    <w:t xml:space="preserve"> degré</w:t>
                  </w:r>
                </w:p>
                <w:p>
                  <w:pPr>
                    <w:pStyle w:val="Default"/>
                    <w:spacing w:after="120" w:line="360" w:lineRule="auto"/>
                    <w:jc w:val="both"/>
                    <w:rPr>
                      <w:rFonts w:asciiTheme="majorHAnsi" w:hAnsiTheme="majorHAnsi"/>
                      <w:color w:val="auto"/>
                      <w:sz w:val="22"/>
                      <w:szCs w:val="22"/>
                      <w:lang w:val="fr-BE"/>
                    </w:rPr>
                  </w:pP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1</w:t>
                  </w:r>
                  <w:r>
                    <w:rPr>
                      <w:rFonts w:asciiTheme="majorHAnsi" w:hAnsiTheme="majorHAnsi"/>
                      <w:color w:val="auto"/>
                      <w:sz w:val="22"/>
                      <w:szCs w:val="22"/>
                      <w:vertAlign w:val="superscript"/>
                      <w:lang w:val="fr-BE"/>
                    </w:rPr>
                    <w:t>er</w:t>
                  </w:r>
                  <w:r>
                    <w:rPr>
                      <w:rFonts w:asciiTheme="majorHAnsi" w:hAnsiTheme="majorHAnsi"/>
                      <w:color w:val="auto"/>
                      <w:sz w:val="22"/>
                      <w:szCs w:val="22"/>
                      <w:lang w:val="fr-BE"/>
                    </w:rPr>
                    <w:t xml:space="preserve"> degré</w: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3840" behindDoc="0" locked="0" layoutInCell="1" allowOverlap="1">
                            <wp:simplePos x="0" y="0"/>
                            <wp:positionH relativeFrom="column">
                              <wp:posOffset>2170430</wp:posOffset>
                            </wp:positionH>
                            <wp:positionV relativeFrom="paragraph">
                              <wp:posOffset>43815</wp:posOffset>
                            </wp:positionV>
                            <wp:extent cx="1599565" cy="342265"/>
                            <wp:effectExtent l="8255" t="5080" r="11430" b="5080"/>
                            <wp:wrapNone/>
                            <wp:docPr id="137" name="Zone de texte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9565" cy="342265"/>
                                    </a:xfrm>
                                    <a:prstGeom prst="rect">
                                      <a:avLst/>
                                    </a:prstGeom>
                                    <a:solidFill>
                                      <a:srgbClr val="FFFFFF"/>
                                    </a:solidFill>
                                    <a:ln w="6350">
                                      <a:solidFill>
                                        <a:srgbClr val="000000"/>
                                      </a:solidFill>
                                      <a:miter lim="800000"/>
                                      <a:headEnd/>
                                      <a:tailEnd/>
                                    </a:ln>
                                  </wps:spPr>
                                  <wps:txbx>
                                    <w:txbxContent>
                                      <w:p>
                                        <w:pPr>
                                          <w:rPr>
                                            <w:sz w:val="23"/>
                                            <w:szCs w:val="23"/>
                                          </w:rPr>
                                        </w:pPr>
                                        <w:r>
                                          <w:rPr>
                                            <w:sz w:val="23"/>
                                            <w:szCs w:val="23"/>
                                          </w:rPr>
                                          <w:t>MOI et mon époux(se)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7" o:spid="_x0000_s1037" type="#_x0000_t202" style="position:absolute;left:0;text-align:left;margin-left:170.9pt;margin-top:3.45pt;width:125.95pt;height:26.95pt;z-index:2516838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" strokeweight=".5pt">
                            <v:textbox inset="7.45pt,3.85pt,7.45pt,3.85pt">
                              <w:txbxContent>
                                <w:p>
                                  <w:pPr>
                                    <w:rPr>
                                      <w:sz w:val="23"/>
                                      <w:szCs w:val="23"/>
                                    </w:rPr>
                                  </w:pPr>
                                  <w:r>
                                    <w:rPr>
                                      <w:sz w:val="23"/>
                                      <w:szCs w:val="23"/>
                                    </w:rPr>
                                    <w:t>MOI et mon époux(se)</w:t>
                                  </w:r>
                                </w:p>
                              </w:txbxContent>
                            </v:textbox>
                          </v:shape>
                        </w:pict>
                      </mc:Fallback>
                    </mc:AlternateConten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300" distR="114300" simplePos="0" relativeHeight="251692032" behindDoc="0" locked="0" layoutInCell="1" allowOverlap="1">
                            <wp:simplePos x="0" y="0"/>
                            <wp:positionH relativeFrom="column">
                              <wp:posOffset>2971800</wp:posOffset>
                            </wp:positionH>
                            <wp:positionV relativeFrom="paragraph">
                              <wp:posOffset>163830</wp:posOffset>
                            </wp:positionV>
                            <wp:extent cx="0" cy="342900"/>
                            <wp:effectExtent l="57150" t="9525" r="57150" b="19050"/>
                            <wp:wrapNone/>
                            <wp:docPr id="136" name="Connecteur droit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0C3F29" id="Connecteur droit 136"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2.9pt" to="234pt,3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" strokeweight=".26mm">
                            <v:stroke endarrow="block" joinstyle="miter"/>
                          </v:line>
                        </w:pict>
                      </mc:Fallback>
                    </mc:AlternateConten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2816" behindDoc="0" locked="0" layoutInCell="1" allowOverlap="1">
                            <wp:simplePos x="0" y="0"/>
                            <wp:positionH relativeFrom="column">
                              <wp:posOffset>2513330</wp:posOffset>
                            </wp:positionH>
                            <wp:positionV relativeFrom="paragraph">
                              <wp:posOffset>280035</wp:posOffset>
                            </wp:positionV>
                            <wp:extent cx="913765" cy="342265"/>
                            <wp:effectExtent l="8255" t="10160" r="11430" b="9525"/>
                            <wp:wrapNone/>
                            <wp:docPr id="135" name="Zone de texte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765" cy="342265"/>
                                    </a:xfrm>
                                    <a:prstGeom prst="rect">
                                      <a:avLst/>
                                    </a:prstGeom>
                                    <a:solidFill>
                                      <a:srgbClr val="FFFFFF"/>
                                    </a:solidFill>
                                    <a:ln w="6350">
                                      <a:solidFill>
                                        <a:srgbClr val="000000"/>
                                      </a:solidFill>
                                      <a:miter lim="800000"/>
                                      <a:headEnd/>
                                      <a:tailEnd/>
                                    </a:ln>
                                  </wps:spPr>
                                  <wps:txbx>
                                    <w:txbxContent>
                                      <w:p>
                                        <w:pPr>
                                          <w:rPr>
                                            <w:sz w:val="23"/>
                                            <w:szCs w:val="23"/>
                                          </w:rPr>
                                        </w:pPr>
                                        <w:r>
                                          <w:rPr>
                                            <w:sz w:val="23"/>
                                            <w:szCs w:val="23"/>
                                          </w:rPr>
                                          <w:t>enfants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5" o:spid="_x0000_s1038" type="#_x0000_t202" style="position:absolute;left:0;text-align:left;margin-left:197.9pt;margin-top:22.05pt;width:71.95pt;height:26.95pt;z-index:25168281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" strokeweight=".5pt">
                            <v:textbox inset="7.45pt,3.85pt,7.45pt,3.85pt">
                              <w:txbxContent>
                                <w:p>
                                  <w:pPr>
                                    <w:rPr>
                                      <w:sz w:val="23"/>
                                      <w:szCs w:val="23"/>
                                    </w:rPr>
                                  </w:pPr>
                                  <w:r>
                                    <w:rPr>
                                      <w:sz w:val="23"/>
                                      <w:szCs w:val="23"/>
                                    </w:rPr>
                                    <w:t>enfants</w:t>
                                  </w:r>
                                </w:p>
                              </w:txbxContent>
                            </v:textbox>
                          </v:shape>
                        </w:pict>
                      </mc:Fallback>
                    </mc:AlternateContent>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1</w:t>
                  </w:r>
                  <w:r>
                    <w:rPr>
                      <w:rFonts w:asciiTheme="majorHAnsi" w:hAnsiTheme="majorHAnsi"/>
                      <w:color w:val="auto"/>
                      <w:sz w:val="22"/>
                      <w:szCs w:val="22"/>
                      <w:vertAlign w:val="superscript"/>
                      <w:lang w:val="fr-BE"/>
                    </w:rPr>
                    <w:t>er</w:t>
                  </w:r>
                  <w:r>
                    <w:rPr>
                      <w:rFonts w:asciiTheme="majorHAnsi" w:hAnsiTheme="majorHAnsi"/>
                      <w:color w:val="auto"/>
                      <w:sz w:val="22"/>
                      <w:szCs w:val="22"/>
                      <w:lang w:val="fr-BE"/>
                    </w:rPr>
                    <w:t xml:space="preserve"> degré</w:t>
                  </w:r>
                </w:p>
                <w:p>
                  <w:pPr>
                    <w:pStyle w:val="Default"/>
                    <w:spacing w:after="120" w:line="360" w:lineRule="auto"/>
                    <w:jc w:val="both"/>
                    <w:rPr>
                      <w:rFonts w:asciiTheme="majorHAnsi" w:hAnsiTheme="majorHAnsi"/>
                      <w:color w:val="auto"/>
                      <w:sz w:val="22"/>
                      <w:szCs w:val="22"/>
                      <w:lang w:val="fr-BE"/>
                    </w:rPr>
                  </w:pP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300" distR="114300" simplePos="0" relativeHeight="251693056" behindDoc="0" locked="0" layoutInCell="1" allowOverlap="1">
                            <wp:simplePos x="0" y="0"/>
                            <wp:positionH relativeFrom="column">
                              <wp:posOffset>2971800</wp:posOffset>
                            </wp:positionH>
                            <wp:positionV relativeFrom="paragraph">
                              <wp:posOffset>61595</wp:posOffset>
                            </wp:positionV>
                            <wp:extent cx="0" cy="457200"/>
                            <wp:effectExtent l="57150" t="8255" r="57150" b="20320"/>
                            <wp:wrapNone/>
                            <wp:docPr id="134" name="Connecteur droit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4E2524" id="Connecteur droit 134"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4.85pt" to="234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" strokeweight=".26mm">
                            <v:stroke endarrow="block" joinstyle="miter"/>
                          </v:line>
                        </w:pict>
                      </mc:Fallback>
                    </mc:AlternateConten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0768" behindDoc="0" locked="0" layoutInCell="1" allowOverlap="1">
                            <wp:simplePos x="0" y="0"/>
                            <wp:positionH relativeFrom="column">
                              <wp:posOffset>2513330</wp:posOffset>
                            </wp:positionH>
                            <wp:positionV relativeFrom="paragraph">
                              <wp:posOffset>292100</wp:posOffset>
                            </wp:positionV>
                            <wp:extent cx="1028065" cy="342265"/>
                            <wp:effectExtent l="8255" t="8890" r="11430" b="10795"/>
                            <wp:wrapNone/>
                            <wp:docPr id="133" name="Zone de texte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065" cy="342265"/>
                                    </a:xfrm>
                                    <a:prstGeom prst="rect">
                                      <a:avLst/>
                                    </a:prstGeom>
                                    <a:solidFill>
                                      <a:srgbClr val="FFFFFF"/>
                                    </a:solidFill>
                                    <a:ln w="6350">
                                      <a:solidFill>
                                        <a:srgbClr val="000000"/>
                                      </a:solidFill>
                                      <a:miter lim="800000"/>
                                      <a:headEnd/>
                                      <a:tailEnd/>
                                    </a:ln>
                                  </wps:spPr>
                                  <wps:txbx>
                                    <w:txbxContent>
                                      <w:p>
                                        <w:pPr>
                                          <w:rPr>
                                            <w:sz w:val="23"/>
                                            <w:szCs w:val="23"/>
                                          </w:rPr>
                                        </w:pPr>
                                        <w:r>
                                          <w:rPr>
                                            <w:sz w:val="23"/>
                                            <w:szCs w:val="23"/>
                                          </w:rPr>
                                          <w:t>petits-enfants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3" o:spid="_x0000_s1039" type="#_x0000_t202" style="position:absolute;left:0;text-align:left;margin-left:197.9pt;margin-top:23pt;width:80.95pt;height:26.95pt;z-index:25168076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" strokeweight=".5pt">
                            <v:textbox inset="7.45pt,3.85pt,7.45pt,3.85pt">
                              <w:txbxContent>
                                <w:p>
                                  <w:pPr>
                                    <w:rPr>
                                      <w:sz w:val="23"/>
                                      <w:szCs w:val="23"/>
                                    </w:rPr>
                                  </w:pPr>
                                  <w:r>
                                    <w:rPr>
                                      <w:sz w:val="23"/>
                                      <w:szCs w:val="23"/>
                                    </w:rPr>
                                    <w:t>petits-enfants</w:t>
                                  </w:r>
                                </w:p>
                              </w:txbxContent>
                            </v:textbox>
                          </v:shape>
                        </w:pict>
                      </mc:Fallback>
                    </mc:AlternateContent>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2</w:t>
                  </w:r>
                  <w:r>
                    <w:rPr>
                      <w:rFonts w:asciiTheme="majorHAnsi" w:hAnsiTheme="majorHAnsi"/>
                      <w:color w:val="auto"/>
                      <w:sz w:val="22"/>
                      <w:szCs w:val="22"/>
                      <w:vertAlign w:val="superscript"/>
                      <w:lang w:val="fr-BE"/>
                    </w:rPr>
                    <w:t>ème</w:t>
                  </w:r>
                  <w:r>
                    <w:rPr>
                      <w:rFonts w:asciiTheme="majorHAnsi" w:hAnsiTheme="majorHAnsi"/>
                      <w:color w:val="auto"/>
                      <w:sz w:val="22"/>
                      <w:szCs w:val="22"/>
                      <w:lang w:val="fr-BE"/>
                    </w:rPr>
                    <w:t>degré</w:t>
                  </w:r>
                </w:p>
                <w:p>
                  <w:pPr>
                    <w:pStyle w:val="Default"/>
                    <w:spacing w:after="120" w:line="360" w:lineRule="auto"/>
                    <w:jc w:val="both"/>
                    <w:rPr>
                      <w:rFonts w:asciiTheme="majorHAnsi" w:hAnsiTheme="majorHAnsi"/>
                      <w:color w:val="auto"/>
                      <w:sz w:val="22"/>
                      <w:szCs w:val="22"/>
                      <w:lang w:val="fr-BE"/>
                    </w:rPr>
                  </w:pPr>
                </w:p>
                <w:p>
                  <w:pPr>
                    <w:pStyle w:val="Default"/>
                    <w:spacing w:after="120" w:line="360" w:lineRule="auto"/>
                    <w:jc w:val="both"/>
                    <w:rPr>
                      <w:rFonts w:asciiTheme="majorHAnsi" w:hAnsiTheme="majorHAnsi"/>
                      <w:color w:val="auto"/>
                      <w:sz w:val="22"/>
                      <w:szCs w:val="22"/>
                      <w:lang w:val="fr-BE"/>
                    </w:rPr>
                  </w:pPr>
                </w:p>
                <w:p>
                  <w:pPr>
                    <w:pStyle w:val="Default"/>
                    <w:spacing w:after="120" w:line="360" w:lineRule="auto"/>
                    <w:jc w:val="both"/>
                    <w:rPr>
                      <w:rFonts w:asciiTheme="majorHAnsi" w:hAnsiTheme="majorHAnsi"/>
                      <w:color w:val="auto"/>
                      <w:sz w:val="22"/>
                      <w:szCs w:val="22"/>
                      <w:lang w:val="fr-BE"/>
                    </w:rPr>
                  </w:pPr>
                </w:p>
                <w:p>
                  <w:pPr>
                    <w:pStyle w:val="Default"/>
                    <w:spacing w:after="120" w:line="360" w:lineRule="auto"/>
                    <w:jc w:val="both"/>
                    <w:rPr>
                      <w:rFonts w:asciiTheme="majorHAnsi" w:hAnsiTheme="majorHAnsi"/>
                      <w:color w:val="auto"/>
                      <w:sz w:val="22"/>
                      <w:szCs w:val="22"/>
                      <w:lang w:val="fr-BE"/>
                    </w:rPr>
                  </w:pPr>
                  <w:r>
                    <w:rPr>
                      <w:rFonts w:asciiTheme="majorHAnsi" w:hAnsiTheme="majorHAnsi"/>
                      <w:color w:val="auto"/>
                      <w:sz w:val="22"/>
                      <w:szCs w:val="22"/>
                      <w:lang w:val="fr-BE"/>
                    </w:rPr>
                    <w:br w:type="page"/>
                  </w:r>
                </w:p>
                <w:p>
                  <w:pPr>
                    <w:pStyle w:val="Titre4"/>
                  </w:pPr>
                  <w:bookmarkStart w:id="1240" w:name="_Annexe_22_:"/>
                  <w:bookmarkStart w:id="1241" w:name="_Annexe_17_:"/>
                  <w:bookmarkStart w:id="1242" w:name="annexe22"/>
                  <w:bookmarkStart w:id="1243" w:name="_Toc412204117"/>
                  <w:bookmarkStart w:id="1244" w:name="_Toc414352924"/>
                  <w:bookmarkStart w:id="1245" w:name="_Toc453836948"/>
                  <w:bookmarkStart w:id="1246" w:name="_Ref11411344"/>
                  <w:bookmarkEnd w:id="1240"/>
                  <w:bookmarkEnd w:id="1241"/>
                  <w:r>
                    <w:t>Annexe</w:t>
                  </w:r>
                  <w:bookmarkEnd w:id="1242"/>
                  <w:r>
                    <w:t xml:space="preserve"> 17 : Modèle de base de protocole de collaboration avec les services de police</w:t>
                  </w:r>
                  <w:bookmarkEnd w:id="1243"/>
                  <w:bookmarkEnd w:id="1244"/>
                  <w:bookmarkEnd w:id="1245"/>
                  <w:bookmarkEnd w:id="1246"/>
                </w:p>
                <w:p>
                  <w:pPr>
                    <w:jc w:val="both"/>
                    <w:rPr>
                      <w:rFonts w:cs="Arial"/>
                      <w:shd w:val="clear" w:color="auto" w:fill="FFFF00"/>
                    </w:rPr>
                  </w:pPr>
                </w:p>
                <w:p>
                  <w:pPr>
                    <w:numPr>
                      <w:ilvl w:val="0"/>
                      <w:numId w:val="100"/>
                    </w:numPr>
                    <w:suppressAutoHyphens/>
                    <w:ind w:left="1287"/>
                    <w:jc w:val="both"/>
                    <w:rPr>
                      <w:rFonts w:cs="Arial"/>
                      <w:u w:val="single"/>
                    </w:rPr>
                  </w:pPr>
                  <w:r>
                    <w:rPr>
                      <w:rFonts w:cs="Arial"/>
                      <w:u w:val="single"/>
                    </w:rPr>
                    <w:t>Parties</w:t>
                  </w:r>
                </w:p>
                <w:p>
                  <w:pPr>
                    <w:jc w:val="both"/>
                    <w:rPr>
                      <w:rFonts w:cs="Arial"/>
                    </w:rPr>
                  </w:pPr>
                </w:p>
                <w:p>
                  <w:pPr>
                    <w:jc w:val="both"/>
                    <w:rPr>
                      <w:rFonts w:cs="Arial"/>
                    </w:rPr>
                  </w:pPr>
                  <w:r>
                    <w:rPr>
                      <w:rFonts w:cs="Arial"/>
                    </w:rPr>
                    <w:t>Préciser l’identité et les fonctions de chacun des intervenants.</w:t>
                  </w:r>
                </w:p>
                <w:p>
                  <w:pPr>
                    <w:jc w:val="both"/>
                    <w:rPr>
                      <w:rFonts w:cs="Arial"/>
                    </w:rPr>
                  </w:pPr>
                </w:p>
                <w:p>
                  <w:pPr>
                    <w:numPr>
                      <w:ilvl w:val="0"/>
                      <w:numId w:val="100"/>
                    </w:numPr>
                    <w:suppressAutoHyphens/>
                    <w:ind w:left="1287"/>
                    <w:jc w:val="both"/>
                    <w:rPr>
                      <w:rFonts w:cs="Arial"/>
                      <w:u w:val="single"/>
                    </w:rPr>
                  </w:pPr>
                  <w:r>
                    <w:rPr>
                      <w:rFonts w:cs="Arial"/>
                      <w:u w:val="single"/>
                    </w:rPr>
                    <w:t>Principes et engagements</w:t>
                  </w:r>
                </w:p>
                <w:p>
                  <w:pPr>
                    <w:jc w:val="both"/>
                    <w:rPr>
                      <w:rFonts w:cs="Arial"/>
                    </w:rPr>
                  </w:pPr>
                </w:p>
                <w:p>
                  <w:pPr>
                    <w:jc w:val="both"/>
                    <w:rPr>
                      <w:rFonts w:cs="Arial"/>
                    </w:rPr>
                  </w:pPr>
                  <w:r>
                    <w:rPr>
                      <w:rFonts w:cs="Arial"/>
                    </w:rPr>
                    <w:t>Article 1</w:t>
                  </w:r>
                  <w:r>
                    <w:rPr>
                      <w:rFonts w:cs="Arial"/>
                      <w:vertAlign w:val="superscript"/>
                    </w:rPr>
                    <w:t>er</w:t>
                  </w:r>
                  <w:r>
                    <w:rPr>
                      <w:rFonts w:cs="Arial"/>
                    </w:rPr>
                    <w:t xml:space="preserve"> – L’objectif de la présente convention est d’organiser la collaboration entre les différentes parties en vue de promouvoir la sécurité des élèves et des membres du personnel dans les établissements scolaires concernés.</w:t>
                  </w:r>
                </w:p>
                <w:p>
                  <w:pPr>
                    <w:jc w:val="both"/>
                    <w:rPr>
                      <w:rFonts w:cs="Arial"/>
                    </w:rPr>
                  </w:pPr>
                </w:p>
                <w:p>
                  <w:pPr>
                    <w:jc w:val="both"/>
                    <w:rPr>
                      <w:rFonts w:cs="Arial"/>
                    </w:rPr>
                  </w:pPr>
                  <w:r>
                    <w:rPr>
                      <w:rFonts w:cs="Arial"/>
                    </w:rPr>
                    <w:t>Article 2 – Elle ne peut avoir pour effet d’engager les parties, et particulièrement les directeurs ou chefs d’établissement, au-delà de leurs obligations légales.</w:t>
                  </w:r>
                </w:p>
                <w:p>
                  <w:pPr>
                    <w:jc w:val="both"/>
                    <w:rPr>
                      <w:rFonts w:cs="Arial"/>
                    </w:rPr>
                  </w:pPr>
                </w:p>
                <w:p>
                  <w:pPr>
                    <w:jc w:val="both"/>
                    <w:rPr>
                      <w:rFonts w:cs="Arial"/>
                    </w:rPr>
                  </w:pPr>
                  <w:r>
                    <w:rPr>
                      <w:rFonts w:cs="Arial"/>
                    </w:rPr>
                    <w:t>Article 3 – Dans la mesure où les obligations légales de chacune des parties le permettent, les décisions prises dans le cadre de la présente convention le sont par consensus.</w:t>
                  </w:r>
                </w:p>
                <w:p>
                  <w:pPr>
                    <w:jc w:val="both"/>
                    <w:rPr>
                      <w:rFonts w:cs="Arial"/>
                    </w:rPr>
                  </w:pPr>
                </w:p>
                <w:p>
                  <w:pPr>
                    <w:jc w:val="both"/>
                    <w:rPr>
                      <w:rFonts w:cs="Arial"/>
                    </w:rPr>
                  </w:pPr>
                  <w:r>
                    <w:rPr>
                      <w:rFonts w:cs="Arial"/>
                    </w:rPr>
                    <w:t>Article 4 – La convention est évaluée à la fin de chaque année scolaire. Elle est, le cas échéant, reconduite et adaptée au début de l’année scolaire qui suit.</w:t>
                  </w:r>
                </w:p>
                <w:p>
                  <w:pPr>
                    <w:jc w:val="both"/>
                    <w:rPr>
                      <w:rFonts w:cs="Arial"/>
                    </w:rPr>
                  </w:pPr>
                </w:p>
                <w:p>
                  <w:pPr>
                    <w:jc w:val="both"/>
                    <w:rPr>
                      <w:rFonts w:cs="Arial"/>
                    </w:rPr>
                  </w:pPr>
                  <w:r>
                    <w:rPr>
                      <w:rFonts w:cs="Arial"/>
                    </w:rPr>
                    <w:t>Article 5 – § 1</w:t>
                  </w:r>
                  <w:r>
                    <w:rPr>
                      <w:rFonts w:cs="Arial"/>
                      <w:vertAlign w:val="superscript"/>
                    </w:rPr>
                    <w:t>er</w:t>
                  </w:r>
                  <w:r>
                    <w:rPr>
                      <w:rFonts w:cs="Arial"/>
                    </w:rPr>
                    <w:t>. Après concertation, les parties estiment que les situations ou problèmes suivants supposent la mise en place d’un programme d’action :</w:t>
                  </w:r>
                </w:p>
                <w:p>
                  <w:pPr>
                    <w:jc w:val="both"/>
                    <w:rPr>
                      <w:rFonts w:cs="Arial"/>
                    </w:rPr>
                  </w:pPr>
                  <w:r>
                    <w:rPr>
                      <w:rFonts w:cs="Arial"/>
                    </w:rPr>
                    <w:t>-</w:t>
                  </w:r>
                </w:p>
                <w:p>
                  <w:pPr>
                    <w:jc w:val="both"/>
                    <w:rPr>
                      <w:rFonts w:cs="Arial"/>
                    </w:rPr>
                  </w:pPr>
                  <w:r>
                    <w:rPr>
                      <w:rFonts w:cs="Arial"/>
                    </w:rPr>
                    <w:t>-</w:t>
                  </w:r>
                </w:p>
                <w:p>
                  <w:pPr>
                    <w:jc w:val="both"/>
                    <w:rPr>
                      <w:rFonts w:cs="Arial"/>
                    </w:rPr>
                  </w:pPr>
                  <w:r>
                    <w:rPr>
                      <w:rFonts w:cs="Arial"/>
                    </w:rPr>
                    <w:t>-</w:t>
                  </w:r>
                </w:p>
                <w:p>
                  <w:pPr>
                    <w:jc w:val="both"/>
                    <w:rPr>
                      <w:rFonts w:cs="Arial"/>
                    </w:rPr>
                  </w:pPr>
                  <w:r>
                    <w:rPr>
                      <w:rFonts w:cs="Arial"/>
                    </w:rPr>
                    <w:t>- …</w:t>
                  </w:r>
                </w:p>
                <w:p>
                  <w:pPr>
                    <w:jc w:val="both"/>
                    <w:rPr>
                      <w:rFonts w:cs="Arial"/>
                    </w:rPr>
                  </w:pPr>
                </w:p>
                <w:p>
                  <w:pPr>
                    <w:jc w:val="both"/>
                    <w:rPr>
                      <w:rFonts w:cs="Arial"/>
                    </w:rPr>
                  </w:pPr>
                  <w:r>
                    <w:rPr>
                      <w:rFonts w:cs="Arial"/>
                    </w:rPr>
                    <w:t>§ 2. A cette fin, elles marquent leur accord pour que les actions suivantes soient entreprises :</w:t>
                  </w:r>
                </w:p>
                <w:p>
                  <w:pPr>
                    <w:jc w:val="both"/>
                    <w:rPr>
                      <w:rFonts w:cs="Arial"/>
                    </w:rPr>
                  </w:pPr>
                  <w:r>
                    <w:rPr>
                      <w:rFonts w:cs="Arial"/>
                    </w:rPr>
                    <w:t>-</w:t>
                  </w:r>
                </w:p>
                <w:p>
                  <w:pPr>
                    <w:jc w:val="both"/>
                    <w:rPr>
                      <w:rFonts w:cs="Arial"/>
                    </w:rPr>
                  </w:pPr>
                  <w:r>
                    <w:rPr>
                      <w:rFonts w:cs="Arial"/>
                    </w:rPr>
                    <w:t>-</w:t>
                  </w:r>
                </w:p>
                <w:p>
                  <w:pPr>
                    <w:jc w:val="both"/>
                    <w:rPr>
                      <w:rFonts w:cs="Arial"/>
                    </w:rPr>
                  </w:pPr>
                  <w:r>
                    <w:rPr>
                      <w:rFonts w:cs="Arial"/>
                    </w:rPr>
                    <w:t>-</w:t>
                  </w:r>
                </w:p>
                <w:p>
                  <w:pPr>
                    <w:jc w:val="both"/>
                    <w:rPr>
                      <w:rFonts w:cs="Arial"/>
                    </w:rPr>
                  </w:pPr>
                  <w:r>
                    <w:rPr>
                      <w:rFonts w:cs="Arial"/>
                    </w:rPr>
                    <w:t>-</w:t>
                  </w:r>
                </w:p>
                <w:p>
                  <w:pPr>
                    <w:jc w:val="both"/>
                    <w:rPr>
                      <w:rFonts w:cs="Arial"/>
                    </w:rPr>
                  </w:pPr>
                  <w:r>
                    <w:rPr>
                      <w:rFonts w:cs="Arial"/>
                    </w:rPr>
                    <w:t>-…. (Préciser calendrier et modalités)</w:t>
                  </w:r>
                </w:p>
                <w:p>
                  <w:pPr>
                    <w:jc w:val="both"/>
                    <w:rPr>
                      <w:rFonts w:cs="Arial"/>
                    </w:rPr>
                  </w:pPr>
                </w:p>
                <w:p>
                  <w:pPr>
                    <w:jc w:val="both"/>
                    <w:rPr>
                      <w:rFonts w:cs="Arial"/>
                    </w:rPr>
                  </w:pPr>
                  <w:r>
                    <w:rPr>
                      <w:rFonts w:cs="Arial"/>
                    </w:rPr>
                    <w:t>Article 6 – Lorsque, dans le courant de l’année scolaire, en raison de circonstances particulières, il doit être procédé à un ajustement du programme défini à l’article précédent, la partie qui l’estime nécessaire réunit l’ensemble des autres parties afin de convenir de cette adaptation</w:t>
                  </w:r>
                </w:p>
                <w:p/>
                <w:p/>
                <w:p/>
                <w:p/>
                <w:p/>
                <w:p/>
                <w:p>
                  <w:pPr>
                    <w:pStyle w:val="Titre4"/>
                  </w:pPr>
                  <w:bookmarkStart w:id="1247" w:name="_Annexe_18_:"/>
                  <w:bookmarkEnd w:id="1247"/>
                  <w:r>
                    <w:br w:type="page"/>
                  </w:r>
                  <w:bookmarkStart w:id="1248" w:name="_Annexe_24:_Inscription"/>
                  <w:bookmarkEnd w:id="1248"/>
                  <w:r>
                    <w:rPr>
                      <w:noProof/>
                      <w:lang w:eastAsia="fr-BE"/>
                    </w:rPr>
                    <w:drawing>
                      <wp:anchor distT="0" distB="0" distL="114300" distR="114300" simplePos="0" relativeHeight="252113920" behindDoc="0" locked="0" layoutInCell="1" allowOverlap="1">
                        <wp:simplePos x="0" y="0"/>
                        <wp:positionH relativeFrom="column">
                          <wp:posOffset>161925</wp:posOffset>
                        </wp:positionH>
                        <wp:positionV relativeFrom="paragraph">
                          <wp:posOffset>396875</wp:posOffset>
                        </wp:positionV>
                        <wp:extent cx="6286500" cy="8686800"/>
                        <wp:effectExtent l="0" t="0" r="0" b="0"/>
                        <wp:wrapSquare wrapText="bothSides"/>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extLst>
                                    <a:ext uri="{28A0092B-C50C-407E-A947-70E740481C1C}">
                                      <a14:useLocalDpi xmlns:a14="http://schemas.microsoft.com/office/drawing/2010/main" val="0"/>
                                    </a:ext>
                                  </a:extLst>
                                </a:blip>
                                <a:stretch>
                                  <a:fillRect/>
                                </a:stretch>
                              </pic:blipFill>
                              <pic:spPr>
                                <a:xfrm>
                                  <a:off x="0" y="0"/>
                                  <a:ext cx="6286500" cy="8686800"/>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noProof/>
                      <w:color w:val="A6A6A6"/>
                      <w:sz w:val="14"/>
                      <w:lang w:eastAsia="fr-BE"/>
                    </w:rPr>
                    <mc:AlternateContent>
                      <mc:Choice Requires="wps">
                        <w:drawing>
                          <wp:anchor distT="0" distB="0" distL="114300" distR="114300" simplePos="0" relativeHeight="252067840" behindDoc="0" locked="0" layoutInCell="1" allowOverlap="1">
                            <wp:simplePos x="0" y="0"/>
                            <wp:positionH relativeFrom="column">
                              <wp:posOffset>6896100</wp:posOffset>
                            </wp:positionH>
                            <wp:positionV relativeFrom="paragraph">
                              <wp:posOffset>153670</wp:posOffset>
                            </wp:positionV>
                            <wp:extent cx="0" cy="8934450"/>
                            <wp:effectExtent l="0" t="0" r="19050" b="19050"/>
                            <wp:wrapNone/>
                            <wp:docPr id="4937" name="Connecteur droit 4937"/>
                            <wp:cNvGraphicFramePr/>
                            <a:graphic xmlns:a="http://schemas.openxmlformats.org/drawingml/2006/main">
                              <a:graphicData uri="http://schemas.microsoft.com/office/word/2010/wordprocessingShape">
                                <wps:wsp>
                                  <wps:cNvCnPr/>
                                  <wps:spPr>
                                    <a:xfrm>
                                      <a:off x="0" y="0"/>
                                      <a:ext cx="0" cy="89344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04D0DD" id="Connecteur droit 4937" o:spid="_x0000_s1026" style="position:absolute;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3pt,12.1pt" to="543pt,7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" strokecolor="black [3040]"/>
                        </w:pict>
                      </mc:Fallback>
                    </mc:AlternateContent>
                  </w:r>
                  <w:r>
                    <w:t xml:space="preserve"> Annexe 18 : Circulaire 6946</w:t>
                  </w:r>
                </w:p>
                <w:p>
                  <w:r>
                    <w:br w:type="page"/>
                  </w:r>
                  <w:r>
                    <w:rPr>
                      <w:noProof/>
                      <w:lang w:eastAsia="fr-BE"/>
                    </w:rPr>
                    <mc:AlternateContent>
                      <mc:Choice Requires="wps">
                        <w:drawing>
                          <wp:anchor distT="0" distB="0" distL="114300" distR="114300" simplePos="0" relativeHeight="252069888" behindDoc="0" locked="0" layoutInCell="1" allowOverlap="1">
                            <wp:simplePos x="0" y="0"/>
                            <wp:positionH relativeFrom="column">
                              <wp:posOffset>6858000</wp:posOffset>
                            </wp:positionH>
                            <wp:positionV relativeFrom="paragraph">
                              <wp:posOffset>-50800</wp:posOffset>
                            </wp:positionV>
                            <wp:extent cx="0" cy="8220075"/>
                            <wp:effectExtent l="0" t="0" r="19050" b="28575"/>
                            <wp:wrapNone/>
                            <wp:docPr id="4939" name="Connecteur droit 4939"/>
                            <wp:cNvGraphicFramePr/>
                            <a:graphic xmlns:a="http://schemas.openxmlformats.org/drawingml/2006/main">
                              <a:graphicData uri="http://schemas.microsoft.com/office/word/2010/wordprocessingShape">
                                <wps:wsp>
                                  <wps:cNvCnPr/>
                                  <wps:spPr>
                                    <a:xfrm>
                                      <a:off x="0" y="0"/>
                                      <a:ext cx="0" cy="82200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D085CA" id="Connecteur droit 4939" o:spid="_x0000_s1026" style="position:absolute;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0pt,-4pt" to="540pt,64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" strokecolor="black [3040]"/>
                        </w:pict>
                      </mc:Fallback>
                    </mc:AlternateContent>
                  </w:r>
                  <w:r>
                    <w:rPr>
                      <w:noProof/>
                      <w:lang w:eastAsia="fr-BE"/>
                    </w:rPr>
                    <w:drawing>
                      <wp:inline distT="0" distB="0" distL="0" distR="0">
                        <wp:extent cx="6457950" cy="8220075"/>
                        <wp:effectExtent l="0" t="0" r="0" b="9525"/>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457950" cy="8220075"/>
                                </a:xfrm>
                                <a:prstGeom prst="rect">
                                  <a:avLst/>
                                </a:prstGeom>
                              </pic:spPr>
                            </pic:pic>
                          </a:graphicData>
                        </a:graphic>
                      </wp:inline>
                    </w:drawing>
                  </w:r>
                </w:p>
                <w:p/>
                <w:p>
                  <w:pPr>
                    <w:pStyle w:val="Corpsdetexte"/>
                  </w:pPr>
                </w:p>
                <w:p>
                  <w:pPr>
                    <w:pStyle w:val="Corpsdetexte"/>
                  </w:pPr>
                </w:p>
                <w:p>
                  <w:pPr>
                    <w:pStyle w:val="Corpsdetexte"/>
                  </w:pPr>
                  <w:bookmarkStart w:id="1249" w:name="Circulaire_6946_p2"/>
                  <w:bookmarkEnd w:id="1249"/>
                </w:p>
                <w:p>
                  <w:pPr>
                    <w:pStyle w:val="Corpsdetexte"/>
                  </w:pPr>
                </w:p>
                <w:bookmarkStart w:id="1250" w:name="Circulaire_6946_p3"/>
                <w:bookmarkEnd w:id="1250"/>
                <w:p>
                  <w:pPr>
                    <w:spacing w:before="74"/>
                    <w:rPr>
                      <w:rFonts w:ascii="Arial" w:hAnsi="Arial"/>
                      <w:sz w:val="24"/>
                    </w:rPr>
                    <w:sectPr>
                      <w:pgSz w:w="11910" w:h="16840"/>
                      <w:pgMar w:top="1180" w:right="700" w:bottom="280" w:left="720" w:header="720" w:footer="720" w:gutter="0"/>
                      <w:cols w:space="720"/>
                    </w:sectPr>
                  </w:pPr>
                  <w:r>
                    <w:rPr>
                      <w:rFonts w:ascii="Verdana" w:hAnsi="Verdana"/>
                      <w:noProof/>
                      <w:color w:val="A6A6A6"/>
                      <w:sz w:val="14"/>
                      <w:lang w:eastAsia="fr-BE"/>
                    </w:rPr>
                    <mc:AlternateContent>
                      <mc:Choice Requires="wps">
                        <w:drawing>
                          <wp:anchor distT="0" distB="0" distL="114300" distR="114300" simplePos="0" relativeHeight="252073984" behindDoc="0" locked="0" layoutInCell="1" allowOverlap="1">
                            <wp:simplePos x="0" y="0"/>
                            <wp:positionH relativeFrom="column">
                              <wp:posOffset>6915150</wp:posOffset>
                            </wp:positionH>
                            <wp:positionV relativeFrom="paragraph">
                              <wp:posOffset>-141605</wp:posOffset>
                            </wp:positionV>
                            <wp:extent cx="0" cy="9763125"/>
                            <wp:effectExtent l="0" t="0" r="19050" b="28575"/>
                            <wp:wrapNone/>
                            <wp:docPr id="4955" name="Connecteur droit 4955"/>
                            <wp:cNvGraphicFramePr/>
                            <a:graphic xmlns:a="http://schemas.openxmlformats.org/drawingml/2006/main">
                              <a:graphicData uri="http://schemas.microsoft.com/office/word/2010/wordprocessingShape">
                                <wps:wsp>
                                  <wps:cNvCnPr/>
                                  <wps:spPr>
                                    <a:xfrm>
                                      <a:off x="0" y="0"/>
                                      <a:ext cx="0" cy="97631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12747084" id="Connecteur droit 4955" o:spid="_x0000_s1026" style="position:absolute;z-index:252073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44.5pt,-11.15pt" to="544.5pt,75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" strokecolor="black [3040]"/>
                        </w:pict>
                      </mc:Fallback>
                    </mc:AlternateContent>
                  </w:r>
                  <w:r>
                    <w:rPr>
                      <w:noProof/>
                      <w:lang w:eastAsia="fr-BE"/>
                    </w:rPr>
                    <w:drawing>
                      <wp:inline distT="0" distB="0" distL="0" distR="0">
                        <wp:extent cx="5229225" cy="7991475"/>
                        <wp:effectExtent l="0" t="0" r="9525" b="9525"/>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229225" cy="7991475"/>
                                </a:xfrm>
                                <a:prstGeom prst="rect">
                                  <a:avLst/>
                                </a:prstGeom>
                              </pic:spPr>
                            </pic:pic>
                          </a:graphicData>
                        </a:graphic>
                      </wp:inline>
                    </w:drawing>
                  </w:r>
                  <w:r>
                    <w:rPr>
                      <w:noProof/>
                      <w:lang w:eastAsia="fr-BE"/>
                    </w:rPr>
                    <w:t xml:space="preserve"> </w:t>
                  </w:r>
                  <w:r>
                    <w:rPr>
                      <w:noProof/>
                      <w:lang w:eastAsia="fr-BE"/>
                    </w:rPr>
                    <w:drawing>
                      <wp:inline distT="0" distB="0" distL="0" distR="0">
                        <wp:extent cx="5743575" cy="8410575"/>
                        <wp:effectExtent l="0" t="0" r="9525" b="9525"/>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43575" cy="8410575"/>
                                </a:xfrm>
                                <a:prstGeom prst="rect">
                                  <a:avLst/>
                                </a:prstGeom>
                              </pic:spPr>
                            </pic:pic>
                          </a:graphicData>
                        </a:graphic>
                      </wp:inline>
                    </w:drawing>
                  </w:r>
                  <w:r>
                    <w:rPr>
                      <w:rFonts w:ascii="Verdana" w:hAnsi="Verdana"/>
                      <w:noProof/>
                      <w:color w:val="A6A6A6"/>
                      <w:sz w:val="14"/>
                      <w:lang w:eastAsia="fr-BE"/>
                    </w:rPr>
                    <mc:AlternateContent>
                      <mc:Choice Requires="wps">
                        <w:drawing>
                          <wp:anchor distT="0" distB="0" distL="114300" distR="114300" simplePos="0" relativeHeight="252071936" behindDoc="0" locked="0" layoutInCell="1" allowOverlap="1">
                            <wp:simplePos x="0" y="0"/>
                            <wp:positionH relativeFrom="column">
                              <wp:posOffset>6928863</wp:posOffset>
                            </wp:positionH>
                            <wp:positionV relativeFrom="paragraph">
                              <wp:posOffset>-421170</wp:posOffset>
                            </wp:positionV>
                            <wp:extent cx="0" cy="10106025"/>
                            <wp:effectExtent l="0" t="0" r="19050" b="28575"/>
                            <wp:wrapNone/>
                            <wp:docPr id="4954" name="Connecteur droit 4954"/>
                            <wp:cNvGraphicFramePr/>
                            <a:graphic xmlns:a="http://schemas.openxmlformats.org/drawingml/2006/main">
                              <a:graphicData uri="http://schemas.microsoft.com/office/word/2010/wordprocessingShape">
                                <wps:wsp>
                                  <wps:cNvCnPr/>
                                  <wps:spPr>
                                    <a:xfrm flipH="1">
                                      <a:off x="0" y="0"/>
                                      <a:ext cx="0" cy="101060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2EDFEA7A" id="Connecteur droit 4954" o:spid="_x0000_s1026" style="position:absolute;flip:x;z-index:252071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45.6pt,-33.15pt" to="545.6pt,76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" strokecolor="black [3040]"/>
                        </w:pict>
                      </mc:Fallback>
                    </mc:AlternateContent>
                  </w:r>
                </w:p>
                <w:p>
                  <w:pPr>
                    <w:pStyle w:val="Titre4"/>
                    <w:rPr>
                      <w:highlight w:val="yellow"/>
                    </w:rPr>
                  </w:pPr>
                  <w:bookmarkStart w:id="1251" w:name="_Annexe_19_:"/>
                  <w:bookmarkEnd w:id="1251"/>
                  <w:r>
                    <w:t>Annexe 19 : informations relatives à la gratuité pour l’enseignement maternel</w:t>
                  </w:r>
                </w:p>
                <w:p>
                  <w:pPr>
                    <w:tabs>
                      <w:tab w:val="left" w:pos="2977"/>
                    </w:tabs>
                    <w:rPr>
                      <w:b/>
                      <w:highlight w:val="yellow"/>
                      <w:u w:val="single"/>
                    </w:rPr>
                  </w:pPr>
                  <w:r>
                    <w:rPr>
                      <w:noProof/>
                      <w:lang w:eastAsia="fr-BE"/>
                    </w:rPr>
                    <w:drawing>
                      <wp:anchor distT="0" distB="0" distL="114300" distR="114300" simplePos="0" relativeHeight="252123136" behindDoc="1" locked="0" layoutInCell="1" allowOverlap="1">
                        <wp:simplePos x="0" y="0"/>
                        <wp:positionH relativeFrom="column">
                          <wp:posOffset>-182245</wp:posOffset>
                        </wp:positionH>
                        <wp:positionV relativeFrom="paragraph">
                          <wp:posOffset>160655</wp:posOffset>
                        </wp:positionV>
                        <wp:extent cx="6454930" cy="9280284"/>
                        <wp:effectExtent l="0" t="0" r="3175" b="0"/>
                        <wp:wrapNone/>
                        <wp:docPr id="4946" name="Image 4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a:off x="0" y="0"/>
                                  <a:ext cx="6454930" cy="9280284"/>
                                </a:xfrm>
                                <a:prstGeom prst="rect">
                                  <a:avLst/>
                                </a:prstGeom>
                              </pic:spPr>
                            </pic:pic>
                          </a:graphicData>
                        </a:graphic>
                        <wp14:sizeRelH relativeFrom="margin">
                          <wp14:pctWidth>0</wp14:pctWidth>
                        </wp14:sizeRelH>
                        <wp14:sizeRelV relativeFrom="margin">
                          <wp14:pctHeight>0</wp14:pctHeight>
                        </wp14:sizeRelV>
                      </wp:anchor>
                    </w:drawing>
                  </w:r>
                  <w:r>
                    <w:rPr>
                      <w:highlight w:val="yellow"/>
                    </w:rPr>
                    <w:br w:type="page"/>
                  </w:r>
                </w:p>
                <w:p>
                  <w:pPr>
                    <w:rPr>
                      <w:b/>
                      <w:u w:val="single"/>
                    </w:rPr>
                  </w:pPr>
                  <w:r>
                    <w:rPr>
                      <w:noProof/>
                      <w:lang w:eastAsia="fr-BE"/>
                    </w:rPr>
                    <w:drawing>
                      <wp:anchor distT="0" distB="0" distL="114300" distR="114300" simplePos="0" relativeHeight="252124160" behindDoc="1" locked="0" layoutInCell="1" allowOverlap="1">
                        <wp:simplePos x="0" y="0"/>
                        <wp:positionH relativeFrom="column">
                          <wp:posOffset>-155847</wp:posOffset>
                        </wp:positionH>
                        <wp:positionV relativeFrom="paragraph">
                          <wp:posOffset>233499</wp:posOffset>
                        </wp:positionV>
                        <wp:extent cx="6335098" cy="9196251"/>
                        <wp:effectExtent l="0" t="0" r="8890" b="5080"/>
                        <wp:wrapNone/>
                        <wp:docPr id="4947" name="Image 4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extLst>
                                    <a:ext uri="{28A0092B-C50C-407E-A947-70E740481C1C}">
                                      <a14:useLocalDpi xmlns:a14="http://schemas.microsoft.com/office/drawing/2010/main" val="0"/>
                                    </a:ext>
                                  </a:extLst>
                                </a:blip>
                                <a:stretch>
                                  <a:fillRect/>
                                </a:stretch>
                              </pic:blipFill>
                              <pic:spPr>
                                <a:xfrm>
                                  <a:off x="0" y="0"/>
                                  <a:ext cx="6338915" cy="9201792"/>
                                </a:xfrm>
                                <a:prstGeom prst="rect">
                                  <a:avLst/>
                                </a:prstGeom>
                              </pic:spPr>
                            </pic:pic>
                          </a:graphicData>
                        </a:graphic>
                        <wp14:sizeRelH relativeFrom="margin">
                          <wp14:pctWidth>0</wp14:pctWidth>
                        </wp14:sizeRelH>
                        <wp14:sizeRelV relativeFrom="margin">
                          <wp14:pctHeight>0</wp14:pctHeight>
                        </wp14:sizeRelV>
                      </wp:anchor>
                    </w:drawing>
                  </w:r>
                  <w:r>
                    <w:br w:type="page"/>
                  </w:r>
                </w:p>
                <w:p>
                  <w:pPr>
                    <w:pStyle w:val="Titre4"/>
                  </w:pPr>
                  <w:bookmarkStart w:id="1252" w:name="_Annexe_20_:_1"/>
                  <w:bookmarkEnd w:id="1252"/>
                  <w:r>
                    <w:t>Annexe 20 : informations relatives à la gratuité pour l’enseignement primaire</w:t>
                  </w:r>
                </w:p>
                <w:p>
                  <w:pPr>
                    <w:rPr>
                      <w:b/>
                      <w:highlight w:val="yellow"/>
                      <w:u w:val="single"/>
                    </w:rPr>
                  </w:pPr>
                  <w:r>
                    <w:rPr>
                      <w:noProof/>
                      <w:lang w:eastAsia="fr-BE"/>
                    </w:rPr>
                    <w:drawing>
                      <wp:anchor distT="0" distB="0" distL="114300" distR="114300" simplePos="0" relativeHeight="252125184" behindDoc="1" locked="0" layoutInCell="1" allowOverlap="1">
                        <wp:simplePos x="0" y="0"/>
                        <wp:positionH relativeFrom="column">
                          <wp:posOffset>-530860</wp:posOffset>
                        </wp:positionH>
                        <wp:positionV relativeFrom="paragraph">
                          <wp:posOffset>157480</wp:posOffset>
                        </wp:positionV>
                        <wp:extent cx="6619240" cy="9273540"/>
                        <wp:effectExtent l="0" t="0" r="0" b="3810"/>
                        <wp:wrapNone/>
                        <wp:docPr id="4948" name="Image 4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extLst>
                                    <a:ext uri="{28A0092B-C50C-407E-A947-70E740481C1C}">
                                      <a14:useLocalDpi xmlns:a14="http://schemas.microsoft.com/office/drawing/2010/main" val="0"/>
                                    </a:ext>
                                  </a:extLst>
                                </a:blip>
                                <a:stretch>
                                  <a:fillRect/>
                                </a:stretch>
                              </pic:blipFill>
                              <pic:spPr>
                                <a:xfrm>
                                  <a:off x="0" y="0"/>
                                  <a:ext cx="6619240" cy="9273540"/>
                                </a:xfrm>
                                <a:prstGeom prst="rect">
                                  <a:avLst/>
                                </a:prstGeom>
                              </pic:spPr>
                            </pic:pic>
                          </a:graphicData>
                        </a:graphic>
                        <wp14:sizeRelH relativeFrom="margin">
                          <wp14:pctWidth>0</wp14:pctWidth>
                        </wp14:sizeRelH>
                        <wp14:sizeRelV relativeFrom="margin">
                          <wp14:pctHeight>0</wp14:pctHeight>
                        </wp14:sizeRelV>
                      </wp:anchor>
                    </w:drawing>
                  </w:r>
                  <w:r>
                    <w:rPr>
                      <w:highlight w:val="yellow"/>
                    </w:rPr>
                    <w:br w:type="page"/>
                  </w:r>
                </w:p>
                <w:p>
                  <w:r>
                    <w:rPr>
                      <w:noProof/>
                      <w:lang w:eastAsia="fr-BE"/>
                    </w:rPr>
                    <w:drawing>
                      <wp:anchor distT="0" distB="0" distL="114300" distR="114300" simplePos="0" relativeHeight="252126208" behindDoc="1" locked="0" layoutInCell="1" allowOverlap="1">
                        <wp:simplePos x="0" y="0"/>
                        <wp:positionH relativeFrom="column">
                          <wp:posOffset>-260350</wp:posOffset>
                        </wp:positionH>
                        <wp:positionV relativeFrom="paragraph">
                          <wp:posOffset>351064</wp:posOffset>
                        </wp:positionV>
                        <wp:extent cx="6492240" cy="8778240"/>
                        <wp:effectExtent l="0" t="0" r="3810" b="3810"/>
                        <wp:wrapNone/>
                        <wp:docPr id="4949" name="Image 4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extLst>
                                    <a:ext uri="{28A0092B-C50C-407E-A947-70E740481C1C}">
                                      <a14:useLocalDpi xmlns:a14="http://schemas.microsoft.com/office/drawing/2010/main" val="0"/>
                                    </a:ext>
                                  </a:extLst>
                                </a:blip>
                                <a:stretch>
                                  <a:fillRect/>
                                </a:stretch>
                              </pic:blipFill>
                              <pic:spPr>
                                <a:xfrm>
                                  <a:off x="0" y="0"/>
                                  <a:ext cx="6492822" cy="8779027"/>
                                </a:xfrm>
                                <a:prstGeom prst="rect">
                                  <a:avLst/>
                                </a:prstGeom>
                              </pic:spPr>
                            </pic:pic>
                          </a:graphicData>
                        </a:graphic>
                        <wp14:sizeRelH relativeFrom="margin">
                          <wp14:pctWidth>0</wp14:pctWidth>
                        </wp14:sizeRelH>
                        <wp14:sizeRelV relativeFrom="margin">
                          <wp14:pctHeight>0</wp14:pctHeight>
                        </wp14:sizeRelV>
                      </wp:anchor>
                    </w:drawing>
                  </w:r>
                  <w:r>
                    <w:br w:type="page"/>
                  </w:r>
                </w:p>
                <w:p>
                  <w:pPr>
                    <w:spacing w:before="74"/>
                    <w:ind w:left="696" w:right="2756"/>
                    <w:rPr>
                      <w:rFonts w:ascii="Arial" w:hAnsi="Arial" w:cs="Arial"/>
                      <w:sz w:val="24"/>
                    </w:rPr>
                  </w:pPr>
                </w:p>
                <w:sdt>
                  <w:sdtPr>
                    <w:id w:val="-1669088165"/>
                    <w:docPartObj>
                      <w:docPartGallery w:val="Cover Pages"/>
                      <w:docPartUnique/>
                    </w:docPartObj>
                  </w:sdtPr>
                  <w:sdtContent>
                    <w:p/>
                    <w:p>
                      <w:pPr>
                        <w:pStyle w:val="Titre2"/>
                      </w:pPr>
                      <w:bookmarkStart w:id="1253" w:name="_Chapitre_2_:"/>
                      <w:bookmarkStart w:id="1254" w:name="_Toc477623601"/>
                      <w:bookmarkStart w:id="1255" w:name="_Toc477767386"/>
                      <w:bookmarkStart w:id="1256" w:name="_Toc18914415"/>
                      <w:bookmarkEnd w:id="1253"/>
                      <w:r>
                        <w:t>Chapitre</w:t>
                      </w:r>
                      <w:bookmarkStart w:id="1257" w:name="_Toc477623602"/>
                      <w:bookmarkStart w:id="1258" w:name="_Toc477767387"/>
                      <w:bookmarkEnd w:id="1254"/>
                      <w:bookmarkEnd w:id="1255"/>
                      <w:r>
                        <w:t xml:space="preserve"> 2 : Rationalisation et programmation</w:t>
                      </w:r>
                      <w:bookmarkEnd w:id="1257"/>
                      <w:bookmarkEnd w:id="1258"/>
                      <w:bookmarkEnd w:id="1256"/>
                    </w:p>
                    <w:p>
                      <w:pPr>
                        <w:jc w:val="both"/>
                        <w:rPr>
                          <w:rFonts w:eastAsiaTheme="minorEastAsia"/>
                          <w:lang w:eastAsia="fr-BE"/>
                        </w:rPr>
                      </w:pPr>
                    </w:p>
                    <w:p>
                      <w:pPr>
                        <w:jc w:val="both"/>
                        <w:rPr>
                          <w:rFonts w:eastAsiaTheme="minorEastAsia"/>
                          <w:lang w:eastAsia="fr-BE"/>
                        </w:rPr>
                      </w:pPr>
                    </w:p>
                    <w:p>
                      <w:pPr>
                        <w:jc w:val="both"/>
                        <w:rPr>
                          <w:rFonts w:eastAsiaTheme="minorEastAsia"/>
                          <w:lang w:eastAsia="fr-BE"/>
                        </w:rPr>
                      </w:pPr>
                    </w:p>
                  </w:sdtContent>
                </w:sdt>
                <w:p>
                  <w:pPr>
                    <w:jc w:val="both"/>
                    <w:rPr>
                      <w:b/>
                      <w:u w:val="single"/>
                    </w:rPr>
                  </w:pPr>
                  <w:r>
                    <w:rPr>
                      <w:b/>
                      <w:u w:val="single"/>
                    </w:rPr>
                    <w:t>Bases légales :</w:t>
                  </w:r>
                </w:p>
                <w:p>
                  <w:pPr>
                    <w:jc w:val="both"/>
                    <w:rPr>
                      <w:b/>
                      <w:u w:val="single"/>
                    </w:rPr>
                  </w:pPr>
                </w:p>
                <w:p>
                  <w:pPr>
                    <w:numPr>
                      <w:ilvl w:val="0"/>
                      <w:numId w:val="39"/>
                    </w:numPr>
                    <w:suppressAutoHyphens/>
                    <w:jc w:val="both"/>
                  </w:pPr>
                  <w:hyperlink r:id="rId118" w:history="1">
                    <w:r>
                      <w:rPr>
                        <w:rStyle w:val="Lienhypertexte"/>
                        <w:rFonts w:cs="Arial"/>
                      </w:rPr>
                      <w:t>Décret du 3 mars 2004 organisant l'enseignement spécialisé</w:t>
                    </w:r>
                  </w:hyperlink>
                </w:p>
                <w:p>
                  <w:pPr>
                    <w:numPr>
                      <w:ilvl w:val="0"/>
                      <w:numId w:val="39"/>
                    </w:numPr>
                    <w:suppressAutoHyphens/>
                    <w:jc w:val="both"/>
                    <w:rPr>
                      <w:rStyle w:val="Lienhypertexte"/>
                      <w:rFonts w:cs="Arial"/>
                    </w:rPr>
                  </w:pPr>
                  <w:hyperlink r:id="rId119" w:history="1">
                    <w:r>
                      <w:rPr>
                        <w:rStyle w:val="Lienhypertexte"/>
                        <w:rFonts w:cs="Arial"/>
                      </w:rPr>
                      <w:t>Arrêté Royal du 1</w:t>
                    </w:r>
                    <w:r>
                      <w:rPr>
                        <w:rStyle w:val="Lienhypertexte"/>
                        <w:rFonts w:cs="Arial"/>
                        <w:vertAlign w:val="superscript"/>
                      </w:rPr>
                      <w:t>er</w:t>
                    </w:r>
                    <w:r>
                      <w:rPr>
                        <w:rStyle w:val="Lienhypertexte"/>
                        <w:rFonts w:cs="Arial"/>
                      </w:rPr>
                      <w:t xml:space="preserve"> décembre 1975 concernant le règlement de police de la circulation, la partie de la voie publique aménagée pour la circulation des véhicules en général</w:t>
                    </w:r>
                  </w:hyperlink>
                </w:p>
                <w:p>
                  <w:pPr>
                    <w:numPr>
                      <w:ilvl w:val="0"/>
                      <w:numId w:val="39"/>
                    </w:numPr>
                    <w:suppressAutoHyphens/>
                    <w:jc w:val="both"/>
                    <w:rPr>
                      <w:rFonts w:cs="Arial"/>
                      <w:color w:val="0000FF"/>
                      <w:u w:val="single"/>
                    </w:rPr>
                  </w:pPr>
                  <w:hyperlink r:id="rId120" w:history="1">
                    <w:r>
                      <w:rPr>
                        <w:rStyle w:val="Lienhypertexte"/>
                        <w:rFonts w:cstheme="minorBidi"/>
                      </w:rPr>
                      <w:t>Arrêté du Gouvernement de la Communauté française du 13 juillet 2016 portant application du décret du 3 mars 2004 concernant les zones de l'enseignement spécialisé</w:t>
                    </w:r>
                  </w:hyperlink>
                </w:p>
                <w:p>
                  <w:pPr>
                    <w:numPr>
                      <w:ilvl w:val="0"/>
                      <w:numId w:val="39"/>
                    </w:numPr>
                    <w:suppressAutoHyphens/>
                    <w:jc w:val="both"/>
                  </w:pPr>
                  <w:hyperlink r:id="rId121" w:history="1">
                    <w:r>
                      <w:rPr>
                        <w:rStyle w:val="Lienhypertexte"/>
                        <w:rFonts w:cstheme="minorBidi"/>
                      </w:rPr>
                      <w:t>Circulaire 5997 relative à la demande d’admission aux subventions des établissements scolaires modifie les circulaires 3383 du 14/12/2010 et 3284 du 14/09/2010:</w:t>
                    </w:r>
                  </w:hyperlink>
                </w:p>
                <w:p>
                  <w:pPr>
                    <w:suppressAutoHyphens/>
                    <w:ind w:left="360"/>
                    <w:jc w:val="both"/>
                    <w:rPr>
                      <w:rStyle w:val="Lienhypertexte"/>
                      <w:rFonts w:cstheme="minorBidi"/>
                    </w:rPr>
                  </w:pPr>
                  <w:hyperlink r:id="rId122" w:history="1">
                    <w:r>
                      <w:rPr>
                        <w:rStyle w:val="Lienhypertexte"/>
                        <w:rFonts w:cstheme="minorBidi"/>
                      </w:rPr>
                      <w:t>http://www.gallilex.cfwb.be/document/pdf/42497_000.pdf</w:t>
                    </w:r>
                  </w:hyperlink>
                </w:p>
                <w:p>
                  <w:pPr>
                    <w:suppressAutoHyphens/>
                    <w:ind w:left="360"/>
                    <w:jc w:val="both"/>
                    <w:rPr>
                      <w:rStyle w:val="Lienhypertexte"/>
                      <w:rFonts w:cstheme="minorBidi"/>
                    </w:rPr>
                  </w:pPr>
                </w:p>
                <w:p>
                  <w:pPr>
                    <w:pBdr>
                      <w:top w:val="single" w:sz="4" w:space="1" w:color="auto"/>
                      <w:left w:val="single" w:sz="4" w:space="4" w:color="auto"/>
                      <w:bottom w:val="single" w:sz="4" w:space="1" w:color="auto"/>
                      <w:right w:val="single" w:sz="4" w:space="4" w:color="auto"/>
                    </w:pBdr>
                    <w:jc w:val="both"/>
                    <w:rPr>
                      <w:rFonts w:ascii="Calibri" w:hAnsi="Calibri"/>
                      <w:b/>
                      <w:bCs/>
                    </w:rPr>
                  </w:pPr>
                  <w:r>
                    <w:rPr>
                      <w:noProof/>
                      <w:lang w:eastAsia="fr-BE"/>
                    </w:rPr>
                    <mc:AlternateContent>
                      <mc:Choice Requires="wps">
                        <w:drawing>
                          <wp:anchor distT="0" distB="0" distL="114300" distR="114300" simplePos="0" relativeHeight="252122112" behindDoc="0" locked="0" layoutInCell="1" allowOverlap="1">
                            <wp:simplePos x="0" y="0"/>
                            <wp:positionH relativeFrom="column">
                              <wp:posOffset>6212889</wp:posOffset>
                            </wp:positionH>
                            <wp:positionV relativeFrom="paragraph">
                              <wp:posOffset>84851</wp:posOffset>
                            </wp:positionV>
                            <wp:extent cx="0" cy="6008914"/>
                            <wp:effectExtent l="0" t="0" r="19050" b="30480"/>
                            <wp:wrapNone/>
                            <wp:docPr id="17" name="Connecteur droit 17"/>
                            <wp:cNvGraphicFramePr/>
                            <a:graphic xmlns:a="http://schemas.openxmlformats.org/drawingml/2006/main">
                              <a:graphicData uri="http://schemas.microsoft.com/office/word/2010/wordprocessingShape">
                                <wps:wsp>
                                  <wps:cNvCnPr/>
                                  <wps:spPr>
                                    <a:xfrm>
                                      <a:off x="0" y="0"/>
                                      <a:ext cx="0" cy="600891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73ED4A" id="Connecteur droit 17" o:spid="_x0000_s1026" style="position:absolute;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9.2pt,6.7pt" to="489.2pt,47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" strokecolor="black [3040]"/>
                        </w:pict>
                      </mc:Fallback>
                    </mc:AlternateContent>
                  </w:r>
                  <w:r>
                    <w:rPr>
                      <w:b/>
                      <w:bCs/>
                    </w:rPr>
                    <w:t>Classes ou implantations à visée inclusive</w:t>
                  </w:r>
                </w:p>
                <w:p>
                  <w:pPr>
                    <w:pBdr>
                      <w:top w:val="single" w:sz="4" w:space="1" w:color="auto"/>
                      <w:left w:val="single" w:sz="4" w:space="4" w:color="auto"/>
                      <w:bottom w:val="single" w:sz="4" w:space="1" w:color="auto"/>
                      <w:right w:val="single" w:sz="4" w:space="4" w:color="auto"/>
                    </w:pBdr>
                    <w:jc w:val="both"/>
                  </w:pPr>
                  <w:r>
                    <w:t>Un enseignement spécialisé peut être organisé sous la forme d’une classe ou d’une implantation à visée inclusive.</w:t>
                  </w:r>
                </w:p>
                <w:p>
                  <w:pPr>
                    <w:pBdr>
                      <w:top w:val="single" w:sz="4" w:space="1" w:color="auto"/>
                      <w:left w:val="single" w:sz="4" w:space="4" w:color="auto"/>
                      <w:bottom w:val="single" w:sz="4" w:space="1" w:color="auto"/>
                      <w:right w:val="single" w:sz="4" w:space="4" w:color="auto"/>
                    </w:pBdr>
                    <w:jc w:val="both"/>
                    <w:rPr>
                      <w:b/>
                      <w:bCs/>
                    </w:rPr>
                  </w:pPr>
                  <w:r>
                    <w:rPr>
                      <w:b/>
                      <w:bCs/>
                    </w:rPr>
                    <w:t>    </w:t>
                  </w:r>
                </w:p>
                <w:p>
                  <w:pPr>
                    <w:pBdr>
                      <w:top w:val="single" w:sz="4" w:space="1" w:color="auto"/>
                      <w:left w:val="single" w:sz="4" w:space="4" w:color="auto"/>
                      <w:bottom w:val="single" w:sz="4" w:space="1" w:color="auto"/>
                      <w:right w:val="single" w:sz="4" w:space="4" w:color="auto"/>
                    </w:pBdr>
                    <w:jc w:val="both"/>
                    <w:rPr>
                      <w:b/>
                      <w:bCs/>
                    </w:rPr>
                  </w:pPr>
                  <w:r>
                    <w:rPr>
                      <w:b/>
                      <w:bCs/>
                    </w:rPr>
                    <w:t xml:space="preserve"> Définitions</w:t>
                  </w:r>
                </w:p>
                <w:p>
                  <w:pPr>
                    <w:pBdr>
                      <w:top w:val="single" w:sz="4" w:space="1" w:color="auto"/>
                      <w:left w:val="single" w:sz="4" w:space="4" w:color="auto"/>
                      <w:bottom w:val="single" w:sz="4" w:space="1" w:color="auto"/>
                      <w:right w:val="single" w:sz="4" w:space="4" w:color="auto"/>
                    </w:pBdr>
                    <w:jc w:val="both"/>
                  </w:pPr>
                  <w:r>
                    <w:t>Une classe à visée inclusive est un groupe classe d’élèves à besoins spécifiques inscrits dans l’enseignement spécialisé de type 2 porteurs ou non d’autisme ou de type 3 pour les élèves porteurs d’autisme, implantée au sein d’une école ordinaire.</w:t>
                  </w:r>
                </w:p>
                <w:p>
                  <w:pPr>
                    <w:pBdr>
                      <w:top w:val="single" w:sz="4" w:space="1" w:color="auto"/>
                      <w:left w:val="single" w:sz="4" w:space="4" w:color="auto"/>
                      <w:bottom w:val="single" w:sz="4" w:space="1" w:color="auto"/>
                      <w:right w:val="single" w:sz="4" w:space="4" w:color="auto"/>
                    </w:pBdr>
                    <w:jc w:val="both"/>
                  </w:pPr>
                  <w:r>
                    <w:t>L’objectif premier pour les élèves qui participent à ce type de projet consiste en une inclusion sociale et relationnelle en vue d’acquérir divers apprentissages dans un milieu scolaire de vie ordinaire.</w:t>
                  </w:r>
                </w:p>
                <w:p>
                  <w:pPr>
                    <w:pBdr>
                      <w:top w:val="single" w:sz="4" w:space="1" w:color="auto"/>
                      <w:left w:val="single" w:sz="4" w:space="4" w:color="auto"/>
                      <w:bottom w:val="single" w:sz="4" w:space="1" w:color="auto"/>
                      <w:right w:val="single" w:sz="4" w:space="4" w:color="auto"/>
                    </w:pBdr>
                    <w:jc w:val="both"/>
                  </w:pPr>
                  <w:r>
                    <w:t>Une implantation à visée inclusive est composée d’une ou plusieurs classes à visée inclusive.</w:t>
                  </w:r>
                </w:p>
                <w:p>
                  <w:pPr>
                    <w:pBdr>
                      <w:top w:val="single" w:sz="4" w:space="1" w:color="auto"/>
                      <w:left w:val="single" w:sz="4" w:space="4" w:color="auto"/>
                      <w:bottom w:val="single" w:sz="4" w:space="1" w:color="auto"/>
                      <w:right w:val="single" w:sz="4" w:space="4" w:color="auto"/>
                    </w:pBdr>
                    <w:jc w:val="both"/>
                    <w:rPr>
                      <w:b/>
                      <w:bCs/>
                    </w:rPr>
                  </w:pPr>
                  <w:r>
                    <w:rPr>
                      <w:b/>
                      <w:bCs/>
                    </w:rPr>
                    <w:t>  </w:t>
                  </w:r>
                </w:p>
                <w:p>
                  <w:pPr>
                    <w:pBdr>
                      <w:top w:val="single" w:sz="4" w:space="1" w:color="auto"/>
                      <w:left w:val="single" w:sz="4" w:space="4" w:color="auto"/>
                      <w:bottom w:val="single" w:sz="4" w:space="1" w:color="auto"/>
                      <w:right w:val="single" w:sz="4" w:space="4" w:color="auto"/>
                    </w:pBdr>
                    <w:jc w:val="both"/>
                    <w:rPr>
                      <w:b/>
                      <w:bCs/>
                    </w:rPr>
                  </w:pPr>
                  <w:r>
                    <w:rPr>
                      <w:b/>
                      <w:bCs/>
                    </w:rPr>
                    <w:t>  Procédure et normes</w:t>
                  </w:r>
                </w:p>
                <w:p>
                  <w:pPr>
                    <w:pBdr>
                      <w:top w:val="single" w:sz="4" w:space="1" w:color="auto"/>
                      <w:left w:val="single" w:sz="4" w:space="4" w:color="auto"/>
                      <w:bottom w:val="single" w:sz="4" w:space="1" w:color="auto"/>
                      <w:right w:val="single" w:sz="4" w:space="4" w:color="auto"/>
                    </w:pBdr>
                    <w:jc w:val="both"/>
                  </w:pPr>
                  <w:r>
                    <w:t xml:space="preserve">Chaque école qui organise l’enseignement spécialisé de type 2 ou de type 3 et qui atteint les normes de rationalisation prévues </w:t>
                  </w:r>
                  <w:r>
                    <w:rPr>
                      <w:b/>
                      <w:bCs/>
                    </w:rPr>
                    <w:t xml:space="preserve">au point 3 précité, </w:t>
                  </w:r>
                  <w:r>
                    <w:t>peut organiser une classe ou une implantation à visée inclusive de mêmes types que ceux déjà organisés dans l’établissement.</w:t>
                  </w:r>
                </w:p>
                <w:p>
                  <w:pPr>
                    <w:pBdr>
                      <w:top w:val="single" w:sz="4" w:space="1" w:color="auto"/>
                      <w:left w:val="single" w:sz="4" w:space="4" w:color="auto"/>
                      <w:bottom w:val="single" w:sz="4" w:space="1" w:color="auto"/>
                      <w:right w:val="single" w:sz="4" w:space="4" w:color="auto"/>
                    </w:pBdr>
                    <w:jc w:val="both"/>
                  </w:pPr>
                  <w:r>
                    <w:t>Les élèves inscrits dans une classe ou une implantation à visée inclusive génèrent un capital-périodes utilisable selon les mêmes règles que pour les élèves de l’enseignement spécialisé du type d’enseignement dont ils relèvent.</w:t>
                  </w:r>
                </w:p>
                <w:p>
                  <w:pPr>
                    <w:pBdr>
                      <w:top w:val="single" w:sz="4" w:space="1" w:color="auto"/>
                      <w:left w:val="single" w:sz="4" w:space="4" w:color="auto"/>
                      <w:bottom w:val="single" w:sz="4" w:space="1" w:color="auto"/>
                      <w:right w:val="single" w:sz="4" w:space="4" w:color="auto"/>
                    </w:pBdr>
                    <w:jc w:val="both"/>
                  </w:pPr>
                  <w:r>
                    <w:t>Une implantation à visée inclusive est composée au minimum de 7 élèves. Pour atteindre cette norme, les élèves de type 2 et de type 3 peuvent être additionnés, de même que les élèves du niveau maternel et primaire pour autant que ces deux niveaux sont déjà organisés dans l’établissement.</w:t>
                  </w:r>
                </w:p>
                <w:p>
                  <w:pPr>
                    <w:pBdr>
                      <w:top w:val="single" w:sz="4" w:space="1" w:color="auto"/>
                      <w:left w:val="single" w:sz="4" w:space="4" w:color="auto"/>
                      <w:bottom w:val="single" w:sz="4" w:space="1" w:color="auto"/>
                      <w:right w:val="single" w:sz="4" w:space="4" w:color="auto"/>
                    </w:pBdr>
                    <w:jc w:val="both"/>
                  </w:pPr>
                  <w:r>
                    <w:t>L’ouverture de l’implantation donne accès aux transports scolaires.</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rPr>
                      <w:b/>
                      <w:bCs/>
                    </w:rPr>
                  </w:pPr>
                  <w:r>
                    <w:rPr>
                      <w:b/>
                      <w:bCs/>
                    </w:rPr>
                    <w:t>Le capital-périodes servant à l’encadrement généré par les élèves inscrits dans l’implantation à visée inclusive est augmenté d’une demi-charge pour le personnel enseignant. Cette demi-charge peut être transformée en demi-charge d’une fonction paramédicale ou éducative.</w:t>
                  </w:r>
                </w:p>
                <w:p>
                  <w:pPr>
                    <w:pBdr>
                      <w:top w:val="single" w:sz="4" w:space="1" w:color="auto"/>
                      <w:left w:val="single" w:sz="4" w:space="4" w:color="auto"/>
                      <w:bottom w:val="single" w:sz="4" w:space="1" w:color="auto"/>
                      <w:right w:val="single" w:sz="4" w:space="4" w:color="auto"/>
                    </w:pBdr>
                    <w:jc w:val="both"/>
                    <w:rPr>
                      <w:b/>
                      <w:bCs/>
                    </w:rPr>
                  </w:pPr>
                  <w:r>
                    <w:rPr>
                      <w:b/>
                      <w:bCs/>
                    </w:rPr>
                    <w:t>Le membre du personnel bénéficiant de cette demi-charge sera notamment chargé de chercher et développer les synergies nécessaires à l’inclusion progressive des élèves dans l’enseignement ordinaire, de préparer les séquences de cours pour placer l’enfant dans une situation de réussite, de proposer des hypothèses de travail, de gérer les arrivées et départs de l’école, de développer des contacts privilégiés avec les deux directions et d’informer les membres du personnel de l’enseignement ordinaire sur l’implantation à visée inclusive.</w:t>
                  </w:r>
                </w:p>
                <w:p>
                  <w:pPr>
                    <w:pBdr>
                      <w:top w:val="single" w:sz="4" w:space="1" w:color="auto"/>
                      <w:left w:val="single" w:sz="4" w:space="4" w:color="auto"/>
                      <w:bottom w:val="single" w:sz="4" w:space="1" w:color="auto"/>
                      <w:right w:val="single" w:sz="4" w:space="4" w:color="auto"/>
                    </w:pBdr>
                    <w:jc w:val="both"/>
                    <w:rPr>
                      <w:rStyle w:val="Lienhypertexte"/>
                      <w:rFonts w:cstheme="minorBidi"/>
                      <w:b/>
                      <w:bCs/>
                      <w:color w:val="auto"/>
                      <w:u w:val="none"/>
                    </w:rPr>
                  </w:pPr>
                  <w:r>
                    <w:rPr>
                      <w:b/>
                      <w:bCs/>
                    </w:rPr>
                    <w:t>Attention : ces deux derniers alinéas ne seront d’application qu’au 1</w:t>
                  </w:r>
                  <w:r>
                    <w:rPr>
                      <w:b/>
                      <w:bCs/>
                      <w:vertAlign w:val="superscript"/>
                    </w:rPr>
                    <w:t>er</w:t>
                  </w:r>
                  <w:r>
                    <w:rPr>
                      <w:b/>
                      <w:bCs/>
                    </w:rPr>
                    <w:t xml:space="preserve"> septembre 2020.</w:t>
                  </w:r>
                </w:p>
                <w:p>
                  <w:pPr>
                    <w:suppressAutoHyphens/>
                    <w:ind w:left="360"/>
                    <w:jc w:val="both"/>
                    <w:rPr>
                      <w:rStyle w:val="Lienhypertexte"/>
                      <w:rFonts w:cstheme="minorBidi"/>
                      <w:b/>
                      <w:color w:val="auto"/>
                      <w:u w:val="none"/>
                    </w:rPr>
                  </w:pPr>
                </w:p>
                <w:p>
                  <w:pPr>
                    <w:suppressAutoHyphens/>
                    <w:ind w:left="360"/>
                    <w:jc w:val="both"/>
                    <w:rPr>
                      <w:rStyle w:val="Lienhypertexte"/>
                      <w:rFonts w:cstheme="minorBidi"/>
                      <w:b/>
                      <w:color w:val="auto"/>
                      <w:u w:val="none"/>
                    </w:rPr>
                  </w:pPr>
                  <w:r>
                    <w:rPr>
                      <w:rStyle w:val="Lienhypertexte"/>
                      <w:rFonts w:cstheme="minorBidi"/>
                      <w:b/>
                      <w:color w:val="auto"/>
                      <w:u w:val="none"/>
                    </w:rPr>
                    <w:t>Une circulaire spécifique aux classes ou implantations à visée inclusive paraitra prochainement.</w:t>
                  </w:r>
                </w:p>
                <w:p>
                  <w:pPr>
                    <w:jc w:val="both"/>
                  </w:pPr>
                </w:p>
                <w:p>
                  <w:pPr>
                    <w:pStyle w:val="Titre3"/>
                  </w:pPr>
                  <w:bookmarkStart w:id="1259" w:name="__RefHeading__131_957262308"/>
                  <w:bookmarkStart w:id="1260" w:name="_1._Notions_essentielles"/>
                  <w:bookmarkStart w:id="1261" w:name="_Toc291075248"/>
                  <w:bookmarkStart w:id="1262" w:name="_Toc291075672"/>
                  <w:bookmarkStart w:id="1263" w:name="_Toc291076096"/>
                  <w:bookmarkStart w:id="1264" w:name="_Toc291076520"/>
                  <w:bookmarkStart w:id="1265" w:name="_Toc291076944"/>
                  <w:bookmarkStart w:id="1266" w:name="_Toc293651787"/>
                  <w:bookmarkStart w:id="1267" w:name="_Toc293653370"/>
                  <w:bookmarkStart w:id="1268" w:name="_Toc293653981"/>
                  <w:bookmarkStart w:id="1269" w:name="_Toc294004559"/>
                  <w:bookmarkStart w:id="1270" w:name="_Toc294185055"/>
                  <w:bookmarkStart w:id="1271" w:name="_Toc324165870"/>
                  <w:bookmarkStart w:id="1272" w:name="_Toc324766907"/>
                  <w:bookmarkStart w:id="1273" w:name="_Toc453314269"/>
                  <w:bookmarkStart w:id="1274" w:name="_Toc454980304"/>
                  <w:bookmarkStart w:id="1275" w:name="_Toc18914416"/>
                  <w:bookmarkEnd w:id="1259"/>
                  <w:bookmarkEnd w:id="1260"/>
                  <w:r>
                    <w:t>1. Notions essentielles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pPr>
                    <w:tabs>
                      <w:tab w:val="left" w:pos="962"/>
                      <w:tab w:val="left" w:pos="1134"/>
                      <w:tab w:val="left" w:pos="1359"/>
                    </w:tabs>
                    <w:jc w:val="both"/>
                  </w:pPr>
                </w:p>
                <w:p>
                  <w:pPr>
                    <w:pStyle w:val="Titre4"/>
                  </w:pPr>
                  <w:bookmarkStart w:id="1276" w:name="_Toc291075249"/>
                  <w:bookmarkStart w:id="1277" w:name="_Toc291075673"/>
                  <w:bookmarkStart w:id="1278" w:name="_Toc291076097"/>
                  <w:bookmarkStart w:id="1279" w:name="_Toc291076521"/>
                  <w:bookmarkStart w:id="1280" w:name="_Toc291076945"/>
                  <w:bookmarkStart w:id="1281" w:name="_Toc293651788"/>
                  <w:bookmarkStart w:id="1282" w:name="_Toc293653371"/>
                  <w:bookmarkStart w:id="1283" w:name="_Toc293653982"/>
                  <w:bookmarkStart w:id="1284" w:name="_Toc294004560"/>
                  <w:bookmarkStart w:id="1285" w:name="_Toc294185056"/>
                  <w:bookmarkStart w:id="1286" w:name="_Toc324165871"/>
                  <w:bookmarkStart w:id="1287" w:name="_Toc324766908"/>
                  <w:bookmarkStart w:id="1288" w:name="_Toc324767766"/>
                  <w:bookmarkStart w:id="1289" w:name="_Toc453314270"/>
                  <w:bookmarkStart w:id="1290" w:name="_Toc454980305"/>
                  <w:r>
                    <w:t>1.1. Réseaux d'enseignement</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pPr>
                    <w:jc w:val="both"/>
                  </w:pPr>
                </w:p>
                <w:p>
                  <w:pPr>
                    <w:jc w:val="both"/>
                  </w:pPr>
                  <w:r>
                    <w:t>Les écoles d'enseignement spécialisé sont réparties, en fonction du pouvoir organisateur dont elles relèvent, en trois réseaux :</w:t>
                  </w:r>
                </w:p>
                <w:p>
                  <w:pPr>
                    <w:jc w:val="both"/>
                  </w:pPr>
                </w:p>
                <w:p>
                  <w:pPr>
                    <w:tabs>
                      <w:tab w:val="left" w:pos="720"/>
                    </w:tabs>
                    <w:ind w:left="360" w:hanging="360"/>
                    <w:jc w:val="both"/>
                  </w:pPr>
                  <w:r>
                    <w:t>a) les écoles officielles organisées par la Fédération Wallonie-Bruxelles ;</w:t>
                  </w:r>
                </w:p>
                <w:p>
                  <w:pPr>
                    <w:tabs>
                      <w:tab w:val="left" w:pos="720"/>
                    </w:tabs>
                    <w:ind w:left="360" w:hanging="360"/>
                    <w:jc w:val="both"/>
                  </w:pPr>
                  <w:r>
                    <w:t>b) les écoles officielles organisées par les provinces, les communes ou toute autre personne de droit public ;</w:t>
                  </w:r>
                </w:p>
                <w:p>
                  <w:pPr>
                    <w:tabs>
                      <w:tab w:val="left" w:pos="720"/>
                    </w:tabs>
                    <w:ind w:left="360" w:hanging="360"/>
                    <w:jc w:val="both"/>
                  </w:pPr>
                  <w:r>
                    <w:t>c) les écoles libres.</w:t>
                  </w:r>
                </w:p>
                <w:p>
                  <w:pPr>
                    <w:jc w:val="both"/>
                  </w:pPr>
                </w:p>
                <w:p>
                  <w:pPr>
                    <w:jc w:val="both"/>
                  </w:pPr>
                  <w:r>
                    <w:t>Les écoles libres sont elles-mêmes réparties en écoles libres confessionnelles (catholique, protestante, israélite,...) et écoles libres non confessionnelles.</w:t>
                  </w:r>
                </w:p>
                <w:p>
                  <w:pPr>
                    <w:jc w:val="both"/>
                  </w:pPr>
                </w:p>
                <w:p>
                  <w:pPr>
                    <w:pStyle w:val="Titre4"/>
                  </w:pPr>
                  <w:bookmarkStart w:id="1291" w:name="_1.2._Normes_de"/>
                  <w:bookmarkStart w:id="1292" w:name="_Toc291075250"/>
                  <w:bookmarkStart w:id="1293" w:name="_Toc291075674"/>
                  <w:bookmarkStart w:id="1294" w:name="_Toc291076098"/>
                  <w:bookmarkStart w:id="1295" w:name="_Toc291076522"/>
                  <w:bookmarkStart w:id="1296" w:name="_Toc291076946"/>
                  <w:bookmarkStart w:id="1297" w:name="_Toc293651789"/>
                  <w:bookmarkStart w:id="1298" w:name="_Toc293653372"/>
                  <w:bookmarkStart w:id="1299" w:name="_Toc293653983"/>
                  <w:bookmarkStart w:id="1300" w:name="_Toc294004561"/>
                  <w:bookmarkStart w:id="1301" w:name="_Toc294185057"/>
                  <w:bookmarkStart w:id="1302" w:name="_Toc324165872"/>
                  <w:bookmarkStart w:id="1303" w:name="_Toc324766909"/>
                  <w:bookmarkStart w:id="1304" w:name="_Toc324767767"/>
                  <w:bookmarkStart w:id="1305" w:name="_Toc453314271"/>
                  <w:bookmarkStart w:id="1306" w:name="_Toc454980306"/>
                  <w:bookmarkEnd w:id="1291"/>
                  <w:r>
                    <w:t>1.2. Normes de rationalisation et de programmation</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pPr>
                    <w:tabs>
                      <w:tab w:val="left" w:pos="962"/>
                      <w:tab w:val="left" w:pos="1134"/>
                      <w:tab w:val="left" w:pos="1303"/>
                    </w:tabs>
                    <w:jc w:val="both"/>
                  </w:pPr>
                </w:p>
                <w:p>
                  <w:pPr>
                    <w:jc w:val="both"/>
                  </w:pPr>
                  <w:r>
                    <w:t>Par rationalisation, on entend les normes de maintien.</w:t>
                  </w:r>
                </w:p>
                <w:p>
                  <w:pPr>
                    <w:jc w:val="both"/>
                  </w:pPr>
                  <w:r>
                    <w:t>Par programmation, on entend les normes de création.</w:t>
                  </w:r>
                </w:p>
                <w:p>
                  <w:pPr>
                    <w:jc w:val="both"/>
                  </w:pPr>
                </w:p>
                <w:p>
                  <w:pPr>
                    <w:jc w:val="both"/>
                  </w:pPr>
                  <w:r>
                    <w:t>Ces normes représentent un nombre d'élèves régulièrement inscrits le 30 septembre de l'année scolaire considérée.</w:t>
                  </w:r>
                </w:p>
                <w:p>
                  <w:pPr>
                    <w:jc w:val="both"/>
                  </w:pPr>
                </w:p>
                <w:p>
                  <w:pPr>
                    <w:jc w:val="both"/>
                  </w:pPr>
                  <w:r>
                    <w:t xml:space="preserve">Tous les élèves de l'école </w:t>
                  </w:r>
                  <w:r>
                    <w:noBreakHyphen/>
                    <w:t xml:space="preserve"> tant du bâtiment principal que des autres lieux d'implantation </w:t>
                  </w:r>
                  <w:r>
                    <w:noBreakHyphen/>
                    <w:t xml:space="preserve"> interviennent pour le calcul de ces normes SAUF les élèves qui bénéficient d'un enseignement à domicile.</w:t>
                  </w:r>
                </w:p>
                <w:p>
                  <w:pPr>
                    <w:tabs>
                      <w:tab w:val="left" w:pos="962"/>
                      <w:tab w:val="left" w:pos="1134"/>
                      <w:tab w:val="left" w:pos="1303"/>
                    </w:tabs>
                    <w:rPr>
                      <w:u w:val="single"/>
                    </w:rPr>
                  </w:pPr>
                </w:p>
                <w:p>
                  <w:pPr>
                    <w:pStyle w:val="Titre4"/>
                  </w:pPr>
                  <w:bookmarkStart w:id="1307" w:name="_1.3._Fusion_d'écoles"/>
                  <w:bookmarkStart w:id="1308" w:name="_Toc291075251"/>
                  <w:bookmarkStart w:id="1309" w:name="_Toc291075675"/>
                  <w:bookmarkStart w:id="1310" w:name="_Toc291076099"/>
                  <w:bookmarkStart w:id="1311" w:name="_Toc291076523"/>
                  <w:bookmarkStart w:id="1312" w:name="_Toc291076947"/>
                  <w:bookmarkStart w:id="1313" w:name="_Toc293651790"/>
                  <w:bookmarkStart w:id="1314" w:name="_Toc293653373"/>
                  <w:bookmarkStart w:id="1315" w:name="_Toc293653984"/>
                  <w:bookmarkStart w:id="1316" w:name="_Toc294004562"/>
                  <w:bookmarkStart w:id="1317" w:name="_Toc294185058"/>
                  <w:bookmarkStart w:id="1318" w:name="_Toc324165873"/>
                  <w:bookmarkStart w:id="1319" w:name="_Toc324766910"/>
                  <w:bookmarkStart w:id="1320" w:name="_Toc324767768"/>
                  <w:bookmarkStart w:id="1321" w:name="_Toc453314272"/>
                  <w:bookmarkStart w:id="1322" w:name="_Toc454980307"/>
                  <w:bookmarkEnd w:id="1307"/>
                  <w:r>
                    <w:t>1.3. Fusion d'écoles</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pPr>
                    <w:tabs>
                      <w:tab w:val="left" w:pos="962"/>
                      <w:tab w:val="left" w:pos="1134"/>
                      <w:tab w:val="left" w:pos="1303"/>
                    </w:tabs>
                    <w:jc w:val="both"/>
                  </w:pPr>
                </w:p>
                <w:p>
                  <w:pPr>
                    <w:jc w:val="both"/>
                  </w:pPr>
                  <w:r>
                    <w:t>Le plan de rationalisation peut amener des écoles à fusionner. Une fusion d'écoles peut se réaliser selon deux procédés :</w:t>
                  </w:r>
                </w:p>
                <w:p>
                  <w:pPr>
                    <w:jc w:val="both"/>
                  </w:pPr>
                </w:p>
                <w:p>
                  <w:pPr>
                    <w:numPr>
                      <w:ilvl w:val="0"/>
                      <w:numId w:val="49"/>
                    </w:numPr>
                    <w:suppressAutoHyphens/>
                    <w:ind w:left="360"/>
                    <w:jc w:val="both"/>
                  </w:pPr>
                  <w:r>
                    <w:t xml:space="preserve">la fusion proprement dite : réunion, par la création d'une nouvelle école, de deux ou plusieurs écoles qui sont supprimées simultanément ; </w:t>
                  </w:r>
                </w:p>
                <w:p>
                  <w:pPr>
                    <w:numPr>
                      <w:ilvl w:val="0"/>
                      <w:numId w:val="49"/>
                    </w:numPr>
                    <w:suppressAutoHyphens/>
                    <w:ind w:left="360"/>
                    <w:jc w:val="both"/>
                  </w:pPr>
                  <w:r>
                    <w:t>la fusion reprise : réunion de deux ou de plusieurs écoles dont l'une continue d'exister et absorbe l'autre, ou les autres, école(s).</w:t>
                  </w:r>
                </w:p>
                <w:p>
                  <w:pPr>
                    <w:jc w:val="both"/>
                  </w:pPr>
                </w:p>
                <w:p>
                  <w:pPr>
                    <w:jc w:val="both"/>
                  </w:pPr>
                  <w:r>
                    <w:t>Cette notion doit être précisée par le(s) pouvoir(s) organisateur(s) car elle a un impact sur la situation administrative des membres du personnel.</w:t>
                  </w:r>
                </w:p>
                <w:p>
                  <w:pPr>
                    <w:jc w:val="both"/>
                  </w:pPr>
                </w:p>
                <w:p>
                  <w:pPr>
                    <w:pBdr>
                      <w:right w:val="single" w:sz="4" w:space="4" w:color="auto"/>
                    </w:pBdr>
                    <w:jc w:val="both"/>
                  </w:pPr>
                  <w:r>
                    <w:t xml:space="preserve">Après la fusion, il ne peut subsister qu'un seul pouvoir organisateur et un seul chef d'établissement. </w:t>
                  </w:r>
                </w:p>
                <w:p>
                  <w:pPr>
                    <w:jc w:val="both"/>
                  </w:pPr>
                </w:p>
                <w:p>
                  <w:pPr>
                    <w:jc w:val="both"/>
                  </w:pPr>
                  <w:r>
                    <w:t>Même en cas de fusion proprement dite, l'école résultant d'une fusion n'est jamais considérée, en matière de rationalisation et de programmation, comme une école nouvelle. Il en résulte notamment qu'elle n'est pas soumise aux règles de la programmation.</w:t>
                  </w:r>
                </w:p>
                <w:p>
                  <w:pPr>
                    <w:jc w:val="both"/>
                  </w:pPr>
                  <w:r>
                    <w:t>La fusion ne peut avoir lieu qu'entre le 1</w:t>
                  </w:r>
                  <w:r>
                    <w:rPr>
                      <w:vertAlign w:val="superscript"/>
                    </w:rPr>
                    <w:t>er</w:t>
                  </w:r>
                  <w:r>
                    <w:t xml:space="preserve"> et le 30 septembre de l’année scolaire considérée. Toute décision de fusion à partir du 1</w:t>
                  </w:r>
                  <w:r>
                    <w:rPr>
                      <w:vertAlign w:val="superscript"/>
                    </w:rPr>
                    <w:t>er</w:t>
                  </w:r>
                  <w:r>
                    <w:t xml:space="preserve"> octobre ne peut avoir d'effets pendant l'année scolaire en cours.</w:t>
                  </w:r>
                </w:p>
                <w:p>
                  <w:pPr>
                    <w:jc w:val="both"/>
                  </w:pPr>
                  <w:r>
                    <w:t>Préalablement à toute fusion, le Gouvernement est chargé de vérifier le respect, par les écoles concernées, des dispositions légales et réglementaires en vigueur.</w:t>
                  </w:r>
                </w:p>
                <w:p>
                  <w:pPr>
                    <w:jc w:val="both"/>
                  </w:pPr>
                </w:p>
                <w:p>
                  <w:pPr>
                    <w:pStyle w:val="Titre4"/>
                  </w:pPr>
                  <w:bookmarkStart w:id="1323" w:name="_1.4._Bâtiment_principal"/>
                  <w:bookmarkStart w:id="1324" w:name="_Toc291075252"/>
                  <w:bookmarkStart w:id="1325" w:name="_Toc291075676"/>
                  <w:bookmarkStart w:id="1326" w:name="_Toc291076100"/>
                  <w:bookmarkStart w:id="1327" w:name="_Toc291076524"/>
                  <w:bookmarkStart w:id="1328" w:name="_Toc291076948"/>
                  <w:bookmarkStart w:id="1329" w:name="_Toc293651791"/>
                  <w:bookmarkStart w:id="1330" w:name="_Toc293653374"/>
                  <w:bookmarkStart w:id="1331" w:name="_Toc293653985"/>
                  <w:bookmarkStart w:id="1332" w:name="_Toc294004563"/>
                  <w:bookmarkStart w:id="1333" w:name="_Toc294185059"/>
                  <w:bookmarkStart w:id="1334" w:name="_Toc324165874"/>
                  <w:bookmarkStart w:id="1335" w:name="_Toc324766911"/>
                  <w:bookmarkStart w:id="1336" w:name="_Toc324767769"/>
                  <w:bookmarkStart w:id="1337" w:name="_Toc453314273"/>
                  <w:bookmarkStart w:id="1338" w:name="_Toc454980308"/>
                  <w:bookmarkEnd w:id="1323"/>
                  <w:r>
                    <w:t>1.4. Bâtiment principal et lieux d'implantation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pPr>
                    <w:jc w:val="both"/>
                  </w:pPr>
                </w:p>
                <w:p>
                  <w:pPr>
                    <w:jc w:val="both"/>
                  </w:pPr>
                  <w:r>
                    <w:t>Une école peut avoir plusieurs implantations parmi lesquelles le pouvoir organisateur détermine le siège administratif.</w:t>
                  </w:r>
                </w:p>
                <w:p>
                  <w:pPr>
                    <w:jc w:val="both"/>
                  </w:pPr>
                </w:p>
                <w:p>
                  <w:pPr>
                    <w:jc w:val="both"/>
                  </w:pPr>
                  <w:r>
                    <w:t>Les diverses implantations d'une école doivent être situées dans la même commune ou agglomération, sauf lorsqu'elles résultent d'une fusion d'écoles qui existaient déjà pendant l'année scolaire 1974</w:t>
                  </w:r>
                  <w:r>
                    <w:noBreakHyphen/>
                    <w:t>1975.</w:t>
                  </w:r>
                </w:p>
                <w:p>
                  <w:pPr>
                    <w:jc w:val="both"/>
                  </w:pPr>
                  <w:r>
                    <w:t>Le Gouvernement de la Fédération Wallonie-Bruxelles peut cependant dans des cas exceptionnels accorder une dérogation à cette règle.</w:t>
                  </w:r>
                </w:p>
                <w:p>
                  <w:pPr>
                    <w:jc w:val="both"/>
                  </w:pPr>
                </w:p>
                <w:p>
                  <w:pPr>
                    <w:jc w:val="both"/>
                  </w:pPr>
                  <w:r>
                    <w:t>Ces diverses implantations doivent être placées sous une même direction : l'école qui possède plusieurs lieux d'implantation ne peut donc avoir qu'un seul directeur.</w:t>
                  </w:r>
                </w:p>
                <w:p>
                  <w:pPr>
                    <w:jc w:val="both"/>
                  </w:pPr>
                </w:p>
                <w:p>
                  <w:pPr>
                    <w:jc w:val="both"/>
                  </w:pPr>
                  <w:r>
                    <w:t xml:space="preserve">Des normes particulières de rationalisation et de programmation sont parfois appliquées aux implantations autres que le bâtiment principal. </w:t>
                  </w:r>
                </w:p>
                <w:p>
                  <w:pPr>
                    <w:jc w:val="both"/>
                  </w:pPr>
                </w:p>
                <w:p>
                  <w:pPr>
                    <w:jc w:val="both"/>
                  </w:pPr>
                  <w:r>
                    <w:t>A cet égard, il convient de noter que les implantations situées à moins de 2 km du bâtiment principal sont soumises à un régime plus favorable que les implantations situées à 2 km et plus du bâtiment principal.</w:t>
                  </w:r>
                </w:p>
                <w:p>
                  <w:pPr>
                    <w:jc w:val="both"/>
                  </w:pPr>
                </w:p>
                <w:p>
                  <w:pPr>
                    <w:jc w:val="both"/>
                  </w:pPr>
                  <w:r>
                    <w:t>La distance entre le bâtiment principal et l'implantation revêt donc une importance très grande. Cette distance est la plus courte possible, mesurée par la route et sans tenir compte des déviations et des sens uniques, conformément à l'article 2</w:t>
                  </w:r>
                  <w:r>
                    <w:rPr>
                      <w:color w:val="FF0000"/>
                    </w:rPr>
                    <w:t xml:space="preserve"> </w:t>
                  </w:r>
                  <w:r>
                    <w:t>de l'Arrêté Royal du 1</w:t>
                  </w:r>
                  <w:r>
                    <w:rPr>
                      <w:vertAlign w:val="superscript"/>
                    </w:rPr>
                    <w:t>er</w:t>
                  </w:r>
                  <w:r>
                    <w:t xml:space="preserve"> décembre 1975 concernant le règlement de police de la circulation, la partie de la voie publique aménagée pour la circulation des véhicules en général.  </w:t>
                  </w:r>
                </w:p>
                <w:p>
                  <w:pPr>
                    <w:jc w:val="both"/>
                  </w:pPr>
                  <w:r>
                    <w:t>En cas de contestation portant sur la distance, celle-ci sera relevée par les vérificateurs.</w:t>
                  </w:r>
                </w:p>
                <w:p/>
                <w:p>
                  <w:pPr>
                    <w:pStyle w:val="Titre4"/>
                  </w:pPr>
                  <w:bookmarkStart w:id="1339" w:name="_1.5._Densité_de"/>
                  <w:bookmarkStart w:id="1340" w:name="_Toc291075253"/>
                  <w:bookmarkStart w:id="1341" w:name="_Toc291075677"/>
                  <w:bookmarkStart w:id="1342" w:name="_Toc291076101"/>
                  <w:bookmarkStart w:id="1343" w:name="_Toc291076525"/>
                  <w:bookmarkStart w:id="1344" w:name="_Toc291076949"/>
                  <w:bookmarkStart w:id="1345" w:name="_Toc293651792"/>
                  <w:bookmarkStart w:id="1346" w:name="_Toc293653375"/>
                  <w:bookmarkStart w:id="1347" w:name="_Toc293653986"/>
                  <w:bookmarkStart w:id="1348" w:name="_Toc294004564"/>
                  <w:bookmarkStart w:id="1349" w:name="_Toc294185060"/>
                  <w:bookmarkStart w:id="1350" w:name="_Toc324165875"/>
                  <w:bookmarkStart w:id="1351" w:name="_Toc324766912"/>
                  <w:bookmarkStart w:id="1352" w:name="_Toc324767770"/>
                  <w:bookmarkStart w:id="1353" w:name="_Toc453314274"/>
                  <w:bookmarkStart w:id="1354" w:name="_Toc454980309"/>
                  <w:bookmarkEnd w:id="1339"/>
                  <w:r>
                    <w:t>1.5. Densité de population</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pPr>
                    <w:jc w:val="both"/>
                  </w:pPr>
                </w:p>
                <w:p>
                  <w:pPr>
                    <w:jc w:val="both"/>
                  </w:pPr>
                  <w:r>
                    <w:t>La densité de population à prendre en considération pour l'application du plan de rationalisation et de programmation est celle de l'arrondissement administratif dans lequel est située l'école ou l’implantation concernée. Les écoles situées dans des arrondissements dont la densité de population est inférieure à 75 habitants au km² sont soumises à des normes de rationalisation et de programmation moins élevées que les écoles localisées dans des arrondissements plus peuplés.</w:t>
                  </w:r>
                </w:p>
                <w:p>
                  <w:pPr>
                    <w:jc w:val="both"/>
                  </w:pPr>
                </w:p>
                <w:p>
                  <w:pPr>
                    <w:jc w:val="both"/>
                  </w:pPr>
                  <w:r>
                    <w:t>Les arrondissements qui avaient, dans la dernière publication du SPF Economie, PME, Classes Moyennes et Energie dont dépend le service Statistics Belgium (populations au 1</w:t>
                  </w:r>
                  <w:r>
                    <w:rPr>
                      <w:vertAlign w:val="superscript"/>
                    </w:rPr>
                    <w:t>er</w:t>
                  </w:r>
                  <w:r>
                    <w:t xml:space="preserve"> janvier 2013), une densité de population inférieure à 75 habitants au km² sont les suivants:</w:t>
                  </w:r>
                </w:p>
                <w:p>
                  <w:pPr>
                    <w:tabs>
                      <w:tab w:val="left" w:pos="962"/>
                      <w:tab w:val="left" w:pos="1134"/>
                      <w:tab w:val="left" w:pos="1303"/>
                    </w:tabs>
                    <w:jc w:val="both"/>
                  </w:pPr>
                </w:p>
                <w:tbl>
                  <w:tblPr>
                    <w:tblW w:w="0" w:type="auto"/>
                    <w:jc w:val="center"/>
                    <w:tblLayout w:type="fixed"/>
                    <w:tblLook w:val="0000" w:firstRow="0" w:lastRow="0" w:firstColumn="0" w:lastColumn="0" w:noHBand="0" w:noVBand="0"/>
                  </w:tblPr>
                  <w:tblGrid>
                    <w:gridCol w:w="1908"/>
                    <w:gridCol w:w="2671"/>
                  </w:tblGrid>
                  <w:tr>
                    <w:trPr>
                      <w:trHeight w:val="392"/>
                      <w:jc w:val="center"/>
                    </w:trPr>
                    <w:tc>
                      <w:tcPr>
                        <w:tcW w:w="1908" w:type="dxa"/>
                        <w:tcBorders>
                          <w:top w:val="single" w:sz="4" w:space="0" w:color="000000"/>
                          <w:left w:val="single" w:sz="4" w:space="0" w:color="000000"/>
                          <w:bottom w:val="single" w:sz="4" w:space="0" w:color="000000"/>
                        </w:tcBorders>
                        <w:vAlign w:val="center"/>
                      </w:tcPr>
                      <w:p>
                        <w:pPr>
                          <w:tabs>
                            <w:tab w:val="left" w:pos="1134"/>
                          </w:tabs>
                          <w:snapToGrid w:val="0"/>
                          <w:jc w:val="both"/>
                          <w:rPr>
                            <w:b/>
                          </w:rPr>
                        </w:pPr>
                        <w:r>
                          <w:rPr>
                            <w:b/>
                          </w:rPr>
                          <w:t>Provinces</w:t>
                        </w:r>
                      </w:p>
                    </w:tc>
                    <w:tc>
                      <w:tcPr>
                        <w:tcW w:w="2671"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both"/>
                          <w:rPr>
                            <w:b/>
                          </w:rPr>
                        </w:pPr>
                        <w:r>
                          <w:rPr>
                            <w:b/>
                          </w:rPr>
                          <w:t>Arrondissements</w:t>
                        </w:r>
                      </w:p>
                    </w:tc>
                  </w:tr>
                  <w:tr>
                    <w:trPr>
                      <w:jc w:val="center"/>
                    </w:trPr>
                    <w:tc>
                      <w:tcPr>
                        <w:tcW w:w="1908" w:type="dxa"/>
                        <w:tcBorders>
                          <w:top w:val="single" w:sz="4" w:space="0" w:color="000000"/>
                          <w:left w:val="single" w:sz="4" w:space="0" w:color="000000"/>
                          <w:bottom w:val="single" w:sz="4" w:space="0" w:color="000000"/>
                        </w:tcBorders>
                      </w:tcPr>
                      <w:p>
                        <w:pPr>
                          <w:tabs>
                            <w:tab w:val="left" w:pos="1134"/>
                          </w:tabs>
                          <w:snapToGrid w:val="0"/>
                          <w:jc w:val="both"/>
                          <w:rPr>
                            <w:b/>
                          </w:rPr>
                        </w:pPr>
                        <w:r>
                          <w:rPr>
                            <w:b/>
                          </w:rPr>
                          <w:t>Luxembourg</w:t>
                        </w:r>
                      </w:p>
                    </w:tc>
                    <w:tc>
                      <w:tcPr>
                        <w:tcW w:w="2671" w:type="dxa"/>
                        <w:tcBorders>
                          <w:top w:val="single" w:sz="4" w:space="0" w:color="000000"/>
                          <w:left w:val="single" w:sz="4" w:space="0" w:color="000000"/>
                          <w:bottom w:val="single" w:sz="4" w:space="0" w:color="000000"/>
                          <w:right w:val="single" w:sz="4" w:space="0" w:color="000000"/>
                        </w:tcBorders>
                        <w:shd w:val="clear" w:color="auto" w:fill="FFFFFF"/>
                      </w:tcPr>
                      <w:p>
                        <w:pPr>
                          <w:snapToGrid w:val="0"/>
                          <w:jc w:val="both"/>
                        </w:pPr>
                        <w:r>
                          <w:t>Bastogne</w:t>
                        </w:r>
                      </w:p>
                      <w:p>
                        <w:pPr>
                          <w:jc w:val="both"/>
                        </w:pPr>
                        <w:r>
                          <w:t>Marche</w:t>
                        </w:r>
                      </w:p>
                      <w:p>
                        <w:pPr>
                          <w:jc w:val="both"/>
                        </w:pPr>
                        <w:r>
                          <w:t>Neufchâteau</w:t>
                        </w:r>
                      </w:p>
                      <w:p>
                        <w:pPr>
                          <w:tabs>
                            <w:tab w:val="left" w:pos="1134"/>
                          </w:tabs>
                          <w:jc w:val="both"/>
                        </w:pPr>
                        <w:r>
                          <w:t>Virton</w:t>
                        </w:r>
                      </w:p>
                    </w:tc>
                  </w:tr>
                  <w:tr>
                    <w:trPr>
                      <w:jc w:val="center"/>
                    </w:trPr>
                    <w:tc>
                      <w:tcPr>
                        <w:tcW w:w="1908" w:type="dxa"/>
                        <w:tcBorders>
                          <w:top w:val="single" w:sz="4" w:space="0" w:color="000000"/>
                          <w:left w:val="single" w:sz="4" w:space="0" w:color="000000"/>
                          <w:bottom w:val="single" w:sz="4" w:space="0" w:color="000000"/>
                        </w:tcBorders>
                      </w:tcPr>
                      <w:p>
                        <w:pPr>
                          <w:tabs>
                            <w:tab w:val="left" w:pos="1134"/>
                          </w:tabs>
                          <w:snapToGrid w:val="0"/>
                          <w:jc w:val="both"/>
                          <w:rPr>
                            <w:b/>
                          </w:rPr>
                        </w:pPr>
                        <w:r>
                          <w:rPr>
                            <w:b/>
                          </w:rPr>
                          <w:t>Namur</w:t>
                        </w:r>
                      </w:p>
                    </w:tc>
                    <w:tc>
                      <w:tcPr>
                        <w:tcW w:w="2671" w:type="dxa"/>
                        <w:tcBorders>
                          <w:top w:val="single" w:sz="4" w:space="0" w:color="000000"/>
                          <w:left w:val="single" w:sz="4" w:space="0" w:color="000000"/>
                          <w:bottom w:val="single" w:sz="4" w:space="0" w:color="000000"/>
                          <w:right w:val="single" w:sz="4" w:space="0" w:color="000000"/>
                        </w:tcBorders>
                        <w:shd w:val="clear" w:color="auto" w:fill="FFFFFF"/>
                      </w:tcPr>
                      <w:p>
                        <w:pPr>
                          <w:tabs>
                            <w:tab w:val="left" w:pos="1134"/>
                          </w:tabs>
                          <w:snapToGrid w:val="0"/>
                          <w:jc w:val="both"/>
                        </w:pPr>
                        <w:r>
                          <w:t>Dinant</w:t>
                        </w:r>
                      </w:p>
                      <w:p>
                        <w:pPr>
                          <w:tabs>
                            <w:tab w:val="left" w:pos="1134"/>
                          </w:tabs>
                          <w:jc w:val="both"/>
                        </w:pPr>
                        <w:r>
                          <w:t>Philippeville</w:t>
                        </w:r>
                      </w:p>
                    </w:tc>
                  </w:tr>
                </w:tbl>
                <w:p>
                  <w:pPr>
                    <w:tabs>
                      <w:tab w:val="left" w:pos="1134"/>
                    </w:tabs>
                    <w:jc w:val="both"/>
                  </w:pPr>
                </w:p>
                <w:p>
                  <w:pPr>
                    <w:tabs>
                      <w:tab w:val="left" w:pos="1134"/>
                    </w:tabs>
                    <w:jc w:val="both"/>
                  </w:pPr>
                </w:p>
                <w:p>
                  <w:pPr>
                    <w:pStyle w:val="Titre4"/>
                  </w:pPr>
                  <w:bookmarkStart w:id="1355" w:name="_2._Champ_d’application"/>
                  <w:bookmarkStart w:id="1356" w:name="__RefHeading__133_957262308"/>
                  <w:bookmarkStart w:id="1357" w:name="_1.6_Programmation_d’un"/>
                  <w:bookmarkStart w:id="1358" w:name="_Toc291075254"/>
                  <w:bookmarkStart w:id="1359" w:name="_Toc291075678"/>
                  <w:bookmarkStart w:id="1360" w:name="_Toc291076102"/>
                  <w:bookmarkStart w:id="1361" w:name="_Toc291076526"/>
                  <w:bookmarkStart w:id="1362" w:name="_Toc291076950"/>
                  <w:bookmarkStart w:id="1363" w:name="_Toc293651793"/>
                  <w:bookmarkStart w:id="1364" w:name="_Toc293653376"/>
                  <w:bookmarkStart w:id="1365" w:name="_Toc293653987"/>
                  <w:bookmarkStart w:id="1366" w:name="_Toc294004565"/>
                  <w:bookmarkStart w:id="1367" w:name="_Toc294185061"/>
                  <w:bookmarkStart w:id="1368" w:name="_Toc324165876"/>
                  <w:bookmarkStart w:id="1369" w:name="_Toc324766913"/>
                  <w:bookmarkStart w:id="1370" w:name="_Toc453314275"/>
                  <w:bookmarkStart w:id="1371" w:name="_Toc454980310"/>
                  <w:bookmarkEnd w:id="1355"/>
                  <w:bookmarkEnd w:id="1356"/>
                  <w:bookmarkEnd w:id="1357"/>
                  <w:r>
                    <w:t xml:space="preserve">1.6 Programmation d’un type existant dans une autre implantation, nouvelle ou pas, de l’établissement scolaire </w:t>
                  </w:r>
                </w:p>
                <w:p>
                  <w:pPr>
                    <w:jc w:val="both"/>
                  </w:pPr>
                </w:p>
                <w:p>
                  <w:pPr>
                    <w:jc w:val="both"/>
                  </w:pPr>
                  <w:r>
                    <w:t>Pour le calcul des normes de programmation, c’est l’article 189 §4 (</w:t>
                  </w:r>
                  <w:r>
                    <w:rPr>
                      <w:b/>
                    </w:rPr>
                    <w:t>cfr tableau des normes de rationalisation ci-après</w:t>
                  </w:r>
                  <w:r>
                    <w:t>) qui est d’application pour autant que l’implantation se situe à une distance de 2 km et plus du bâtiment principal.</w:t>
                  </w:r>
                </w:p>
                <w:p>
                  <w:pPr>
                    <w:jc w:val="both"/>
                  </w:pPr>
                  <w:r>
                    <w:t>En effet, le type étant déjà organisé dans une autre implantation, il n’est pas nécessaire de recréer ce type existant.</w:t>
                  </w:r>
                </w:p>
                <w:p>
                  <w:pPr>
                    <w:jc w:val="both"/>
                  </w:pPr>
                </w:p>
                <w:p>
                  <w:pPr>
                    <w:ind w:left="360"/>
                    <w:jc w:val="both"/>
                  </w:pPr>
                </w:p>
                <w:p>
                  <w:pPr>
                    <w:ind w:left="360"/>
                    <w:jc w:val="both"/>
                  </w:pPr>
                </w:p>
                <w:p>
                  <w:pPr>
                    <w:pStyle w:val="Titre3"/>
                  </w:pPr>
                  <w:bookmarkStart w:id="1372" w:name="_Toc18914417"/>
                  <w:r>
                    <w:t>2. Champ d’application du plan de rationalisation et de programmation</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r>
                    <w:t xml:space="preserve"> </w:t>
                  </w:r>
                </w:p>
                <w:p>
                  <w:pPr>
                    <w:tabs>
                      <w:tab w:val="left" w:pos="1134"/>
                    </w:tabs>
                    <w:jc w:val="both"/>
                  </w:pPr>
                </w:p>
                <w:p>
                  <w:pPr>
                    <w:jc w:val="both"/>
                  </w:pPr>
                  <w:r>
                    <w:t>Le chapitre XV du décret portant de la rationalisation et de la programmation de l'enseignement spécialisé s'applique aux établissements :</w:t>
                  </w:r>
                </w:p>
                <w:p>
                  <w:pPr>
                    <w:ind w:left="567"/>
                    <w:jc w:val="both"/>
                  </w:pPr>
                </w:p>
                <w:p>
                  <w:pPr>
                    <w:pStyle w:val="Paragraphedeliste"/>
                    <w:numPr>
                      <w:ilvl w:val="0"/>
                      <w:numId w:val="181"/>
                    </w:numPr>
                    <w:jc w:val="both"/>
                    <w:rPr>
                      <w:rFonts w:asciiTheme="majorHAnsi" w:hAnsiTheme="majorHAnsi"/>
                      <w:sz w:val="22"/>
                      <w:szCs w:val="22"/>
                    </w:rPr>
                  </w:pPr>
                  <w:r>
                    <w:rPr>
                      <w:rFonts w:asciiTheme="majorHAnsi" w:hAnsiTheme="majorHAnsi"/>
                      <w:sz w:val="22"/>
                      <w:szCs w:val="22"/>
                    </w:rPr>
                    <w:t>d'enseignement fondamental et secondaire spécialisé situés en Belgique ;</w:t>
                  </w:r>
                </w:p>
                <w:p>
                  <w:pPr>
                    <w:pStyle w:val="Paragraphedeliste"/>
                    <w:numPr>
                      <w:ilvl w:val="0"/>
                      <w:numId w:val="181"/>
                    </w:numPr>
                    <w:jc w:val="both"/>
                    <w:rPr>
                      <w:rFonts w:asciiTheme="majorHAnsi" w:hAnsiTheme="majorHAnsi"/>
                      <w:sz w:val="22"/>
                      <w:szCs w:val="22"/>
                    </w:rPr>
                  </w:pPr>
                  <w:r>
                    <w:rPr>
                      <w:rFonts w:asciiTheme="majorHAnsi" w:hAnsiTheme="majorHAnsi"/>
                      <w:sz w:val="22"/>
                      <w:szCs w:val="22"/>
                    </w:rPr>
                    <w:t>organisés et subventionnés par la Fédération Wallonie-Bruxelles.</w:t>
                  </w:r>
                </w:p>
                <w:p>
                  <w:pPr>
                    <w:jc w:val="both"/>
                  </w:pPr>
                </w:p>
                <w:p>
                  <w:pPr>
                    <w:jc w:val="both"/>
                  </w:pPr>
                  <w:r>
                    <w:t>Il ne s'applique donc pas aux internats et aux homes d'accueil organisés par la Fédération Wallonie-Bruxelles</w:t>
                  </w:r>
                </w:p>
                <w:p>
                  <w:pPr>
                    <w:jc w:val="both"/>
                  </w:pPr>
                  <w:r>
                    <w:br w:type="page"/>
                  </w:r>
                </w:p>
                <w:p/>
                <w:p>
                  <w:pPr>
                    <w:jc w:val="center"/>
                    <w:rPr>
                      <w:u w:val="single"/>
                    </w:rPr>
                  </w:pPr>
                  <w:r>
                    <w:rPr>
                      <w:u w:val="single"/>
                    </w:rPr>
                    <w:t xml:space="preserve">ENSEIGNEMENT </w:t>
                  </w:r>
                  <w:r>
                    <w:rPr>
                      <w:b/>
                      <w:u w:val="single"/>
                    </w:rPr>
                    <w:t>FONDAMENTAL</w:t>
                  </w:r>
                  <w:r>
                    <w:rPr>
                      <w:u w:val="single"/>
                    </w:rPr>
                    <w:t xml:space="preserve"> SPECIALISE</w:t>
                  </w:r>
                  <w:r>
                    <w:rPr>
                      <w:rStyle w:val="Appelnotedebasdep"/>
                    </w:rPr>
                    <w:footnoteReference w:id="91"/>
                  </w:r>
                </w:p>
                <w:p>
                  <w:pPr>
                    <w:jc w:val="center"/>
                    <w:rPr>
                      <w:u w:val="single"/>
                    </w:rPr>
                  </w:pPr>
                </w:p>
                <w:p>
                  <w:pPr>
                    <w:tabs>
                      <w:tab w:val="left" w:pos="962"/>
                      <w:tab w:val="left" w:pos="1134"/>
                      <w:tab w:val="left" w:pos="1303"/>
                      <w:tab w:val="left" w:pos="3967"/>
                    </w:tabs>
                    <w:jc w:val="center"/>
                    <w:rPr>
                      <w:b/>
                      <w:u w:val="single"/>
                    </w:rPr>
                  </w:pPr>
                  <w:r>
                    <w:rPr>
                      <w:u w:val="single"/>
                    </w:rPr>
                    <w:t xml:space="preserve">NORMES DE RATIONALISATION </w:t>
                  </w:r>
                  <w:r>
                    <w:rPr>
                      <w:b/>
                      <w:u w:val="single"/>
                    </w:rPr>
                    <w:t>(MAINTIEN)</w:t>
                  </w:r>
                </w:p>
                <w:p/>
                <w:tbl>
                  <w:tblPr>
                    <w:tblW w:w="9375" w:type="dxa"/>
                    <w:tblInd w:w="55" w:type="dxa"/>
                    <w:tblCellMar>
                      <w:left w:w="70" w:type="dxa"/>
                      <w:right w:w="70" w:type="dxa"/>
                    </w:tblCellMar>
                    <w:tblLook w:val="0000" w:firstRow="0" w:lastRow="0" w:firstColumn="0" w:lastColumn="0" w:noHBand="0" w:noVBand="0"/>
                  </w:tblPr>
                  <w:tblGrid>
                    <w:gridCol w:w="2283"/>
                    <w:gridCol w:w="1843"/>
                    <w:gridCol w:w="1775"/>
                    <w:gridCol w:w="3474"/>
                  </w:tblGrid>
                  <w:tr>
                    <w:trPr>
                      <w:trHeight w:val="510"/>
                    </w:trPr>
                    <w:tc>
                      <w:tcPr>
                        <w:tcW w:w="9375" w:type="dxa"/>
                        <w:gridSpan w:val="4"/>
                        <w:tcBorders>
                          <w:top w:val="single" w:sz="8" w:space="0" w:color="auto"/>
                          <w:left w:val="single" w:sz="8" w:space="0" w:color="auto"/>
                          <w:bottom w:val="single" w:sz="8" w:space="0" w:color="auto"/>
                          <w:right w:val="single" w:sz="8" w:space="0" w:color="000000"/>
                        </w:tcBorders>
                        <w:noWrap/>
                        <w:vAlign w:val="center"/>
                      </w:tcPr>
                      <w:p>
                        <w:pPr>
                          <w:jc w:val="center"/>
                          <w:rPr>
                            <w:b/>
                            <w:bCs/>
                            <w:lang w:val="fr-FR" w:eastAsia="fr-FR"/>
                          </w:rPr>
                        </w:pPr>
                        <w:bookmarkStart w:id="1373" w:name="__RefHeading__135_957262308"/>
                        <w:bookmarkStart w:id="1374" w:name="_Toc291075255"/>
                        <w:bookmarkStart w:id="1375" w:name="_Toc291075679"/>
                        <w:bookmarkStart w:id="1376" w:name="_Toc291076103"/>
                        <w:bookmarkStart w:id="1377" w:name="_Toc291076527"/>
                        <w:bookmarkStart w:id="1378" w:name="_Toc291076951"/>
                        <w:bookmarkStart w:id="1379" w:name="_Toc293651794"/>
                        <w:bookmarkStart w:id="1380" w:name="_Toc293653377"/>
                        <w:bookmarkStart w:id="1381" w:name="_Toc293653988"/>
                        <w:bookmarkStart w:id="1382" w:name="_Toc294004566"/>
                        <w:bookmarkStart w:id="1383" w:name="_Toc294185062"/>
                        <w:bookmarkStart w:id="1384" w:name="_Toc324165877"/>
                        <w:bookmarkStart w:id="1385" w:name="_Toc324766914"/>
                        <w:bookmarkEnd w:id="1373"/>
                        <w:r>
                          <w:rPr>
                            <w:b/>
                            <w:bCs/>
                            <w:lang w:eastAsia="fr-FR"/>
                          </w:rPr>
                          <w:t>Arrondissements de</w:t>
                        </w:r>
                        <w:r>
                          <w:rPr>
                            <w:b/>
                            <w:bCs/>
                            <w:u w:val="single"/>
                            <w:lang w:eastAsia="fr-FR"/>
                          </w:rPr>
                          <w:t xml:space="preserve"> moins</w:t>
                        </w:r>
                        <w:r>
                          <w:rPr>
                            <w:b/>
                            <w:bCs/>
                            <w:lang w:eastAsia="fr-FR"/>
                          </w:rPr>
                          <w:t xml:space="preserve"> de 75 habitants au Km²</w:t>
                        </w:r>
                      </w:p>
                    </w:tc>
                  </w:tr>
                  <w:tr>
                    <w:trPr>
                      <w:trHeight w:val="870"/>
                    </w:trPr>
                    <w:tc>
                      <w:tcPr>
                        <w:tcW w:w="2283" w:type="dxa"/>
                        <w:vMerge w:val="restart"/>
                        <w:tcBorders>
                          <w:top w:val="nil"/>
                          <w:left w:val="single" w:sz="8" w:space="0" w:color="auto"/>
                          <w:bottom w:val="single" w:sz="8" w:space="0" w:color="000000"/>
                          <w:right w:val="single" w:sz="8" w:space="0" w:color="auto"/>
                        </w:tcBorders>
                        <w:noWrap/>
                        <w:vAlign w:val="center"/>
                      </w:tcPr>
                      <w:p>
                        <w:pPr>
                          <w:jc w:val="center"/>
                          <w:rPr>
                            <w:b/>
                            <w:bCs/>
                            <w:lang w:val="fr-FR" w:eastAsia="fr-FR"/>
                          </w:rPr>
                        </w:pPr>
                        <w:r>
                          <w:rPr>
                            <w:b/>
                            <w:bCs/>
                            <w:lang w:eastAsia="fr-FR"/>
                          </w:rPr>
                          <w:t>Types d'enseignement spécialisé</w:t>
                        </w:r>
                      </w:p>
                    </w:tc>
                    <w:tc>
                      <w:tcPr>
                        <w:tcW w:w="3618" w:type="dxa"/>
                        <w:gridSpan w:val="2"/>
                        <w:tcBorders>
                          <w:top w:val="single" w:sz="8" w:space="0" w:color="auto"/>
                          <w:left w:val="nil"/>
                          <w:bottom w:val="single" w:sz="8" w:space="0" w:color="auto"/>
                          <w:right w:val="single" w:sz="8" w:space="0" w:color="000000"/>
                        </w:tcBorders>
                        <w:noWrap/>
                        <w:vAlign w:val="center"/>
                      </w:tcPr>
                      <w:p>
                        <w:pPr>
                          <w:jc w:val="center"/>
                          <w:rPr>
                            <w:b/>
                            <w:bCs/>
                            <w:lang w:val="fr-FR" w:eastAsia="fr-FR"/>
                          </w:rPr>
                        </w:pPr>
                        <w:r>
                          <w:rPr>
                            <w:b/>
                            <w:bCs/>
                            <w:lang w:eastAsia="fr-FR"/>
                          </w:rPr>
                          <w:t>Normes pour l’école</w:t>
                        </w:r>
                      </w:p>
                    </w:tc>
                    <w:tc>
                      <w:tcPr>
                        <w:tcW w:w="3474" w:type="dxa"/>
                        <w:tcBorders>
                          <w:top w:val="nil"/>
                          <w:left w:val="nil"/>
                          <w:bottom w:val="single" w:sz="8" w:space="0" w:color="auto"/>
                          <w:right w:val="single" w:sz="8" w:space="0" w:color="auto"/>
                        </w:tcBorders>
                        <w:noWrap/>
                        <w:vAlign w:val="center"/>
                      </w:tcPr>
                      <w:p>
                        <w:pPr>
                          <w:jc w:val="center"/>
                          <w:rPr>
                            <w:b/>
                            <w:bCs/>
                            <w:lang w:val="fr-FR" w:eastAsia="fr-FR"/>
                          </w:rPr>
                        </w:pPr>
                        <w:r>
                          <w:rPr>
                            <w:b/>
                            <w:bCs/>
                            <w:lang w:eastAsia="fr-FR"/>
                          </w:rPr>
                          <w:t xml:space="preserve">Norme pour les implantations à </w:t>
                        </w:r>
                        <w:r>
                          <w:rPr>
                            <w:b/>
                            <w:bCs/>
                            <w:u w:val="single"/>
                            <w:lang w:eastAsia="fr-FR"/>
                          </w:rPr>
                          <w:t>min 2</w:t>
                        </w:r>
                        <w:r>
                          <w:rPr>
                            <w:b/>
                            <w:bCs/>
                            <w:lang w:eastAsia="fr-FR"/>
                          </w:rPr>
                          <w:t xml:space="preserve"> </w:t>
                        </w:r>
                        <w:r>
                          <w:rPr>
                            <w:b/>
                            <w:bCs/>
                            <w:u w:val="single"/>
                            <w:lang w:eastAsia="fr-FR"/>
                          </w:rPr>
                          <w:t xml:space="preserve">km </w:t>
                        </w:r>
                        <w:r>
                          <w:rPr>
                            <w:b/>
                            <w:bCs/>
                            <w:u w:val="single"/>
                            <w:lang w:eastAsia="fr-FR"/>
                          </w:rPr>
                          <w:br/>
                          <w:t>du bâtiment principal</w:t>
                        </w:r>
                      </w:p>
                    </w:tc>
                  </w:tr>
                  <w:tr>
                    <w:trPr>
                      <w:trHeight w:val="870"/>
                    </w:trPr>
                    <w:tc>
                      <w:tcPr>
                        <w:tcW w:w="2283" w:type="dxa"/>
                        <w:vMerge/>
                        <w:tcBorders>
                          <w:top w:val="nil"/>
                          <w:left w:val="single" w:sz="8" w:space="0" w:color="auto"/>
                          <w:bottom w:val="single" w:sz="8" w:space="0" w:color="000000"/>
                          <w:right w:val="single" w:sz="8" w:space="0" w:color="auto"/>
                        </w:tcBorders>
                        <w:vAlign w:val="center"/>
                      </w:tcPr>
                      <w:p>
                        <w:pPr>
                          <w:rPr>
                            <w:b/>
                            <w:bCs/>
                            <w:lang w:val="fr-FR" w:eastAsia="fr-FR"/>
                          </w:rPr>
                        </w:pPr>
                      </w:p>
                    </w:tc>
                    <w:tc>
                      <w:tcPr>
                        <w:tcW w:w="1843" w:type="dxa"/>
                        <w:tcBorders>
                          <w:top w:val="nil"/>
                          <w:left w:val="nil"/>
                          <w:bottom w:val="single" w:sz="8" w:space="0" w:color="auto"/>
                          <w:right w:val="single" w:sz="8" w:space="0" w:color="auto"/>
                        </w:tcBorders>
                        <w:noWrap/>
                        <w:vAlign w:val="center"/>
                      </w:tcPr>
                      <w:p>
                        <w:pPr>
                          <w:jc w:val="center"/>
                          <w:rPr>
                            <w:lang w:val="fr-FR" w:eastAsia="fr-FR"/>
                          </w:rPr>
                        </w:pPr>
                        <w:r>
                          <w:rPr>
                            <w:lang w:eastAsia="fr-FR"/>
                          </w:rPr>
                          <w:t xml:space="preserve">Nombre d’élèves pour maintenir </w:t>
                        </w:r>
                        <w:r>
                          <w:rPr>
                            <w:lang w:eastAsia="fr-FR"/>
                          </w:rPr>
                          <w:br/>
                          <w:t>le type</w:t>
                        </w:r>
                      </w:p>
                    </w:tc>
                    <w:tc>
                      <w:tcPr>
                        <w:tcW w:w="1775" w:type="dxa"/>
                        <w:tcBorders>
                          <w:top w:val="nil"/>
                          <w:left w:val="nil"/>
                          <w:bottom w:val="nil"/>
                          <w:right w:val="nil"/>
                        </w:tcBorders>
                        <w:noWrap/>
                        <w:vAlign w:val="center"/>
                      </w:tcPr>
                      <w:p>
                        <w:pPr>
                          <w:jc w:val="center"/>
                          <w:rPr>
                            <w:lang w:val="fr-FR" w:eastAsia="fr-FR"/>
                          </w:rPr>
                        </w:pPr>
                        <w:r>
                          <w:rPr>
                            <w:lang w:eastAsia="fr-FR"/>
                          </w:rPr>
                          <w:t xml:space="preserve">2/3 </w:t>
                        </w:r>
                        <w:r>
                          <w:rPr>
                            <w:lang w:eastAsia="fr-FR"/>
                          </w:rPr>
                          <w:br/>
                          <w:t>de la norme</w:t>
                        </w:r>
                      </w:p>
                    </w:tc>
                    <w:tc>
                      <w:tcPr>
                        <w:tcW w:w="3474" w:type="dxa"/>
                        <w:tcBorders>
                          <w:top w:val="nil"/>
                          <w:left w:val="single" w:sz="8" w:space="0" w:color="auto"/>
                          <w:bottom w:val="single" w:sz="8" w:space="0" w:color="auto"/>
                          <w:right w:val="single" w:sz="8" w:space="0" w:color="auto"/>
                        </w:tcBorders>
                        <w:noWrap/>
                        <w:vAlign w:val="center"/>
                      </w:tcPr>
                      <w:p>
                        <w:pPr>
                          <w:jc w:val="center"/>
                          <w:rPr>
                            <w:lang w:val="fr-FR" w:eastAsia="fr-FR"/>
                          </w:rPr>
                        </w:pPr>
                        <w:r>
                          <w:rPr>
                            <w:lang w:eastAsia="fr-FR"/>
                          </w:rPr>
                          <w:t xml:space="preserve">Nombre d’élèves </w:t>
                        </w:r>
                        <w:r>
                          <w:rPr>
                            <w:lang w:eastAsia="fr-FR"/>
                          </w:rPr>
                          <w:br/>
                          <w:t>pour maintenir le type</w:t>
                        </w:r>
                      </w:p>
                    </w:tc>
                  </w:tr>
                  <w:tr>
                    <w:trPr>
                      <w:trHeight w:val="300"/>
                    </w:trPr>
                    <w:tc>
                      <w:tcPr>
                        <w:tcW w:w="2283" w:type="dxa"/>
                        <w:tcBorders>
                          <w:top w:val="nil"/>
                          <w:left w:val="single" w:sz="8" w:space="0" w:color="000000"/>
                          <w:bottom w:val="single" w:sz="4" w:space="0" w:color="auto"/>
                          <w:right w:val="nil"/>
                        </w:tcBorders>
                        <w:shd w:val="clear" w:color="auto" w:fill="D9D9D9"/>
                      </w:tcPr>
                      <w:p>
                        <w:pPr>
                          <w:jc w:val="center"/>
                          <w:rPr>
                            <w:b/>
                            <w:bCs/>
                            <w:lang w:val="fr-FR" w:eastAsia="fr-FR"/>
                          </w:rPr>
                        </w:pPr>
                        <w:r>
                          <w:rPr>
                            <w:b/>
                            <w:bCs/>
                            <w:lang w:eastAsia="fr-FR"/>
                          </w:rPr>
                          <w:t>A</w:t>
                        </w:r>
                      </w:p>
                    </w:tc>
                    <w:tc>
                      <w:tcPr>
                        <w:tcW w:w="1843" w:type="dxa"/>
                        <w:tcBorders>
                          <w:top w:val="nil"/>
                          <w:left w:val="single" w:sz="8" w:space="0" w:color="000000"/>
                          <w:bottom w:val="single" w:sz="4" w:space="0" w:color="auto"/>
                          <w:right w:val="nil"/>
                        </w:tcBorders>
                        <w:shd w:val="clear" w:color="auto" w:fill="D9D9D9"/>
                      </w:tcPr>
                      <w:p>
                        <w:pPr>
                          <w:jc w:val="center"/>
                          <w:rPr>
                            <w:b/>
                            <w:bCs/>
                            <w:lang w:val="fr-FR" w:eastAsia="fr-FR"/>
                          </w:rPr>
                        </w:pPr>
                        <w:r>
                          <w:rPr>
                            <w:b/>
                            <w:bCs/>
                            <w:lang w:eastAsia="fr-FR"/>
                          </w:rPr>
                          <w:t>E</w:t>
                        </w:r>
                      </w:p>
                    </w:tc>
                    <w:tc>
                      <w:tcPr>
                        <w:tcW w:w="1775" w:type="dxa"/>
                        <w:tcBorders>
                          <w:top w:val="single" w:sz="8" w:space="0" w:color="000000"/>
                          <w:left w:val="single" w:sz="8" w:space="0" w:color="000000"/>
                          <w:bottom w:val="single" w:sz="4" w:space="0" w:color="auto"/>
                          <w:right w:val="nil"/>
                        </w:tcBorders>
                        <w:shd w:val="clear" w:color="auto" w:fill="D9D9D9"/>
                      </w:tcPr>
                      <w:p>
                        <w:pPr>
                          <w:jc w:val="center"/>
                          <w:rPr>
                            <w:b/>
                            <w:bCs/>
                            <w:lang w:val="fr-FR" w:eastAsia="fr-FR"/>
                          </w:rPr>
                        </w:pPr>
                        <w:r>
                          <w:rPr>
                            <w:b/>
                            <w:bCs/>
                            <w:lang w:eastAsia="fr-FR"/>
                          </w:rPr>
                          <w:t>F</w:t>
                        </w:r>
                      </w:p>
                    </w:tc>
                    <w:tc>
                      <w:tcPr>
                        <w:tcW w:w="3474" w:type="dxa"/>
                        <w:tcBorders>
                          <w:top w:val="nil"/>
                          <w:left w:val="single" w:sz="8" w:space="0" w:color="000000"/>
                          <w:bottom w:val="single" w:sz="4" w:space="0" w:color="auto"/>
                          <w:right w:val="single" w:sz="8" w:space="0" w:color="000000"/>
                        </w:tcBorders>
                        <w:shd w:val="clear" w:color="auto" w:fill="D9D9D9"/>
                      </w:tcPr>
                      <w:p>
                        <w:pPr>
                          <w:jc w:val="center"/>
                          <w:rPr>
                            <w:b/>
                            <w:bCs/>
                            <w:lang w:val="fr-FR" w:eastAsia="fr-FR"/>
                          </w:rPr>
                        </w:pPr>
                        <w:r>
                          <w:rPr>
                            <w:b/>
                            <w:bCs/>
                            <w:lang w:eastAsia="fr-FR"/>
                          </w:rPr>
                          <w:t>G</w:t>
                        </w:r>
                      </w:p>
                    </w:tc>
                  </w:tr>
                  <w:tr>
                    <w:trPr>
                      <w:trHeight w:val="285"/>
                    </w:trPr>
                    <w:tc>
                      <w:tcPr>
                        <w:tcW w:w="2283"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1</w:t>
                        </w:r>
                      </w:p>
                    </w:tc>
                    <w:tc>
                      <w:tcPr>
                        <w:tcW w:w="1843"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15</w:t>
                        </w:r>
                      </w:p>
                    </w:tc>
                    <w:tc>
                      <w:tcPr>
                        <w:tcW w:w="1775"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10</w:t>
                        </w:r>
                      </w:p>
                    </w:tc>
                    <w:tc>
                      <w:tcPr>
                        <w:tcW w:w="3474"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8</w:t>
                        </w:r>
                      </w:p>
                    </w:tc>
                  </w:tr>
                  <w:tr>
                    <w:trPr>
                      <w:trHeight w:val="285"/>
                    </w:trPr>
                    <w:tc>
                      <w:tcPr>
                        <w:tcW w:w="2283"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2</w:t>
                        </w:r>
                      </w:p>
                    </w:tc>
                    <w:tc>
                      <w:tcPr>
                        <w:tcW w:w="1843"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11</w:t>
                        </w:r>
                      </w:p>
                    </w:tc>
                    <w:tc>
                      <w:tcPr>
                        <w:tcW w:w="1775"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7</w:t>
                        </w:r>
                      </w:p>
                    </w:tc>
                    <w:tc>
                      <w:tcPr>
                        <w:tcW w:w="3474"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6</w:t>
                        </w:r>
                      </w:p>
                    </w:tc>
                  </w:tr>
                  <w:tr>
                    <w:trPr>
                      <w:trHeight w:val="285"/>
                    </w:trPr>
                    <w:tc>
                      <w:tcPr>
                        <w:tcW w:w="2283"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3</w:t>
                        </w:r>
                      </w:p>
                    </w:tc>
                    <w:tc>
                      <w:tcPr>
                        <w:tcW w:w="1843"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11</w:t>
                        </w:r>
                      </w:p>
                    </w:tc>
                    <w:tc>
                      <w:tcPr>
                        <w:tcW w:w="1775"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7</w:t>
                        </w:r>
                      </w:p>
                    </w:tc>
                    <w:tc>
                      <w:tcPr>
                        <w:tcW w:w="3474"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6</w:t>
                        </w:r>
                      </w:p>
                    </w:tc>
                  </w:tr>
                  <w:tr>
                    <w:trPr>
                      <w:trHeight w:val="285"/>
                    </w:trPr>
                    <w:tc>
                      <w:tcPr>
                        <w:tcW w:w="2283"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4</w:t>
                        </w:r>
                      </w:p>
                    </w:tc>
                    <w:tc>
                      <w:tcPr>
                        <w:tcW w:w="1843"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11</w:t>
                        </w:r>
                      </w:p>
                    </w:tc>
                    <w:tc>
                      <w:tcPr>
                        <w:tcW w:w="1775"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7</w:t>
                        </w:r>
                      </w:p>
                    </w:tc>
                    <w:tc>
                      <w:tcPr>
                        <w:tcW w:w="3474"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6</w:t>
                        </w:r>
                      </w:p>
                    </w:tc>
                  </w:tr>
                  <w:tr>
                    <w:trPr>
                      <w:trHeight w:val="285"/>
                    </w:trPr>
                    <w:tc>
                      <w:tcPr>
                        <w:tcW w:w="2283"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5</w:t>
                        </w:r>
                      </w:p>
                    </w:tc>
                    <w:tc>
                      <w:tcPr>
                        <w:tcW w:w="1843"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11</w:t>
                        </w:r>
                      </w:p>
                    </w:tc>
                    <w:tc>
                      <w:tcPr>
                        <w:tcW w:w="1775"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7</w:t>
                        </w:r>
                      </w:p>
                    </w:tc>
                    <w:tc>
                      <w:tcPr>
                        <w:tcW w:w="3474"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6</w:t>
                        </w:r>
                      </w:p>
                    </w:tc>
                  </w:tr>
                  <w:tr>
                    <w:trPr>
                      <w:trHeight w:val="285"/>
                    </w:trPr>
                    <w:tc>
                      <w:tcPr>
                        <w:tcW w:w="2283"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6</w:t>
                        </w:r>
                      </w:p>
                    </w:tc>
                    <w:tc>
                      <w:tcPr>
                        <w:tcW w:w="1843"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9</w:t>
                        </w:r>
                      </w:p>
                    </w:tc>
                    <w:tc>
                      <w:tcPr>
                        <w:tcW w:w="1775"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6</w:t>
                        </w:r>
                      </w:p>
                    </w:tc>
                    <w:tc>
                      <w:tcPr>
                        <w:tcW w:w="3474"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5</w:t>
                        </w:r>
                      </w:p>
                    </w:tc>
                  </w:tr>
                  <w:tr>
                    <w:trPr>
                      <w:trHeight w:val="285"/>
                    </w:trPr>
                    <w:tc>
                      <w:tcPr>
                        <w:tcW w:w="2283"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7</w:t>
                        </w:r>
                      </w:p>
                    </w:tc>
                    <w:tc>
                      <w:tcPr>
                        <w:tcW w:w="1843"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9</w:t>
                        </w:r>
                      </w:p>
                    </w:tc>
                    <w:tc>
                      <w:tcPr>
                        <w:tcW w:w="1775"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6</w:t>
                        </w:r>
                      </w:p>
                    </w:tc>
                    <w:tc>
                      <w:tcPr>
                        <w:tcW w:w="3474"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5</w:t>
                        </w:r>
                      </w:p>
                    </w:tc>
                  </w:tr>
                  <w:tr>
                    <w:trPr>
                      <w:trHeight w:val="300"/>
                    </w:trPr>
                    <w:tc>
                      <w:tcPr>
                        <w:tcW w:w="2283"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8</w:t>
                        </w:r>
                      </w:p>
                    </w:tc>
                    <w:tc>
                      <w:tcPr>
                        <w:tcW w:w="1843"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15</w:t>
                        </w:r>
                      </w:p>
                    </w:tc>
                    <w:tc>
                      <w:tcPr>
                        <w:tcW w:w="1775"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10</w:t>
                        </w:r>
                      </w:p>
                    </w:tc>
                    <w:tc>
                      <w:tcPr>
                        <w:tcW w:w="3474" w:type="dxa"/>
                        <w:tcBorders>
                          <w:top w:val="single" w:sz="4" w:space="0" w:color="auto"/>
                          <w:left w:val="single" w:sz="4" w:space="0" w:color="auto"/>
                          <w:bottom w:val="single" w:sz="4" w:space="0" w:color="auto"/>
                          <w:right w:val="single" w:sz="4" w:space="0" w:color="auto"/>
                        </w:tcBorders>
                        <w:vAlign w:val="center"/>
                      </w:tcPr>
                      <w:p>
                        <w:pPr>
                          <w:jc w:val="center"/>
                          <w:rPr>
                            <w:lang w:val="fr-FR" w:eastAsia="fr-FR"/>
                          </w:rPr>
                        </w:pPr>
                        <w:r>
                          <w:rPr>
                            <w:lang w:eastAsia="fr-FR"/>
                          </w:rPr>
                          <w:t>8</w:t>
                        </w:r>
                      </w:p>
                    </w:tc>
                  </w:tr>
                </w:tbl>
                <w:p/>
                <w:p/>
                <w:tbl>
                  <w:tblPr>
                    <w:tblW w:w="9371" w:type="dxa"/>
                    <w:tblInd w:w="55" w:type="dxa"/>
                    <w:tblCellMar>
                      <w:left w:w="70" w:type="dxa"/>
                      <w:right w:w="70" w:type="dxa"/>
                    </w:tblCellMar>
                    <w:tblLook w:val="0000" w:firstRow="0" w:lastRow="0" w:firstColumn="0" w:lastColumn="0" w:noHBand="0" w:noVBand="0"/>
                  </w:tblPr>
                  <w:tblGrid>
                    <w:gridCol w:w="2283"/>
                    <w:gridCol w:w="1843"/>
                    <w:gridCol w:w="1701"/>
                    <w:gridCol w:w="3544"/>
                  </w:tblGrid>
                  <w:tr>
                    <w:trPr>
                      <w:trHeight w:val="510"/>
                    </w:trPr>
                    <w:tc>
                      <w:tcPr>
                        <w:tcW w:w="9371" w:type="dxa"/>
                        <w:gridSpan w:val="4"/>
                        <w:tcBorders>
                          <w:top w:val="single" w:sz="8" w:space="0" w:color="auto"/>
                          <w:left w:val="single" w:sz="8" w:space="0" w:color="auto"/>
                          <w:bottom w:val="single" w:sz="8" w:space="0" w:color="auto"/>
                          <w:right w:val="single" w:sz="8" w:space="0" w:color="000000"/>
                        </w:tcBorders>
                        <w:noWrap/>
                        <w:vAlign w:val="center"/>
                      </w:tcPr>
                      <w:p>
                        <w:pPr>
                          <w:jc w:val="center"/>
                          <w:rPr>
                            <w:b/>
                            <w:bCs/>
                            <w:lang w:val="fr-FR" w:eastAsia="fr-FR"/>
                          </w:rPr>
                        </w:pPr>
                        <w:r>
                          <w:rPr>
                            <w:b/>
                            <w:bCs/>
                            <w:lang w:eastAsia="fr-FR"/>
                          </w:rPr>
                          <w:t xml:space="preserve">Arrondissements de </w:t>
                        </w:r>
                        <w:r>
                          <w:rPr>
                            <w:b/>
                            <w:bCs/>
                            <w:u w:val="single"/>
                            <w:lang w:eastAsia="fr-FR"/>
                          </w:rPr>
                          <w:t>minimum</w:t>
                        </w:r>
                        <w:r>
                          <w:rPr>
                            <w:b/>
                            <w:bCs/>
                            <w:lang w:eastAsia="fr-FR"/>
                          </w:rPr>
                          <w:t xml:space="preserve"> 75 habitants au Km²</w:t>
                        </w:r>
                      </w:p>
                    </w:tc>
                  </w:tr>
                  <w:tr>
                    <w:trPr>
                      <w:trHeight w:val="870"/>
                    </w:trPr>
                    <w:tc>
                      <w:tcPr>
                        <w:tcW w:w="2283" w:type="dxa"/>
                        <w:vMerge w:val="restart"/>
                        <w:tcBorders>
                          <w:top w:val="nil"/>
                          <w:left w:val="single" w:sz="8" w:space="0" w:color="auto"/>
                          <w:bottom w:val="single" w:sz="8" w:space="0" w:color="000000"/>
                          <w:right w:val="single" w:sz="8" w:space="0" w:color="auto"/>
                        </w:tcBorders>
                        <w:noWrap/>
                        <w:vAlign w:val="center"/>
                      </w:tcPr>
                      <w:p>
                        <w:pPr>
                          <w:jc w:val="center"/>
                          <w:rPr>
                            <w:b/>
                            <w:bCs/>
                            <w:lang w:val="fr-FR" w:eastAsia="fr-FR"/>
                          </w:rPr>
                        </w:pPr>
                        <w:r>
                          <w:rPr>
                            <w:b/>
                            <w:bCs/>
                            <w:lang w:eastAsia="fr-FR"/>
                          </w:rPr>
                          <w:t>Types d'enseignement spécialisé</w:t>
                        </w:r>
                      </w:p>
                    </w:tc>
                    <w:tc>
                      <w:tcPr>
                        <w:tcW w:w="3544" w:type="dxa"/>
                        <w:gridSpan w:val="2"/>
                        <w:tcBorders>
                          <w:top w:val="single" w:sz="8" w:space="0" w:color="auto"/>
                          <w:left w:val="nil"/>
                          <w:bottom w:val="single" w:sz="8" w:space="0" w:color="auto"/>
                          <w:right w:val="single" w:sz="8" w:space="0" w:color="000000"/>
                        </w:tcBorders>
                        <w:noWrap/>
                        <w:vAlign w:val="center"/>
                      </w:tcPr>
                      <w:p>
                        <w:pPr>
                          <w:jc w:val="center"/>
                          <w:rPr>
                            <w:b/>
                            <w:bCs/>
                            <w:lang w:val="fr-FR" w:eastAsia="fr-FR"/>
                          </w:rPr>
                        </w:pPr>
                        <w:r>
                          <w:rPr>
                            <w:b/>
                            <w:bCs/>
                            <w:lang w:eastAsia="fr-FR"/>
                          </w:rPr>
                          <w:t>Normes pour l’école</w:t>
                        </w:r>
                      </w:p>
                    </w:tc>
                    <w:tc>
                      <w:tcPr>
                        <w:tcW w:w="3544" w:type="dxa"/>
                        <w:tcBorders>
                          <w:top w:val="nil"/>
                          <w:left w:val="nil"/>
                          <w:bottom w:val="single" w:sz="8" w:space="0" w:color="auto"/>
                          <w:right w:val="single" w:sz="8" w:space="0" w:color="auto"/>
                        </w:tcBorders>
                        <w:noWrap/>
                        <w:vAlign w:val="center"/>
                      </w:tcPr>
                      <w:p>
                        <w:pPr>
                          <w:jc w:val="center"/>
                          <w:rPr>
                            <w:b/>
                            <w:bCs/>
                            <w:lang w:val="fr-FR" w:eastAsia="fr-FR"/>
                          </w:rPr>
                        </w:pPr>
                        <w:r>
                          <w:rPr>
                            <w:b/>
                            <w:bCs/>
                            <w:lang w:eastAsia="fr-FR"/>
                          </w:rPr>
                          <w:t xml:space="preserve">Norme pour les implantations à </w:t>
                        </w:r>
                        <w:r>
                          <w:rPr>
                            <w:b/>
                            <w:bCs/>
                            <w:u w:val="single"/>
                            <w:lang w:eastAsia="fr-FR"/>
                          </w:rPr>
                          <w:t>min 2</w:t>
                        </w:r>
                        <w:r>
                          <w:rPr>
                            <w:b/>
                            <w:bCs/>
                            <w:lang w:eastAsia="fr-FR"/>
                          </w:rPr>
                          <w:t xml:space="preserve"> </w:t>
                        </w:r>
                        <w:r>
                          <w:rPr>
                            <w:b/>
                            <w:bCs/>
                            <w:u w:val="single"/>
                            <w:lang w:eastAsia="fr-FR"/>
                          </w:rPr>
                          <w:t xml:space="preserve">km </w:t>
                        </w:r>
                        <w:r>
                          <w:rPr>
                            <w:b/>
                            <w:bCs/>
                            <w:u w:val="single"/>
                            <w:lang w:eastAsia="fr-FR"/>
                          </w:rPr>
                          <w:br/>
                          <w:t>du bâtiment principal</w:t>
                        </w:r>
                      </w:p>
                    </w:tc>
                  </w:tr>
                  <w:tr>
                    <w:trPr>
                      <w:trHeight w:val="870"/>
                    </w:trPr>
                    <w:tc>
                      <w:tcPr>
                        <w:tcW w:w="2283" w:type="dxa"/>
                        <w:vMerge/>
                        <w:tcBorders>
                          <w:top w:val="nil"/>
                          <w:left w:val="single" w:sz="8" w:space="0" w:color="auto"/>
                          <w:bottom w:val="single" w:sz="8" w:space="0" w:color="000000"/>
                          <w:right w:val="single" w:sz="8" w:space="0" w:color="auto"/>
                        </w:tcBorders>
                        <w:vAlign w:val="center"/>
                      </w:tcPr>
                      <w:p>
                        <w:pPr>
                          <w:jc w:val="center"/>
                          <w:rPr>
                            <w:b/>
                            <w:bCs/>
                            <w:lang w:val="fr-FR" w:eastAsia="fr-FR"/>
                          </w:rPr>
                        </w:pPr>
                      </w:p>
                    </w:tc>
                    <w:tc>
                      <w:tcPr>
                        <w:tcW w:w="1843" w:type="dxa"/>
                        <w:tcBorders>
                          <w:top w:val="nil"/>
                          <w:left w:val="nil"/>
                          <w:bottom w:val="single" w:sz="8" w:space="0" w:color="auto"/>
                          <w:right w:val="single" w:sz="8" w:space="0" w:color="auto"/>
                        </w:tcBorders>
                        <w:noWrap/>
                        <w:vAlign w:val="center"/>
                      </w:tcPr>
                      <w:p>
                        <w:pPr>
                          <w:jc w:val="center"/>
                          <w:rPr>
                            <w:lang w:val="fr-FR" w:eastAsia="fr-FR"/>
                          </w:rPr>
                        </w:pPr>
                        <w:r>
                          <w:rPr>
                            <w:lang w:eastAsia="fr-FR"/>
                          </w:rPr>
                          <w:t xml:space="preserve">Nombre d’élèves pour maintenir </w:t>
                        </w:r>
                        <w:r>
                          <w:rPr>
                            <w:lang w:eastAsia="fr-FR"/>
                          </w:rPr>
                          <w:br/>
                          <w:t>le type</w:t>
                        </w:r>
                      </w:p>
                    </w:tc>
                    <w:tc>
                      <w:tcPr>
                        <w:tcW w:w="1701" w:type="dxa"/>
                        <w:tcBorders>
                          <w:top w:val="nil"/>
                          <w:left w:val="nil"/>
                          <w:bottom w:val="single" w:sz="8" w:space="0" w:color="auto"/>
                          <w:right w:val="single" w:sz="8" w:space="0" w:color="auto"/>
                        </w:tcBorders>
                        <w:noWrap/>
                        <w:vAlign w:val="center"/>
                      </w:tcPr>
                      <w:p>
                        <w:pPr>
                          <w:jc w:val="center"/>
                          <w:rPr>
                            <w:lang w:val="fr-FR" w:eastAsia="fr-FR"/>
                          </w:rPr>
                        </w:pPr>
                        <w:r>
                          <w:rPr>
                            <w:lang w:eastAsia="fr-FR"/>
                          </w:rPr>
                          <w:t xml:space="preserve">2/3 </w:t>
                        </w:r>
                        <w:r>
                          <w:rPr>
                            <w:lang w:eastAsia="fr-FR"/>
                          </w:rPr>
                          <w:br/>
                          <w:t>de la norme</w:t>
                        </w:r>
                      </w:p>
                    </w:tc>
                    <w:tc>
                      <w:tcPr>
                        <w:tcW w:w="3544" w:type="dxa"/>
                        <w:tcBorders>
                          <w:top w:val="nil"/>
                          <w:left w:val="nil"/>
                          <w:bottom w:val="single" w:sz="8" w:space="0" w:color="auto"/>
                          <w:right w:val="single" w:sz="8" w:space="0" w:color="auto"/>
                        </w:tcBorders>
                        <w:noWrap/>
                        <w:vAlign w:val="center"/>
                      </w:tcPr>
                      <w:p>
                        <w:pPr>
                          <w:jc w:val="center"/>
                          <w:rPr>
                            <w:lang w:val="fr-FR" w:eastAsia="fr-FR"/>
                          </w:rPr>
                        </w:pPr>
                        <w:r>
                          <w:rPr>
                            <w:lang w:eastAsia="fr-FR"/>
                          </w:rPr>
                          <w:t xml:space="preserve">Nombre d’élèves </w:t>
                        </w:r>
                        <w:r>
                          <w:rPr>
                            <w:lang w:eastAsia="fr-FR"/>
                          </w:rPr>
                          <w:br/>
                          <w:t>pour maintenir le type</w:t>
                        </w:r>
                      </w:p>
                    </w:tc>
                  </w:tr>
                  <w:tr>
                    <w:trPr>
                      <w:trHeight w:val="300"/>
                    </w:trPr>
                    <w:tc>
                      <w:tcPr>
                        <w:tcW w:w="2283" w:type="dxa"/>
                        <w:tcBorders>
                          <w:top w:val="single" w:sz="8" w:space="0" w:color="000000"/>
                          <w:left w:val="single" w:sz="8" w:space="0" w:color="000000"/>
                          <w:bottom w:val="single" w:sz="8" w:space="0" w:color="000000"/>
                          <w:right w:val="nil"/>
                        </w:tcBorders>
                        <w:shd w:val="clear" w:color="auto" w:fill="D9D9D9"/>
                        <w:vAlign w:val="center"/>
                      </w:tcPr>
                      <w:p>
                        <w:pPr>
                          <w:jc w:val="center"/>
                          <w:rPr>
                            <w:b/>
                            <w:bCs/>
                            <w:lang w:val="fr-FR" w:eastAsia="fr-FR"/>
                          </w:rPr>
                        </w:pPr>
                        <w:r>
                          <w:rPr>
                            <w:b/>
                            <w:bCs/>
                            <w:lang w:eastAsia="fr-FR"/>
                          </w:rPr>
                          <w:t>A</w:t>
                        </w:r>
                      </w:p>
                    </w:tc>
                    <w:tc>
                      <w:tcPr>
                        <w:tcW w:w="1843" w:type="dxa"/>
                        <w:tcBorders>
                          <w:top w:val="single" w:sz="8" w:space="0" w:color="000000"/>
                          <w:left w:val="single" w:sz="8" w:space="0" w:color="000000"/>
                          <w:bottom w:val="single" w:sz="8" w:space="0" w:color="000000"/>
                          <w:right w:val="nil"/>
                        </w:tcBorders>
                        <w:shd w:val="clear" w:color="auto" w:fill="D9D9D9"/>
                        <w:vAlign w:val="center"/>
                      </w:tcPr>
                      <w:p>
                        <w:pPr>
                          <w:jc w:val="center"/>
                          <w:rPr>
                            <w:b/>
                            <w:bCs/>
                            <w:lang w:val="fr-FR" w:eastAsia="fr-FR"/>
                          </w:rPr>
                        </w:pPr>
                        <w:r>
                          <w:rPr>
                            <w:b/>
                            <w:bCs/>
                            <w:lang w:eastAsia="fr-FR"/>
                          </w:rPr>
                          <w:t>B</w:t>
                        </w:r>
                      </w:p>
                    </w:tc>
                    <w:tc>
                      <w:tcPr>
                        <w:tcW w:w="1701" w:type="dxa"/>
                        <w:tcBorders>
                          <w:top w:val="nil"/>
                          <w:left w:val="single" w:sz="8" w:space="0" w:color="000000"/>
                          <w:bottom w:val="single" w:sz="8" w:space="0" w:color="000000"/>
                          <w:right w:val="nil"/>
                        </w:tcBorders>
                        <w:shd w:val="clear" w:color="auto" w:fill="D9D9D9"/>
                        <w:vAlign w:val="center"/>
                      </w:tcPr>
                      <w:p>
                        <w:pPr>
                          <w:jc w:val="center"/>
                          <w:rPr>
                            <w:b/>
                            <w:bCs/>
                            <w:lang w:val="fr-FR" w:eastAsia="fr-FR"/>
                          </w:rPr>
                        </w:pPr>
                        <w:r>
                          <w:rPr>
                            <w:b/>
                            <w:bCs/>
                            <w:lang w:eastAsia="fr-FR"/>
                          </w:rPr>
                          <w:t>C</w:t>
                        </w:r>
                      </w:p>
                    </w:tc>
                    <w:tc>
                      <w:tcPr>
                        <w:tcW w:w="3544" w:type="dxa"/>
                        <w:tcBorders>
                          <w:top w:val="nil"/>
                          <w:left w:val="single" w:sz="8" w:space="0" w:color="000000"/>
                          <w:bottom w:val="single" w:sz="8" w:space="0" w:color="000000"/>
                          <w:right w:val="single" w:sz="8" w:space="0" w:color="000000"/>
                        </w:tcBorders>
                        <w:shd w:val="clear" w:color="auto" w:fill="D9D9D9"/>
                        <w:vAlign w:val="center"/>
                      </w:tcPr>
                      <w:p>
                        <w:pPr>
                          <w:jc w:val="center"/>
                          <w:rPr>
                            <w:b/>
                            <w:bCs/>
                            <w:lang w:val="fr-FR" w:eastAsia="fr-FR"/>
                          </w:rPr>
                        </w:pPr>
                        <w:r>
                          <w:rPr>
                            <w:b/>
                            <w:bCs/>
                            <w:lang w:eastAsia="fr-FR"/>
                          </w:rPr>
                          <w:t>D</w:t>
                        </w:r>
                      </w:p>
                    </w:tc>
                  </w:tr>
                  <w:tr>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1</w:t>
                        </w:r>
                      </w:p>
                    </w:tc>
                    <w:tc>
                      <w:tcPr>
                        <w:tcW w:w="1843"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20</w:t>
                        </w:r>
                      </w:p>
                    </w:tc>
                    <w:tc>
                      <w:tcPr>
                        <w:tcW w:w="1701"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13</w:t>
                        </w:r>
                      </w:p>
                    </w:tc>
                    <w:tc>
                      <w:tcPr>
                        <w:tcW w:w="3544"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10</w:t>
                        </w:r>
                      </w:p>
                    </w:tc>
                  </w:tr>
                  <w:tr>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2</w:t>
                        </w:r>
                      </w:p>
                    </w:tc>
                    <w:tc>
                      <w:tcPr>
                        <w:tcW w:w="1843"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14</w:t>
                        </w:r>
                      </w:p>
                    </w:tc>
                    <w:tc>
                      <w:tcPr>
                        <w:tcW w:w="1701"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9</w:t>
                        </w:r>
                      </w:p>
                    </w:tc>
                    <w:tc>
                      <w:tcPr>
                        <w:tcW w:w="3544"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7</w:t>
                        </w:r>
                      </w:p>
                    </w:tc>
                  </w:tr>
                  <w:tr>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3</w:t>
                        </w:r>
                      </w:p>
                    </w:tc>
                    <w:tc>
                      <w:tcPr>
                        <w:tcW w:w="1843"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14</w:t>
                        </w:r>
                      </w:p>
                    </w:tc>
                    <w:tc>
                      <w:tcPr>
                        <w:tcW w:w="1701"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9</w:t>
                        </w:r>
                      </w:p>
                    </w:tc>
                    <w:tc>
                      <w:tcPr>
                        <w:tcW w:w="3544"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7</w:t>
                        </w:r>
                      </w:p>
                    </w:tc>
                  </w:tr>
                  <w:tr>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4</w:t>
                        </w:r>
                      </w:p>
                    </w:tc>
                    <w:tc>
                      <w:tcPr>
                        <w:tcW w:w="1843"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14</w:t>
                        </w:r>
                      </w:p>
                    </w:tc>
                    <w:tc>
                      <w:tcPr>
                        <w:tcW w:w="1701"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9</w:t>
                        </w:r>
                      </w:p>
                    </w:tc>
                    <w:tc>
                      <w:tcPr>
                        <w:tcW w:w="3544"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7</w:t>
                        </w:r>
                      </w:p>
                    </w:tc>
                  </w:tr>
                  <w:tr>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5</w:t>
                        </w:r>
                      </w:p>
                    </w:tc>
                    <w:tc>
                      <w:tcPr>
                        <w:tcW w:w="1843"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14</w:t>
                        </w:r>
                      </w:p>
                    </w:tc>
                    <w:tc>
                      <w:tcPr>
                        <w:tcW w:w="1701"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9</w:t>
                        </w:r>
                      </w:p>
                    </w:tc>
                    <w:tc>
                      <w:tcPr>
                        <w:tcW w:w="3544"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7</w:t>
                        </w:r>
                      </w:p>
                    </w:tc>
                  </w:tr>
                  <w:tr>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6</w:t>
                        </w:r>
                      </w:p>
                    </w:tc>
                    <w:tc>
                      <w:tcPr>
                        <w:tcW w:w="1843"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12</w:t>
                        </w:r>
                      </w:p>
                    </w:tc>
                    <w:tc>
                      <w:tcPr>
                        <w:tcW w:w="1701"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8</w:t>
                        </w:r>
                      </w:p>
                    </w:tc>
                    <w:tc>
                      <w:tcPr>
                        <w:tcW w:w="3544"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6</w:t>
                        </w:r>
                      </w:p>
                    </w:tc>
                  </w:tr>
                  <w:tr>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7</w:t>
                        </w:r>
                      </w:p>
                    </w:tc>
                    <w:tc>
                      <w:tcPr>
                        <w:tcW w:w="1843"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12</w:t>
                        </w:r>
                      </w:p>
                    </w:tc>
                    <w:tc>
                      <w:tcPr>
                        <w:tcW w:w="1701"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8</w:t>
                        </w:r>
                      </w:p>
                    </w:tc>
                    <w:tc>
                      <w:tcPr>
                        <w:tcW w:w="3544"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6</w:t>
                        </w:r>
                      </w:p>
                    </w:tc>
                  </w:tr>
                  <w:tr>
                    <w:trPr>
                      <w:trHeight w:val="300"/>
                    </w:trPr>
                    <w:tc>
                      <w:tcPr>
                        <w:tcW w:w="2283"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8</w:t>
                        </w:r>
                      </w:p>
                    </w:tc>
                    <w:tc>
                      <w:tcPr>
                        <w:tcW w:w="1843"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20</w:t>
                        </w:r>
                      </w:p>
                    </w:tc>
                    <w:tc>
                      <w:tcPr>
                        <w:tcW w:w="1701"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13</w:t>
                        </w:r>
                      </w:p>
                    </w:tc>
                    <w:tc>
                      <w:tcPr>
                        <w:tcW w:w="3544"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10</w:t>
                        </w:r>
                      </w:p>
                    </w:tc>
                  </w:tr>
                </w:tbl>
                <w:p>
                  <w:bookmarkStart w:id="1386" w:name="_Toc453314276"/>
                  <w:bookmarkStart w:id="1387" w:name="_Toc454980311"/>
                </w:p>
                <w:p>
                  <w:pPr>
                    <w:rPr>
                      <w:b/>
                      <w:u w:val="single"/>
                    </w:rPr>
                  </w:pPr>
                  <w:r>
                    <w:br w:type="page"/>
                  </w:r>
                </w:p>
                <w:p>
                  <w:pPr>
                    <w:pStyle w:val="Titre3"/>
                  </w:pPr>
                  <w:bookmarkStart w:id="1388" w:name="_Toc18914418"/>
                  <w:r>
                    <w:t>3. Rationalisation de l’enseignement fondamental spécialisé « Normes de maintien »</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pPr>
                    <w:jc w:val="both"/>
                  </w:pPr>
                </w:p>
                <w:p>
                  <w:pPr>
                    <w:pStyle w:val="Titre4"/>
                  </w:pPr>
                  <w:bookmarkStart w:id="1389" w:name="_Toc291075256"/>
                  <w:bookmarkStart w:id="1390" w:name="_Toc291075680"/>
                  <w:bookmarkStart w:id="1391" w:name="_Toc291076104"/>
                  <w:bookmarkStart w:id="1392" w:name="_Toc291076528"/>
                  <w:bookmarkStart w:id="1393" w:name="_Toc291076952"/>
                  <w:bookmarkStart w:id="1394" w:name="_Toc293651795"/>
                  <w:bookmarkStart w:id="1395" w:name="_Toc293653378"/>
                  <w:bookmarkStart w:id="1396" w:name="_Toc293653989"/>
                  <w:bookmarkStart w:id="1397" w:name="_Toc294004567"/>
                  <w:bookmarkStart w:id="1398" w:name="_Toc294185063"/>
                  <w:bookmarkStart w:id="1399" w:name="_Toc324165878"/>
                  <w:bookmarkStart w:id="1400" w:name="_Toc324766915"/>
                  <w:bookmarkStart w:id="1401" w:name="_Toc324767773"/>
                  <w:bookmarkStart w:id="1402" w:name="_Toc453314277"/>
                  <w:bookmarkStart w:id="1403" w:name="_Toc454980312"/>
                  <w:r>
                    <w:t>3.1. Siège de la matière (articles 189 à 194bis inclus)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t>.</w:t>
                  </w:r>
                  <w:bookmarkEnd w:id="1402"/>
                  <w:bookmarkEnd w:id="1403"/>
                </w:p>
                <w:p>
                  <w:pPr>
                    <w:jc w:val="both"/>
                  </w:pPr>
                </w:p>
                <w:p>
                  <w:pPr>
                    <w:jc w:val="both"/>
                    <w:rPr>
                      <w:u w:val="single"/>
                    </w:rPr>
                  </w:pPr>
                  <w:bookmarkStart w:id="1404" w:name="_Toc291075257"/>
                  <w:bookmarkStart w:id="1405" w:name="_Toc291075681"/>
                  <w:bookmarkStart w:id="1406" w:name="_Toc291076105"/>
                  <w:bookmarkStart w:id="1407" w:name="_Toc291076529"/>
                  <w:bookmarkStart w:id="1408" w:name="_Toc291076953"/>
                  <w:bookmarkStart w:id="1409" w:name="_Toc293651796"/>
                  <w:bookmarkStart w:id="1410" w:name="_Toc293653379"/>
                  <w:bookmarkStart w:id="1411" w:name="_Toc293653990"/>
                  <w:bookmarkStart w:id="1412" w:name="_Toc294004568"/>
                  <w:bookmarkStart w:id="1413" w:name="_Toc294185064"/>
                  <w:bookmarkStart w:id="1414" w:name="_Toc324165879"/>
                  <w:bookmarkStart w:id="1415" w:name="_Toc324766916"/>
                  <w:bookmarkStart w:id="1416" w:name="_Toc324767774"/>
                  <w:r>
                    <w:rPr>
                      <w:u w:val="single"/>
                    </w:rPr>
                    <w:t>Normes de rationalisation :</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pPr>
                    <w:jc w:val="both"/>
                  </w:pPr>
                </w:p>
                <w:p>
                  <w:pPr>
                    <w:numPr>
                      <w:ilvl w:val="0"/>
                      <w:numId w:val="7"/>
                    </w:numPr>
                    <w:suppressAutoHyphens/>
                    <w:jc w:val="both"/>
                  </w:pPr>
                  <w:r>
                    <w:t>L'article 189 § 5 fixe les normes de rationalisation par type d'enseignement spécialisé et par école.</w:t>
                  </w:r>
                </w:p>
                <w:p>
                  <w:pPr>
                    <w:numPr>
                      <w:ilvl w:val="0"/>
                      <w:numId w:val="7"/>
                    </w:numPr>
                    <w:suppressAutoHyphens/>
                    <w:jc w:val="both"/>
                  </w:pPr>
                  <w:r>
                    <w:t>L'article 190 réduit ces normes d'un quart au profit des écoles situées dans des arrondissements dont la densité de population est inférieure à 75 habitants au km².</w:t>
                  </w:r>
                </w:p>
                <w:p>
                  <w:pPr>
                    <w:numPr>
                      <w:ilvl w:val="0"/>
                      <w:numId w:val="7"/>
                    </w:numPr>
                    <w:suppressAutoHyphens/>
                    <w:jc w:val="both"/>
                  </w:pPr>
                  <w:r>
                    <w:t>Les élèves de l'enseignement maternel et de l'enseignement primaire d'une école sont additionnés indistinctement par type d'enseignement spécialisé pour le calcul des normes de rationalisation : aucune distinction de niveau n'est donc faite au sein de l'enseignement  fondamental.</w:t>
                  </w:r>
                </w:p>
                <w:p>
                  <w:pPr>
                    <w:numPr>
                      <w:ilvl w:val="0"/>
                      <w:numId w:val="7"/>
                    </w:numPr>
                    <w:suppressAutoHyphens/>
                    <w:jc w:val="both"/>
                  </w:pPr>
                  <w:r>
                    <w:t>Le tableau de la page précédente reprend les normes.</w:t>
                  </w:r>
                </w:p>
                <w:p>
                  <w:pPr>
                    <w:jc w:val="both"/>
                  </w:pPr>
                </w:p>
                <w:p>
                  <w:pPr>
                    <w:jc w:val="both"/>
                    <w:rPr>
                      <w:u w:val="single"/>
                    </w:rPr>
                  </w:pPr>
                  <w:r>
                    <w:rPr>
                      <w:i/>
                      <w:u w:val="single"/>
                    </w:rPr>
                    <w:t xml:space="preserve">Application des normes de rationalisation aux </w:t>
                  </w:r>
                  <w:r>
                    <w:rPr>
                      <w:b/>
                      <w:i/>
                      <w:u w:val="single"/>
                    </w:rPr>
                    <w:t>écoles</w:t>
                  </w:r>
                  <w:r>
                    <w:rPr>
                      <w:i/>
                      <w:u w:val="single"/>
                    </w:rPr>
                    <w:t xml:space="preserve"> </w:t>
                  </w:r>
                  <w:r>
                    <w:rPr>
                      <w:u w:val="single"/>
                    </w:rPr>
                    <w:t>:</w:t>
                  </w:r>
                </w:p>
                <w:p>
                  <w:pPr>
                    <w:jc w:val="both"/>
                    <w:rPr>
                      <w:u w:val="single"/>
                    </w:rPr>
                  </w:pPr>
                </w:p>
                <w:p>
                  <w:pPr>
                    <w:jc w:val="both"/>
                  </w:pPr>
                  <w:r>
                    <w:rPr>
                      <w:u w:val="single"/>
                    </w:rPr>
                    <w:t>Rappel :</w:t>
                  </w:r>
                  <w:r>
                    <w:t xml:space="preserve"> tous les élèves réguliers de l'école tant du bâtiment principal que des implantations éventuelles interviennent pour le calcul des normes de rationalisation.</w:t>
                  </w:r>
                </w:p>
                <w:p>
                  <w:pPr>
                    <w:jc w:val="both"/>
                  </w:pPr>
                </w:p>
                <w:p>
                  <w:pPr>
                    <w:jc w:val="both"/>
                  </w:pPr>
                  <w:r>
                    <w:t>Il convient de distinguer les écoles qui n'organisent qu'un seul type d'enseignement spécialisé des écoles qui en organisent plusieurs.</w:t>
                  </w:r>
                </w:p>
                <w:p>
                  <w:pPr>
                    <w:jc w:val="both"/>
                  </w:pPr>
                </w:p>
                <w:p>
                  <w:pPr>
                    <w:jc w:val="both"/>
                    <w:rPr>
                      <w:b/>
                    </w:rPr>
                  </w:pPr>
                  <w:r>
                    <w:rPr>
                      <w:b/>
                      <w:u w:val="single"/>
                    </w:rPr>
                    <w:t>A. École n'organisant qu'un seul type d'enseignement spécialisé</w:t>
                  </w:r>
                  <w:r>
                    <w:rPr>
                      <w:b/>
                    </w:rPr>
                    <w:t xml:space="preserve"> </w:t>
                  </w:r>
                </w:p>
                <w:p>
                  <w:pPr>
                    <w:jc w:val="both"/>
                  </w:pPr>
                </w:p>
                <w:p>
                  <w:pPr>
                    <w:jc w:val="both"/>
                    <w:rPr>
                      <w:i/>
                    </w:rPr>
                  </w:pPr>
                  <w:r>
                    <w:t xml:space="preserve">Sa population doit atteindre la norme de rationalisation fixée pour ce type : </w:t>
                  </w:r>
                  <w:r>
                    <w:rPr>
                      <w:i/>
                    </w:rPr>
                    <w:t xml:space="preserve">colonne B&amp;E du tableau </w:t>
                  </w:r>
                </w:p>
                <w:p>
                  <w:pPr>
                    <w:jc w:val="both"/>
                  </w:pPr>
                </w:p>
                <w:p>
                  <w:pPr>
                    <w:jc w:val="both"/>
                  </w:pPr>
                  <w:r>
                    <w:t>A défaut, l'école doit être supprimée ou doit fusionner avec une autre école.</w:t>
                  </w:r>
                </w:p>
                <w:p>
                  <w:pPr>
                    <w:jc w:val="both"/>
                  </w:pPr>
                </w:p>
                <w:p>
                  <w:pPr>
                    <w:jc w:val="both"/>
                  </w:pPr>
                  <w:r>
                    <w:t xml:space="preserve">Elle peut cependant être maintenue jusqu'au 30 septembre de l’année scolaire suivant celle au cours de laquelle se constate l'insuffisance du nombre d'élèves, lorsqu'elle atteint au moins les 2/3 de la norme de rationalisation qui lui est applicable : </w:t>
                  </w:r>
                  <w:r>
                    <w:rPr>
                      <w:i/>
                    </w:rPr>
                    <w:t xml:space="preserve">colonne C&amp;F du tableau </w:t>
                  </w:r>
                  <w:r>
                    <w:t>(Article 191 § 4).</w:t>
                  </w:r>
                </w:p>
                <w:p>
                  <w:pPr>
                    <w:jc w:val="both"/>
                  </w:pPr>
                </w:p>
                <w:p>
                  <w:pPr>
                    <w:jc w:val="both"/>
                    <w:rPr>
                      <w:b/>
                      <w:u w:val="single"/>
                    </w:rPr>
                  </w:pPr>
                  <w:r>
                    <w:rPr>
                      <w:b/>
                      <w:u w:val="single"/>
                    </w:rPr>
                    <w:t>B. École organisant plusieurs types d'enseignement spécialisé</w:t>
                  </w:r>
                </w:p>
                <w:p>
                  <w:pPr>
                    <w:jc w:val="both"/>
                    <w:rPr>
                      <w:u w:val="single"/>
                    </w:rPr>
                  </w:pPr>
                </w:p>
                <w:p>
                  <w:pPr>
                    <w:jc w:val="both"/>
                  </w:pPr>
                  <w:r>
                    <w:t>Lorsqu'une école organise plusieurs types d'enseignement spécialisé, la population de chaque type doit atteindre la norme de rationalisation qui lui est applicable.</w:t>
                  </w:r>
                </w:p>
                <w:p>
                  <w:pPr>
                    <w:jc w:val="both"/>
                  </w:pPr>
                </w:p>
                <w:p>
                  <w:pPr>
                    <w:jc w:val="both"/>
                  </w:pPr>
                  <w:r>
                    <w:t>Un type qui ne répond pas à cette norme n'est pas nécessairement condamné à disparaître.  Il peut être maintenu :</w:t>
                  </w:r>
                </w:p>
                <w:p>
                  <w:pPr>
                    <w:jc w:val="both"/>
                  </w:pPr>
                </w:p>
                <w:p>
                  <w:pPr>
                    <w:jc w:val="both"/>
                  </w:pPr>
                  <w:r>
                    <w:t xml:space="preserve">a) sans limitation de temps </w:t>
                  </w:r>
                </w:p>
                <w:p>
                  <w:pPr>
                    <w:numPr>
                      <w:ilvl w:val="0"/>
                      <w:numId w:val="28"/>
                    </w:numPr>
                    <w:tabs>
                      <w:tab w:val="left" w:pos="900"/>
                    </w:tabs>
                    <w:suppressAutoHyphens/>
                    <w:ind w:left="0" w:firstLine="0"/>
                    <w:jc w:val="both"/>
                    <w:rPr>
                      <w:i/>
                    </w:rPr>
                  </w:pPr>
                  <w:r>
                    <w:t xml:space="preserve">s'il atteint les 2/3 de la norme de rationalisation : </w:t>
                  </w:r>
                  <w:r>
                    <w:rPr>
                      <w:i/>
                    </w:rPr>
                    <w:t xml:space="preserve">colonne C&amp;F du tableau </w:t>
                  </w:r>
                </w:p>
                <w:p>
                  <w:pPr>
                    <w:numPr>
                      <w:ilvl w:val="0"/>
                      <w:numId w:val="28"/>
                    </w:numPr>
                    <w:tabs>
                      <w:tab w:val="left" w:pos="900"/>
                    </w:tabs>
                    <w:suppressAutoHyphens/>
                    <w:ind w:left="0" w:firstLine="0"/>
                    <w:jc w:val="both"/>
                  </w:pPr>
                  <w:r>
                    <w:t xml:space="preserve">et que le nombre total d'élèves est au moins égal à la somme des normes fixées pour chacun des types qui y sont organisés (article 191 §1): </w:t>
                  </w:r>
                  <w:r>
                    <w:rPr>
                      <w:i/>
                    </w:rPr>
                    <w:t>colonne B&amp;E du tableau</w:t>
                  </w:r>
                  <w:r>
                    <w:t>;</w:t>
                  </w:r>
                </w:p>
                <w:p>
                  <w:pPr>
                    <w:tabs>
                      <w:tab w:val="left" w:pos="567"/>
                    </w:tabs>
                    <w:jc w:val="both"/>
                  </w:pPr>
                </w:p>
                <w:p>
                  <w:pPr>
                    <w:jc w:val="both"/>
                  </w:pPr>
                  <w:r>
                    <w:t xml:space="preserve">b) </w:t>
                  </w:r>
                  <w:r>
                    <w:rPr>
                      <w:u w:val="single"/>
                    </w:rPr>
                    <w:t>avec sursis</w:t>
                  </w:r>
                  <w:r>
                    <w:t>, jusqu'au 30 septembre de la 2</w:t>
                  </w:r>
                  <w:r>
                    <w:rPr>
                      <w:vertAlign w:val="superscript"/>
                    </w:rPr>
                    <w:t>ème</w:t>
                  </w:r>
                  <w:r>
                    <w:t xml:space="preserve"> année scolaire où se constate l'insuffisance du nombre d'élèves</w:t>
                  </w:r>
                </w:p>
                <w:p>
                  <w:pPr>
                    <w:ind w:hanging="284"/>
                    <w:jc w:val="both"/>
                  </w:pPr>
                </w:p>
                <w:p>
                  <w:pPr>
                    <w:jc w:val="both"/>
                  </w:pPr>
                  <w:r>
                    <w:t>S’il atteint les 2/3 de la norme de rationalisation</w:t>
                  </w:r>
                  <w:r>
                    <w:rPr>
                      <w:i/>
                    </w:rPr>
                    <w:t xml:space="preserve"> </w:t>
                  </w:r>
                  <w:r>
                    <w:t>et que le nombre total d'élèves de l'école est inférieur à la somme des normes fixées pour chacun des types qui y sont organisés (article 191 § 3) ;</w:t>
                  </w:r>
                </w:p>
                <w:p/>
                <w:p/>
                <w:p>
                  <w:pPr>
                    <w:rPr>
                      <w:b/>
                    </w:rPr>
                  </w:pPr>
                  <w:r>
                    <w:rPr>
                      <w:b/>
                    </w:rPr>
                    <w:t>OU</w:t>
                  </w:r>
                </w:p>
                <w:p>
                  <w:pPr>
                    <w:jc w:val="both"/>
                  </w:pPr>
                  <w:r>
                    <w:t>S’il n'atteint pas les 2/3 de la norme de rationalisation et que le nombre total d'élèves de l'école est au moins égal à la somme des normes fixées pour chacun des types qui y sont organisés. (Article 191 § 2).</w:t>
                  </w:r>
                </w:p>
                <w:p>
                  <w:pPr>
                    <w:jc w:val="both"/>
                  </w:pPr>
                  <w:r>
                    <w:t>Dans tous les autres cas, le type qui ne satisfait pas à la norme de rationalisation qui lui est applicable est supprimé.</w:t>
                  </w:r>
                </w:p>
                <w:p>
                  <w:pPr>
                    <w:jc w:val="both"/>
                  </w:pPr>
                </w:p>
                <w:p>
                  <w:pPr>
                    <w:jc w:val="both"/>
                  </w:pPr>
                  <w:r>
                    <w:t>En vue de sauver un ou plusieurs types d'enseignement condamnés par les normes de rationalisation, une école peut décider de fusionner avec une autre école.</w:t>
                  </w:r>
                </w:p>
                <w:p>
                  <w:pPr>
                    <w:jc w:val="both"/>
                  </w:pPr>
                </w:p>
                <w:p>
                  <w:pPr>
                    <w:jc w:val="both"/>
                    <w:rPr>
                      <w:u w:val="single"/>
                    </w:rPr>
                  </w:pPr>
                  <w:r>
                    <w:rPr>
                      <w:u w:val="single"/>
                    </w:rPr>
                    <w:t xml:space="preserve">Application des normes de rationalisation aux </w:t>
                  </w:r>
                  <w:r>
                    <w:rPr>
                      <w:b/>
                      <w:u w:val="single"/>
                    </w:rPr>
                    <w:t>implantations</w:t>
                  </w:r>
                  <w:r>
                    <w:rPr>
                      <w:u w:val="single"/>
                    </w:rPr>
                    <w:t xml:space="preserve"> :</w:t>
                  </w:r>
                </w:p>
                <w:p>
                  <w:pPr>
                    <w:jc w:val="both"/>
                    <w:rPr>
                      <w:u w:val="single"/>
                    </w:rPr>
                  </w:pPr>
                </w:p>
                <w:p>
                  <w:pPr>
                    <w:jc w:val="both"/>
                  </w:pPr>
                  <w:r>
                    <w:t>Les implantations situées à moins de 2 km du bâtiment principal ne sont soumises à aucune norme de rationalisation.</w:t>
                  </w:r>
                </w:p>
                <w:p>
                  <w:pPr>
                    <w:jc w:val="both"/>
                  </w:pPr>
                </w:p>
                <w:p>
                  <w:pPr>
                    <w:jc w:val="both"/>
                    <w:rPr>
                      <w:i/>
                    </w:rPr>
                  </w:pPr>
                  <w:r>
                    <w:t>En revanche, les implantations situées à 2 km et plus du bâtiment principal doivent toujours compter, par type d'enseignement spécialisé, un nombre au moins égal à la moitié de la norme de rationalisation fixée à l'article 189 ou 190 du décret. (</w:t>
                  </w:r>
                  <w:r>
                    <w:rPr>
                      <w:i/>
                    </w:rPr>
                    <w:t xml:space="preserve">Résultat de ce calcul précisé à la colonne D ou G du tableau ci-avant). </w:t>
                  </w:r>
                </w:p>
                <w:p>
                  <w:pPr>
                    <w:jc w:val="both"/>
                    <w:rPr>
                      <w:i/>
                    </w:rPr>
                  </w:pPr>
                </w:p>
                <w:p>
                  <w:pPr>
                    <w:jc w:val="both"/>
                  </w:pPr>
                  <w:r>
                    <w:t>Il s'ensuit que le type d'enseignement spécialisé organisé dans une implantation située à 2 km et plus du bâtiment principal et qui atteint moins de la moitié de cette norme doit être supprimé dès le 30 septembre de l'année scolaire au cours de laquelle est constatée l'insuffisance du nombre d'élèves.</w:t>
                  </w:r>
                </w:p>
                <w:p>
                  <w:pPr>
                    <w:jc w:val="both"/>
                  </w:pPr>
                </w:p>
                <w:p>
                  <w:pPr>
                    <w:jc w:val="both"/>
                  </w:pPr>
                  <w:r>
                    <w:t>Le tableau repris ci-avant vous aidera à appliquer les normes de rationalisation pour l’enseignement fondamental spécialisé telles que fixées aux articles 189 à 191.</w:t>
                  </w:r>
                </w:p>
                <w:p>
                  <w:pPr>
                    <w:jc w:val="both"/>
                  </w:pPr>
                </w:p>
                <w:p>
                  <w:pPr>
                    <w:pStyle w:val="Titre4"/>
                  </w:pPr>
                  <w:bookmarkStart w:id="1417" w:name="_Toc291075258"/>
                  <w:bookmarkStart w:id="1418" w:name="_Toc291075682"/>
                  <w:bookmarkStart w:id="1419" w:name="_Toc291076106"/>
                  <w:bookmarkStart w:id="1420" w:name="_Toc291076530"/>
                  <w:bookmarkStart w:id="1421" w:name="_Toc291076954"/>
                  <w:bookmarkStart w:id="1422" w:name="_Toc293651797"/>
                  <w:bookmarkStart w:id="1423" w:name="_Toc293653380"/>
                  <w:bookmarkStart w:id="1424" w:name="_Toc293653991"/>
                  <w:bookmarkStart w:id="1425" w:name="_Toc294004569"/>
                  <w:bookmarkStart w:id="1426" w:name="_Toc294185065"/>
                  <w:bookmarkStart w:id="1427" w:name="_Toc324165880"/>
                  <w:bookmarkStart w:id="1428" w:name="_Toc324766917"/>
                  <w:bookmarkStart w:id="1429" w:name="_Toc324767775"/>
                  <w:bookmarkStart w:id="1430" w:name="_Toc453314278"/>
                  <w:bookmarkStart w:id="1431" w:name="_Toc454980313"/>
                  <w:r>
                    <w:t>3.2. Régimes particuliers (article 191 §5)</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pPr>
                    <w:jc w:val="both"/>
                    <w:rPr>
                      <w:u w:val="single"/>
                    </w:rPr>
                  </w:pPr>
                </w:p>
                <w:p>
                  <w:pPr>
                    <w:jc w:val="both"/>
                  </w:pPr>
                  <w:r>
                    <w:t xml:space="preserve">Outre le régime instauré en faveur des écoles situées dans des arrondissements dont la densité de population est inférieure à 75 habitants au km² </w:t>
                  </w:r>
                  <w:r>
                    <w:rPr>
                      <w:i/>
                    </w:rPr>
                    <w:t>(colonnes E, F, G),</w:t>
                  </w:r>
                  <w:r>
                    <w:t xml:space="preserve"> un autre régime dérogatoire a été prévu.</w:t>
                  </w:r>
                </w:p>
                <w:p>
                  <w:pPr>
                    <w:jc w:val="both"/>
                  </w:pPr>
                </w:p>
                <w:p>
                  <w:pPr>
                    <w:jc w:val="both"/>
                  </w:pPr>
                  <w:r>
                    <w:t xml:space="preserve">Il concerne les écoles qui organisent à la fois les types 2 et 4 : ces deux types peuvent être maintenus : </w:t>
                  </w:r>
                </w:p>
                <w:p>
                  <w:pPr>
                    <w:jc w:val="both"/>
                  </w:pPr>
                </w:p>
                <w:p>
                  <w:pPr>
                    <w:numPr>
                      <w:ilvl w:val="0"/>
                      <w:numId w:val="17"/>
                    </w:numPr>
                    <w:tabs>
                      <w:tab w:val="left" w:pos="900"/>
                      <w:tab w:val="right" w:pos="6804"/>
                    </w:tabs>
                    <w:suppressAutoHyphens/>
                    <w:ind w:left="851" w:hanging="284"/>
                    <w:jc w:val="both"/>
                  </w:pPr>
                  <w:r>
                    <w:t xml:space="preserve">si l'un des deux répond à la norme de rationalisation : </w:t>
                  </w:r>
                  <w:r>
                    <w:tab/>
                    <w:t>14 élèves</w:t>
                  </w:r>
                </w:p>
                <w:p>
                  <w:pPr>
                    <w:numPr>
                      <w:ilvl w:val="0"/>
                      <w:numId w:val="17"/>
                    </w:numPr>
                    <w:tabs>
                      <w:tab w:val="left" w:pos="900"/>
                      <w:tab w:val="right" w:pos="6804"/>
                    </w:tabs>
                    <w:suppressAutoHyphens/>
                    <w:ind w:left="851" w:hanging="284"/>
                    <w:jc w:val="both"/>
                  </w:pPr>
                  <w:r>
                    <w:t xml:space="preserve">et si l'autre atteint au moins le quart de cette même norme : </w:t>
                  </w:r>
                  <w:r>
                    <w:tab/>
                    <w:t>4 élèves</w:t>
                  </w:r>
                </w:p>
                <w:p>
                  <w:pPr>
                    <w:tabs>
                      <w:tab w:val="left" w:pos="567"/>
                      <w:tab w:val="right" w:pos="6804"/>
                    </w:tabs>
                    <w:jc w:val="both"/>
                  </w:pPr>
                </w:p>
                <w:p>
                  <w:pPr>
                    <w:jc w:val="both"/>
                  </w:pPr>
                  <w:r>
                    <w:t>Si ces conditions ne sont pas remplies, le type qui ne satisfait pas à la norme doit être supprimé le 30 septembre de la 2</w:t>
                  </w:r>
                  <w:r>
                    <w:rPr>
                      <w:vertAlign w:val="superscript"/>
                    </w:rPr>
                    <w:t>ème</w:t>
                  </w:r>
                  <w:r>
                    <w:t xml:space="preserve"> année scolaire. L'école peut toutefois, afin d'empêcher cette suppression, fusionner avec une autre école. (Article 191§ 5).</w:t>
                  </w:r>
                </w:p>
                <w:p>
                  <w:pPr>
                    <w:jc w:val="both"/>
                  </w:pPr>
                </w:p>
                <w:p>
                  <w:pPr>
                    <w:pStyle w:val="Titre4"/>
                  </w:pPr>
                  <w:bookmarkStart w:id="1432" w:name="_3.3._Maintien_minimal"/>
                  <w:bookmarkStart w:id="1433" w:name="_Toc291075259"/>
                  <w:bookmarkStart w:id="1434" w:name="_Toc291075683"/>
                  <w:bookmarkStart w:id="1435" w:name="_Toc291076107"/>
                  <w:bookmarkStart w:id="1436" w:name="_Toc291076531"/>
                  <w:bookmarkStart w:id="1437" w:name="_Toc291076955"/>
                  <w:bookmarkStart w:id="1438" w:name="_Toc293651798"/>
                  <w:bookmarkStart w:id="1439" w:name="_Toc293653381"/>
                  <w:bookmarkStart w:id="1440" w:name="_Toc293653992"/>
                  <w:bookmarkStart w:id="1441" w:name="_Toc294004570"/>
                  <w:bookmarkStart w:id="1442" w:name="_Toc294185066"/>
                  <w:bookmarkStart w:id="1443" w:name="_Toc324165881"/>
                  <w:bookmarkStart w:id="1444" w:name="_Toc324766918"/>
                  <w:bookmarkStart w:id="1445" w:name="_Toc324767776"/>
                  <w:bookmarkStart w:id="1446" w:name="_Toc453314279"/>
                  <w:bookmarkStart w:id="1447" w:name="_Toc454980314"/>
                  <w:bookmarkEnd w:id="1432"/>
                  <w:r>
                    <w:t>3.3. Maintien minimal d'un type d'enseignement spécialisé par province ou par zone et par réseau d'enseignement. (Article 192)</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r>
                    <w:t>.</w:t>
                  </w:r>
                  <w:bookmarkEnd w:id="1446"/>
                  <w:bookmarkEnd w:id="1447"/>
                </w:p>
                <w:p>
                  <w:pPr>
                    <w:tabs>
                      <w:tab w:val="left" w:pos="1134"/>
                    </w:tabs>
                    <w:jc w:val="both"/>
                    <w:rPr>
                      <w:u w:val="single"/>
                    </w:rPr>
                  </w:pPr>
                </w:p>
                <w:p>
                  <w:pPr>
                    <w:jc w:val="both"/>
                  </w:pPr>
                  <w:r>
                    <w:t>Afin de respecter le principe du libre choix des parents, l'article 192 garantit le maintien minimal d'un type d'enseignement spécialisé déterminé par province et par réseau d'enseignement : en effet, si pour un type déterminé, dans une province déterminée, aucune école d'un réseau déterminé n'atteint la norme de rationalisation, une seule école de ce réseau peut maintenir ce type dans cette province.</w:t>
                  </w:r>
                </w:p>
                <w:p>
                  <w:pPr>
                    <w:jc w:val="both"/>
                  </w:pPr>
                </w:p>
                <w:p>
                  <w:pPr>
                    <w:jc w:val="both"/>
                  </w:pPr>
                  <w:r>
                    <w:t xml:space="preserve">Le Gouvernement peut également autoriser, dans une province composée de plusieurs zones, le maintien de ce même type d’enseignement </w:t>
                  </w:r>
                  <w:r>
                    <w:rPr>
                      <w:u w:val="single"/>
                    </w:rPr>
                    <w:t>dans chaque zone</w:t>
                  </w:r>
                  <w:r>
                    <w:t xml:space="preserve"> de la province concernée pour le réseau concerné. Et ce, sur avis favorable motivé du Conseil Général de l’Enseignement Fondamental.</w:t>
                  </w:r>
                </w:p>
                <w:p>
                  <w:pPr>
                    <w:jc w:val="both"/>
                    <w:rPr>
                      <w:b/>
                      <w:u w:val="single"/>
                    </w:rPr>
                  </w:pPr>
                  <w:bookmarkStart w:id="1448" w:name="_Toc291075260"/>
                  <w:bookmarkStart w:id="1449" w:name="_Toc291075684"/>
                  <w:bookmarkStart w:id="1450" w:name="_Toc291076108"/>
                  <w:bookmarkStart w:id="1451" w:name="_Toc291076532"/>
                  <w:bookmarkStart w:id="1452" w:name="_Toc291076956"/>
                  <w:bookmarkStart w:id="1453" w:name="_Toc293651799"/>
                  <w:bookmarkStart w:id="1454" w:name="_Toc293653382"/>
                  <w:bookmarkStart w:id="1455" w:name="_Toc293653993"/>
                  <w:bookmarkStart w:id="1456" w:name="_Toc294004571"/>
                  <w:bookmarkStart w:id="1457" w:name="_Toc294185067"/>
                  <w:bookmarkStart w:id="1458" w:name="_Toc324165882"/>
                  <w:bookmarkStart w:id="1459" w:name="_Toc324766919"/>
                  <w:bookmarkStart w:id="1460" w:name="_Toc324767777"/>
                  <w:bookmarkStart w:id="1461" w:name="_Toc453314280"/>
                  <w:bookmarkStart w:id="1462" w:name="_Toc454980315"/>
                </w:p>
                <w:p>
                  <w:pPr>
                    <w:jc w:val="both"/>
                    <w:rPr>
                      <w:b/>
                      <w:u w:val="single"/>
                    </w:rPr>
                  </w:pPr>
                </w:p>
                <w:p>
                  <w:pPr>
                    <w:jc w:val="both"/>
                    <w:rPr>
                      <w:b/>
                      <w:u w:val="single"/>
                    </w:rPr>
                  </w:pPr>
                </w:p>
                <w:p>
                  <w:pPr>
                    <w:pStyle w:val="Titre4"/>
                  </w:pPr>
                  <w:r>
                    <w:t>3.4. Date limite des suppressions de types et des fusions d'écoles</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pPr>
                    <w:jc w:val="both"/>
                    <w:rPr>
                      <w:u w:val="single"/>
                    </w:rPr>
                  </w:pPr>
                </w:p>
                <w:p>
                  <w:pPr>
                    <w:jc w:val="both"/>
                  </w:pPr>
                  <w:r>
                    <w:t>Les suppressions de types ainsi que les fusions d'écoles ont lieu au plus tard le 30 septembre.</w:t>
                  </w:r>
                </w:p>
                <w:p>
                  <w:bookmarkStart w:id="1463" w:name="_Toc291075261"/>
                  <w:bookmarkStart w:id="1464" w:name="_Toc291075685"/>
                  <w:bookmarkStart w:id="1465" w:name="_Toc291076109"/>
                  <w:bookmarkStart w:id="1466" w:name="_Toc291076533"/>
                  <w:bookmarkStart w:id="1467" w:name="_Toc291076957"/>
                  <w:bookmarkStart w:id="1468" w:name="_Toc293651800"/>
                  <w:bookmarkStart w:id="1469" w:name="_Toc293653383"/>
                  <w:bookmarkStart w:id="1470" w:name="_Toc293653994"/>
                  <w:bookmarkStart w:id="1471" w:name="_Toc294004572"/>
                  <w:bookmarkStart w:id="1472" w:name="_Toc294185068"/>
                  <w:bookmarkStart w:id="1473" w:name="_Toc324165883"/>
                  <w:bookmarkStart w:id="1474" w:name="_Toc324766920"/>
                  <w:bookmarkStart w:id="1475" w:name="_Toc324767778"/>
                  <w:bookmarkStart w:id="1476" w:name="_Toc453314281"/>
                  <w:bookmarkStart w:id="1477" w:name="_Toc454980316"/>
                </w:p>
                <w:p>
                  <w:pPr>
                    <w:pStyle w:val="Titre4"/>
                  </w:pPr>
                  <w:r>
                    <w:t>3.5. Implantations issues d'une fusion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pPr>
                    <w:jc w:val="both"/>
                    <w:rPr>
                      <w:u w:val="single"/>
                    </w:rPr>
                  </w:pPr>
                </w:p>
                <w:p>
                  <w:pPr>
                    <w:jc w:val="both"/>
                  </w:pPr>
                  <w:r>
                    <w:t>Dans les implantations issues d'une fusion, seuls les types qui étaient organisés avant la fusion peuvent être maintenus.</w:t>
                  </w:r>
                </w:p>
                <w:p>
                  <w:bookmarkStart w:id="1478" w:name="__RefHeading__137_957262308"/>
                  <w:bookmarkStart w:id="1479" w:name="__RefHeading__139_957262308"/>
                  <w:bookmarkStart w:id="1480" w:name="_Toc291075271"/>
                  <w:bookmarkStart w:id="1481" w:name="_Toc291075695"/>
                  <w:bookmarkStart w:id="1482" w:name="_Toc291076119"/>
                  <w:bookmarkStart w:id="1483" w:name="_Toc291076543"/>
                  <w:bookmarkStart w:id="1484" w:name="_Toc291076967"/>
                  <w:bookmarkStart w:id="1485" w:name="_Toc293651810"/>
                  <w:bookmarkStart w:id="1486" w:name="_Toc293653393"/>
                  <w:bookmarkStart w:id="1487" w:name="_Toc293654004"/>
                  <w:bookmarkStart w:id="1488" w:name="_Toc294004582"/>
                  <w:bookmarkStart w:id="1489" w:name="_Toc294185078"/>
                  <w:bookmarkStart w:id="1490" w:name="_Toc324165893"/>
                  <w:bookmarkStart w:id="1491" w:name="_Toc324766930"/>
                  <w:bookmarkEnd w:id="1478"/>
                  <w:bookmarkEnd w:id="1479"/>
                </w:p>
                <w:p>
                  <w:pPr>
                    <w:pStyle w:val="Titre3"/>
                  </w:pPr>
                  <w:bookmarkStart w:id="1492" w:name="_Toc453314289"/>
                  <w:bookmarkStart w:id="1493" w:name="_Toc454980324"/>
                  <w:bookmarkStart w:id="1494" w:name="_Toc18914419"/>
                  <w:r>
                    <w:t>4. Programmation de l’enseignement fondamental spécialisé « Normes de création »</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pPr>
                    <w:tabs>
                      <w:tab w:val="left" w:pos="962"/>
                      <w:tab w:val="left" w:pos="1134"/>
                      <w:tab w:val="left" w:pos="1303"/>
                      <w:tab w:val="left" w:pos="1586"/>
                      <w:tab w:val="left" w:pos="1813"/>
                      <w:tab w:val="left" w:pos="3967"/>
                    </w:tabs>
                    <w:jc w:val="both"/>
                  </w:pPr>
                </w:p>
                <w:p>
                  <w:pPr>
                    <w:pStyle w:val="Titre4"/>
                  </w:pPr>
                  <w:bookmarkStart w:id="1495" w:name="_Toc291075272"/>
                  <w:bookmarkStart w:id="1496" w:name="_Toc291075696"/>
                  <w:bookmarkStart w:id="1497" w:name="_Toc291076120"/>
                  <w:bookmarkStart w:id="1498" w:name="_Toc291076544"/>
                  <w:bookmarkStart w:id="1499" w:name="_Toc291076968"/>
                  <w:bookmarkStart w:id="1500" w:name="_Toc293651811"/>
                  <w:bookmarkStart w:id="1501" w:name="_Toc293653394"/>
                  <w:bookmarkStart w:id="1502" w:name="_Toc293654005"/>
                  <w:bookmarkStart w:id="1503" w:name="_Toc294004583"/>
                  <w:bookmarkStart w:id="1504" w:name="_Toc294185079"/>
                  <w:bookmarkStart w:id="1505" w:name="_Toc324165894"/>
                  <w:bookmarkStart w:id="1506" w:name="_Toc324766931"/>
                  <w:bookmarkStart w:id="1507" w:name="_Toc324767789"/>
                  <w:bookmarkStart w:id="1508" w:name="_Toc453314290"/>
                  <w:bookmarkStart w:id="1509" w:name="_Toc454980325"/>
                  <w:r>
                    <w:t>4.1. Siège de la matière. (Articles 195 à 198 inclus)</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r>
                    <w:rPr>
                      <w:rStyle w:val="Appelnotedebasdep"/>
                    </w:rPr>
                    <w:footnoteReference w:id="92"/>
                  </w:r>
                </w:p>
                <w:p/>
                <w:p>
                  <w:pPr>
                    <w:pStyle w:val="Titre4"/>
                  </w:pPr>
                  <w:bookmarkStart w:id="1510" w:name="_5.2._Programmation_d'une"/>
                  <w:bookmarkStart w:id="1511" w:name="_Toc291075273"/>
                  <w:bookmarkStart w:id="1512" w:name="_Toc291075697"/>
                  <w:bookmarkStart w:id="1513" w:name="_Toc291076121"/>
                  <w:bookmarkStart w:id="1514" w:name="_Toc291076545"/>
                  <w:bookmarkStart w:id="1515" w:name="_Toc291076969"/>
                  <w:bookmarkStart w:id="1516" w:name="_Toc293651812"/>
                  <w:bookmarkStart w:id="1517" w:name="_Toc293653395"/>
                  <w:bookmarkStart w:id="1518" w:name="_Toc293654006"/>
                  <w:bookmarkStart w:id="1519" w:name="_Toc294004584"/>
                  <w:bookmarkStart w:id="1520" w:name="_Toc294185080"/>
                  <w:bookmarkStart w:id="1521" w:name="_Toc324165895"/>
                  <w:bookmarkStart w:id="1522" w:name="_Toc324766932"/>
                  <w:bookmarkStart w:id="1523" w:name="_Toc324767790"/>
                  <w:bookmarkStart w:id="1524" w:name="_Toc453314291"/>
                  <w:bookmarkStart w:id="1525" w:name="_Toc454980326"/>
                  <w:bookmarkEnd w:id="1510"/>
                  <w:r>
                    <w:t>4.2. Programmation d'une nouvelle école d'enseignement fondamental spécialisé</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r>
                    <w:t xml:space="preserve"> </w:t>
                  </w:r>
                </w:p>
                <w:p>
                  <w:pPr>
                    <w:tabs>
                      <w:tab w:val="left" w:pos="1134"/>
                    </w:tabs>
                    <w:jc w:val="both"/>
                    <w:rPr>
                      <w:bCs/>
                      <w:u w:val="single"/>
                    </w:rPr>
                  </w:pPr>
                </w:p>
                <w:p>
                  <w:pPr>
                    <w:jc w:val="both"/>
                  </w:pPr>
                  <w:r>
                    <w:t>L'article 195 § 1 fixe les conditions de création d'une nouvelle école d'enseignement fondamental spécialisé.</w:t>
                  </w:r>
                </w:p>
                <w:p>
                  <w:pPr>
                    <w:jc w:val="both"/>
                    <w:rPr>
                      <w:u w:val="single"/>
                    </w:rPr>
                  </w:pPr>
                </w:p>
                <w:p>
                  <w:pPr>
                    <w:jc w:val="both"/>
                  </w:pPr>
                  <w:r>
                    <w:t>Toute nouvelle école doit satisfaire aux trois conditions suivantes :</w:t>
                  </w:r>
                </w:p>
                <w:p>
                  <w:pPr>
                    <w:jc w:val="both"/>
                  </w:pPr>
                </w:p>
                <w:p>
                  <w:pPr>
                    <w:numPr>
                      <w:ilvl w:val="0"/>
                      <w:numId w:val="21"/>
                    </w:numPr>
                    <w:tabs>
                      <w:tab w:val="clear" w:pos="360"/>
                      <w:tab w:val="num" w:pos="720"/>
                    </w:tabs>
                    <w:suppressAutoHyphens/>
                    <w:jc w:val="both"/>
                  </w:pPr>
                  <w:r>
                    <w:t>organiser au moins 2 types, sauf dérogation accordée par le Gouvernement après avis motivé du Conseil Général de l’Enseignement Fondamental.</w:t>
                  </w:r>
                </w:p>
                <w:p>
                  <w:pPr>
                    <w:numPr>
                      <w:ilvl w:val="0"/>
                      <w:numId w:val="21"/>
                    </w:numPr>
                    <w:tabs>
                      <w:tab w:val="clear" w:pos="360"/>
                      <w:tab w:val="num" w:pos="720"/>
                    </w:tabs>
                    <w:suppressAutoHyphens/>
                    <w:jc w:val="both"/>
                  </w:pPr>
                  <w:r>
                    <w:t>atteindre pour chaque type pris séparément 150% de la norme de rationalisation fixée à l'article 189 (arrondissements d'au moins 75 habitants au km²) ou 190 (arrondissements de moins de 75 habitants au km²) </w:t>
                  </w:r>
                </w:p>
                <w:p>
                  <w:pPr>
                    <w:numPr>
                      <w:ilvl w:val="0"/>
                      <w:numId w:val="21"/>
                    </w:numPr>
                    <w:tabs>
                      <w:tab w:val="clear" w:pos="360"/>
                      <w:tab w:val="num" w:pos="720"/>
                    </w:tabs>
                    <w:suppressAutoHyphens/>
                    <w:jc w:val="both"/>
                  </w:pPr>
                  <w:r>
                    <w:t xml:space="preserve">atteindre au moins : </w:t>
                  </w:r>
                </w:p>
                <w:p>
                  <w:pPr>
                    <w:jc w:val="both"/>
                  </w:pPr>
                  <w:r>
                    <w:rPr>
                      <w:noProof/>
                      <w:lang w:eastAsia="fr-BE"/>
                    </w:rPr>
                    <mc:AlternateContent>
                      <mc:Choice Requires="wps">
                        <w:drawing>
                          <wp:anchor distT="0" distB="0" distL="114300" distR="114300" simplePos="0" relativeHeight="251709440" behindDoc="0" locked="0" layoutInCell="1" allowOverlap="1">
                            <wp:simplePos x="0" y="0"/>
                            <wp:positionH relativeFrom="column">
                              <wp:posOffset>1943100</wp:posOffset>
                            </wp:positionH>
                            <wp:positionV relativeFrom="paragraph">
                              <wp:posOffset>165735</wp:posOffset>
                            </wp:positionV>
                            <wp:extent cx="114300" cy="457200"/>
                            <wp:effectExtent l="9525" t="12065" r="9525" b="6985"/>
                            <wp:wrapNone/>
                            <wp:docPr id="40"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57200"/>
                                    </a:xfrm>
                                    <a:prstGeom prst="rightBrace">
                                      <a:avLst>
                                        <a:gd name="adj1" fmla="val 33333"/>
                                        <a:gd name="adj2" fmla="val 50000"/>
                                      </a:avLst>
                                    </a:prstGeom>
                                    <a:noFill/>
                                    <a:ln w="93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DA015D3"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2" o:spid="_x0000_s1026" type="#_x0000_t88" style="position:absolute;margin-left:153pt;margin-top:13.05pt;width:9pt;height:36pt;z-index:25170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" strokeweight=".26mm">
                            <v:stroke joinstyle="miter"/>
                          </v:shape>
                        </w:pict>
                      </mc:Fallback>
                    </mc:AlternateContent>
                  </w:r>
                </w:p>
                <w:p>
                  <w:pPr>
                    <w:numPr>
                      <w:ilvl w:val="0"/>
                      <w:numId w:val="10"/>
                    </w:numPr>
                    <w:suppressAutoHyphens/>
                    <w:jc w:val="both"/>
                  </w:pPr>
                  <w:r>
                    <w:t>la 1</w:t>
                  </w:r>
                  <w:r>
                    <w:rPr>
                      <w:vertAlign w:val="superscript"/>
                    </w:rPr>
                    <w:t>ère</w:t>
                  </w:r>
                  <w:r>
                    <w:t xml:space="preserve"> année :</w:t>
                  </w:r>
                  <w:r>
                    <w:tab/>
                    <w:t>200 %</w:t>
                  </w:r>
                </w:p>
                <w:p>
                  <w:pPr>
                    <w:jc w:val="both"/>
                  </w:pPr>
                  <w:r>
                    <w:t>la 2</w:t>
                  </w:r>
                  <w:r>
                    <w:rPr>
                      <w:vertAlign w:val="superscript"/>
                    </w:rPr>
                    <w:t>ème</w:t>
                  </w:r>
                  <w:r>
                    <w:t xml:space="preserve"> année :</w:t>
                  </w:r>
                  <w:r>
                    <w:tab/>
                    <w:t>225 %</w:t>
                  </w:r>
                  <w:r>
                    <w:tab/>
                  </w:r>
                  <w:r>
                    <w:tab/>
                    <w:t xml:space="preserve">              du total des normes de rationalisation de chaque type organisé</w:t>
                  </w:r>
                </w:p>
                <w:p>
                  <w:pPr>
                    <w:numPr>
                      <w:ilvl w:val="0"/>
                      <w:numId w:val="10"/>
                    </w:numPr>
                    <w:suppressAutoHyphens/>
                    <w:jc w:val="both"/>
                    <w:rPr>
                      <w:i/>
                    </w:rPr>
                  </w:pPr>
                  <w:r>
                    <w:t>la 3</w:t>
                  </w:r>
                  <w:r>
                    <w:rPr>
                      <w:vertAlign w:val="superscript"/>
                    </w:rPr>
                    <w:t>ème</w:t>
                  </w:r>
                  <w:r>
                    <w:t xml:space="preserve"> année :</w:t>
                  </w:r>
                  <w:r>
                    <w:tab/>
                    <w:t>250 %</w:t>
                  </w:r>
                  <w:r>
                    <w:tab/>
                  </w:r>
                  <w:r>
                    <w:tab/>
                  </w:r>
                  <w:r>
                    <w:rPr>
                      <w:i/>
                    </w:rPr>
                    <w:t>(Colonne B ou E du tableau de la page ci-avant)</w:t>
                  </w:r>
                </w:p>
                <w:p>
                  <w:pPr>
                    <w:tabs>
                      <w:tab w:val="left" w:pos="1134"/>
                    </w:tabs>
                    <w:jc w:val="both"/>
                  </w:pPr>
                </w:p>
                <w:p>
                  <w:pPr>
                    <w:jc w:val="both"/>
                  </w:pPr>
                  <w:r>
                    <w:t>Si les normes de maintien ne sont pas atteintes, ou bien le ou les type(s) concerné(s) doit/doivent être supprimé(s) à partir du 1er septembre suivant, ou bien l'école doit être fermée, sauf dérogation accordée par le Gouvernement si le ou le(s) type(s), ou l’école répond(ent) à un réel besoin dans la zone d’enseignement.</w:t>
                  </w:r>
                </w:p>
                <w:p>
                  <w:pPr>
                    <w:jc w:val="both"/>
                  </w:pPr>
                </w:p>
                <w:p>
                  <w:pPr>
                    <w:jc w:val="both"/>
                  </w:pPr>
                  <w:r>
                    <w:t>Toutefois, si ces normes de maintien sont atteintes pendant un minimum de 10 jours ouvrables en cours d’année scolaire, le type ou l’école n’est pas fermé au 1er septembre de l’année scolaire suivante. </w:t>
                  </w:r>
                </w:p>
                <w:p>
                  <w:pPr>
                    <w:jc w:val="both"/>
                  </w:pPr>
                </w:p>
                <w:p>
                  <w:pPr>
                    <w:jc w:val="both"/>
                  </w:pPr>
                  <w:r>
                    <w:t>A partir de la 4e année scolaire, les normes de maintien sont exclusivement applicables et la nouvelle école est admise de manière définitive aux subventions et à l’accès aux Fonds des bâtiments scolaires.</w:t>
                  </w:r>
                </w:p>
                <w:p>
                  <w:pPr>
                    <w:tabs>
                      <w:tab w:val="left" w:pos="1134"/>
                    </w:tabs>
                    <w:jc w:val="both"/>
                  </w:pPr>
                </w:p>
                <w:p>
                  <w:pPr>
                    <w:jc w:val="both"/>
                  </w:pPr>
                  <w:r>
                    <w:t xml:space="preserve">L'article 195 § 2 prévoit une exception à la règle obligeant à organiser au moins 2 types : dans une université où une faculté de médecine complète est organisée ou subventionnée par la Communauté française, une seule école d'enseignement fondamental spécialisé </w:t>
                  </w:r>
                  <w:r>
                    <w:rPr>
                      <w:b/>
                    </w:rPr>
                    <w:t>pour le type 5</w:t>
                  </w:r>
                  <w:r>
                    <w:t xml:space="preserve"> peut être organisée à condition d'atteindre un certain pourcentage de la norme de maintien, c’est-à-dire :</w:t>
                  </w:r>
                </w:p>
                <w:p>
                  <w:pPr>
                    <w:jc w:val="both"/>
                    <w:rPr>
                      <w:u w:val="single"/>
                    </w:rPr>
                  </w:pPr>
                </w:p>
                <w:p>
                  <w:pPr>
                    <w:numPr>
                      <w:ilvl w:val="0"/>
                      <w:numId w:val="15"/>
                    </w:numPr>
                    <w:suppressAutoHyphens/>
                    <w:jc w:val="both"/>
                  </w:pPr>
                  <w:r>
                    <w:rPr>
                      <w:noProof/>
                      <w:lang w:eastAsia="fr-BE"/>
                    </w:rPr>
                    <mc:AlternateContent>
                      <mc:Choice Requires="wps">
                        <w:drawing>
                          <wp:anchor distT="0" distB="0" distL="114300" distR="114300" simplePos="0" relativeHeight="251710464" behindDoc="0" locked="0" layoutInCell="1" allowOverlap="1">
                            <wp:simplePos x="0" y="0"/>
                            <wp:positionH relativeFrom="column">
                              <wp:posOffset>3966845</wp:posOffset>
                            </wp:positionH>
                            <wp:positionV relativeFrom="paragraph">
                              <wp:posOffset>36830</wp:posOffset>
                            </wp:positionV>
                            <wp:extent cx="114300" cy="457200"/>
                            <wp:effectExtent l="9525" t="8255" r="9525" b="10795"/>
                            <wp:wrapNone/>
                            <wp:docPr id="39"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57200"/>
                                    </a:xfrm>
                                    <a:prstGeom prst="rightBrace">
                                      <a:avLst>
                                        <a:gd name="adj1" fmla="val 33333"/>
                                        <a:gd name="adj2" fmla="val 50000"/>
                                      </a:avLst>
                                    </a:prstGeom>
                                    <a:noFill/>
                                    <a:ln w="93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5D32C0E" id="AutoShape 23" o:spid="_x0000_s1026" type="#_x0000_t88" style="position:absolute;margin-left:312.35pt;margin-top:2.9pt;width:9pt;height:36pt;z-index:25171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" strokeweight=".26mm">
                            <v:stroke joinstyle="miter"/>
                          </v:shape>
                        </w:pict>
                      </mc:Fallback>
                    </mc:AlternateContent>
                  </w:r>
                  <w:r>
                    <w:t>la 1</w:t>
                  </w:r>
                  <w:r>
                    <w:rPr>
                      <w:vertAlign w:val="superscript"/>
                    </w:rPr>
                    <w:t>ère</w:t>
                  </w:r>
                  <w:r>
                    <w:t xml:space="preserve"> année : 200 % de la norme soit 28 élèves (ou 22 élèves)              </w:t>
                  </w:r>
                </w:p>
                <w:p>
                  <w:pPr>
                    <w:numPr>
                      <w:ilvl w:val="0"/>
                      <w:numId w:val="15"/>
                    </w:numPr>
                    <w:suppressAutoHyphens/>
                  </w:pPr>
                  <w:r>
                    <w:t>la 2</w:t>
                  </w:r>
                  <w:r>
                    <w:rPr>
                      <w:vertAlign w:val="superscript"/>
                    </w:rPr>
                    <w:t>ème</w:t>
                  </w:r>
                  <w:r>
                    <w:t xml:space="preserve"> année : 225 % de la norme soit 32 élèves (ou 25 élèves)</w:t>
                  </w:r>
                  <w:r>
                    <w:tab/>
                    <w:t xml:space="preserve">      suivant l’arrondissement</w:t>
                  </w:r>
                </w:p>
                <w:p>
                  <w:pPr>
                    <w:numPr>
                      <w:ilvl w:val="0"/>
                      <w:numId w:val="15"/>
                    </w:numPr>
                    <w:suppressAutoHyphens/>
                    <w:ind w:right="-144"/>
                  </w:pPr>
                  <w:r>
                    <w:t>la 3</w:t>
                  </w:r>
                  <w:r>
                    <w:rPr>
                      <w:vertAlign w:val="superscript"/>
                    </w:rPr>
                    <w:t>ème</w:t>
                  </w:r>
                  <w:r>
                    <w:t xml:space="preserve"> année : 250 % de la norme soit 35 élèves (ou 28 élèves)            (</w:t>
                  </w:r>
                  <w:r>
                    <w:rPr>
                      <w:i/>
                    </w:rPr>
                    <w:t>Colonnes B et E</w:t>
                  </w:r>
                  <w:r>
                    <w:t>).</w:t>
                  </w:r>
                </w:p>
                <w:p/>
                <w:p>
                  <w:pPr>
                    <w:jc w:val="both"/>
                  </w:pPr>
                  <w:r>
                    <w:t>A partir de la 4ème année scolaire, les normes de maintien sont appliquées à toute nouvelle école. Celle-ci aura dès ce moment accès au subventionnement éventuel prévu pour les infrastructures scolaires.</w:t>
                  </w:r>
                </w:p>
                <w:p>
                  <w:pPr>
                    <w:jc w:val="both"/>
                  </w:pPr>
                </w:p>
                <w:p>
                  <w:pPr>
                    <w:tabs>
                      <w:tab w:val="left" w:pos="1134"/>
                    </w:tabs>
                    <w:jc w:val="both"/>
                  </w:pPr>
                  <w:r>
                    <w:rPr>
                      <w:b/>
                    </w:rPr>
                    <w:t>Remarque :</w:t>
                  </w:r>
                  <w:r>
                    <w:t xml:space="preserve"> Pour toute création d’un nouvel établissement scolaire d’enseignement fondamental spécialisé pour lequel le pouvoir organisateur demande des subventions, il y a lieu de se référer au </w:t>
                  </w:r>
                  <w:hyperlink w:anchor="_chapitre_3_:" w:history="1">
                    <w:r>
                      <w:rPr>
                        <w:rStyle w:val="Lienhypertexte"/>
                        <w:rFonts w:cstheme="minorBidi"/>
                      </w:rPr>
                      <w:t>chapitre 3 – Admission aux subventions.</w:t>
                    </w:r>
                  </w:hyperlink>
                </w:p>
                <w:p>
                  <w:pPr>
                    <w:tabs>
                      <w:tab w:val="left" w:pos="1134"/>
                    </w:tabs>
                    <w:jc w:val="both"/>
                  </w:pPr>
                  <w:r>
                    <w:t>Le formulaire et les pièces jointes devront être introduits avant le 15 janvier de l’année scolaire précédant l’admission aux subventions.</w:t>
                  </w:r>
                </w:p>
                <w:p>
                  <w:pPr>
                    <w:tabs>
                      <w:tab w:val="left" w:pos="1134"/>
                    </w:tabs>
                    <w:jc w:val="both"/>
                  </w:pPr>
                </w:p>
                <w:p>
                  <w:pPr>
                    <w:pStyle w:val="Titre4"/>
                  </w:pPr>
                  <w:bookmarkStart w:id="1526" w:name="_5.3._Programmation_d'une"/>
                  <w:bookmarkStart w:id="1527" w:name="_4.3._Programmation_d'une"/>
                  <w:bookmarkStart w:id="1528" w:name="_Toc291075274"/>
                  <w:bookmarkStart w:id="1529" w:name="_Toc291075698"/>
                  <w:bookmarkStart w:id="1530" w:name="_Toc291076122"/>
                  <w:bookmarkStart w:id="1531" w:name="_Toc291076546"/>
                  <w:bookmarkStart w:id="1532" w:name="_Toc291076970"/>
                  <w:bookmarkStart w:id="1533" w:name="_Toc293651813"/>
                  <w:bookmarkStart w:id="1534" w:name="_Toc293653396"/>
                  <w:bookmarkStart w:id="1535" w:name="_Toc293654007"/>
                  <w:bookmarkStart w:id="1536" w:name="_Toc294004585"/>
                  <w:bookmarkStart w:id="1537" w:name="_Toc294185081"/>
                  <w:bookmarkStart w:id="1538" w:name="_Toc324165896"/>
                  <w:bookmarkStart w:id="1539" w:name="_Toc324766933"/>
                  <w:bookmarkStart w:id="1540" w:name="_Toc324767791"/>
                  <w:bookmarkStart w:id="1541" w:name="_Toc453314292"/>
                  <w:bookmarkStart w:id="1542" w:name="_Toc454980327"/>
                  <w:bookmarkEnd w:id="1526"/>
                  <w:bookmarkEnd w:id="1527"/>
                  <w:r>
                    <w:t>4.3. Programmation d'une nouvelle implantation. (Article 196)</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pPr>
                    <w:tabs>
                      <w:tab w:val="left" w:pos="962"/>
                      <w:tab w:val="left" w:pos="1134"/>
                      <w:tab w:val="left" w:pos="1303"/>
                      <w:tab w:val="left" w:pos="1586"/>
                      <w:tab w:val="left" w:pos="1813"/>
                      <w:tab w:val="left" w:pos="3174"/>
                      <w:tab w:val="left" w:pos="3967"/>
                      <w:tab w:val="left" w:pos="4591"/>
                      <w:tab w:val="left" w:pos="4818"/>
                    </w:tabs>
                    <w:jc w:val="both"/>
                    <w:rPr>
                      <w:u w:val="single"/>
                    </w:rPr>
                  </w:pPr>
                </w:p>
                <w:p>
                  <w:pPr>
                    <w:jc w:val="both"/>
                  </w:pPr>
                  <w:r>
                    <w:t>Toute école qui satisfait aux normes de rationalisation fixées à l'article 189 ou 190 (régime général) peut organiser une nouvelle implantation.</w:t>
                  </w:r>
                </w:p>
                <w:p>
                  <w:pPr>
                    <w:jc w:val="both"/>
                  </w:pPr>
                </w:p>
                <w:p>
                  <w:pPr>
                    <w:pBdr>
                      <w:top w:val="single" w:sz="4" w:space="1" w:color="000000"/>
                      <w:left w:val="single" w:sz="4" w:space="4" w:color="000000"/>
                      <w:bottom w:val="single" w:sz="4" w:space="1" w:color="000000"/>
                      <w:right w:val="single" w:sz="4" w:space="4" w:color="000000"/>
                    </w:pBdr>
                    <w:jc w:val="both"/>
                    <w:rPr>
                      <w:b/>
                    </w:rPr>
                  </w:pPr>
                  <w:r>
                    <w:rPr>
                      <w:b/>
                      <w:u w:val="single"/>
                    </w:rPr>
                    <w:t>Remarque</w:t>
                  </w:r>
                  <w:r>
                    <w:rPr>
                      <w:b/>
                    </w:rPr>
                    <w:t xml:space="preserve"> : </w:t>
                  </w:r>
                  <w:r>
                    <w:t>l'école qui atteint les normes de rationalisation grâce aux régimes dérogatoires (articles 191 § 5, 192) ne peut créer une nouvelle implantation.</w:t>
                  </w:r>
                </w:p>
                <w:p>
                  <w:pPr>
                    <w:jc w:val="both"/>
                  </w:pPr>
                </w:p>
                <w:p>
                  <w:pPr>
                    <w:jc w:val="both"/>
                  </w:pPr>
                  <w:r>
                    <w:t>La nouvelle implantation doit, conformément à l'article 185 § 1, être située dans la même commune ou dans la même région de Bruxelles-Capitale, sauf dérogation accordée par le Gouvernement de la Fédération Wallonie-Bruxelles dans des cas exceptionnels.</w:t>
                  </w:r>
                </w:p>
                <w:p>
                  <w:pPr>
                    <w:jc w:val="both"/>
                  </w:pPr>
                </w:p>
                <w:p>
                  <w:pPr>
                    <w:pBdr>
                      <w:right w:val="single" w:sz="4" w:space="4" w:color="auto"/>
                    </w:pBdr>
                    <w:jc w:val="both"/>
                  </w:pPr>
                  <w:r>
                    <w:t>Dans cette implantation ne peuvent être organisés que les types d'enseignement qui existent déjà dans l'école. Par dérogation, le gouvernement peut autoriser, l’organisation d’une ou plusieurs implantation d’enseignement spécialisé de type 5 même si ce type n’était pas déjà organisé ou subventionné dans l’école.</w:t>
                  </w:r>
                </w:p>
                <w:p>
                  <w:pPr>
                    <w:jc w:val="both"/>
                  </w:pPr>
                </w:p>
                <w:p>
                  <w:pPr>
                    <w:jc w:val="both"/>
                  </w:pPr>
                  <w:r>
                    <w:t xml:space="preserve">Si cette implantation est située à moins de 2 km du bâtiment principal, aucune norme n'est requise. </w:t>
                  </w:r>
                </w:p>
                <w:p>
                  <w:pPr>
                    <w:jc w:val="both"/>
                  </w:pPr>
                </w:p>
                <w:p>
                  <w:pPr>
                    <w:jc w:val="both"/>
                    <w:rPr>
                      <w:i/>
                    </w:rPr>
                  </w:pPr>
                  <w:r>
                    <w:t xml:space="preserve">Si elle est située à 2 km ou plus du bâtiment principal, elle devra, elle aussi, satisfaire aux normes de rationalisation fixées à l'article 189 ou 190. </w:t>
                  </w:r>
                  <w:r>
                    <w:rPr>
                      <w:i/>
                    </w:rPr>
                    <w:t>(Colonnes D et G)</w:t>
                  </w:r>
                </w:p>
                <w:p>
                  <w:pPr>
                    <w:tabs>
                      <w:tab w:val="left" w:pos="962"/>
                      <w:tab w:val="left" w:pos="1134"/>
                      <w:tab w:val="left" w:pos="1303"/>
                      <w:tab w:val="left" w:pos="1586"/>
                      <w:tab w:val="left" w:pos="1813"/>
                      <w:tab w:val="left" w:pos="3174"/>
                      <w:tab w:val="left" w:pos="3967"/>
                      <w:tab w:val="left" w:pos="4591"/>
                      <w:tab w:val="left" w:pos="4818"/>
                    </w:tabs>
                    <w:jc w:val="both"/>
                  </w:pPr>
                </w:p>
                <w:p>
                  <w:pPr>
                    <w:jc w:val="both"/>
                  </w:pPr>
                  <w:r>
                    <w:t>Si les normes de maintien fixées à l’article 189 ou 190 ne sont pas atteintes, ou bien le ou les type(s) concerné(s) doit/doivent être supprimé(s) à partir du 1er septembre suivant, ou bien l'implantation doit être fermée, sauf dérogation accordée par le Gouvernement si le ou le(s) type(s), ou l’implantation répond(ent) à un réel besoin dans la zone d’enseignement.</w:t>
                  </w:r>
                </w:p>
                <w:p>
                  <w:pPr>
                    <w:jc w:val="both"/>
                  </w:pPr>
                </w:p>
                <w:p>
                  <w:pPr>
                    <w:jc w:val="both"/>
                  </w:pPr>
                  <w:r>
                    <w:t>Toutefois, si ces minima sont atteints pendant un minimum de 10 jours ouvrables en cours d’année scolaire, le type ou l’implantation n’est pas fermé au 1er septembre de l’année scolaire suivante. </w:t>
                  </w:r>
                </w:p>
                <w:p>
                  <w:pPr>
                    <w:tabs>
                      <w:tab w:val="left" w:pos="962"/>
                      <w:tab w:val="left" w:pos="1134"/>
                      <w:tab w:val="left" w:pos="1303"/>
                      <w:tab w:val="left" w:pos="1586"/>
                      <w:tab w:val="left" w:pos="1813"/>
                      <w:tab w:val="left" w:pos="3174"/>
                      <w:tab w:val="left" w:pos="3967"/>
                      <w:tab w:val="left" w:pos="4591"/>
                      <w:tab w:val="left" w:pos="4818"/>
                    </w:tabs>
                    <w:jc w:val="both"/>
                  </w:pPr>
                </w:p>
                <w:p>
                  <w:pPr>
                    <w:pStyle w:val="Titre4"/>
                  </w:pPr>
                  <w:bookmarkStart w:id="1543" w:name="_5.4._Possibilité_d'organiser"/>
                  <w:bookmarkStart w:id="1544" w:name="_Toc291075275"/>
                  <w:bookmarkStart w:id="1545" w:name="_Toc291075699"/>
                  <w:bookmarkStart w:id="1546" w:name="_Toc291076123"/>
                  <w:bookmarkStart w:id="1547" w:name="_Toc291076547"/>
                  <w:bookmarkStart w:id="1548" w:name="_Toc291076971"/>
                  <w:bookmarkStart w:id="1549" w:name="_Toc293651814"/>
                  <w:bookmarkStart w:id="1550" w:name="_Toc293653397"/>
                  <w:bookmarkStart w:id="1551" w:name="_Toc293654008"/>
                  <w:bookmarkStart w:id="1552" w:name="_Toc294004586"/>
                  <w:bookmarkStart w:id="1553" w:name="_Toc294185082"/>
                  <w:bookmarkStart w:id="1554" w:name="_Toc324165897"/>
                  <w:bookmarkStart w:id="1555" w:name="_Toc324766934"/>
                  <w:bookmarkStart w:id="1556" w:name="_Toc324767792"/>
                  <w:bookmarkStart w:id="1557" w:name="_Toc453314293"/>
                  <w:bookmarkStart w:id="1558" w:name="_Toc454980328"/>
                  <w:bookmarkEnd w:id="1543"/>
                  <w:r>
                    <w:t>4.4. Possibilité d'organiser un niveau maternel ou un niveau primaire dans une école n'organisant qu'un niveau primaire ou un niveau maternel. (Article 197)</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pPr>
                    <w:tabs>
                      <w:tab w:val="left" w:pos="1134"/>
                    </w:tabs>
                    <w:jc w:val="both"/>
                    <w:rPr>
                      <w:u w:val="single"/>
                    </w:rPr>
                  </w:pPr>
                </w:p>
                <w:p>
                  <w:pPr>
                    <w:jc w:val="both"/>
                  </w:pPr>
                  <w:r>
                    <w:t>En vue de promouvoir l'école d'enseignement fondamental spécialisé, l'article 197 permet la création du niveau maternel ou du niveau primaire dans toute école qui satisfait aux normes de rationalisation (régime général et régimes dérogatoires particuliers) et où l'un de ces niveaux n'existe pas.</w:t>
                  </w:r>
                </w:p>
                <w:p>
                  <w:pPr>
                    <w:tabs>
                      <w:tab w:val="left" w:pos="962"/>
                      <w:tab w:val="left" w:pos="1134"/>
                      <w:tab w:val="left" w:pos="1303"/>
                      <w:tab w:val="left" w:pos="1586"/>
                      <w:tab w:val="left" w:pos="1813"/>
                      <w:tab w:val="left" w:pos="3174"/>
                      <w:tab w:val="left" w:pos="3967"/>
                      <w:tab w:val="left" w:pos="4591"/>
                      <w:tab w:val="left" w:pos="4818"/>
                    </w:tabs>
                    <w:jc w:val="both"/>
                  </w:pPr>
                </w:p>
                <w:p>
                  <w:pPr>
                    <w:pStyle w:val="Titre4"/>
                  </w:pPr>
                  <w:bookmarkStart w:id="1559" w:name="_Toc291075276"/>
                  <w:bookmarkStart w:id="1560" w:name="_Toc291075700"/>
                  <w:bookmarkStart w:id="1561" w:name="_Toc291076124"/>
                  <w:bookmarkStart w:id="1562" w:name="_Toc291076548"/>
                  <w:bookmarkStart w:id="1563" w:name="_Toc291076972"/>
                  <w:bookmarkStart w:id="1564" w:name="_Toc293651815"/>
                  <w:bookmarkStart w:id="1565" w:name="_Toc293653398"/>
                  <w:bookmarkStart w:id="1566" w:name="_Toc293654009"/>
                  <w:bookmarkStart w:id="1567" w:name="_Toc294004587"/>
                  <w:bookmarkStart w:id="1568" w:name="_Toc294185083"/>
                  <w:bookmarkStart w:id="1569" w:name="_Toc324165898"/>
                  <w:bookmarkStart w:id="1570" w:name="_Toc324766935"/>
                  <w:bookmarkStart w:id="1571" w:name="_Toc324767793"/>
                  <w:bookmarkStart w:id="1572" w:name="_Toc453314294"/>
                  <w:bookmarkStart w:id="1573" w:name="_Toc454980329"/>
                  <w:r>
                    <w:t>4.5. Transformation d'un type d'enseignement spécialisé. (Article 198, § 1, 1)</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pPr>
                    <w:tabs>
                      <w:tab w:val="left" w:pos="1134"/>
                    </w:tabs>
                    <w:rPr>
                      <w:u w:val="single"/>
                    </w:rPr>
                  </w:pPr>
                </w:p>
                <w:p>
                  <w:pPr>
                    <w:jc w:val="both"/>
                  </w:pPr>
                  <w:r>
                    <w:t>L'article 198 § 1, 1 définit les conditions auxquelles, dans une école existante, un type d'enseignement spécialisé peut être transformé et remplacé par un autre type :</w:t>
                  </w:r>
                </w:p>
                <w:p>
                  <w:pPr>
                    <w:jc w:val="both"/>
                  </w:pPr>
                </w:p>
                <w:p>
                  <w:pPr>
                    <w:numPr>
                      <w:ilvl w:val="0"/>
                      <w:numId w:val="32"/>
                    </w:numPr>
                    <w:tabs>
                      <w:tab w:val="clear" w:pos="360"/>
                      <w:tab w:val="num" w:pos="720"/>
                    </w:tabs>
                    <w:suppressAutoHyphens/>
                    <w:spacing w:line="215" w:lineRule="atLeast"/>
                    <w:jc w:val="both"/>
                  </w:pPr>
                  <w:r>
                    <w:t>le type à transformer doit, l'année scolaire précédant la transformation, répondre à la norme de rationalisation fixée à l'article 189 ou 190;</w:t>
                  </w:r>
                </w:p>
                <w:p>
                  <w:pPr>
                    <w:numPr>
                      <w:ilvl w:val="0"/>
                      <w:numId w:val="32"/>
                    </w:numPr>
                    <w:tabs>
                      <w:tab w:val="clear" w:pos="360"/>
                      <w:tab w:val="num" w:pos="720"/>
                    </w:tabs>
                    <w:suppressAutoHyphens/>
                    <w:spacing w:line="215" w:lineRule="atLeast"/>
                    <w:jc w:val="both"/>
                  </w:pPr>
                  <w:r>
                    <w:t xml:space="preserve">le type nouvellement créé doit, dès que la transformation commence, atteindre la norme de rationalisation. La transformation se fait </w:t>
                  </w:r>
                  <w:r>
                    <w:rPr>
                      <w:b/>
                    </w:rPr>
                    <w:t>progressivement</w:t>
                  </w:r>
                  <w:r>
                    <w:t>, degré de maturité par degré de maturité.</w:t>
                  </w:r>
                </w:p>
                <w:p>
                  <w:pPr>
                    <w:jc w:val="both"/>
                  </w:pPr>
                </w:p>
                <w:p>
                  <w:pPr>
                    <w:spacing w:line="215" w:lineRule="atLeast"/>
                    <w:jc w:val="both"/>
                  </w:pPr>
                  <w:r>
                    <w:t xml:space="preserve">Durant la période de transformation, </w:t>
                  </w:r>
                  <w:r>
                    <w:rPr>
                      <w:b/>
                    </w:rPr>
                    <w:t>aucun nouvel élève</w:t>
                  </w:r>
                  <w:r>
                    <w:t xml:space="preserve"> ne peut être inscrit </w:t>
                  </w:r>
                  <w:r>
                    <w:rPr>
                      <w:b/>
                    </w:rPr>
                    <w:t>dans le</w:t>
                  </w:r>
                  <w:r>
                    <w:t xml:space="preserve"> </w:t>
                  </w:r>
                  <w:r>
                    <w:rPr>
                      <w:b/>
                    </w:rPr>
                    <w:t>type supprimé</w:t>
                  </w:r>
                  <w:r>
                    <w:t>.  Les élèves fréquentant ce type peuvent cependant achever leurs études dans l'école.</w:t>
                  </w:r>
                </w:p>
                <w:p>
                  <w:pPr>
                    <w:spacing w:line="215" w:lineRule="atLeast"/>
                    <w:jc w:val="both"/>
                  </w:pPr>
                </w:p>
                <w:p>
                  <w:pPr>
                    <w:spacing w:line="215" w:lineRule="atLeast"/>
                    <w:jc w:val="both"/>
                  </w:pPr>
                  <w:r>
                    <w:t>Les élèves du type supprimé ne sont plus pris en considération pour le calcul des normes de rationalisation.</w:t>
                  </w:r>
                </w:p>
                <w:p>
                  <w:pPr>
                    <w:spacing w:line="215" w:lineRule="atLeast"/>
                    <w:jc w:val="both"/>
                  </w:pPr>
                </w:p>
                <w:p>
                  <w:pPr>
                    <w:spacing w:line="215" w:lineRule="atLeast"/>
                    <w:jc w:val="both"/>
                  </w:pPr>
                  <w:r>
                    <w:t>Il convient encore de noter que la transformation d'un type existant doit être réalisée dans tous les lieux d'implantation de l'école où ce type est organisé.</w:t>
                  </w:r>
                </w:p>
                <w:p>
                  <w:pPr>
                    <w:tabs>
                      <w:tab w:val="left" w:pos="1134"/>
                    </w:tabs>
                    <w:ind w:hanging="962"/>
                    <w:jc w:val="both"/>
                    <w:rPr>
                      <w:u w:val="single"/>
                    </w:rPr>
                  </w:pPr>
                </w:p>
                <w:p>
                  <w:pPr>
                    <w:pStyle w:val="Titre4"/>
                  </w:pPr>
                  <w:bookmarkStart w:id="1574" w:name="_Toc291075277"/>
                  <w:bookmarkStart w:id="1575" w:name="_Toc291075701"/>
                  <w:bookmarkStart w:id="1576" w:name="_Toc291076125"/>
                  <w:bookmarkStart w:id="1577" w:name="_Toc291076549"/>
                  <w:bookmarkStart w:id="1578" w:name="_Toc291076973"/>
                  <w:bookmarkStart w:id="1579" w:name="_Toc293651816"/>
                  <w:bookmarkStart w:id="1580" w:name="_Toc293653399"/>
                  <w:bookmarkStart w:id="1581" w:name="_Toc293654010"/>
                  <w:bookmarkStart w:id="1582" w:name="_Toc294004588"/>
                  <w:bookmarkStart w:id="1583" w:name="_Toc294185084"/>
                  <w:bookmarkStart w:id="1584" w:name="_Toc324165899"/>
                  <w:bookmarkStart w:id="1585" w:name="_Toc324766936"/>
                  <w:bookmarkStart w:id="1586" w:name="_Toc324767794"/>
                  <w:bookmarkStart w:id="1587" w:name="_Toc453314295"/>
                  <w:bookmarkStart w:id="1588" w:name="_Toc454980330"/>
                  <w:r>
                    <w:t>4.6. Création d'un nouveau type dans une école existante. (Article 198, §1, 2)</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pPr>
                    <w:tabs>
                      <w:tab w:val="left" w:pos="1134"/>
                    </w:tabs>
                    <w:ind w:hanging="962"/>
                    <w:jc w:val="both"/>
                    <w:rPr>
                      <w:u w:val="single"/>
                    </w:rPr>
                  </w:pPr>
                </w:p>
                <w:p>
                  <w:pPr>
                    <w:jc w:val="both"/>
                  </w:pPr>
                  <w:r>
                    <w:t>L'article 198, § 1, 2 définit les conditions auxquelles peut être créé un nouveau type d'enseignement spécialisé dans une école existante :</w:t>
                  </w:r>
                </w:p>
                <w:p>
                  <w:pPr>
                    <w:jc w:val="both"/>
                  </w:pPr>
                </w:p>
                <w:p>
                  <w:pPr>
                    <w:numPr>
                      <w:ilvl w:val="0"/>
                      <w:numId w:val="16"/>
                    </w:numPr>
                    <w:tabs>
                      <w:tab w:val="clear" w:pos="360"/>
                      <w:tab w:val="left" w:pos="720"/>
                      <w:tab w:val="num" w:pos="900"/>
                    </w:tabs>
                    <w:suppressAutoHyphens/>
                    <w:jc w:val="both"/>
                  </w:pPr>
                  <w:r>
                    <w:t>la population scolaire de l'école doit, durant l'année scolaire précédant la création, atteindre au moins 125% de la somme des normes de rationalisation, prévues à l'article 189 ou 190, des types organisés ;</w:t>
                  </w:r>
                </w:p>
                <w:p>
                  <w:pPr>
                    <w:numPr>
                      <w:ilvl w:val="0"/>
                      <w:numId w:val="16"/>
                    </w:numPr>
                    <w:tabs>
                      <w:tab w:val="clear" w:pos="360"/>
                      <w:tab w:val="left" w:pos="720"/>
                      <w:tab w:val="num" w:pos="900"/>
                    </w:tabs>
                    <w:suppressAutoHyphens/>
                    <w:jc w:val="both"/>
                  </w:pPr>
                  <w:r>
                    <w:t>pendant deux années scolaires consécutives, le nouveau type doit atteindre 150% de la norme de rationalisation qui lui est applicable conformément à l'article 189 ou 190.</w:t>
                  </w:r>
                </w:p>
                <w:p>
                  <w:pPr>
                    <w:jc w:val="both"/>
                  </w:pPr>
                </w:p>
                <w:p>
                  <w:pPr>
                    <w:jc w:val="both"/>
                  </w:pPr>
                  <w:r>
                    <w:t>Si une école possède une implantation à 2 km ou plus du bâtiment principal et qu'elle entend organiser un nouveau type d'enseignement spécialisé et dans le bâtiment principal et dans cette implantation, elle devra atteindre les normes de programmation définies ci-dessus tant dans le bâtiment principal que dans l'implantation.</w:t>
                  </w:r>
                </w:p>
                <w:p>
                  <w:pPr>
                    <w:jc w:val="both"/>
                  </w:pPr>
                </w:p>
                <w:p>
                  <w:pPr>
                    <w:jc w:val="both"/>
                  </w:pPr>
                  <w:r>
                    <w:t>Si cette école n'organise le nouveau type que dans un lieu d'implantation (bâtiment principal ou implantation), c'est ce lieu d'implantation seul qui devra répondre aux normes de programmation.</w:t>
                  </w:r>
                </w:p>
                <w:p>
                  <w:pPr>
                    <w:jc w:val="both"/>
                  </w:pPr>
                </w:p>
                <w:p>
                  <w:pPr>
                    <w:jc w:val="both"/>
                  </w:pPr>
                  <w:r>
                    <w:t>Dès la 3</w:t>
                  </w:r>
                  <w:r>
                    <w:rPr>
                      <w:vertAlign w:val="superscript"/>
                    </w:rPr>
                    <w:t>ème</w:t>
                  </w:r>
                  <w:r>
                    <w:t xml:space="preserve">  année, les règles de rationalisation sont exclusivement applicables.</w:t>
                  </w:r>
                </w:p>
                <w:p>
                  <w:pPr>
                    <w:jc w:val="both"/>
                  </w:pPr>
                </w:p>
                <w:p>
                  <w:pPr>
                    <w:pStyle w:val="Titre4"/>
                  </w:pPr>
                  <w:bookmarkStart w:id="1589" w:name="_5.7._Création_d'un"/>
                  <w:bookmarkStart w:id="1590" w:name="_Toc291075278"/>
                  <w:bookmarkStart w:id="1591" w:name="_Toc291075702"/>
                  <w:bookmarkStart w:id="1592" w:name="_Toc291076126"/>
                  <w:bookmarkStart w:id="1593" w:name="_Toc291076550"/>
                  <w:bookmarkStart w:id="1594" w:name="_Toc291076974"/>
                  <w:bookmarkStart w:id="1595" w:name="_Toc293651817"/>
                  <w:bookmarkStart w:id="1596" w:name="_Toc293653400"/>
                  <w:bookmarkStart w:id="1597" w:name="_Toc293654011"/>
                  <w:bookmarkStart w:id="1598" w:name="_Toc294004589"/>
                  <w:bookmarkStart w:id="1599" w:name="_Toc294185085"/>
                  <w:bookmarkStart w:id="1600" w:name="_Toc324165900"/>
                  <w:bookmarkStart w:id="1601" w:name="_Toc324766937"/>
                  <w:bookmarkStart w:id="1602" w:name="_Toc324767795"/>
                  <w:bookmarkStart w:id="1603" w:name="_Toc453314296"/>
                  <w:bookmarkStart w:id="1604" w:name="_Toc454980331"/>
                  <w:bookmarkEnd w:id="1589"/>
                  <w:r>
                    <w:t>4.7. Création d'un type nouveau dans une école existante afin d'assurer le libre choix des parents. (Article 198 § 3)</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pPr>
                    <w:jc w:val="both"/>
                    <w:rPr>
                      <w:u w:val="single"/>
                    </w:rPr>
                  </w:pPr>
                </w:p>
                <w:p>
                  <w:pPr>
                    <w:jc w:val="both"/>
                  </w:pPr>
                  <w:r>
                    <w:t>En vue d'assurer le libre choix des parents, l'article 198 § 3 permet de créer un nouveau type d'enseignement spécialisé dans une école existante :</w:t>
                  </w:r>
                </w:p>
                <w:p>
                  <w:pPr>
                    <w:jc w:val="both"/>
                  </w:pPr>
                </w:p>
                <w:p>
                  <w:pPr>
                    <w:pStyle w:val="Paragraphedeliste"/>
                    <w:numPr>
                      <w:ilvl w:val="0"/>
                      <w:numId w:val="182"/>
                    </w:numPr>
                    <w:jc w:val="both"/>
                    <w:rPr>
                      <w:rFonts w:asciiTheme="majorHAnsi" w:hAnsiTheme="majorHAnsi"/>
                      <w:sz w:val="22"/>
                      <w:szCs w:val="22"/>
                    </w:rPr>
                  </w:pPr>
                  <w:r>
                    <w:rPr>
                      <w:rFonts w:asciiTheme="majorHAnsi" w:hAnsiTheme="majorHAnsi"/>
                      <w:sz w:val="22"/>
                      <w:szCs w:val="22"/>
                    </w:rPr>
                    <w:t>par province et par réseau : pour chacun des types 1, 2, 3, 4, 5 et 8 ;</w:t>
                  </w:r>
                </w:p>
                <w:p>
                  <w:pPr>
                    <w:pStyle w:val="Paragraphedeliste"/>
                    <w:numPr>
                      <w:ilvl w:val="0"/>
                      <w:numId w:val="182"/>
                    </w:numPr>
                    <w:jc w:val="both"/>
                    <w:rPr>
                      <w:rFonts w:asciiTheme="majorHAnsi" w:hAnsiTheme="majorHAnsi"/>
                      <w:sz w:val="22"/>
                      <w:szCs w:val="22"/>
                    </w:rPr>
                  </w:pPr>
                  <w:r>
                    <w:rPr>
                      <w:rFonts w:asciiTheme="majorHAnsi" w:hAnsiTheme="majorHAnsi"/>
                      <w:sz w:val="22"/>
                      <w:szCs w:val="22"/>
                    </w:rPr>
                    <w:t>par réseau : pour chacun des types 6 et 7.</w:t>
                  </w:r>
                </w:p>
                <w:p>
                  <w:pPr>
                    <w:tabs>
                      <w:tab w:val="left" w:pos="962"/>
                      <w:tab w:val="left" w:pos="1134"/>
                      <w:tab w:val="left" w:pos="1303"/>
                      <w:tab w:val="left" w:pos="1586"/>
                      <w:tab w:val="left" w:pos="1813"/>
                      <w:tab w:val="left" w:pos="3174"/>
                      <w:tab w:val="left" w:pos="3967"/>
                      <w:tab w:val="left" w:pos="4591"/>
                      <w:tab w:val="left" w:pos="4818"/>
                    </w:tabs>
                    <w:jc w:val="both"/>
                  </w:pPr>
                </w:p>
                <w:p>
                  <w:pPr>
                    <w:tabs>
                      <w:tab w:val="left" w:pos="962"/>
                      <w:tab w:val="left" w:pos="1134"/>
                      <w:tab w:val="left" w:pos="1303"/>
                      <w:tab w:val="left" w:pos="1586"/>
                      <w:tab w:val="left" w:pos="1813"/>
                      <w:tab w:val="left" w:pos="3174"/>
                      <w:tab w:val="left" w:pos="3967"/>
                      <w:tab w:val="left" w:pos="4591"/>
                      <w:tab w:val="left" w:pos="4818"/>
                    </w:tabs>
                    <w:jc w:val="both"/>
                  </w:pPr>
                  <w:r>
                    <w:rPr>
                      <w:u w:val="single"/>
                    </w:rPr>
                    <w:t>3 conditions doivent être remplies</w:t>
                  </w:r>
                  <w:r>
                    <w:t xml:space="preserve"> :</w:t>
                  </w:r>
                </w:p>
                <w:p>
                  <w:pPr>
                    <w:tabs>
                      <w:tab w:val="left" w:pos="962"/>
                      <w:tab w:val="left" w:pos="1134"/>
                      <w:tab w:val="left" w:pos="1303"/>
                      <w:tab w:val="left" w:pos="1586"/>
                      <w:tab w:val="left" w:pos="1813"/>
                      <w:tab w:val="left" w:pos="3174"/>
                      <w:tab w:val="left" w:pos="3967"/>
                      <w:tab w:val="left" w:pos="4591"/>
                      <w:tab w:val="left" w:pos="4818"/>
                    </w:tabs>
                    <w:jc w:val="both"/>
                  </w:pPr>
                </w:p>
                <w:p>
                  <w:pPr>
                    <w:pStyle w:val="Paragraphedeliste"/>
                    <w:numPr>
                      <w:ilvl w:val="0"/>
                      <w:numId w:val="183"/>
                    </w:numPr>
                    <w:jc w:val="both"/>
                    <w:rPr>
                      <w:rFonts w:asciiTheme="majorHAnsi" w:hAnsiTheme="majorHAnsi"/>
                      <w:sz w:val="22"/>
                      <w:szCs w:val="22"/>
                    </w:rPr>
                  </w:pPr>
                  <w:r>
                    <w:rPr>
                      <w:rFonts w:asciiTheme="majorHAnsi" w:hAnsiTheme="majorHAnsi"/>
                      <w:sz w:val="22"/>
                      <w:szCs w:val="22"/>
                    </w:rPr>
                    <w:t xml:space="preserve">le </w:t>
                  </w:r>
                  <w:r>
                    <w:rPr>
                      <w:rFonts w:asciiTheme="majorHAnsi" w:hAnsiTheme="majorHAnsi"/>
                      <w:sz w:val="22"/>
                      <w:szCs w:val="22"/>
                      <w:u w:val="single"/>
                    </w:rPr>
                    <w:t>type nouveau</w:t>
                  </w:r>
                  <w:r>
                    <w:rPr>
                      <w:rFonts w:asciiTheme="majorHAnsi" w:hAnsiTheme="majorHAnsi"/>
                      <w:sz w:val="22"/>
                      <w:szCs w:val="22"/>
                    </w:rPr>
                    <w:t xml:space="preserve"> ne peut déjà être organisé dans ce réseau et dans cette province ;</w:t>
                  </w:r>
                </w:p>
                <w:p>
                  <w:pPr>
                    <w:pStyle w:val="Paragraphedeliste"/>
                    <w:numPr>
                      <w:ilvl w:val="0"/>
                      <w:numId w:val="183"/>
                    </w:numPr>
                    <w:jc w:val="both"/>
                    <w:rPr>
                      <w:rFonts w:asciiTheme="majorHAnsi" w:hAnsiTheme="majorHAnsi"/>
                      <w:sz w:val="22"/>
                      <w:szCs w:val="22"/>
                    </w:rPr>
                  </w:pPr>
                  <w:r>
                    <w:rPr>
                      <w:rFonts w:asciiTheme="majorHAnsi" w:hAnsiTheme="majorHAnsi"/>
                      <w:sz w:val="22"/>
                      <w:szCs w:val="22"/>
                    </w:rPr>
                    <w:t xml:space="preserve">durant l'année scolaire précédente, </w:t>
                  </w:r>
                  <w:r>
                    <w:rPr>
                      <w:rFonts w:asciiTheme="majorHAnsi" w:hAnsiTheme="majorHAnsi"/>
                      <w:sz w:val="22"/>
                      <w:szCs w:val="22"/>
                      <w:u w:val="single"/>
                    </w:rPr>
                    <w:t>la population de l'école</w:t>
                  </w:r>
                  <w:r>
                    <w:rPr>
                      <w:rFonts w:asciiTheme="majorHAnsi" w:hAnsiTheme="majorHAnsi"/>
                      <w:sz w:val="22"/>
                      <w:szCs w:val="22"/>
                    </w:rPr>
                    <w:t xml:space="preserve"> doit atteindre la somme des normes de rationalisation prévues à l'article 189 ou 190 pour les types qu'elle organise déjà ;</w:t>
                  </w:r>
                </w:p>
                <w:p>
                  <w:pPr>
                    <w:pStyle w:val="Paragraphedeliste"/>
                    <w:numPr>
                      <w:ilvl w:val="0"/>
                      <w:numId w:val="183"/>
                    </w:numPr>
                    <w:jc w:val="both"/>
                    <w:rPr>
                      <w:rFonts w:asciiTheme="majorHAnsi" w:hAnsiTheme="majorHAnsi"/>
                      <w:sz w:val="22"/>
                      <w:szCs w:val="22"/>
                    </w:rPr>
                  </w:pPr>
                  <w:r>
                    <w:rPr>
                      <w:rFonts w:asciiTheme="majorHAnsi" w:hAnsiTheme="majorHAnsi"/>
                      <w:sz w:val="22"/>
                      <w:szCs w:val="22"/>
                    </w:rPr>
                    <w:t xml:space="preserve">le </w:t>
                  </w:r>
                  <w:r>
                    <w:rPr>
                      <w:rFonts w:asciiTheme="majorHAnsi" w:hAnsiTheme="majorHAnsi"/>
                      <w:sz w:val="22"/>
                      <w:szCs w:val="22"/>
                      <w:u w:val="single"/>
                    </w:rPr>
                    <w:t>type nouveau</w:t>
                  </w:r>
                  <w:r>
                    <w:rPr>
                      <w:rFonts w:asciiTheme="majorHAnsi" w:hAnsiTheme="majorHAnsi"/>
                      <w:sz w:val="22"/>
                      <w:szCs w:val="22"/>
                    </w:rPr>
                    <w:t xml:space="preserve"> doit atteindre pendant deux années scolaires consécutives la norme de rationalisation prévue à l'article 189 ou 190.</w:t>
                  </w:r>
                </w:p>
                <w:p>
                  <w:pPr>
                    <w:jc w:val="both"/>
                  </w:pPr>
                </w:p>
                <w:p>
                  <w:pPr>
                    <w:ind w:hanging="27"/>
                    <w:jc w:val="both"/>
                  </w:pPr>
                </w:p>
                <w:p>
                  <w:pPr>
                    <w:ind w:hanging="27"/>
                    <w:jc w:val="both"/>
                  </w:pPr>
                  <w:r>
                    <w:t>Si l'école, qui souhaite se prévaloir de cette disposition, possède une implantation à 2 km ou plus du bâtiment principal et qu'elle entend organiser le nouveau type et dans le bâtiment principal et dans l'implantation, elle devra atteindre les normes de programmation définies ci-dessus tant dans le bâtiment principal que dans l'implantation.</w:t>
                  </w:r>
                </w:p>
                <w:p>
                  <w:pPr>
                    <w:ind w:hanging="27"/>
                    <w:jc w:val="both"/>
                  </w:pPr>
                </w:p>
                <w:p>
                  <w:pPr>
                    <w:ind w:hanging="27"/>
                    <w:jc w:val="both"/>
                  </w:pPr>
                  <w:r>
                    <w:t>Si cette école n'organise le nouveau type que dans un lieu d'implantation (bâtiment principal ou implantation), c'est ce lieu d'implantation seul qui devra répondre aux normes de programmation.</w:t>
                  </w:r>
                </w:p>
                <w:p>
                  <w:pPr>
                    <w:ind w:hanging="27"/>
                    <w:jc w:val="both"/>
                  </w:pPr>
                </w:p>
                <w:p>
                  <w:pPr>
                    <w:ind w:hanging="27"/>
                    <w:jc w:val="both"/>
                  </w:pPr>
                  <w:r>
                    <w:t>A partir de la 3</w:t>
                  </w:r>
                  <w:r>
                    <w:rPr>
                      <w:vertAlign w:val="superscript"/>
                    </w:rPr>
                    <w:t>ème</w:t>
                  </w:r>
                  <w:r>
                    <w:t xml:space="preserve"> année, les règles de rationalisation sont exclusivement applicables.</w:t>
                  </w:r>
                </w:p>
                <w:p>
                  <w:pPr>
                    <w:tabs>
                      <w:tab w:val="left" w:pos="1134"/>
                    </w:tabs>
                    <w:jc w:val="both"/>
                  </w:pPr>
                </w:p>
                <w:p>
                  <w:pPr>
                    <w:pStyle w:val="Titre4"/>
                  </w:pPr>
                  <w:bookmarkStart w:id="1605" w:name="_5.8._Création_d’un"/>
                  <w:bookmarkStart w:id="1606" w:name="_Toc453314297"/>
                  <w:bookmarkStart w:id="1607" w:name="_Toc454980332"/>
                  <w:bookmarkEnd w:id="1605"/>
                  <w:r>
                    <w:t>4.8. Création d’un nouveau type dans une école existante en fonction des besoins prévisibles en terme de nombre de places, par type d’enseignement (Article 198 § 5)</w:t>
                  </w:r>
                  <w:bookmarkEnd w:id="1606"/>
                  <w:bookmarkEnd w:id="1607"/>
                </w:p>
                <w:p>
                  <w:pPr>
                    <w:jc w:val="both"/>
                  </w:pPr>
                </w:p>
                <w:p>
                  <w:pPr>
                    <w:ind w:hanging="27"/>
                    <w:jc w:val="both"/>
                  </w:pPr>
                  <w:r>
                    <w:t xml:space="preserve">Par dérogation aux normes de programmation, le Gouvernement peut autoriser l’organisation d’un nouveau type, sur avis favorable motivé du Conseil Général de l’Enseignement Fondamental, </w:t>
                  </w:r>
                  <w:r>
                    <w:rPr>
                      <w:u w:val="single"/>
                    </w:rPr>
                    <w:t>par réseau et par zone</w:t>
                  </w:r>
                  <w:r>
                    <w:t>, dans une école existante.</w:t>
                  </w:r>
                </w:p>
                <w:p>
                  <w:pPr>
                    <w:jc w:val="both"/>
                  </w:pPr>
                  <w:bookmarkStart w:id="1608" w:name="__RefHeading__141_957262308"/>
                  <w:bookmarkEnd w:id="1608"/>
                </w:p>
                <w:p>
                  <w:pPr>
                    <w:pStyle w:val="Titre3"/>
                  </w:pPr>
                  <w:bookmarkStart w:id="1609" w:name="__RefHeading__143_957262308"/>
                  <w:bookmarkStart w:id="1610" w:name="_7._Régime_particulier"/>
                  <w:bookmarkStart w:id="1611" w:name="_Toc291075290"/>
                  <w:bookmarkStart w:id="1612" w:name="_Toc291075714"/>
                  <w:bookmarkStart w:id="1613" w:name="_Toc291076138"/>
                  <w:bookmarkStart w:id="1614" w:name="_Toc291076562"/>
                  <w:bookmarkStart w:id="1615" w:name="_Toc291076986"/>
                  <w:bookmarkStart w:id="1616" w:name="_Toc293651829"/>
                  <w:bookmarkStart w:id="1617" w:name="_Toc293653412"/>
                  <w:bookmarkStart w:id="1618" w:name="_Toc293654023"/>
                  <w:bookmarkStart w:id="1619" w:name="_Toc294004601"/>
                  <w:bookmarkStart w:id="1620" w:name="_Toc294185097"/>
                  <w:bookmarkStart w:id="1621" w:name="_Toc324165912"/>
                  <w:bookmarkStart w:id="1622" w:name="_Toc324766949"/>
                  <w:bookmarkStart w:id="1623" w:name="_Toc453314307"/>
                  <w:bookmarkStart w:id="1624" w:name="_Toc454980342"/>
                  <w:bookmarkStart w:id="1625" w:name="_Toc18914420"/>
                  <w:bookmarkEnd w:id="1609"/>
                  <w:bookmarkEnd w:id="1610"/>
                  <w:r>
                    <w:t>5. Régime particulier en faveur des membres du personnel mis en disponibilité par défaut d’emploi par application du plan de rationalisation</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r>
                    <w:t xml:space="preserve"> </w:t>
                  </w:r>
                </w:p>
                <w:p>
                  <w:pPr>
                    <w:tabs>
                      <w:tab w:val="left" w:pos="962"/>
                      <w:tab w:val="left" w:pos="1134"/>
                      <w:tab w:val="left" w:pos="1303"/>
                      <w:tab w:val="left" w:pos="1586"/>
                      <w:tab w:val="left" w:pos="1813"/>
                      <w:tab w:val="left" w:pos="3174"/>
                      <w:tab w:val="left" w:pos="3967"/>
                      <w:tab w:val="left" w:pos="4591"/>
                      <w:tab w:val="left" w:pos="4818"/>
                    </w:tabs>
                    <w:jc w:val="both"/>
                  </w:pPr>
                </w:p>
                <w:p>
                  <w:pPr>
                    <w:jc w:val="both"/>
                  </w:pPr>
                  <w:r>
                    <w:t>Les membres du personnel mis en disponibilité par défaut d'emploi par suite de l'application d’un plan de rationalisation bénéficient d'un régime particulier : pendant 3 ans, ils ont droit à un traitement d'attente ou à une subvention-traitement d'attente égale au traitement ou à la subvention-traitement qui leur aurait été dû s'ils étaient restés en activité de service.</w:t>
                  </w:r>
                </w:p>
                <w:p>
                  <w:pPr>
                    <w:jc w:val="both"/>
                  </w:pPr>
                </w:p>
                <w:p>
                  <w:pPr>
                    <w:jc w:val="both"/>
                  </w:pPr>
                  <w:r>
                    <w:t>Ils restent, dans l'attente de leur réaffectation, à la disposition de leur pouvoir organisateur qui peut leur confier dans une de ses écoles et en tenant compte des dispositions statutaires dudit PO des tâches fixées ou approuvées par le Ministre ayant l'enseignement spécialisé dans ses attributions.</w:t>
                  </w:r>
                </w:p>
                <w:p>
                  <w:pPr>
                    <w:jc w:val="both"/>
                  </w:pPr>
                </w:p>
                <w:p>
                  <w:pPr>
                    <w:pStyle w:val="Titre3"/>
                  </w:pPr>
                  <w:bookmarkStart w:id="1626" w:name="_8._Calcul_des"/>
                  <w:bookmarkStart w:id="1627" w:name="_6._Calcul_des"/>
                  <w:bookmarkStart w:id="1628" w:name="_Toc324165913"/>
                  <w:bookmarkStart w:id="1629" w:name="_Toc324766950"/>
                  <w:bookmarkStart w:id="1630" w:name="_Toc453314308"/>
                  <w:bookmarkStart w:id="1631" w:name="_Toc454980343"/>
                  <w:bookmarkStart w:id="1632" w:name="_Ref11407211"/>
                  <w:bookmarkStart w:id="1633" w:name="_Ref11410577"/>
                  <w:bookmarkStart w:id="1634" w:name="_Toc18914421"/>
                  <w:bookmarkEnd w:id="1626"/>
                  <w:bookmarkEnd w:id="1627"/>
                  <w:r>
                    <w:t>6. Calcul des capitaux-périodes utilisables en cas de programmation</w:t>
                  </w:r>
                  <w:bookmarkEnd w:id="1628"/>
                  <w:bookmarkEnd w:id="1629"/>
                  <w:bookmarkEnd w:id="1630"/>
                  <w:bookmarkEnd w:id="1631"/>
                  <w:bookmarkEnd w:id="1632"/>
                  <w:bookmarkEnd w:id="1633"/>
                  <w:bookmarkEnd w:id="1634"/>
                </w:p>
                <w:p>
                  <w:pPr>
                    <w:jc w:val="both"/>
                  </w:pPr>
                </w:p>
                <w:p>
                  <w:pPr>
                    <w:jc w:val="both"/>
                  </w:pPr>
                  <w:r>
                    <w:t>Lors de la première année de programmation d’une implantation, d’un type d’enseignement, le calcul des capitaux-périodes utilisables à partir du 1</w:t>
                  </w:r>
                  <w:r>
                    <w:rPr>
                      <w:vertAlign w:val="superscript"/>
                    </w:rPr>
                    <w:t>er</w:t>
                  </w:r>
                  <w:r>
                    <w:t xml:space="preserve"> septembre pour le personnel enseignant, paramédical, administratif et auxiliaire d’éducation est différent du calcul habituel (</w:t>
                  </w:r>
                  <w:hyperlink w:anchor="_chapitre_5_:" w:history="1">
                    <w:r>
                      <w:rPr>
                        <w:rStyle w:val="Lienhypertexte"/>
                        <w:rFonts w:cs="Arial"/>
                      </w:rPr>
                      <w:t>Chapitre 5</w:t>
                    </w:r>
                  </w:hyperlink>
                  <w:r>
                    <w:t xml:space="preserve"> à </w:t>
                  </w:r>
                  <w:hyperlink w:anchor="_chapitre_7_:" w:history="1">
                    <w:r>
                      <w:rPr>
                        <w:rStyle w:val="Lienhypertexte"/>
                        <w:rFonts w:cs="Arial"/>
                      </w:rPr>
                      <w:t>Chapitre 7</w:t>
                    </w:r>
                  </w:hyperlink>
                  <w:r>
                    <w:t xml:space="preserve"> de la présente circulaire) </w:t>
                  </w:r>
                </w:p>
                <w:p>
                  <w:pPr>
                    <w:jc w:val="both"/>
                  </w:pPr>
                </w:p>
                <w:p>
                  <w:pPr>
                    <w:jc w:val="both"/>
                  </w:pPr>
                  <w:r>
                    <w:t xml:space="preserve">Le nombre d’élèves régulièrement inscrits au 30 septembre dans la programmation (implantation ou type) est ajouté au comptage des élèves du 15 janvier de l’année scolaire précédente. </w:t>
                  </w:r>
                </w:p>
                <w:p>
                  <w:pPr>
                    <w:jc w:val="both"/>
                  </w:pPr>
                  <w:r>
                    <w:t xml:space="preserve">Ce mode de calcul ne concerne pas les élèves qui ont déjà été comptabilisés à la date du 15 janvier dans l’établissement dont dépend la programmation. </w:t>
                  </w:r>
                </w:p>
                <w:p>
                  <w:pPr>
                    <w:jc w:val="both"/>
                  </w:pPr>
                  <w:r>
                    <w:t>Ce nouveau total est utilisé pour déterminer l’encadrement de l’établissement à partir du 1</w:t>
                  </w:r>
                  <w:r>
                    <w:rPr>
                      <w:vertAlign w:val="superscript"/>
                    </w:rPr>
                    <w:t>er</w:t>
                  </w:r>
                  <w:r>
                    <w:t xml:space="preserve"> septembre et sert de référence lors du contrôle de la variation de la population scolaire du 30 septembre (variation des 5%).</w:t>
                  </w:r>
                </w:p>
                <w:p>
                  <w:pPr>
                    <w:jc w:val="both"/>
                  </w:pPr>
                </w:p>
                <w:p>
                  <w:pPr>
                    <w:jc w:val="both"/>
                  </w:pPr>
                  <w:r>
                    <w:t>Cette mesure vaut uniquement pour l’année de programmation.</w:t>
                  </w:r>
                </w:p>
                <w:p>
                  <w:pPr>
                    <w:jc w:val="both"/>
                  </w:pPr>
                </w:p>
                <w:p>
                  <w:pPr>
                    <w:jc w:val="both"/>
                  </w:pPr>
                  <w:r>
                    <w:t>Pour l’</w:t>
                  </w:r>
                  <w:r>
                    <w:rPr>
                      <w:b/>
                    </w:rPr>
                    <w:t>enseignement de type 5</w:t>
                  </w:r>
                  <w:r>
                    <w:t xml:space="preserve">, la moyenne des présences des élèves de la nouvelle implantation durant les 30 premiers jours à compter du début de l’année scolaire est ajoutée au comptage des élèves. </w:t>
                  </w:r>
                </w:p>
                <w:p>
                  <w:pPr>
                    <w:jc w:val="both"/>
                  </w:pPr>
                </w:p>
                <w:p>
                  <w:pPr>
                    <w:jc w:val="both"/>
                    <w:rPr>
                      <w:b/>
                      <w:u w:val="single"/>
                    </w:rPr>
                  </w:pPr>
                  <w:r>
                    <w:rPr>
                      <w:b/>
                      <w:u w:val="single"/>
                    </w:rPr>
                    <w:t>Exemple :</w:t>
                  </w:r>
                </w:p>
                <w:p>
                  <w:pPr>
                    <w:jc w:val="both"/>
                    <w:rPr>
                      <w:b/>
                    </w:rPr>
                  </w:pPr>
                </w:p>
                <w:p>
                  <w:pPr>
                    <w:jc w:val="both"/>
                  </w:pPr>
                  <w:r>
                    <w:t>Une école composée d’un seul bâtiment compte 150 élèves au 15 janvier. A cause d’un manque de locaux, elle décide d’ouvrir une nouvelle implantation l’année scolaire suivante dans laquelle elle compte transférer 50 de ses 150 élèves comptabilisés au 15 janvier.</w:t>
                  </w:r>
                </w:p>
                <w:p>
                  <w:pPr>
                    <w:jc w:val="both"/>
                  </w:pPr>
                </w:p>
                <w:p>
                  <w:pPr>
                    <w:jc w:val="both"/>
                  </w:pPr>
                  <w:r>
                    <w:t>Au 30 septembre, elle accueille dans sa nouvelle implantation un total de 70 élèves, dont 50 qui étaient déjà inscrits dans l’école au 15 janvier et 20 qui sont de nouvelles inscriptions.</w:t>
                  </w:r>
                </w:p>
                <w:p>
                  <w:pPr>
                    <w:jc w:val="both"/>
                  </w:pPr>
                </w:p>
                <w:p>
                  <w:pPr>
                    <w:jc w:val="both"/>
                  </w:pPr>
                  <w:r>
                    <w:t>L’encadrement dont dispose cet établissement au 1</w:t>
                  </w:r>
                  <w:r>
                    <w:rPr>
                      <w:vertAlign w:val="superscript"/>
                    </w:rPr>
                    <w:t>er</w:t>
                  </w:r>
                  <w:r>
                    <w:t xml:space="preserve"> septembre est calculé sur base de la population suivante :</w:t>
                  </w:r>
                </w:p>
                <w:p>
                  <w:pPr>
                    <w:jc w:val="both"/>
                  </w:pPr>
                </w:p>
                <w:p>
                  <w:pPr>
                    <w:jc w:val="both"/>
                  </w:pPr>
                  <w:r>
                    <w:rPr>
                      <w:b/>
                    </w:rPr>
                    <w:t>150</w:t>
                  </w:r>
                  <w:r>
                    <w:t xml:space="preserve"> (Comptage du 15 janvier) + </w:t>
                  </w:r>
                  <w:r>
                    <w:rPr>
                      <w:b/>
                    </w:rPr>
                    <w:t>70</w:t>
                  </w:r>
                  <w:r>
                    <w:t xml:space="preserve"> (Comptage dans la programmation, c'est-à-dire l’implantation) </w:t>
                  </w:r>
                  <w:r>
                    <w:rPr>
                      <w:b/>
                    </w:rPr>
                    <w:t>– 50</w:t>
                  </w:r>
                  <w:r>
                    <w:t xml:space="preserve"> (Elèves présents dans l’implantation qui étaient déjà comptabilisés au comptage du 15 janvier) = </w:t>
                  </w:r>
                  <w:r>
                    <w:rPr>
                      <w:b/>
                    </w:rPr>
                    <w:t>170 élèves</w:t>
                  </w:r>
                  <w:r>
                    <w:t>.</w:t>
                  </w:r>
                </w:p>
                <w:p>
                  <w:pPr>
                    <w:jc w:val="both"/>
                  </w:pPr>
                </w:p>
                <w:p>
                  <w:pPr>
                    <w:jc w:val="both"/>
                  </w:pPr>
                  <w:r>
                    <w:t>C’est également cette base qui servira à la comparaison pour le recalcul au 1</w:t>
                  </w:r>
                  <w:r>
                    <w:rPr>
                      <w:vertAlign w:val="superscript"/>
                    </w:rPr>
                    <w:t>er</w:t>
                  </w:r>
                  <w:r>
                    <w:t xml:space="preserve"> octobre</w:t>
                  </w:r>
                </w:p>
                <w:tbl>
                  <w:tblPr>
                    <w:tblpPr w:leftFromText="180" w:rightFromText="180" w:vertAnchor="text" w:horzAnchor="margin" w:tblpY="16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78"/>
                    <w:gridCol w:w="4529"/>
                  </w:tblGrid>
                  <w:tr>
                    <w:trPr>
                      <w:trHeight w:val="162"/>
                    </w:trPr>
                    <w:tc>
                      <w:tcPr>
                        <w:tcW w:w="4778" w:type="dxa"/>
                      </w:tcPr>
                      <w:p>
                        <w:pPr>
                          <w:jc w:val="center"/>
                          <w:rPr>
                            <w:b/>
                            <w:color w:val="333399"/>
                            <w:lang w:val="en-US"/>
                          </w:rPr>
                        </w:pPr>
                        <w:r>
                          <w:rPr>
                            <w:b/>
                            <w:color w:val="333399"/>
                            <w:lang w:val="en-US"/>
                          </w:rPr>
                          <w:t>Situation au 15 janvier</w:t>
                        </w:r>
                      </w:p>
                    </w:tc>
                    <w:tc>
                      <w:tcPr>
                        <w:tcW w:w="4529" w:type="dxa"/>
                      </w:tcPr>
                      <w:p>
                        <w:pPr>
                          <w:jc w:val="center"/>
                          <w:rPr>
                            <w:b/>
                            <w:color w:val="008080"/>
                            <w:lang w:val="en-US"/>
                          </w:rPr>
                        </w:pPr>
                        <w:r>
                          <w:rPr>
                            <w:b/>
                            <w:color w:val="008080"/>
                            <w:lang w:val="en-US"/>
                          </w:rPr>
                          <w:t>Situation au 30 septembre</w:t>
                        </w:r>
                      </w:p>
                    </w:tc>
                  </w:tr>
                  <w:tr>
                    <w:trPr>
                      <w:trHeight w:val="1476"/>
                    </w:trPr>
                    <w:tc>
                      <w:tcPr>
                        <w:tcW w:w="9307" w:type="dxa"/>
                        <w:gridSpan w:val="2"/>
                      </w:tcPr>
                      <w:p>
                        <w:pPr>
                          <w:rPr>
                            <w:lang w:val="en-US"/>
                          </w:rPr>
                        </w:pPr>
                      </w:p>
                      <w:p>
                        <w:pPr>
                          <w:rPr>
                            <w:lang w:val="en-US"/>
                          </w:rPr>
                        </w:pPr>
                        <w:r>
                          <w:rPr>
                            <w:noProof/>
                            <w:lang w:eastAsia="fr-BE"/>
                          </w:rPr>
                          <mc:AlternateContent>
                            <mc:Choice Requires="wpc">
                              <w:drawing>
                                <wp:anchor distT="0" distB="0" distL="114300" distR="114300" simplePos="0" relativeHeight="251715584" behindDoc="1" locked="0" layoutInCell="1" allowOverlap="1">
                                  <wp:simplePos x="0" y="0"/>
                                  <wp:positionH relativeFrom="column">
                                    <wp:posOffset>1052195</wp:posOffset>
                                  </wp:positionH>
                                  <wp:positionV relativeFrom="paragraph">
                                    <wp:posOffset>178435</wp:posOffset>
                                  </wp:positionV>
                                  <wp:extent cx="4772660" cy="1164590"/>
                                  <wp:effectExtent l="4445" t="3175" r="4445" b="13335"/>
                                  <wp:wrapNone/>
                                  <wp:docPr id="36" name="Zone de dessin 2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Line 28"/>
                                          <wps:cNvCnPr>
                                            <a:cxnSpLocks noChangeShapeType="1"/>
                                          </wps:cNvCnPr>
                                          <wps:spPr bwMode="auto">
                                            <a:xfrm flipV="1">
                                              <a:off x="381459" y="174287"/>
                                              <a:ext cx="2685475" cy="88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AutoShape 29"/>
                                          <wps:cNvSpPr>
                                            <a:spLocks noChangeArrowheads="1"/>
                                          </wps:cNvSpPr>
                                          <wps:spPr bwMode="auto">
                                            <a:xfrm>
                                              <a:off x="2313652" y="421662"/>
                                              <a:ext cx="567772" cy="476277"/>
                                            </a:xfrm>
                                            <a:prstGeom prst="upArrow">
                                              <a:avLst>
                                                <a:gd name="adj1" fmla="val 67861"/>
                                                <a:gd name="adj2" fmla="val 50000"/>
                                              </a:avLst>
                                            </a:prstGeom>
                                            <a:solidFill>
                                              <a:srgbClr val="4F81BD"/>
                                            </a:solidFill>
                                            <a:ln w="25400">
                                              <a:solidFill>
                                                <a:srgbClr val="243F60"/>
                                              </a:solidFill>
                                              <a:miter lim="800000"/>
                                              <a:headEnd/>
                                              <a:tailEnd/>
                                            </a:ln>
                                          </wps:spPr>
                                          <wps:txbx>
                                            <w:txbxContent>
                                              <w:p>
                                                <w:pPr>
                                                  <w:jc w:val="center"/>
                                                  <w:rPr>
                                                    <w:sz w:val="23"/>
                                                    <w:szCs w:val="23"/>
                                                  </w:rPr>
                                                </w:pPr>
                                                <w:r>
                                                  <w:rPr>
                                                    <w:sz w:val="23"/>
                                                    <w:szCs w:val="23"/>
                                                  </w:rPr>
                                                  <w:t>70</w:t>
                                                </w:r>
                                              </w:p>
                                            </w:txbxContent>
                                          </wps:txbx>
                                          <wps:bodyPr rot="0" vert="horz" wrap="square" lIns="91440" tIns="45720" rIns="91440" bIns="45720" anchor="ctr" anchorCtr="0" upright="1">
                                            <a:noAutofit/>
                                          </wps:bodyPr>
                                        </wps:wsp>
                                        <wps:wsp>
                                          <wps:cNvPr id="34" name="Line 30"/>
                                          <wps:cNvCnPr>
                                            <a:cxnSpLocks noChangeShapeType="1"/>
                                          </wps:cNvCnPr>
                                          <wps:spPr bwMode="auto">
                                            <a:xfrm>
                                              <a:off x="495496" y="717227"/>
                                              <a:ext cx="1704923"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Line 31"/>
                                          <wps:cNvCnPr>
                                            <a:cxnSpLocks noChangeShapeType="1"/>
                                          </wps:cNvCnPr>
                                          <wps:spPr bwMode="auto">
                                            <a:xfrm flipV="1">
                                              <a:off x="2110475" y="945326"/>
                                              <a:ext cx="276257" cy="21926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Zone de dessin 26" o:spid="_x0000_s1040" editas="canvas" style="position:absolute;margin-left:82.85pt;margin-top:14.05pt;width:375.8pt;height:91.7pt;z-index:-251600896" coordsize="47726,11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1" type="#_x0000_t75" style="position:absolute;width:47726;height:11645;visibility:visible;mso-wrap-style:square">
                                    <v:fill o:detectmouseclick="t"/>
                                    <v:path o:connecttype="none"/>
                                  </v:shape>
                                  <v:line id="Line 28" o:spid="_x0000_s1042" style="position:absolute;flip:y;visibility:visible;mso-wrap-style:square" from="3814,1742" to="30669,1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Tv/sQAAADbAAAADwAAAGRycy9kb3ducmV2LnhtbESPT2vCQBDF70K/wzIFL6FuNFDa1FXq&#10;PxBKD0176HHITpPQ7GzIjhq/vSsIHh9v3u/Nmy8H16oj9aHxbGA6SUERl942XBn4+d49vYAKgmyx&#10;9UwGzhRguXgYzTG3/sRfdCykUhHCIUcDtUiXax3KmhyGie+Io/fne4cSZV9p2+Mpwl2rZ2n6rB02&#10;HBtq7GhdU/lfHFx8Y/fJmyxLVk4nySttf+Uj1WLM+HF4fwMlNMj9+JbeWwPZDK5bIgD04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NO/+xAAAANsAAAAPAAAAAAAAAAAA&#10;AAAAAKECAABkcnMvZG93bnJldi54bWxQSwUGAAAAAAQABAD5AAAAkgMAAAAA&#10;">
                                    <v:stroke endarrow="block"/>
                                  </v:lin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9" o:spid="_x0000_s1043" type="#_x0000_t68" style="position:absolute;left:23136;top:4216;width:5678;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nT8IA&#10;AADbAAAADwAAAGRycy9kb3ducmV2LnhtbESPQYvCMBCF74L/IYywtzV1haLVKCIsiBfRVc9jM7bV&#10;ZlKTqN1/bxYWPD7evO/Nm85bU4sHOV9ZVjDoJyCIc6srLhTsf74/RyB8QNZYWyYFv+RhPut2pphp&#10;++QtPXahEBHCPkMFZQhNJqXPSzLo+7Yhjt7ZOoMhSldI7fAZ4aaWX0mSSoMVx4YSG1qWlF93dxPf&#10;KC6Hiz6447gd1ZRuVrf0tFkr9dFrFxMQgdrwPv5Pr7SC4RD+tkQA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edPwgAAANsAAAAPAAAAAAAAAAAAAAAAAJgCAABkcnMvZG93&#10;bnJldi54bWxQSwUGAAAAAAQABAD1AAAAhwMAAAAA&#10;" adj="10800,3471" fillcolor="#4f81bd" strokecolor="#243f60" strokeweight="2pt">
                                    <v:textbox>
                                      <w:txbxContent>
                                        <w:p>
                                          <w:pPr>
                                            <w:jc w:val="center"/>
                                            <w:rPr>
                                              <w:sz w:val="23"/>
                                              <w:szCs w:val="23"/>
                                            </w:rPr>
                                          </w:pPr>
                                          <w:r>
                                            <w:rPr>
                                              <w:sz w:val="23"/>
                                              <w:szCs w:val="23"/>
                                            </w:rPr>
                                            <w:t>70</w:t>
                                          </w:r>
                                        </w:p>
                                      </w:txbxContent>
                                    </v:textbox>
                                  </v:shape>
                                  <v:line id="Line 30" o:spid="_x0000_s1044" style="position:absolute;visibility:visible;mso-wrap-style:square" from="4954,7172" to="22004,7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dSX8QAAADbAAAADwAAAGRycy9kb3ducmV2LnhtbESPQWsCMRSE70L/Q3iF3jSrl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N1JfxAAAANsAAAAPAAAAAAAAAAAA&#10;AAAAAKECAABkcnMvZG93bnJldi54bWxQSwUGAAAAAAQABAD5AAAAkgMAAAAA&#10;">
                                    <v:stroke endarrow="block"/>
                                  </v:line>
                                  <v:line id="Line 31" o:spid="_x0000_s1045" style="position:absolute;flip:y;visibility:visible;mso-wrap-style:square" from="21104,9453" to="23867,11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13isUAAADbAAAADwAAAGRycy9kb3ducmV2LnhtbESPT2vCQBDF7wW/wzJCL6FuaqjU6CrW&#10;PyCUHrQ9eByyYxLMzobsVNNv3xUKPT7evN+bN1/2rlFX6kLt2cDzKAVFXHhbc2ng63P39AoqCLLF&#10;xjMZ+KEAy8XgYY659Tc+0PUopYoQDjkaqETaXOtQVOQwjHxLHL2z7xxKlF2pbYe3CHeNHqfpRDus&#10;OTZU2NK6ouJy/Hbxjd0Hb7IseXM6Saa0Pcl7qsWYx2G/moES6uX/+C+9twayF7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N13isUAAADbAAAADwAAAAAAAAAA&#10;AAAAAAChAgAAZHJzL2Rvd25yZXYueG1sUEsFBgAAAAAEAAQA+QAAAJMDAAAAAA==&#10;">
                                    <v:stroke endarrow="block"/>
                                  </v:line>
                                </v:group>
                              </w:pict>
                            </mc:Fallback>
                          </mc:AlternateContent>
                        </w:r>
                        <w:r>
                          <w:rPr>
                            <w:lang w:val="en-US"/>
                          </w:rPr>
                          <w:t xml:space="preserve">                                                                          100 élèves</w:t>
                        </w:r>
                      </w:p>
                      <w:p>
                        <w:pPr>
                          <w:rPr>
                            <w:lang w:val="en-US"/>
                          </w:rPr>
                        </w:pPr>
                        <w:r>
                          <w:rPr>
                            <w:noProof/>
                            <w:lang w:eastAsia="fr-BE"/>
                          </w:rPr>
                          <mc:AlternateContent>
                            <mc:Choice Requires="wps">
                              <w:drawing>
                                <wp:anchor distT="0" distB="0" distL="114300" distR="114300" simplePos="0" relativeHeight="251714560" behindDoc="0" locked="0" layoutInCell="1" allowOverlap="1">
                                  <wp:simplePos x="0" y="0"/>
                                  <wp:positionH relativeFrom="column">
                                    <wp:posOffset>3910965</wp:posOffset>
                                  </wp:positionH>
                                  <wp:positionV relativeFrom="paragraph">
                                    <wp:posOffset>9525</wp:posOffset>
                                  </wp:positionV>
                                  <wp:extent cx="939800" cy="802640"/>
                                  <wp:effectExtent l="53340" t="31115" r="54610" b="13970"/>
                                  <wp:wrapNone/>
                                  <wp:docPr id="31"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9800" cy="802640"/>
                                          </a:xfrm>
                                          <a:prstGeom prst="upArrow">
                                            <a:avLst>
                                              <a:gd name="adj1" fmla="val 67861"/>
                                              <a:gd name="adj2" fmla="val 50000"/>
                                            </a:avLst>
                                          </a:prstGeom>
                                          <a:solidFill>
                                            <a:srgbClr val="4F81BD"/>
                                          </a:solidFill>
                                          <a:ln w="25400">
                                            <a:solidFill>
                                              <a:srgbClr val="243F60"/>
                                            </a:solidFill>
                                            <a:miter lim="800000"/>
                                            <a:headEnd/>
                                            <a:tailEnd/>
                                          </a:ln>
                                        </wps:spPr>
                                        <wps:txbx>
                                          <w:txbxContent>
                                            <w:p>
                                              <w:pPr>
                                                <w:jc w:val="center"/>
                                                <w:rPr>
                                                  <w:sz w:val="23"/>
                                                  <w:szCs w:val="23"/>
                                                </w:rPr>
                                              </w:pPr>
                                              <w:r>
                                                <w:rPr>
                                                  <w:sz w:val="23"/>
                                                  <w:szCs w:val="23"/>
                                                </w:rPr>
                                                <w:t xml:space="preserve">100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32" o:spid="_x0000_s1046" type="#_x0000_t68" style="position:absolute;margin-left:307.95pt;margin-top:.75pt;width:74pt;height:63.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" adj="10800,3471" fillcolor="#4f81bd" strokecolor="#243f60" strokeweight="2pt">
                                  <v:textbox>
                                    <w:txbxContent>
                                      <w:p>
                                        <w:pPr>
                                          <w:jc w:val="center"/>
                                          <w:rPr>
                                            <w:sz w:val="23"/>
                                            <w:szCs w:val="23"/>
                                          </w:rPr>
                                        </w:pPr>
                                        <w:r>
                                          <w:rPr>
                                            <w:sz w:val="23"/>
                                            <w:szCs w:val="23"/>
                                          </w:rPr>
                                          <w:t xml:space="preserve">100 </w:t>
                                        </w:r>
                                      </w:p>
                                    </w:txbxContent>
                                  </v:textbox>
                                </v:shape>
                              </w:pict>
                            </mc:Fallback>
                          </mc:AlternateContent>
                        </w:r>
                        <w:r>
                          <w:rPr>
                            <w:noProof/>
                            <w:lang w:eastAsia="fr-BE"/>
                          </w:rPr>
                          <mc:AlternateContent>
                            <mc:Choice Requires="wps">
                              <w:drawing>
                                <wp:anchor distT="0" distB="0" distL="114300" distR="114300" simplePos="0" relativeHeight="251713536" behindDoc="0" locked="0" layoutInCell="1" allowOverlap="1">
                                  <wp:simplePos x="0" y="0"/>
                                  <wp:positionH relativeFrom="column">
                                    <wp:posOffset>650875</wp:posOffset>
                                  </wp:positionH>
                                  <wp:positionV relativeFrom="paragraph">
                                    <wp:posOffset>21590</wp:posOffset>
                                  </wp:positionV>
                                  <wp:extent cx="939800" cy="790575"/>
                                  <wp:effectExtent l="50800" t="33655" r="47625" b="13970"/>
                                  <wp:wrapNone/>
                                  <wp:docPr id="30" name="Up Arrow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9800" cy="790575"/>
                                          </a:xfrm>
                                          <a:prstGeom prst="upArrow">
                                            <a:avLst>
                                              <a:gd name="adj1" fmla="val 67861"/>
                                              <a:gd name="adj2" fmla="val 50000"/>
                                            </a:avLst>
                                          </a:prstGeom>
                                          <a:solidFill>
                                            <a:srgbClr val="4F81BD"/>
                                          </a:solidFill>
                                          <a:ln w="25400">
                                            <a:solidFill>
                                              <a:srgbClr val="243F60"/>
                                            </a:solidFill>
                                            <a:miter lim="800000"/>
                                            <a:headEnd/>
                                            <a:tailEnd/>
                                          </a:ln>
                                        </wps:spPr>
                                        <wps:txbx>
                                          <w:txbxContent>
                                            <w:p>
                                              <w:pPr>
                                                <w:jc w:val="center"/>
                                                <w:rPr>
                                                  <w:sz w:val="23"/>
                                                  <w:szCs w:val="23"/>
                                                </w:rPr>
                                              </w:pPr>
                                              <w:r>
                                                <w:rPr>
                                                  <w:sz w:val="23"/>
                                                  <w:szCs w:val="23"/>
                                                </w:rPr>
                                                <w:t>150 élèves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Up Arrow 2" o:spid="_x0000_s1047" type="#_x0000_t68" style="position:absolute;margin-left:51.25pt;margin-top:1.7pt;width:74pt;height:62.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" adj="10800,3471" fillcolor="#4f81bd" strokecolor="#243f60" strokeweight="2pt">
                                  <v:textbox>
                                    <w:txbxContent>
                                      <w:p>
                                        <w:pPr>
                                          <w:jc w:val="center"/>
                                          <w:rPr>
                                            <w:sz w:val="23"/>
                                            <w:szCs w:val="23"/>
                                          </w:rPr>
                                        </w:pPr>
                                        <w:r>
                                          <w:rPr>
                                            <w:sz w:val="23"/>
                                            <w:szCs w:val="23"/>
                                          </w:rPr>
                                          <w:t>150 élèves</w:t>
                                        </w:r>
                                      </w:p>
                                    </w:txbxContent>
                                  </v:textbox>
                                </v:shape>
                              </w:pict>
                            </mc:Fallback>
                          </mc:AlternateContent>
                        </w:r>
                      </w:p>
                      <w:p>
                        <w:pPr>
                          <w:rPr>
                            <w:lang w:val="en-US"/>
                          </w:rPr>
                        </w:pPr>
                      </w:p>
                      <w:p>
                        <w:pPr>
                          <w:rPr>
                            <w:lang w:val="en-US"/>
                          </w:rPr>
                        </w:pPr>
                        <w:r>
                          <w:rPr>
                            <w:lang w:val="en-US"/>
                          </w:rPr>
                          <w:t xml:space="preserve">                                                            </w:t>
                        </w:r>
                      </w:p>
                      <w:p>
                        <w:pPr>
                          <w:tabs>
                            <w:tab w:val="left" w:pos="3045"/>
                          </w:tabs>
                          <w:rPr>
                            <w:lang w:val="en-US"/>
                          </w:rPr>
                        </w:pPr>
                        <w:r>
                          <w:rPr>
                            <w:lang w:val="en-US"/>
                          </w:rPr>
                          <w:tab/>
                          <w:t>50 élèves</w:t>
                        </w:r>
                      </w:p>
                      <w:p>
                        <w:pPr>
                          <w:rPr>
                            <w:lang w:val="en-US"/>
                          </w:rPr>
                        </w:pPr>
                      </w:p>
                      <w:p>
                        <w:pPr>
                          <w:rPr>
                            <w:lang w:val="en-US"/>
                          </w:rPr>
                        </w:pPr>
                      </w:p>
                      <w:p>
                        <w:pPr>
                          <w:jc w:val="center"/>
                          <w:rPr>
                            <w:lang w:val="en-US"/>
                          </w:rPr>
                        </w:pPr>
                      </w:p>
                      <w:p>
                        <w:pPr>
                          <w:jc w:val="center"/>
                          <w:rPr>
                            <w:lang w:val="en-US"/>
                          </w:rPr>
                        </w:pPr>
                      </w:p>
                      <w:p>
                        <w:pPr>
                          <w:jc w:val="center"/>
                          <w:rPr>
                            <w:lang w:val="en-US"/>
                          </w:rPr>
                        </w:pPr>
                        <w:r>
                          <w:rPr>
                            <w:lang w:val="en-US"/>
                          </w:rPr>
                          <w:t>20 nouvelles inscriptions</w:t>
                        </w:r>
                      </w:p>
                      <w:p>
                        <w:pPr>
                          <w:rPr>
                            <w:lang w:val="en-US"/>
                          </w:rPr>
                        </w:pPr>
                      </w:p>
                    </w:tc>
                  </w:tr>
                </w:tbl>
                <w:p/>
                <w:p/>
                <w:p>
                  <w:pPr>
                    <w:pStyle w:val="Titre3"/>
                  </w:pPr>
                  <w:bookmarkStart w:id="1635" w:name="_9._Introduction_des"/>
                  <w:bookmarkStart w:id="1636" w:name="__RefHeading__145_957262308"/>
                  <w:bookmarkStart w:id="1637" w:name="_Toc291075291"/>
                  <w:bookmarkStart w:id="1638" w:name="_Toc291075715"/>
                  <w:bookmarkStart w:id="1639" w:name="_Toc291076139"/>
                  <w:bookmarkStart w:id="1640" w:name="_Toc291076563"/>
                  <w:bookmarkStart w:id="1641" w:name="_Toc291076987"/>
                  <w:bookmarkStart w:id="1642" w:name="_Toc293651830"/>
                  <w:bookmarkStart w:id="1643" w:name="_Toc293653413"/>
                  <w:bookmarkStart w:id="1644" w:name="_Toc293654024"/>
                  <w:bookmarkStart w:id="1645" w:name="_Toc294004602"/>
                  <w:bookmarkStart w:id="1646" w:name="_Toc294185098"/>
                  <w:bookmarkStart w:id="1647" w:name="_Toc324165914"/>
                  <w:bookmarkStart w:id="1648" w:name="_Toc324766951"/>
                  <w:bookmarkStart w:id="1649" w:name="_Toc453314309"/>
                  <w:bookmarkStart w:id="1650" w:name="_Toc454980344"/>
                  <w:bookmarkStart w:id="1651" w:name="_Toc18914422"/>
                  <w:bookmarkEnd w:id="1635"/>
                  <w:bookmarkEnd w:id="1636"/>
                  <w:r>
                    <w:t>7. Introduction des propositions de programmation</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r>
                    <w:t xml:space="preserve"> </w:t>
                  </w:r>
                </w:p>
                <w:p>
                  <w:pPr>
                    <w:pStyle w:val="Titre"/>
                    <w:tabs>
                      <w:tab w:val="left" w:pos="1134"/>
                    </w:tabs>
                    <w:jc w:val="both"/>
                    <w:rPr>
                      <w:sz w:val="22"/>
                      <w:szCs w:val="22"/>
                    </w:rPr>
                  </w:pPr>
                </w:p>
                <w:p>
                  <w:pPr>
                    <w:jc w:val="both"/>
                  </w:pPr>
                  <w:r>
                    <w:t xml:space="preserve">Les écoles qui souhaitent programmer (implantation…), transformer, fusionner sont invitées à transmettre, </w:t>
                  </w:r>
                  <w:r>
                    <w:rPr>
                      <w:u w:val="single"/>
                    </w:rPr>
                    <w:t>via leur pouvoir organisateur</w:t>
                  </w:r>
                  <w:r>
                    <w:t xml:space="preserve">, un dossier dûment argumenté (adresse, nom de la future implantation, nombre d’élèves concernés, statuts en cas de création de nouveau PO, article du décret, …). Ce dossier, comprenant </w:t>
                  </w:r>
                  <w:r>
                    <w:rPr>
                      <w:u w:val="single"/>
                    </w:rPr>
                    <w:t>une copie de la décision prise par le pouvoir organisateur et une copie de l’avis de l’organe de concertation</w:t>
                  </w:r>
                  <w:r>
                    <w:t xml:space="preserve">, fera mention de (ou des) article(s) du Décret du 3 mars 2004 organisant l'Enseignement spécialisé concerné(s) par la modification et sera envoyé à l’administration pour le 30 avril précédant la nouvelle année scolaire où prendra effet la programmation, transformation ou fusion. </w:t>
                  </w:r>
                </w:p>
                <w:p>
                  <w:pPr>
                    <w:jc w:val="both"/>
                  </w:pPr>
                  <w:r>
                    <w:t xml:space="preserve">Cette information est nécessaire afin que l’administration puisse vérifier la légalité de la programmation, transformation ou fusion. </w:t>
                  </w:r>
                </w:p>
                <w:p>
                  <w:pPr>
                    <w:jc w:val="both"/>
                  </w:pPr>
                </w:p>
                <w:p>
                  <w:pPr>
                    <w:jc w:val="both"/>
                  </w:pPr>
                  <w:r>
                    <w:t xml:space="preserve">Toutefois, si pour cette programmation, l’école sollicite la dérogation du Gouvernement prévue au </w:t>
                  </w:r>
                  <w:hyperlink w:anchor="_1.4._Bâtiment_principal" w:history="1">
                    <w:r>
                      <w:rPr>
                        <w:rStyle w:val="Lienhypertexte"/>
                        <w:rFonts w:cs="Arial"/>
                      </w:rPr>
                      <w:t>point 1.4</w:t>
                    </w:r>
                  </w:hyperlink>
                  <w:r>
                    <w:t xml:space="preserve"> du présent chapitre, le dossier, dûment accompagné d’une argumentation justifiant la dérogation et du calcul de son impact budgétaire, sera envoyé à l’administration pour le 15 mars au plus tard.  </w:t>
                  </w:r>
                </w:p>
                <w:p>
                  <w:pPr>
                    <w:jc w:val="both"/>
                  </w:pPr>
                  <w:r>
                    <w:t>Ce délai est indispensable afin de permettre à l’administration d’instruire le dossier afin d’introduire le projet d’arrêté au Gouvernement.</w:t>
                  </w:r>
                </w:p>
                <w:p>
                  <w:pPr>
                    <w:jc w:val="both"/>
                  </w:pPr>
                </w:p>
                <w:p>
                  <w:pPr>
                    <w:jc w:val="both"/>
                  </w:pPr>
                  <w:r>
                    <w:t>Pour les créations d’écoles, l’avis du Conseil Général doit être sollicité.</w:t>
                  </w:r>
                </w:p>
                <w:p/>
                <w:p>
                  <w:pPr>
                    <w:jc w:val="center"/>
                    <w:rPr>
                      <w:b/>
                      <w:u w:val="single"/>
                    </w:rPr>
                  </w:pPr>
                  <w:bookmarkStart w:id="1652" w:name="OLE_LINK1"/>
                </w:p>
                <w:p>
                  <w:pPr>
                    <w:jc w:val="center"/>
                    <w:rPr>
                      <w:b/>
                      <w:u w:val="single"/>
                    </w:rPr>
                  </w:pPr>
                </w:p>
                <w:p>
                  <w:pPr>
                    <w:jc w:val="center"/>
                    <w:rPr>
                      <w:b/>
                      <w:u w:val="single"/>
                    </w:rPr>
                  </w:pPr>
                </w:p>
                <w:p>
                  <w:pPr>
                    <w:jc w:val="center"/>
                    <w:rPr>
                      <w:b/>
                      <w:u w:val="single"/>
                    </w:rPr>
                  </w:pPr>
                </w:p>
                <w:p>
                  <w:pPr>
                    <w:jc w:val="center"/>
                    <w:rPr>
                      <w:b/>
                      <w:u w:val="single"/>
                    </w:rPr>
                  </w:pPr>
                </w:p>
                <w:p>
                  <w:pPr>
                    <w:jc w:val="center"/>
                    <w:rPr>
                      <w:b/>
                      <w:u w:val="single"/>
                    </w:rPr>
                  </w:pPr>
                </w:p>
                <w:p/>
                <w:bookmarkEnd w:id="1652"/>
                <w:p>
                  <w:pPr>
                    <w:jc w:val="both"/>
                  </w:pPr>
                  <w:r>
                    <w:t xml:space="preserve">Le formulaire et les pièces jointes devront être introduits </w:t>
                  </w:r>
                  <w:r>
                    <w:rPr>
                      <w:b/>
                    </w:rPr>
                    <w:t>avant le 15 janvier de l’année scolaire</w:t>
                  </w:r>
                  <w:r>
                    <w:t xml:space="preserve"> précédant l’admission aux subventions. </w:t>
                  </w:r>
                </w:p>
                <w:p>
                  <w:pPr>
                    <w:jc w:val="both"/>
                  </w:pPr>
                </w:p>
                <w:p>
                  <w:pPr>
                    <w:pStyle w:val="Corpsdetexte"/>
                  </w:pPr>
                  <w:r>
                    <w:t>Les dossiers doivent être envoyés à l’adresse suivante :</w:t>
                  </w:r>
                </w:p>
                <w:p>
                  <w:pPr>
                    <w:pStyle w:val="Corpsdetexte"/>
                  </w:pPr>
                </w:p>
                <w:p>
                  <w:pPr>
                    <w:pStyle w:val="Corpsdetexte"/>
                    <w:pBdr>
                      <w:top w:val="single" w:sz="4" w:space="1" w:color="auto"/>
                      <w:left w:val="single" w:sz="4" w:space="4" w:color="auto"/>
                      <w:bottom w:val="single" w:sz="4" w:space="1" w:color="auto"/>
                      <w:right w:val="single" w:sz="4" w:space="4" w:color="auto"/>
                    </w:pBdr>
                    <w:jc w:val="center"/>
                  </w:pPr>
                  <w:r>
                    <w:t>Direction générale de l’Enseignement obligatoire</w:t>
                  </w:r>
                </w:p>
                <w:p>
                  <w:pPr>
                    <w:pStyle w:val="Corpsdetexte"/>
                    <w:pBdr>
                      <w:top w:val="single" w:sz="4" w:space="1" w:color="auto"/>
                      <w:left w:val="single" w:sz="4" w:space="4" w:color="auto"/>
                      <w:bottom w:val="single" w:sz="4" w:space="1" w:color="auto"/>
                      <w:right w:val="single" w:sz="4" w:space="4" w:color="auto"/>
                    </w:pBdr>
                    <w:jc w:val="center"/>
                  </w:pPr>
                  <w:r>
                    <w:t>Service de l’Enseignement spécialisé</w:t>
                  </w:r>
                </w:p>
                <w:p>
                  <w:pPr>
                    <w:pStyle w:val="Corpsdetexte"/>
                    <w:pBdr>
                      <w:top w:val="single" w:sz="4" w:space="1" w:color="auto"/>
                      <w:left w:val="single" w:sz="4" w:space="4" w:color="auto"/>
                      <w:bottom w:val="single" w:sz="4" w:space="1" w:color="auto"/>
                      <w:right w:val="single" w:sz="4" w:space="4" w:color="auto"/>
                    </w:pBdr>
                    <w:jc w:val="center"/>
                  </w:pPr>
                  <w:r>
                    <w:t>Madame Véronique ROMBAUT</w:t>
                  </w:r>
                </w:p>
                <w:p>
                  <w:pPr>
                    <w:pStyle w:val="Corpsdetexte"/>
                    <w:pBdr>
                      <w:top w:val="single" w:sz="4" w:space="1" w:color="auto"/>
                      <w:left w:val="single" w:sz="4" w:space="4" w:color="auto"/>
                      <w:bottom w:val="single" w:sz="4" w:space="1" w:color="auto"/>
                      <w:right w:val="single" w:sz="4" w:space="4" w:color="auto"/>
                    </w:pBdr>
                    <w:jc w:val="center"/>
                  </w:pPr>
                  <w:r>
                    <w:t>Bureau 2F245</w:t>
                  </w:r>
                </w:p>
                <w:p>
                  <w:pPr>
                    <w:pStyle w:val="Corpsdetexte"/>
                    <w:pBdr>
                      <w:top w:val="single" w:sz="4" w:space="1" w:color="auto"/>
                      <w:left w:val="single" w:sz="4" w:space="4" w:color="auto"/>
                      <w:bottom w:val="single" w:sz="4" w:space="1" w:color="auto"/>
                      <w:right w:val="single" w:sz="4" w:space="4" w:color="auto"/>
                    </w:pBdr>
                    <w:jc w:val="center"/>
                  </w:pPr>
                  <w:r>
                    <w:t>Rue Adolphe Lavallée, 1</w:t>
                  </w:r>
                </w:p>
                <w:p>
                  <w:pPr>
                    <w:pStyle w:val="Corpsdetexte"/>
                    <w:pBdr>
                      <w:top w:val="single" w:sz="4" w:space="1" w:color="auto"/>
                      <w:left w:val="single" w:sz="4" w:space="4" w:color="auto"/>
                      <w:bottom w:val="single" w:sz="4" w:space="1" w:color="auto"/>
                      <w:right w:val="single" w:sz="4" w:space="4" w:color="auto"/>
                    </w:pBdr>
                    <w:jc w:val="center"/>
                  </w:pPr>
                  <w:r>
                    <w:t>1080   BRUXELLES</w:t>
                  </w:r>
                </w:p>
                <w:p>
                  <w:pPr>
                    <w:pStyle w:val="Corpsdetexte"/>
                    <w:pBdr>
                      <w:top w:val="single" w:sz="4" w:space="1" w:color="auto"/>
                      <w:left w:val="single" w:sz="4" w:space="4" w:color="auto"/>
                      <w:bottom w:val="single" w:sz="4" w:space="1" w:color="auto"/>
                      <w:right w:val="single" w:sz="4" w:space="4" w:color="auto"/>
                    </w:pBdr>
                    <w:jc w:val="center"/>
                  </w:pPr>
                  <w:r>
                    <w:sym w:font="Wingdings" w:char="F028"/>
                  </w:r>
                  <w:r>
                    <w:t xml:space="preserve"> 02/690.83.99 - </w:t>
                  </w:r>
                  <w:r>
                    <w:rPr>
                      <w:bCs/>
                    </w:rPr>
                    <w:sym w:font="Wingdings" w:char="F03A"/>
                  </w:r>
                  <w:r>
                    <w:rPr>
                      <w:bCs/>
                    </w:rPr>
                    <w:t xml:space="preserve"> : </w:t>
                  </w:r>
                  <w:hyperlink r:id="rId123" w:history="1">
                    <w:r>
                      <w:rPr>
                        <w:rStyle w:val="Lienhypertexte"/>
                      </w:rPr>
                      <w:t>veronique.rombaut@cfwb.be</w:t>
                    </w:r>
                  </w:hyperlink>
                </w:p>
                <w:p>
                  <w:pPr>
                    <w:jc w:val="both"/>
                    <w:rPr>
                      <w:b/>
                      <w:color w:val="FF0000"/>
                    </w:rPr>
                  </w:pPr>
                </w:p>
                <w:p>
                  <w:pPr>
                    <w:pStyle w:val="Titre3"/>
                  </w:pPr>
                  <w:bookmarkStart w:id="1653" w:name="_10._Annexe"/>
                  <w:bookmarkStart w:id="1654" w:name="_10._Annexes"/>
                  <w:bookmarkStart w:id="1655" w:name="_Toc453314310"/>
                  <w:bookmarkStart w:id="1656" w:name="_Toc454980345"/>
                  <w:bookmarkStart w:id="1657" w:name="_Toc18914423"/>
                  <w:bookmarkEnd w:id="1653"/>
                  <w:bookmarkEnd w:id="1654"/>
                  <w:r>
                    <w:t>8. Annexe</w:t>
                  </w:r>
                  <w:bookmarkEnd w:id="1655"/>
                  <w:bookmarkEnd w:id="1656"/>
                  <w:r>
                    <w:t>s</w:t>
                  </w:r>
                  <w:bookmarkEnd w:id="1657"/>
                </w:p>
                <w:p>
                  <w:pPr>
                    <w:jc w:val="both"/>
                    <w:rPr>
                      <w:b/>
                    </w:rPr>
                  </w:pPr>
                </w:p>
                <w:p>
                  <w:pPr>
                    <w:autoSpaceDE w:val="0"/>
                    <w:autoSpaceDN w:val="0"/>
                    <w:adjustRightInd w:val="0"/>
                    <w:jc w:val="both"/>
                    <w:rPr>
                      <w:rFonts w:cs="CenturySchoolbook"/>
                    </w:rPr>
                  </w:pPr>
                  <w:r>
                    <w:rPr>
                      <w:rFonts w:cs="CenturySchoolbook"/>
                    </w:rPr>
                    <w:t>En application de l'article 4, § 1er, 29°, du décret du 3 mars 2004 organisant l'enseignement spécialisé, les zones de l'enseignement spécialisé sont constituées de la manière suivante :</w:t>
                  </w:r>
                </w:p>
                <w:p>
                  <w:pPr>
                    <w:autoSpaceDE w:val="0"/>
                    <w:autoSpaceDN w:val="0"/>
                    <w:adjustRightInd w:val="0"/>
                    <w:jc w:val="both"/>
                    <w:rPr>
                      <w:rFonts w:cs="CenturySchoolbook"/>
                    </w:rPr>
                  </w:pPr>
                </w:p>
                <w:p>
                  <w:pPr>
                    <w:pStyle w:val="Paragraphedeliste"/>
                    <w:autoSpaceDE w:val="0"/>
                    <w:autoSpaceDN w:val="0"/>
                    <w:adjustRightInd w:val="0"/>
                    <w:ind w:left="0"/>
                    <w:jc w:val="both"/>
                    <w:rPr>
                      <w:rFonts w:asciiTheme="majorHAnsi" w:hAnsiTheme="majorHAnsi" w:cs="CenturySchoolbook"/>
                      <w:sz w:val="22"/>
                      <w:szCs w:val="22"/>
                    </w:rPr>
                  </w:pPr>
                  <w:r>
                    <w:rPr>
                      <w:rFonts w:asciiTheme="majorHAnsi" w:hAnsiTheme="majorHAnsi" w:cs="CenturySchoolbook"/>
                      <w:sz w:val="22"/>
                      <w:szCs w:val="22"/>
                    </w:rPr>
                    <w:t>Celles-ci sont définies telles que déterminées à l'article 1er de l'arrêté du Gouvernement de la Communauté française du 11 juillet 2002 déterminant pour l'enseignement fondamental les zones en application de l'article 13 du décret du 14 mars 1995 relatif à la promotion d'une école de la réussite dans l'enseignement fondamental ;</w:t>
                  </w:r>
                </w:p>
                <w:p>
                  <w:pPr>
                    <w:jc w:val="both"/>
                  </w:pPr>
                  <w:r>
                    <w:br w:type="page"/>
                  </w:r>
                </w:p>
                <w:p>
                  <w:pPr>
                    <w:pStyle w:val="Titre4"/>
                  </w:pPr>
                  <w:r>
                    <w:t>Annexe 1 : Liste des zones concernant l’enseignement fondamental</w:t>
                  </w:r>
                </w:p>
                <w:p/>
                <w:p>
                  <w:pPr>
                    <w:autoSpaceDE w:val="0"/>
                    <w:autoSpaceDN w:val="0"/>
                    <w:adjustRightInd w:val="0"/>
                    <w:jc w:val="both"/>
                    <w:rPr>
                      <w:rFonts w:cs="CenturySchoolbook"/>
                    </w:rPr>
                  </w:pPr>
                  <w:r>
                    <w:rPr>
                      <w:rFonts w:cs="CenturySchoolbook"/>
                    </w:rPr>
                    <w:t>En application de l'article 4, § 1er, 29°, du décret du 3 mars 2004 organisant l'enseignement spécialisé, les zones de l'enseignement spécialisé sont constituées de la manière suivante :</w:t>
                  </w:r>
                </w:p>
                <w:p>
                  <w:pPr>
                    <w:autoSpaceDE w:val="0"/>
                    <w:autoSpaceDN w:val="0"/>
                    <w:adjustRightInd w:val="0"/>
                    <w:jc w:val="both"/>
                    <w:rPr>
                      <w:rFonts w:cs="CenturySchoolbook"/>
                    </w:rPr>
                  </w:pPr>
                </w:p>
                <w:p>
                  <w:pPr>
                    <w:pStyle w:val="Paragraphedeliste"/>
                    <w:autoSpaceDE w:val="0"/>
                    <w:autoSpaceDN w:val="0"/>
                    <w:adjustRightInd w:val="0"/>
                    <w:ind w:left="0"/>
                    <w:jc w:val="both"/>
                    <w:rPr>
                      <w:rFonts w:asciiTheme="majorHAnsi" w:hAnsiTheme="majorHAnsi" w:cs="CenturySchoolbook"/>
                      <w:sz w:val="22"/>
                      <w:szCs w:val="22"/>
                    </w:rPr>
                  </w:pPr>
                  <w:r>
                    <w:rPr>
                      <w:rFonts w:asciiTheme="majorHAnsi" w:hAnsiTheme="majorHAnsi" w:cs="CenturySchoolbook"/>
                      <w:sz w:val="22"/>
                      <w:szCs w:val="22"/>
                    </w:rPr>
                    <w:t>Celles-ci sont définies telles que déterminées à l'article 1er de l'arrêté du Gouvernement de la Communauté française du 11 juillet 2002 déterminant pour l'enseignement fondamental les zones en application de l'article 13 du décret du 14 mars 1995 relatif à la promotion d'une école de la réussite dans l'enseignement fondamental ;</w:t>
                  </w:r>
                </w:p>
                <w:p>
                  <w:pPr>
                    <w:jc w:val="center"/>
                  </w:pPr>
                </w:p>
                <w:tbl>
                  <w:tblPr>
                    <w:tblpPr w:leftFromText="141" w:rightFromText="141" w:vertAnchor="page" w:horzAnchor="margin" w:tblpY="4006"/>
                    <w:tblW w:w="9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09"/>
                    <w:gridCol w:w="2457"/>
                    <w:gridCol w:w="2409"/>
                  </w:tblGrid>
                  <w:tr>
                    <w:tc>
                      <w:tcPr>
                        <w:tcW w:w="2405" w:type="dxa"/>
                      </w:tcPr>
                      <w:p>
                        <w:r>
                          <w:t>Zone 1</w:t>
                        </w:r>
                      </w:p>
                    </w:tc>
                    <w:tc>
                      <w:tcPr>
                        <w:tcW w:w="7275" w:type="dxa"/>
                        <w:gridSpan w:val="3"/>
                      </w:tcPr>
                      <w:p>
                        <w:r>
                          <w:rPr>
                            <w:rFonts w:cs="Century Schoolbook"/>
                          </w:rPr>
                          <w:t>Région de Bruxelles-Capitale</w:t>
                        </w:r>
                      </w:p>
                    </w:tc>
                  </w:tr>
                  <w:tr>
                    <w:tc>
                      <w:tcPr>
                        <w:tcW w:w="2405" w:type="dxa"/>
                      </w:tcPr>
                      <w:p>
                        <w:r>
                          <w:t>Zone 2</w:t>
                        </w:r>
                      </w:p>
                    </w:tc>
                    <w:tc>
                      <w:tcPr>
                        <w:tcW w:w="7275" w:type="dxa"/>
                        <w:gridSpan w:val="3"/>
                      </w:tcPr>
                      <w:p>
                        <w:r>
                          <w:rPr>
                            <w:rFonts w:cs="Century Schoolbook"/>
                          </w:rPr>
                          <w:t>Province de Brabant wallon</w:t>
                        </w:r>
                      </w:p>
                    </w:tc>
                  </w:tr>
                  <w:tr>
                    <w:tc>
                      <w:tcPr>
                        <w:tcW w:w="2405" w:type="dxa"/>
                      </w:tcPr>
                      <w:p>
                        <w:r>
                          <w:t>Zone 3</w:t>
                        </w:r>
                      </w:p>
                    </w:tc>
                    <w:tc>
                      <w:tcPr>
                        <w:tcW w:w="7275" w:type="dxa"/>
                        <w:gridSpan w:val="3"/>
                      </w:tcPr>
                      <w:p>
                        <w:r>
                          <w:rPr>
                            <w:rFonts w:cs="Century Schoolbook"/>
                          </w:rPr>
                          <w:t>arrondissements administratifs de Huy et Waremme</w:t>
                        </w:r>
                      </w:p>
                    </w:tc>
                  </w:tr>
                  <w:tr>
                    <w:tc>
                      <w:tcPr>
                        <w:tcW w:w="2405" w:type="dxa"/>
                      </w:tcPr>
                      <w:p>
                        <w:r>
                          <w:t>Zone 4</w:t>
                        </w:r>
                      </w:p>
                    </w:tc>
                    <w:tc>
                      <w:tcPr>
                        <w:tcW w:w="7275" w:type="dxa"/>
                        <w:gridSpan w:val="3"/>
                      </w:tcPr>
                      <w:p>
                        <w:r>
                          <w:rPr>
                            <w:rFonts w:cs="Century Schoolbook"/>
                          </w:rPr>
                          <w:t>arrondissement administratif de Liège</w:t>
                        </w:r>
                      </w:p>
                    </w:tc>
                  </w:tr>
                  <w:tr>
                    <w:tc>
                      <w:tcPr>
                        <w:tcW w:w="2405" w:type="dxa"/>
                      </w:tcPr>
                      <w:p>
                        <w:r>
                          <w:t>Zone 5</w:t>
                        </w:r>
                      </w:p>
                    </w:tc>
                    <w:tc>
                      <w:tcPr>
                        <w:tcW w:w="7275" w:type="dxa"/>
                        <w:gridSpan w:val="3"/>
                      </w:tcPr>
                      <w:p>
                        <w:r>
                          <w:rPr>
                            <w:rFonts w:cs="Century Schoolbook"/>
                          </w:rPr>
                          <w:t>arrondissement administratif de Verviers</w:t>
                        </w:r>
                      </w:p>
                    </w:tc>
                  </w:tr>
                  <w:tr>
                    <w:tc>
                      <w:tcPr>
                        <w:tcW w:w="2405" w:type="dxa"/>
                      </w:tcPr>
                      <w:p>
                        <w:r>
                          <w:t>Zone 6</w:t>
                        </w:r>
                      </w:p>
                    </w:tc>
                    <w:tc>
                      <w:tcPr>
                        <w:tcW w:w="7275" w:type="dxa"/>
                        <w:gridSpan w:val="3"/>
                      </w:tcPr>
                      <w:p>
                        <w:r>
                          <w:rPr>
                            <w:rFonts w:cs="Century Schoolbook"/>
                          </w:rPr>
                          <w:t>Province de Namur</w:t>
                        </w:r>
                      </w:p>
                    </w:tc>
                  </w:tr>
                  <w:tr>
                    <w:tc>
                      <w:tcPr>
                        <w:tcW w:w="2405" w:type="dxa"/>
                      </w:tcPr>
                      <w:p>
                        <w:r>
                          <w:t>Zone 7</w:t>
                        </w:r>
                      </w:p>
                    </w:tc>
                    <w:tc>
                      <w:tcPr>
                        <w:tcW w:w="7275" w:type="dxa"/>
                        <w:gridSpan w:val="3"/>
                      </w:tcPr>
                      <w:p>
                        <w:r>
                          <w:rPr>
                            <w:rFonts w:cs="Century Schoolbook"/>
                          </w:rPr>
                          <w:t>Province de Luxembourg</w:t>
                        </w:r>
                      </w:p>
                    </w:tc>
                  </w:tr>
                  <w:tr>
                    <w:tc>
                      <w:tcPr>
                        <w:tcW w:w="2405" w:type="dxa"/>
                        <w:vMerge w:val="restart"/>
                      </w:tcPr>
                      <w:p/>
                      <w:p>
                        <w:r>
                          <w:t>Zone 8</w:t>
                        </w:r>
                      </w:p>
                    </w:tc>
                    <w:tc>
                      <w:tcPr>
                        <w:tcW w:w="7275" w:type="dxa"/>
                        <w:gridSpan w:val="3"/>
                      </w:tcPr>
                      <w:p>
                        <w:r>
                          <w:rPr>
                            <w:rFonts w:cs="Century Schoolbook"/>
                          </w:rPr>
                          <w:t>Hainaut occidental comprenant les communes suivantes :</w:t>
                        </w:r>
                      </w:p>
                    </w:tc>
                  </w:tr>
                  <w:tr>
                    <w:trPr>
                      <w:trHeight w:val="274"/>
                    </w:trPr>
                    <w:tc>
                      <w:tcPr>
                        <w:tcW w:w="2405" w:type="dxa"/>
                        <w:vMerge/>
                      </w:tcPr>
                      <w:p/>
                    </w:tc>
                    <w:tc>
                      <w:tcPr>
                        <w:tcW w:w="2409" w:type="dxa"/>
                        <w:vAlign w:val="center"/>
                      </w:tcPr>
                      <w:p>
                        <w:pPr>
                          <w:rPr>
                            <w:rFonts w:cs="Calibri"/>
                            <w:color w:val="000000"/>
                          </w:rPr>
                        </w:pPr>
                        <w:r>
                          <w:rPr>
                            <w:rFonts w:cs="Calibri"/>
                            <w:color w:val="000000"/>
                          </w:rPr>
                          <w:t>Antoing</w:t>
                        </w:r>
                      </w:p>
                    </w:tc>
                    <w:tc>
                      <w:tcPr>
                        <w:tcW w:w="2457" w:type="dxa"/>
                        <w:vAlign w:val="center"/>
                      </w:tcPr>
                      <w:p>
                        <w:pPr>
                          <w:rPr>
                            <w:rFonts w:cs="Calibri"/>
                            <w:color w:val="000000"/>
                          </w:rPr>
                        </w:pPr>
                        <w:r>
                          <w:rPr>
                            <w:rFonts w:cs="Calibri"/>
                            <w:color w:val="000000"/>
                          </w:rPr>
                          <w:t>Chièvres</w:t>
                        </w:r>
                      </w:p>
                    </w:tc>
                    <w:tc>
                      <w:tcPr>
                        <w:tcW w:w="2409" w:type="dxa"/>
                        <w:vAlign w:val="center"/>
                      </w:tcPr>
                      <w:p>
                        <w:pPr>
                          <w:rPr>
                            <w:rFonts w:cs="Calibri"/>
                            <w:color w:val="000000"/>
                          </w:rPr>
                        </w:pPr>
                        <w:r>
                          <w:rPr>
                            <w:rFonts w:cs="Calibri"/>
                            <w:color w:val="000000"/>
                          </w:rPr>
                          <w:t>Mont-de-L'Enclus</w:t>
                        </w:r>
                      </w:p>
                    </w:tc>
                  </w:tr>
                  <w:tr>
                    <w:tc>
                      <w:tcPr>
                        <w:tcW w:w="2405" w:type="dxa"/>
                        <w:vMerge/>
                      </w:tcPr>
                      <w:p/>
                    </w:tc>
                    <w:tc>
                      <w:tcPr>
                        <w:tcW w:w="2409" w:type="dxa"/>
                      </w:tcPr>
                      <w:p>
                        <w:pPr>
                          <w:rPr>
                            <w:rFonts w:cs="Calibri"/>
                            <w:color w:val="000000"/>
                          </w:rPr>
                        </w:pPr>
                        <w:r>
                          <w:rPr>
                            <w:rFonts w:cs="Calibri"/>
                            <w:color w:val="000000"/>
                          </w:rPr>
                          <w:t>Anvaing</w:t>
                        </w:r>
                      </w:p>
                    </w:tc>
                    <w:tc>
                      <w:tcPr>
                        <w:tcW w:w="2457" w:type="dxa"/>
                      </w:tcPr>
                      <w:p>
                        <w:pPr>
                          <w:rPr>
                            <w:rFonts w:cs="Calibri"/>
                            <w:color w:val="000000"/>
                          </w:rPr>
                        </w:pPr>
                        <w:r>
                          <w:rPr>
                            <w:rFonts w:cs="Calibri"/>
                            <w:color w:val="000000"/>
                          </w:rPr>
                          <w:t>Comines-Warneton</w:t>
                        </w:r>
                      </w:p>
                    </w:tc>
                    <w:tc>
                      <w:tcPr>
                        <w:tcW w:w="2409" w:type="dxa"/>
                      </w:tcPr>
                      <w:p>
                        <w:pPr>
                          <w:rPr>
                            <w:rFonts w:cs="Calibri"/>
                            <w:color w:val="000000"/>
                          </w:rPr>
                        </w:pPr>
                        <w:r>
                          <w:rPr>
                            <w:rFonts w:cs="Calibri"/>
                            <w:color w:val="000000"/>
                          </w:rPr>
                          <w:t>Mouscron</w:t>
                        </w:r>
                      </w:p>
                    </w:tc>
                  </w:tr>
                  <w:tr>
                    <w:tc>
                      <w:tcPr>
                        <w:tcW w:w="2405" w:type="dxa"/>
                        <w:vMerge/>
                      </w:tcPr>
                      <w:p/>
                    </w:tc>
                    <w:tc>
                      <w:tcPr>
                        <w:tcW w:w="2409" w:type="dxa"/>
                      </w:tcPr>
                      <w:p>
                        <w:pPr>
                          <w:rPr>
                            <w:rFonts w:cs="Calibri"/>
                            <w:color w:val="000000"/>
                          </w:rPr>
                        </w:pPr>
                        <w:r>
                          <w:rPr>
                            <w:rFonts w:cs="Calibri"/>
                            <w:color w:val="000000"/>
                          </w:rPr>
                          <w:t>Ath</w:t>
                        </w:r>
                      </w:p>
                    </w:tc>
                    <w:tc>
                      <w:tcPr>
                        <w:tcW w:w="2457" w:type="dxa"/>
                      </w:tcPr>
                      <w:p>
                        <w:pPr>
                          <w:rPr>
                            <w:rFonts w:cs="Calibri"/>
                            <w:color w:val="000000"/>
                          </w:rPr>
                        </w:pPr>
                        <w:r>
                          <w:rPr>
                            <w:rFonts w:cs="Calibri"/>
                            <w:color w:val="000000"/>
                          </w:rPr>
                          <w:t>Ellezelles</w:t>
                        </w:r>
                      </w:p>
                    </w:tc>
                    <w:tc>
                      <w:tcPr>
                        <w:tcW w:w="2409" w:type="dxa"/>
                      </w:tcPr>
                      <w:p>
                        <w:pPr>
                          <w:rPr>
                            <w:rFonts w:cs="Calibri"/>
                            <w:color w:val="000000"/>
                          </w:rPr>
                        </w:pPr>
                        <w:r>
                          <w:rPr>
                            <w:rFonts w:cs="Calibri"/>
                            <w:color w:val="000000"/>
                          </w:rPr>
                          <w:t>Pecq</w:t>
                        </w:r>
                      </w:p>
                    </w:tc>
                  </w:tr>
                  <w:tr>
                    <w:tc>
                      <w:tcPr>
                        <w:tcW w:w="2405" w:type="dxa"/>
                        <w:vMerge/>
                      </w:tcPr>
                      <w:p/>
                    </w:tc>
                    <w:tc>
                      <w:tcPr>
                        <w:tcW w:w="2409" w:type="dxa"/>
                      </w:tcPr>
                      <w:p>
                        <w:pPr>
                          <w:rPr>
                            <w:rFonts w:cs="Calibri"/>
                            <w:color w:val="000000"/>
                          </w:rPr>
                        </w:pPr>
                        <w:r>
                          <w:rPr>
                            <w:rFonts w:cs="Calibri"/>
                            <w:color w:val="000000"/>
                          </w:rPr>
                          <w:t>Beloeil</w:t>
                        </w:r>
                      </w:p>
                    </w:tc>
                    <w:tc>
                      <w:tcPr>
                        <w:tcW w:w="2457" w:type="dxa"/>
                      </w:tcPr>
                      <w:p>
                        <w:pPr>
                          <w:rPr>
                            <w:rFonts w:cs="Calibri"/>
                            <w:color w:val="000000"/>
                          </w:rPr>
                        </w:pPr>
                        <w:r>
                          <w:rPr>
                            <w:rFonts w:cs="Calibri"/>
                            <w:color w:val="000000"/>
                          </w:rPr>
                          <w:t>Estaimpuis</w:t>
                        </w:r>
                      </w:p>
                    </w:tc>
                    <w:tc>
                      <w:tcPr>
                        <w:tcW w:w="2409" w:type="dxa"/>
                      </w:tcPr>
                      <w:p>
                        <w:pPr>
                          <w:rPr>
                            <w:rFonts w:cs="Calibri"/>
                            <w:color w:val="000000"/>
                          </w:rPr>
                        </w:pPr>
                        <w:r>
                          <w:rPr>
                            <w:rFonts w:cs="Calibri"/>
                            <w:color w:val="000000"/>
                          </w:rPr>
                          <w:t>Peruwelz</w:t>
                        </w:r>
                      </w:p>
                    </w:tc>
                  </w:tr>
                  <w:tr>
                    <w:tc>
                      <w:tcPr>
                        <w:tcW w:w="2405" w:type="dxa"/>
                        <w:vMerge/>
                      </w:tcPr>
                      <w:p/>
                    </w:tc>
                    <w:tc>
                      <w:tcPr>
                        <w:tcW w:w="2409" w:type="dxa"/>
                      </w:tcPr>
                      <w:p>
                        <w:pPr>
                          <w:rPr>
                            <w:rFonts w:cs="Calibri"/>
                            <w:color w:val="000000"/>
                          </w:rPr>
                        </w:pPr>
                        <w:r>
                          <w:rPr>
                            <w:rFonts w:cs="Calibri"/>
                            <w:color w:val="000000"/>
                          </w:rPr>
                          <w:t>Bernissart</w:t>
                        </w:r>
                      </w:p>
                    </w:tc>
                    <w:tc>
                      <w:tcPr>
                        <w:tcW w:w="2457" w:type="dxa"/>
                      </w:tcPr>
                      <w:p>
                        <w:pPr>
                          <w:rPr>
                            <w:rFonts w:cs="Calibri"/>
                            <w:color w:val="000000"/>
                          </w:rPr>
                        </w:pPr>
                        <w:r>
                          <w:rPr>
                            <w:rFonts w:cs="Calibri"/>
                            <w:color w:val="000000"/>
                          </w:rPr>
                          <w:t>Flobecq</w:t>
                        </w:r>
                      </w:p>
                    </w:tc>
                    <w:tc>
                      <w:tcPr>
                        <w:tcW w:w="2409" w:type="dxa"/>
                      </w:tcPr>
                      <w:p>
                        <w:pPr>
                          <w:rPr>
                            <w:rFonts w:cs="Calibri"/>
                            <w:color w:val="000000"/>
                          </w:rPr>
                        </w:pPr>
                        <w:r>
                          <w:rPr>
                            <w:rFonts w:cs="Calibri"/>
                            <w:color w:val="000000"/>
                          </w:rPr>
                          <w:t>Rumes</w:t>
                        </w:r>
                      </w:p>
                    </w:tc>
                  </w:tr>
                  <w:tr>
                    <w:tc>
                      <w:tcPr>
                        <w:tcW w:w="2405" w:type="dxa"/>
                        <w:vMerge/>
                      </w:tcPr>
                      <w:p/>
                    </w:tc>
                    <w:tc>
                      <w:tcPr>
                        <w:tcW w:w="2409" w:type="dxa"/>
                      </w:tcPr>
                      <w:p>
                        <w:pPr>
                          <w:rPr>
                            <w:rFonts w:cs="Calibri"/>
                            <w:color w:val="000000"/>
                          </w:rPr>
                        </w:pPr>
                        <w:r>
                          <w:rPr>
                            <w:rFonts w:cs="Calibri"/>
                            <w:color w:val="000000"/>
                          </w:rPr>
                          <w:t>Brugelette</w:t>
                        </w:r>
                      </w:p>
                    </w:tc>
                    <w:tc>
                      <w:tcPr>
                        <w:tcW w:w="2457" w:type="dxa"/>
                      </w:tcPr>
                      <w:p>
                        <w:pPr>
                          <w:rPr>
                            <w:rFonts w:cs="Calibri"/>
                            <w:color w:val="000000"/>
                          </w:rPr>
                        </w:pPr>
                        <w:r>
                          <w:rPr>
                            <w:rFonts w:cs="Calibri"/>
                            <w:color w:val="000000"/>
                          </w:rPr>
                          <w:t>Frasnes-lez-</w:t>
                        </w:r>
                      </w:p>
                    </w:tc>
                    <w:tc>
                      <w:tcPr>
                        <w:tcW w:w="2409" w:type="dxa"/>
                      </w:tcPr>
                      <w:p>
                        <w:pPr>
                          <w:rPr>
                            <w:rFonts w:cs="Calibri"/>
                            <w:color w:val="000000"/>
                          </w:rPr>
                        </w:pPr>
                        <w:r>
                          <w:rPr>
                            <w:rFonts w:cs="Calibri"/>
                            <w:color w:val="000000"/>
                          </w:rPr>
                          <w:t>Silly</w:t>
                        </w:r>
                      </w:p>
                    </w:tc>
                  </w:tr>
                  <w:tr>
                    <w:tc>
                      <w:tcPr>
                        <w:tcW w:w="2405" w:type="dxa"/>
                        <w:vMerge/>
                      </w:tcPr>
                      <w:p/>
                    </w:tc>
                    <w:tc>
                      <w:tcPr>
                        <w:tcW w:w="2409" w:type="dxa"/>
                      </w:tcPr>
                      <w:p>
                        <w:pPr>
                          <w:rPr>
                            <w:rFonts w:cs="Calibri"/>
                            <w:color w:val="000000"/>
                          </w:rPr>
                        </w:pPr>
                        <w:r>
                          <w:rPr>
                            <w:rFonts w:cs="Calibri"/>
                            <w:color w:val="000000"/>
                          </w:rPr>
                          <w:t>Brunehaut</w:t>
                        </w:r>
                      </w:p>
                    </w:tc>
                    <w:tc>
                      <w:tcPr>
                        <w:tcW w:w="2457" w:type="dxa"/>
                      </w:tcPr>
                      <w:p>
                        <w:pPr>
                          <w:rPr>
                            <w:rFonts w:cs="Calibri"/>
                            <w:color w:val="000000"/>
                          </w:rPr>
                        </w:pPr>
                        <w:r>
                          <w:rPr>
                            <w:rFonts w:cs="Calibri"/>
                            <w:color w:val="000000"/>
                          </w:rPr>
                          <w:t>Lessines</w:t>
                        </w:r>
                      </w:p>
                    </w:tc>
                    <w:tc>
                      <w:tcPr>
                        <w:tcW w:w="2409" w:type="dxa"/>
                      </w:tcPr>
                      <w:p>
                        <w:r>
                          <w:rPr>
                            <w:rFonts w:cs="Calibri"/>
                            <w:color w:val="000000"/>
                          </w:rPr>
                          <w:t>Tournai</w:t>
                        </w:r>
                      </w:p>
                    </w:tc>
                  </w:tr>
                  <w:tr>
                    <w:tc>
                      <w:tcPr>
                        <w:tcW w:w="2405" w:type="dxa"/>
                        <w:vMerge/>
                      </w:tcPr>
                      <w:p/>
                    </w:tc>
                    <w:tc>
                      <w:tcPr>
                        <w:tcW w:w="2409" w:type="dxa"/>
                      </w:tcPr>
                      <w:p>
                        <w:r>
                          <w:rPr>
                            <w:rFonts w:cs="Calibri"/>
                            <w:color w:val="000000"/>
                          </w:rPr>
                          <w:t>Celles</w:t>
                        </w:r>
                      </w:p>
                    </w:tc>
                    <w:tc>
                      <w:tcPr>
                        <w:tcW w:w="2457" w:type="dxa"/>
                      </w:tcPr>
                      <w:p>
                        <w:r>
                          <w:rPr>
                            <w:rFonts w:cs="Calibri"/>
                            <w:color w:val="000000"/>
                          </w:rPr>
                          <w:t>Leuze-en-Hainaut</w:t>
                        </w:r>
                      </w:p>
                    </w:tc>
                    <w:tc>
                      <w:tcPr>
                        <w:tcW w:w="2409" w:type="dxa"/>
                      </w:tcPr>
                      <w:p>
                        <w:pPr>
                          <w:rPr>
                            <w:rFonts w:cs="Calibri"/>
                            <w:color w:val="000000"/>
                          </w:rPr>
                        </w:pPr>
                        <w:r>
                          <w:rPr>
                            <w:rFonts w:cs="Calibri"/>
                            <w:color w:val="000000"/>
                          </w:rPr>
                          <w:t>Mouscron</w:t>
                        </w:r>
                      </w:p>
                    </w:tc>
                  </w:tr>
                  <w:tr>
                    <w:tc>
                      <w:tcPr>
                        <w:tcW w:w="2405" w:type="dxa"/>
                        <w:vMerge w:val="restart"/>
                      </w:tcPr>
                      <w:p/>
                      <w:p>
                        <w:r>
                          <w:t>Zone 9</w:t>
                        </w:r>
                      </w:p>
                    </w:tc>
                    <w:tc>
                      <w:tcPr>
                        <w:tcW w:w="7275" w:type="dxa"/>
                        <w:gridSpan w:val="3"/>
                      </w:tcPr>
                      <w:p>
                        <w:r>
                          <w:rPr>
                            <w:rFonts w:cs="Century Schoolbook"/>
                          </w:rPr>
                          <w:t>Mons-Centre comprenant les communes suivantes :</w:t>
                        </w:r>
                      </w:p>
                    </w:tc>
                  </w:tr>
                  <w:tr>
                    <w:tc>
                      <w:tcPr>
                        <w:tcW w:w="2405" w:type="dxa"/>
                        <w:vMerge/>
                      </w:tcPr>
                      <w:p/>
                    </w:tc>
                    <w:tc>
                      <w:tcPr>
                        <w:tcW w:w="2409" w:type="dxa"/>
                        <w:vAlign w:val="center"/>
                      </w:tcPr>
                      <w:p>
                        <w:pPr>
                          <w:rPr>
                            <w:rFonts w:cs="Calibri"/>
                            <w:color w:val="000000"/>
                          </w:rPr>
                        </w:pPr>
                        <w:r>
                          <w:rPr>
                            <w:rFonts w:cs="Calibri"/>
                            <w:color w:val="000000"/>
                          </w:rPr>
                          <w:t>Boussu</w:t>
                        </w:r>
                      </w:p>
                    </w:tc>
                    <w:tc>
                      <w:tcPr>
                        <w:tcW w:w="2457" w:type="dxa"/>
                        <w:vAlign w:val="center"/>
                      </w:tcPr>
                      <w:p>
                        <w:pPr>
                          <w:rPr>
                            <w:rFonts w:cs="Calibri"/>
                            <w:color w:val="000000"/>
                          </w:rPr>
                        </w:pPr>
                        <w:r>
                          <w:rPr>
                            <w:rFonts w:cs="Calibri"/>
                            <w:color w:val="000000"/>
                          </w:rPr>
                          <w:t>Hensies</w:t>
                        </w:r>
                      </w:p>
                    </w:tc>
                    <w:tc>
                      <w:tcPr>
                        <w:tcW w:w="2409" w:type="dxa"/>
                        <w:vAlign w:val="center"/>
                      </w:tcPr>
                      <w:p>
                        <w:pPr>
                          <w:rPr>
                            <w:rFonts w:cs="Calibri"/>
                            <w:color w:val="000000"/>
                          </w:rPr>
                        </w:pPr>
                        <w:r>
                          <w:rPr>
                            <w:rFonts w:cs="Calibri"/>
                            <w:color w:val="000000"/>
                          </w:rPr>
                          <w:t>Morlanwelz</w:t>
                        </w:r>
                      </w:p>
                    </w:tc>
                  </w:tr>
                  <w:tr>
                    <w:tc>
                      <w:tcPr>
                        <w:tcW w:w="2405" w:type="dxa"/>
                        <w:vMerge/>
                      </w:tcPr>
                      <w:p/>
                    </w:tc>
                    <w:tc>
                      <w:tcPr>
                        <w:tcW w:w="2409" w:type="dxa"/>
                      </w:tcPr>
                      <w:p>
                        <w:pPr>
                          <w:rPr>
                            <w:rFonts w:cs="Calibri"/>
                            <w:color w:val="000000"/>
                          </w:rPr>
                        </w:pPr>
                        <w:r>
                          <w:rPr>
                            <w:rFonts w:cs="Calibri"/>
                            <w:color w:val="000000"/>
                          </w:rPr>
                          <w:t>Braine-le-Comte</w:t>
                        </w:r>
                      </w:p>
                    </w:tc>
                    <w:tc>
                      <w:tcPr>
                        <w:tcW w:w="2457" w:type="dxa"/>
                      </w:tcPr>
                      <w:p>
                        <w:pPr>
                          <w:rPr>
                            <w:rFonts w:cs="Calibri"/>
                            <w:color w:val="000000"/>
                          </w:rPr>
                        </w:pPr>
                        <w:r>
                          <w:rPr>
                            <w:rFonts w:cs="Calibri"/>
                            <w:color w:val="000000"/>
                          </w:rPr>
                          <w:t>Honnelles</w:t>
                        </w:r>
                      </w:p>
                    </w:tc>
                    <w:tc>
                      <w:tcPr>
                        <w:tcW w:w="2409" w:type="dxa"/>
                      </w:tcPr>
                      <w:p>
                        <w:pPr>
                          <w:rPr>
                            <w:rFonts w:cs="Calibri"/>
                            <w:color w:val="000000"/>
                          </w:rPr>
                        </w:pPr>
                        <w:r>
                          <w:rPr>
                            <w:rFonts w:cs="Calibri"/>
                            <w:color w:val="000000"/>
                          </w:rPr>
                          <w:t>Quaregnon</w:t>
                        </w:r>
                      </w:p>
                    </w:tc>
                  </w:tr>
                  <w:tr>
                    <w:tc>
                      <w:tcPr>
                        <w:tcW w:w="2405" w:type="dxa"/>
                        <w:vMerge/>
                      </w:tcPr>
                      <w:p/>
                    </w:tc>
                    <w:tc>
                      <w:tcPr>
                        <w:tcW w:w="2409" w:type="dxa"/>
                      </w:tcPr>
                      <w:p>
                        <w:pPr>
                          <w:rPr>
                            <w:rFonts w:cs="Calibri"/>
                            <w:color w:val="000000"/>
                          </w:rPr>
                        </w:pPr>
                        <w:r>
                          <w:rPr>
                            <w:rFonts w:cs="Calibri"/>
                            <w:color w:val="000000"/>
                          </w:rPr>
                          <w:t>Chapelle-Herlaimont</w:t>
                        </w:r>
                      </w:p>
                    </w:tc>
                    <w:tc>
                      <w:tcPr>
                        <w:tcW w:w="2457" w:type="dxa"/>
                      </w:tcPr>
                      <w:p>
                        <w:pPr>
                          <w:rPr>
                            <w:rFonts w:cs="Calibri"/>
                            <w:color w:val="000000"/>
                          </w:rPr>
                        </w:pPr>
                        <w:r>
                          <w:rPr>
                            <w:rFonts w:cs="Calibri"/>
                            <w:color w:val="000000"/>
                          </w:rPr>
                          <w:t>Jurbize</w:t>
                        </w:r>
                      </w:p>
                    </w:tc>
                    <w:tc>
                      <w:tcPr>
                        <w:tcW w:w="2409" w:type="dxa"/>
                      </w:tcPr>
                      <w:p>
                        <w:pPr>
                          <w:rPr>
                            <w:rFonts w:cs="Calibri"/>
                            <w:color w:val="000000"/>
                          </w:rPr>
                        </w:pPr>
                        <w:r>
                          <w:rPr>
                            <w:rFonts w:cs="Calibri"/>
                            <w:color w:val="000000"/>
                          </w:rPr>
                          <w:t>Quévy</w:t>
                        </w:r>
                      </w:p>
                    </w:tc>
                  </w:tr>
                  <w:tr>
                    <w:tc>
                      <w:tcPr>
                        <w:tcW w:w="2405" w:type="dxa"/>
                        <w:vMerge/>
                      </w:tcPr>
                      <w:p/>
                    </w:tc>
                    <w:tc>
                      <w:tcPr>
                        <w:tcW w:w="2409" w:type="dxa"/>
                      </w:tcPr>
                      <w:p>
                        <w:pPr>
                          <w:rPr>
                            <w:rFonts w:cs="Calibri"/>
                            <w:color w:val="000000"/>
                          </w:rPr>
                        </w:pPr>
                        <w:r>
                          <w:rPr>
                            <w:rFonts w:cs="Calibri"/>
                            <w:color w:val="000000"/>
                          </w:rPr>
                          <w:t>Colfontaine</w:t>
                        </w:r>
                      </w:p>
                    </w:tc>
                    <w:tc>
                      <w:tcPr>
                        <w:tcW w:w="2457" w:type="dxa"/>
                      </w:tcPr>
                      <w:p>
                        <w:pPr>
                          <w:rPr>
                            <w:rFonts w:cs="Calibri"/>
                            <w:color w:val="000000"/>
                          </w:rPr>
                        </w:pPr>
                        <w:r>
                          <w:rPr>
                            <w:rFonts w:cs="Calibri"/>
                            <w:color w:val="000000"/>
                          </w:rPr>
                          <w:t>La Louvière</w:t>
                        </w:r>
                      </w:p>
                    </w:tc>
                    <w:tc>
                      <w:tcPr>
                        <w:tcW w:w="2409" w:type="dxa"/>
                      </w:tcPr>
                      <w:p>
                        <w:pPr>
                          <w:rPr>
                            <w:rFonts w:cs="Calibri"/>
                            <w:color w:val="000000"/>
                          </w:rPr>
                        </w:pPr>
                        <w:r>
                          <w:rPr>
                            <w:rFonts w:cs="Calibri"/>
                            <w:color w:val="000000"/>
                          </w:rPr>
                          <w:t>Quiévrain</w:t>
                        </w:r>
                      </w:p>
                    </w:tc>
                  </w:tr>
                  <w:tr>
                    <w:tc>
                      <w:tcPr>
                        <w:tcW w:w="2405" w:type="dxa"/>
                        <w:vMerge/>
                      </w:tcPr>
                      <w:p/>
                    </w:tc>
                    <w:tc>
                      <w:tcPr>
                        <w:tcW w:w="2409" w:type="dxa"/>
                      </w:tcPr>
                      <w:p>
                        <w:pPr>
                          <w:rPr>
                            <w:rFonts w:cs="Calibri"/>
                            <w:color w:val="000000"/>
                          </w:rPr>
                        </w:pPr>
                        <w:r>
                          <w:rPr>
                            <w:rFonts w:cs="Calibri"/>
                            <w:color w:val="000000"/>
                          </w:rPr>
                          <w:t>Dour</w:t>
                        </w:r>
                      </w:p>
                    </w:tc>
                    <w:tc>
                      <w:tcPr>
                        <w:tcW w:w="2457" w:type="dxa"/>
                      </w:tcPr>
                      <w:p>
                        <w:pPr>
                          <w:rPr>
                            <w:rFonts w:cs="Calibri"/>
                            <w:color w:val="000000"/>
                          </w:rPr>
                        </w:pPr>
                        <w:r>
                          <w:rPr>
                            <w:rFonts w:cs="Calibri"/>
                            <w:color w:val="000000"/>
                          </w:rPr>
                          <w:t xml:space="preserve">Le Roeulx </w:t>
                        </w:r>
                      </w:p>
                    </w:tc>
                    <w:tc>
                      <w:tcPr>
                        <w:tcW w:w="2409" w:type="dxa"/>
                      </w:tcPr>
                      <w:p>
                        <w:pPr>
                          <w:rPr>
                            <w:rFonts w:cs="Calibri"/>
                            <w:color w:val="000000"/>
                          </w:rPr>
                        </w:pPr>
                        <w:r>
                          <w:rPr>
                            <w:rFonts w:cs="Calibri"/>
                            <w:color w:val="000000"/>
                          </w:rPr>
                          <w:t>Saint-Ghislain</w:t>
                        </w:r>
                      </w:p>
                    </w:tc>
                  </w:tr>
                  <w:tr>
                    <w:tc>
                      <w:tcPr>
                        <w:tcW w:w="2405" w:type="dxa"/>
                        <w:vMerge/>
                      </w:tcPr>
                      <w:p/>
                    </w:tc>
                    <w:tc>
                      <w:tcPr>
                        <w:tcW w:w="2409" w:type="dxa"/>
                      </w:tcPr>
                      <w:p>
                        <w:pPr>
                          <w:rPr>
                            <w:rFonts w:cs="Calibri"/>
                            <w:color w:val="000000"/>
                          </w:rPr>
                        </w:pPr>
                        <w:r>
                          <w:rPr>
                            <w:rFonts w:cs="Calibri"/>
                            <w:color w:val="000000"/>
                          </w:rPr>
                          <w:t>Ecaussinnes</w:t>
                        </w:r>
                      </w:p>
                    </w:tc>
                    <w:tc>
                      <w:tcPr>
                        <w:tcW w:w="2457" w:type="dxa"/>
                      </w:tcPr>
                      <w:p>
                        <w:pPr>
                          <w:rPr>
                            <w:rFonts w:cs="Calibri"/>
                            <w:color w:val="000000"/>
                          </w:rPr>
                        </w:pPr>
                        <w:r>
                          <w:rPr>
                            <w:rFonts w:cs="Calibri"/>
                            <w:color w:val="000000"/>
                          </w:rPr>
                          <w:t>Lens</w:t>
                        </w:r>
                      </w:p>
                    </w:tc>
                    <w:tc>
                      <w:tcPr>
                        <w:tcW w:w="2409" w:type="dxa"/>
                      </w:tcPr>
                      <w:p>
                        <w:pPr>
                          <w:rPr>
                            <w:rFonts w:cs="Calibri"/>
                            <w:color w:val="000000"/>
                          </w:rPr>
                        </w:pPr>
                        <w:r>
                          <w:rPr>
                            <w:rFonts w:cs="Calibri"/>
                            <w:color w:val="000000"/>
                          </w:rPr>
                          <w:t>Seneffe</w:t>
                        </w:r>
                      </w:p>
                    </w:tc>
                  </w:tr>
                  <w:tr>
                    <w:tc>
                      <w:tcPr>
                        <w:tcW w:w="2405" w:type="dxa"/>
                        <w:vMerge/>
                      </w:tcPr>
                      <w:p/>
                    </w:tc>
                    <w:tc>
                      <w:tcPr>
                        <w:tcW w:w="2409" w:type="dxa"/>
                      </w:tcPr>
                      <w:p>
                        <w:pPr>
                          <w:rPr>
                            <w:rFonts w:cs="Calibri"/>
                            <w:color w:val="000000"/>
                          </w:rPr>
                        </w:pPr>
                        <w:r>
                          <w:rPr>
                            <w:rFonts w:cs="Calibri"/>
                            <w:color w:val="000000"/>
                          </w:rPr>
                          <w:t>Enghien</w:t>
                        </w:r>
                      </w:p>
                    </w:tc>
                    <w:tc>
                      <w:tcPr>
                        <w:tcW w:w="2457" w:type="dxa"/>
                      </w:tcPr>
                      <w:p>
                        <w:pPr>
                          <w:rPr>
                            <w:rFonts w:cs="Calibri"/>
                            <w:color w:val="000000"/>
                          </w:rPr>
                        </w:pPr>
                        <w:r>
                          <w:rPr>
                            <w:rFonts w:cs="Calibri"/>
                            <w:color w:val="000000"/>
                          </w:rPr>
                          <w:t>Manage</w:t>
                        </w:r>
                      </w:p>
                    </w:tc>
                    <w:tc>
                      <w:tcPr>
                        <w:tcW w:w="2409" w:type="dxa"/>
                      </w:tcPr>
                      <w:p>
                        <w:r>
                          <w:rPr>
                            <w:rFonts w:cs="Calibri"/>
                            <w:color w:val="000000"/>
                          </w:rPr>
                          <w:t>Soignies</w:t>
                        </w:r>
                      </w:p>
                    </w:tc>
                  </w:tr>
                  <w:tr>
                    <w:tc>
                      <w:tcPr>
                        <w:tcW w:w="2405" w:type="dxa"/>
                        <w:vMerge/>
                      </w:tcPr>
                      <w:p/>
                    </w:tc>
                    <w:tc>
                      <w:tcPr>
                        <w:tcW w:w="2409" w:type="dxa"/>
                      </w:tcPr>
                      <w:p>
                        <w:r>
                          <w:rPr>
                            <w:rFonts w:cs="Calibri"/>
                            <w:color w:val="000000"/>
                          </w:rPr>
                          <w:t>Frameries</w:t>
                        </w:r>
                      </w:p>
                    </w:tc>
                    <w:tc>
                      <w:tcPr>
                        <w:tcW w:w="2457" w:type="dxa"/>
                      </w:tcPr>
                      <w:p>
                        <w:r>
                          <w:rPr>
                            <w:rFonts w:cs="Calibri"/>
                            <w:color w:val="000000"/>
                          </w:rPr>
                          <w:t>Mons</w:t>
                        </w:r>
                      </w:p>
                    </w:tc>
                    <w:tc>
                      <w:tcPr>
                        <w:tcW w:w="2409" w:type="dxa"/>
                      </w:tcPr>
                      <w:p>
                        <w:pPr>
                          <w:rPr>
                            <w:rFonts w:cs="Calibri"/>
                            <w:color w:val="000000"/>
                          </w:rPr>
                        </w:pPr>
                        <w:r>
                          <w:rPr>
                            <w:rFonts w:cs="Calibri"/>
                            <w:color w:val="000000"/>
                          </w:rPr>
                          <w:t>Quaregnon</w:t>
                        </w:r>
                      </w:p>
                    </w:tc>
                  </w:tr>
                  <w:tr>
                    <w:tc>
                      <w:tcPr>
                        <w:tcW w:w="2405" w:type="dxa"/>
                        <w:vMerge w:val="restart"/>
                      </w:tcPr>
                      <w:p/>
                      <w:p>
                        <w:r>
                          <w:t xml:space="preserve">Zone 10 </w:t>
                        </w:r>
                      </w:p>
                    </w:tc>
                    <w:tc>
                      <w:tcPr>
                        <w:tcW w:w="7275" w:type="dxa"/>
                        <w:gridSpan w:val="3"/>
                      </w:tcPr>
                      <w:p>
                        <w:pPr>
                          <w:autoSpaceDE w:val="0"/>
                          <w:autoSpaceDN w:val="0"/>
                          <w:adjustRightInd w:val="0"/>
                          <w:rPr>
                            <w:rFonts w:cs="Century Schoolbook"/>
                          </w:rPr>
                        </w:pPr>
                        <w:r>
                          <w:rPr>
                            <w:rFonts w:cs="Century Schoolbook"/>
                          </w:rPr>
                          <w:t>Charleroi-Hainaut Sud comprenant les communes suivantes :</w:t>
                        </w:r>
                      </w:p>
                    </w:tc>
                  </w:tr>
                  <w:tr>
                    <w:tc>
                      <w:tcPr>
                        <w:tcW w:w="2405" w:type="dxa"/>
                        <w:vMerge/>
                      </w:tcPr>
                      <w:p/>
                    </w:tc>
                    <w:tc>
                      <w:tcPr>
                        <w:tcW w:w="2409" w:type="dxa"/>
                      </w:tcPr>
                      <w:p>
                        <w:pPr>
                          <w:autoSpaceDE w:val="0"/>
                          <w:autoSpaceDN w:val="0"/>
                          <w:adjustRightInd w:val="0"/>
                          <w:rPr>
                            <w:rFonts w:cs="Century Schoolbook"/>
                          </w:rPr>
                        </w:pPr>
                        <w:r>
                          <w:rPr>
                            <w:rFonts w:cs="Century Schoolbook"/>
                          </w:rPr>
                          <w:t>Aiseau-Presles</w:t>
                        </w:r>
                      </w:p>
                    </w:tc>
                    <w:tc>
                      <w:tcPr>
                        <w:tcW w:w="2457" w:type="dxa"/>
                      </w:tcPr>
                      <w:p>
                        <w:pPr>
                          <w:autoSpaceDE w:val="0"/>
                          <w:autoSpaceDN w:val="0"/>
                          <w:adjustRightInd w:val="0"/>
                          <w:rPr>
                            <w:rFonts w:cs="Century Schoolbook"/>
                          </w:rPr>
                        </w:pPr>
                        <w:r>
                          <w:rPr>
                            <w:rFonts w:cs="Century Schoolbook"/>
                          </w:rPr>
                          <w:t>Erquelinnes</w:t>
                        </w:r>
                      </w:p>
                    </w:tc>
                    <w:tc>
                      <w:tcPr>
                        <w:tcW w:w="2409" w:type="dxa"/>
                      </w:tcPr>
                      <w:p>
                        <w:pPr>
                          <w:autoSpaceDE w:val="0"/>
                          <w:autoSpaceDN w:val="0"/>
                          <w:adjustRightInd w:val="0"/>
                          <w:rPr>
                            <w:rFonts w:cs="Century Schoolbook"/>
                          </w:rPr>
                        </w:pPr>
                        <w:r>
                          <w:rPr>
                            <w:rFonts w:cs="Century Schoolbook"/>
                          </w:rPr>
                          <w:t>Les Bons-Villers</w:t>
                        </w:r>
                      </w:p>
                    </w:tc>
                  </w:tr>
                  <w:tr>
                    <w:tc>
                      <w:tcPr>
                        <w:tcW w:w="2405" w:type="dxa"/>
                        <w:vMerge/>
                      </w:tcPr>
                      <w:p/>
                    </w:tc>
                    <w:tc>
                      <w:tcPr>
                        <w:tcW w:w="2409" w:type="dxa"/>
                      </w:tcPr>
                      <w:p>
                        <w:pPr>
                          <w:autoSpaceDE w:val="0"/>
                          <w:autoSpaceDN w:val="0"/>
                          <w:adjustRightInd w:val="0"/>
                          <w:rPr>
                            <w:rFonts w:cs="Century Schoolbook"/>
                          </w:rPr>
                        </w:pPr>
                        <w:r>
                          <w:rPr>
                            <w:rFonts w:cs="Century Schoolbook"/>
                          </w:rPr>
                          <w:t>Anderlues</w:t>
                        </w:r>
                      </w:p>
                    </w:tc>
                    <w:tc>
                      <w:tcPr>
                        <w:tcW w:w="2457" w:type="dxa"/>
                      </w:tcPr>
                      <w:p>
                        <w:pPr>
                          <w:autoSpaceDE w:val="0"/>
                          <w:autoSpaceDN w:val="0"/>
                          <w:adjustRightInd w:val="0"/>
                          <w:rPr>
                            <w:rFonts w:cs="Century Schoolbook"/>
                          </w:rPr>
                        </w:pPr>
                        <w:r>
                          <w:rPr>
                            <w:rFonts w:cs="Century Schoolbook"/>
                          </w:rPr>
                          <w:t>Estinnes</w:t>
                        </w:r>
                      </w:p>
                    </w:tc>
                    <w:tc>
                      <w:tcPr>
                        <w:tcW w:w="2409" w:type="dxa"/>
                      </w:tcPr>
                      <w:p>
                        <w:pPr>
                          <w:autoSpaceDE w:val="0"/>
                          <w:autoSpaceDN w:val="0"/>
                          <w:adjustRightInd w:val="0"/>
                          <w:rPr>
                            <w:rFonts w:cs="Century Schoolbook"/>
                          </w:rPr>
                        </w:pPr>
                        <w:r>
                          <w:rPr>
                            <w:rFonts w:cs="Century Schoolbook"/>
                          </w:rPr>
                          <w:t>Lobbes</w:t>
                        </w:r>
                      </w:p>
                    </w:tc>
                  </w:tr>
                  <w:tr>
                    <w:tc>
                      <w:tcPr>
                        <w:tcW w:w="2405" w:type="dxa"/>
                        <w:vMerge/>
                      </w:tcPr>
                      <w:p/>
                    </w:tc>
                    <w:tc>
                      <w:tcPr>
                        <w:tcW w:w="2409" w:type="dxa"/>
                      </w:tcPr>
                      <w:p>
                        <w:pPr>
                          <w:autoSpaceDE w:val="0"/>
                          <w:autoSpaceDN w:val="0"/>
                          <w:adjustRightInd w:val="0"/>
                          <w:rPr>
                            <w:rFonts w:cs="Century Schoolbook"/>
                          </w:rPr>
                        </w:pPr>
                        <w:r>
                          <w:rPr>
                            <w:rFonts w:cs="Century Schoolbook"/>
                          </w:rPr>
                          <w:t>Beaumont</w:t>
                        </w:r>
                      </w:p>
                    </w:tc>
                    <w:tc>
                      <w:tcPr>
                        <w:tcW w:w="2457" w:type="dxa"/>
                      </w:tcPr>
                      <w:p>
                        <w:pPr>
                          <w:autoSpaceDE w:val="0"/>
                          <w:autoSpaceDN w:val="0"/>
                          <w:adjustRightInd w:val="0"/>
                          <w:rPr>
                            <w:rFonts w:cs="Century Schoolbook"/>
                          </w:rPr>
                        </w:pPr>
                        <w:r>
                          <w:rPr>
                            <w:rFonts w:cs="Century Schoolbook"/>
                          </w:rPr>
                          <w:t>Farciennes</w:t>
                        </w:r>
                      </w:p>
                    </w:tc>
                    <w:tc>
                      <w:tcPr>
                        <w:tcW w:w="2409" w:type="dxa"/>
                      </w:tcPr>
                      <w:p>
                        <w:pPr>
                          <w:autoSpaceDE w:val="0"/>
                          <w:autoSpaceDN w:val="0"/>
                          <w:adjustRightInd w:val="0"/>
                          <w:rPr>
                            <w:rFonts w:cs="Century Schoolbook"/>
                          </w:rPr>
                        </w:pPr>
                        <w:r>
                          <w:rPr>
                            <w:rFonts w:cs="Century Schoolbook"/>
                          </w:rPr>
                          <w:t>Montigny-le-Tilleul</w:t>
                        </w:r>
                      </w:p>
                    </w:tc>
                  </w:tr>
                  <w:tr>
                    <w:tc>
                      <w:tcPr>
                        <w:tcW w:w="2405" w:type="dxa"/>
                        <w:vMerge/>
                      </w:tcPr>
                      <w:p/>
                    </w:tc>
                    <w:tc>
                      <w:tcPr>
                        <w:tcW w:w="2409" w:type="dxa"/>
                      </w:tcPr>
                      <w:p>
                        <w:pPr>
                          <w:autoSpaceDE w:val="0"/>
                          <w:autoSpaceDN w:val="0"/>
                          <w:adjustRightInd w:val="0"/>
                          <w:rPr>
                            <w:rFonts w:cs="Century Schoolbook"/>
                          </w:rPr>
                        </w:pPr>
                        <w:r>
                          <w:rPr>
                            <w:rFonts w:cs="Century Schoolbook"/>
                          </w:rPr>
                          <w:t>Binche</w:t>
                        </w:r>
                      </w:p>
                    </w:tc>
                    <w:tc>
                      <w:tcPr>
                        <w:tcW w:w="2457" w:type="dxa"/>
                      </w:tcPr>
                      <w:p>
                        <w:pPr>
                          <w:autoSpaceDE w:val="0"/>
                          <w:autoSpaceDN w:val="0"/>
                          <w:adjustRightInd w:val="0"/>
                          <w:rPr>
                            <w:rFonts w:cs="Century Schoolbook"/>
                          </w:rPr>
                        </w:pPr>
                        <w:r>
                          <w:rPr>
                            <w:rFonts w:cs="Century Schoolbook"/>
                          </w:rPr>
                          <w:t>Fleurus</w:t>
                        </w:r>
                      </w:p>
                    </w:tc>
                    <w:tc>
                      <w:tcPr>
                        <w:tcW w:w="2409" w:type="dxa"/>
                      </w:tcPr>
                      <w:p>
                        <w:pPr>
                          <w:autoSpaceDE w:val="0"/>
                          <w:autoSpaceDN w:val="0"/>
                          <w:adjustRightInd w:val="0"/>
                          <w:rPr>
                            <w:rFonts w:cs="Century Schoolbook"/>
                          </w:rPr>
                        </w:pPr>
                        <w:r>
                          <w:rPr>
                            <w:rFonts w:cs="Century Schoolbook"/>
                          </w:rPr>
                          <w:t>Merbes</w:t>
                        </w:r>
                      </w:p>
                    </w:tc>
                  </w:tr>
                  <w:tr>
                    <w:tc>
                      <w:tcPr>
                        <w:tcW w:w="2405" w:type="dxa"/>
                        <w:vMerge/>
                      </w:tcPr>
                      <w:p/>
                    </w:tc>
                    <w:tc>
                      <w:tcPr>
                        <w:tcW w:w="2409" w:type="dxa"/>
                      </w:tcPr>
                      <w:p>
                        <w:pPr>
                          <w:autoSpaceDE w:val="0"/>
                          <w:autoSpaceDN w:val="0"/>
                          <w:adjustRightInd w:val="0"/>
                          <w:rPr>
                            <w:rFonts w:cs="Century Schoolbook"/>
                          </w:rPr>
                        </w:pPr>
                        <w:r>
                          <w:rPr>
                            <w:rFonts w:cs="Century Schoolbook"/>
                          </w:rPr>
                          <w:t>Charleroi</w:t>
                        </w:r>
                      </w:p>
                    </w:tc>
                    <w:tc>
                      <w:tcPr>
                        <w:tcW w:w="2457" w:type="dxa"/>
                      </w:tcPr>
                      <w:p>
                        <w:pPr>
                          <w:autoSpaceDE w:val="0"/>
                          <w:autoSpaceDN w:val="0"/>
                          <w:adjustRightInd w:val="0"/>
                          <w:rPr>
                            <w:rFonts w:cs="Century Schoolbook"/>
                          </w:rPr>
                        </w:pPr>
                        <w:r>
                          <w:rPr>
                            <w:rFonts w:cs="Century Schoolbook"/>
                          </w:rPr>
                          <w:t>Fontainel'Evêque</w:t>
                        </w:r>
                      </w:p>
                    </w:tc>
                    <w:tc>
                      <w:tcPr>
                        <w:tcW w:w="2409" w:type="dxa"/>
                      </w:tcPr>
                      <w:p>
                        <w:pPr>
                          <w:autoSpaceDE w:val="0"/>
                          <w:autoSpaceDN w:val="0"/>
                          <w:adjustRightInd w:val="0"/>
                          <w:rPr>
                            <w:rFonts w:cs="Century Schoolbook"/>
                          </w:rPr>
                        </w:pPr>
                        <w:r>
                          <w:rPr>
                            <w:rFonts w:cs="Century Schoolbook"/>
                          </w:rPr>
                          <w:t>Momignies</w:t>
                        </w:r>
                      </w:p>
                    </w:tc>
                  </w:tr>
                  <w:tr>
                    <w:tc>
                      <w:tcPr>
                        <w:tcW w:w="2405" w:type="dxa"/>
                        <w:vMerge/>
                      </w:tcPr>
                      <w:p/>
                    </w:tc>
                    <w:tc>
                      <w:tcPr>
                        <w:tcW w:w="2409" w:type="dxa"/>
                      </w:tcPr>
                      <w:p>
                        <w:pPr>
                          <w:autoSpaceDE w:val="0"/>
                          <w:autoSpaceDN w:val="0"/>
                          <w:adjustRightInd w:val="0"/>
                          <w:rPr>
                            <w:rFonts w:cs="Century Schoolbook"/>
                          </w:rPr>
                        </w:pPr>
                        <w:r>
                          <w:rPr>
                            <w:rFonts w:cs="Century Schoolbook"/>
                          </w:rPr>
                          <w:t>Châtelet</w:t>
                        </w:r>
                      </w:p>
                    </w:tc>
                    <w:tc>
                      <w:tcPr>
                        <w:tcW w:w="2457" w:type="dxa"/>
                      </w:tcPr>
                      <w:p>
                        <w:pPr>
                          <w:autoSpaceDE w:val="0"/>
                          <w:autoSpaceDN w:val="0"/>
                          <w:adjustRightInd w:val="0"/>
                          <w:rPr>
                            <w:rFonts w:cs="Century Schoolbook"/>
                          </w:rPr>
                        </w:pPr>
                        <w:r>
                          <w:rPr>
                            <w:rFonts w:cs="Century Schoolbook"/>
                          </w:rPr>
                          <w:t>Froidchapelle</w:t>
                        </w:r>
                      </w:p>
                    </w:tc>
                    <w:tc>
                      <w:tcPr>
                        <w:tcW w:w="2409" w:type="dxa"/>
                      </w:tcPr>
                      <w:p>
                        <w:pPr>
                          <w:autoSpaceDE w:val="0"/>
                          <w:autoSpaceDN w:val="0"/>
                          <w:adjustRightInd w:val="0"/>
                          <w:rPr>
                            <w:rFonts w:cs="Century Schoolbook"/>
                          </w:rPr>
                        </w:pPr>
                        <w:r>
                          <w:rPr>
                            <w:rFonts w:cs="Century Schoolbook"/>
                          </w:rPr>
                          <w:t>Pont-à-Celles</w:t>
                        </w:r>
                      </w:p>
                    </w:tc>
                  </w:tr>
                  <w:tr>
                    <w:tc>
                      <w:tcPr>
                        <w:tcW w:w="2405" w:type="dxa"/>
                        <w:vMerge/>
                      </w:tcPr>
                      <w:p/>
                    </w:tc>
                    <w:tc>
                      <w:tcPr>
                        <w:tcW w:w="2409" w:type="dxa"/>
                      </w:tcPr>
                      <w:p>
                        <w:pPr>
                          <w:autoSpaceDE w:val="0"/>
                          <w:autoSpaceDN w:val="0"/>
                          <w:adjustRightInd w:val="0"/>
                          <w:rPr>
                            <w:rFonts w:cs="Century Schoolbook"/>
                          </w:rPr>
                        </w:pPr>
                        <w:r>
                          <w:rPr>
                            <w:rFonts w:cs="Century Schoolbook"/>
                          </w:rPr>
                          <w:t>Chimay</w:t>
                        </w:r>
                      </w:p>
                    </w:tc>
                    <w:tc>
                      <w:tcPr>
                        <w:tcW w:w="2457" w:type="dxa"/>
                      </w:tcPr>
                      <w:p>
                        <w:pPr>
                          <w:autoSpaceDE w:val="0"/>
                          <w:autoSpaceDN w:val="0"/>
                          <w:adjustRightInd w:val="0"/>
                          <w:rPr>
                            <w:rFonts w:cs="Century Schoolbook"/>
                          </w:rPr>
                        </w:pPr>
                        <w:r>
                          <w:rPr>
                            <w:rFonts w:cs="Century Schoolbook"/>
                          </w:rPr>
                          <w:t>Gerpinnes</w:t>
                        </w:r>
                      </w:p>
                    </w:tc>
                    <w:tc>
                      <w:tcPr>
                        <w:tcW w:w="2409" w:type="dxa"/>
                      </w:tcPr>
                      <w:p>
                        <w:pPr>
                          <w:autoSpaceDE w:val="0"/>
                          <w:autoSpaceDN w:val="0"/>
                          <w:adjustRightInd w:val="0"/>
                          <w:rPr>
                            <w:rFonts w:cs="Century Schoolbook"/>
                          </w:rPr>
                        </w:pPr>
                        <w:r>
                          <w:rPr>
                            <w:rFonts w:cs="Century Schoolbook"/>
                          </w:rPr>
                          <w:t>Sivry-Rance</w:t>
                        </w:r>
                      </w:p>
                    </w:tc>
                  </w:tr>
                  <w:tr>
                    <w:tc>
                      <w:tcPr>
                        <w:tcW w:w="2405" w:type="dxa"/>
                        <w:vMerge/>
                      </w:tcPr>
                      <w:p/>
                    </w:tc>
                    <w:tc>
                      <w:tcPr>
                        <w:tcW w:w="2409" w:type="dxa"/>
                      </w:tcPr>
                      <w:p>
                        <w:r>
                          <w:rPr>
                            <w:rFonts w:cs="Century Schoolbook"/>
                          </w:rPr>
                          <w:t>Courcelles</w:t>
                        </w:r>
                      </w:p>
                    </w:tc>
                    <w:tc>
                      <w:tcPr>
                        <w:tcW w:w="2457" w:type="dxa"/>
                      </w:tcPr>
                      <w:p>
                        <w:r>
                          <w:rPr>
                            <w:rFonts w:cs="Century Schoolbook"/>
                          </w:rPr>
                          <w:t>Ham-sur-Heure</w:t>
                        </w:r>
                      </w:p>
                    </w:tc>
                    <w:tc>
                      <w:tcPr>
                        <w:tcW w:w="2409" w:type="dxa"/>
                      </w:tcPr>
                      <w:p>
                        <w:r>
                          <w:rPr>
                            <w:rFonts w:cs="Century Schoolbook"/>
                          </w:rPr>
                          <w:t>Thuin</w:t>
                        </w:r>
                      </w:p>
                    </w:tc>
                  </w:tr>
                </w:tbl>
                <w:p/>
                <w:p>
                  <w:r>
                    <w:br w:type="page"/>
                  </w:r>
                </w:p>
                <w:sdt>
                  <w:sdtPr>
                    <w:rPr>
                      <w:rFonts w:asciiTheme="majorHAnsi" w:eastAsiaTheme="minorHAnsi" w:hAnsiTheme="majorHAnsi"/>
                      <w:sz w:val="24"/>
                      <w:lang w:eastAsia="en-US"/>
                    </w:rPr>
                    <w:id w:val="207770601"/>
                    <w:docPartObj>
                      <w:docPartGallery w:val="Cover Pages"/>
                      <w:docPartUnique/>
                    </w:docPartObj>
                  </w:sdtPr>
                  <w:sdtEndPr>
                    <w:rPr>
                      <w:sz w:val="22"/>
                    </w:rPr>
                  </w:sdtEndPr>
                  <w:sdtContent>
                    <w:p>
                      <w:pPr>
                        <w:pStyle w:val="Sansinterligne"/>
                        <w:jc w:val="both"/>
                        <w:rPr>
                          <w:rFonts w:asciiTheme="majorHAnsi" w:hAnsiTheme="majorHAnsi"/>
                        </w:rPr>
                      </w:pPr>
                    </w:p>
                    <w:p>
                      <w:pPr>
                        <w:pStyle w:val="Titre2"/>
                      </w:pPr>
                      <w:bookmarkStart w:id="1658" w:name="_chapitre_3_:"/>
                      <w:bookmarkStart w:id="1659" w:name="_Toc477623648"/>
                      <w:bookmarkStart w:id="1660" w:name="_Toc477767438"/>
                      <w:bookmarkStart w:id="1661" w:name="_Toc18914424"/>
                      <w:bookmarkEnd w:id="1658"/>
                      <w:r>
                        <w:t>Chapitre</w:t>
                      </w:r>
                      <w:bookmarkEnd w:id="1659"/>
                      <w:bookmarkEnd w:id="1660"/>
                      <w:r>
                        <w:t xml:space="preserve"> 3</w:t>
                      </w:r>
                      <w:bookmarkStart w:id="1662" w:name="_Toc477623649"/>
                      <w:bookmarkStart w:id="1663" w:name="_Toc477767439"/>
                      <w:r>
                        <w:t> : Admission aux subventions</w:t>
                      </w:r>
                      <w:bookmarkEnd w:id="1662"/>
                      <w:bookmarkEnd w:id="1663"/>
                      <w:r>
                        <w:rPr>
                          <w:rStyle w:val="Appelnotedebasdep"/>
                        </w:rPr>
                        <w:footnoteReference w:id="93"/>
                      </w:r>
                      <w:bookmarkEnd w:id="1661"/>
                      <w:r>
                        <w:t xml:space="preserve"> </w:t>
                      </w:r>
                    </w:p>
                    <w:p>
                      <w:pPr>
                        <w:jc w:val="both"/>
                      </w:pPr>
                    </w:p>
                    <w:p>
                      <w:pPr>
                        <w:jc w:val="both"/>
                        <w:rPr>
                          <w:rFonts w:eastAsiaTheme="minorEastAsia"/>
                          <w:lang w:eastAsia="fr-BE"/>
                        </w:rPr>
                      </w:pPr>
                    </w:p>
                    <w:p>
                      <w:pPr>
                        <w:jc w:val="both"/>
                        <w:rPr>
                          <w:rFonts w:eastAsiaTheme="minorEastAsia"/>
                          <w:lang w:eastAsia="fr-BE"/>
                        </w:rPr>
                      </w:pPr>
                    </w:p>
                    <w:p>
                      <w:pPr>
                        <w:jc w:val="both"/>
                        <w:rPr>
                          <w:rFonts w:eastAsiaTheme="minorEastAsia"/>
                          <w:lang w:eastAsia="fr-BE"/>
                        </w:rPr>
                      </w:pPr>
                    </w:p>
                  </w:sdtContent>
                </w:sdt>
                <w:p>
                  <w:pPr>
                    <w:jc w:val="both"/>
                    <w:rPr>
                      <w:b/>
                      <w:u w:val="single"/>
                    </w:rPr>
                  </w:pPr>
                  <w:bookmarkStart w:id="1664" w:name="_Toc414353000"/>
                  <w:r>
                    <w:rPr>
                      <w:b/>
                      <w:u w:val="single"/>
                    </w:rPr>
                    <w:t>Bases légales :</w:t>
                  </w:r>
                </w:p>
                <w:p>
                  <w:pPr>
                    <w:jc w:val="both"/>
                    <w:rPr>
                      <w:rStyle w:val="Lienhypertexte"/>
                    </w:rPr>
                  </w:pPr>
                </w:p>
                <w:p>
                  <w:pPr>
                    <w:numPr>
                      <w:ilvl w:val="0"/>
                      <w:numId w:val="112"/>
                    </w:numPr>
                    <w:suppressAutoHyphens/>
                    <w:jc w:val="both"/>
                    <w:rPr>
                      <w:rStyle w:val="Lienhypertexte"/>
                      <w:rFonts w:cstheme="minorBidi"/>
                    </w:rPr>
                  </w:pPr>
                  <w:r>
                    <w:rPr>
                      <w:rStyle w:val="Lienhypertexte"/>
                    </w:rPr>
                    <w:fldChar w:fldCharType="begin"/>
                  </w:r>
                  <w:r>
                    <w:rPr>
                      <w:rStyle w:val="Lienhypertexte"/>
                    </w:rPr>
                    <w:instrText>HYPERLINK "https://www.gallilex.cfwb.be/document/pdf/05108_052.pdf"</w:instrText>
                  </w:r>
                  <w:r>
                    <w:rPr>
                      <w:rStyle w:val="Lienhypertexte"/>
                    </w:rPr>
                    <w:fldChar w:fldCharType="separate"/>
                  </w:r>
                  <w:r>
                    <w:rPr>
                      <w:rStyle w:val="Lienhypertexte"/>
                    </w:rPr>
                    <w:t>Loi du 29 mai 1959 modifiant certaines dispositions de la législation de l'enseignement étaient remplies telle que modifiée par le décret du 4 février 2016 portant diverses dispositions en matière d’enseignement</w:t>
                  </w:r>
                </w:p>
                <w:p>
                  <w:pPr>
                    <w:numPr>
                      <w:ilvl w:val="0"/>
                      <w:numId w:val="112"/>
                    </w:numPr>
                    <w:suppressAutoHyphens/>
                    <w:jc w:val="both"/>
                    <w:rPr>
                      <w:rStyle w:val="Lienhypertexte"/>
                      <w:rFonts w:cstheme="minorBidi"/>
                      <w:color w:val="auto"/>
                      <w:u w:val="none"/>
                    </w:rPr>
                  </w:pPr>
                  <w:r>
                    <w:rPr>
                      <w:rStyle w:val="Lienhypertexte"/>
                    </w:rPr>
                    <w:fldChar w:fldCharType="end"/>
                  </w:r>
                  <w:hyperlink r:id="rId124" w:history="1">
                    <w:r>
                      <w:rPr>
                        <w:rStyle w:val="Lienhypertexte"/>
                      </w:rPr>
                      <w:t>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hyperlink>
                </w:p>
                <w:p>
                  <w:pPr>
                    <w:numPr>
                      <w:ilvl w:val="0"/>
                      <w:numId w:val="112"/>
                    </w:numPr>
                    <w:suppressAutoHyphens/>
                    <w:jc w:val="both"/>
                  </w:pPr>
                  <w:hyperlink r:id="rId125" w:history="1">
                    <w:r>
                      <w:rPr>
                        <w:rStyle w:val="Lienhypertexte"/>
                        <w:rFonts w:cstheme="minorBidi"/>
                      </w:rPr>
                      <w:t>Décret du 4 février 2016 portant diverses mesures en matière d’enseignement et notamment le respect des conditions de subventionnement</w:t>
                    </w:r>
                  </w:hyperlink>
                </w:p>
                <w:bookmarkStart w:id="1665" w:name="_Toc453837016"/>
                <w:p>
                  <w:pPr>
                    <w:numPr>
                      <w:ilvl w:val="0"/>
                      <w:numId w:val="112"/>
                    </w:numPr>
                    <w:suppressAutoHyphens/>
                    <w:jc w:val="both"/>
                  </w:pPr>
                  <w:r>
                    <w:fldChar w:fldCharType="begin"/>
                  </w:r>
                  <w:r>
                    <w:instrText xml:space="preserve"> HYPERLINK "http://www.gallilex.cfwb.be/document/pdf/42912_000.pdf" </w:instrText>
                  </w:r>
                  <w:r>
                    <w:fldChar w:fldCharType="separate"/>
                  </w:r>
                  <w:r>
                    <w:rPr>
                      <w:rStyle w:val="Lienhypertexte"/>
                      <w:rFonts w:cstheme="minorBidi"/>
                    </w:rPr>
                    <w:t>Arrêté du 31 août 2016 relatif à la demande d’admission aux subventions des établissements scolaires</w:t>
                  </w:r>
                  <w:r>
                    <w:rPr>
                      <w:rStyle w:val="Lienhypertexte"/>
                      <w:rFonts w:cstheme="minorBidi"/>
                    </w:rPr>
                    <w:fldChar w:fldCharType="end"/>
                  </w:r>
                  <w:r>
                    <w:t xml:space="preserve"> </w:t>
                  </w:r>
                </w:p>
                <w:p>
                  <w:pPr>
                    <w:numPr>
                      <w:ilvl w:val="0"/>
                      <w:numId w:val="112"/>
                    </w:numPr>
                    <w:suppressAutoHyphens/>
                    <w:jc w:val="both"/>
                  </w:pPr>
                  <w:hyperlink r:id="rId126" w:history="1">
                    <w:r>
                      <w:rPr>
                        <w:rStyle w:val="Lienhypertexte"/>
                        <w:rFonts w:cstheme="minorBidi"/>
                      </w:rPr>
                      <w:t>Arrêté du Gouvernement de la Communauté française du 6 septembre 2017 modifiant l’arrêté du Gouvernement de la CF du 31 août 2016 relatif à la demande d’admission aux subventions des établissements scolaires</w:t>
                    </w:r>
                  </w:hyperlink>
                </w:p>
                <w:p>
                  <w:pPr>
                    <w:numPr>
                      <w:ilvl w:val="0"/>
                      <w:numId w:val="112"/>
                    </w:numPr>
                    <w:suppressAutoHyphens/>
                    <w:jc w:val="both"/>
                  </w:pPr>
                  <w:hyperlink r:id="rId127" w:history="1">
                    <w:r>
                      <w:rPr>
                        <w:rStyle w:val="Lienhypertexte"/>
                        <w:rFonts w:cs="Arial"/>
                        <w:spacing w:val="2"/>
                      </w:rPr>
                      <w:t>Circulaire 5997 relative à la demande d’admission aux subventions des établissements scolaires – modifie les circulaires 3383 du 14 décembre 2010 et 3284 du 14 septembre 2010</w:t>
                    </w:r>
                  </w:hyperlink>
                </w:p>
                <w:p>
                  <w:pPr>
                    <w:jc w:val="both"/>
                  </w:pPr>
                </w:p>
                <w:p>
                  <w:pPr>
                    <w:jc w:val="both"/>
                  </w:pPr>
                </w:p>
                <w:p>
                  <w:pPr>
                    <w:pStyle w:val="Titre3"/>
                  </w:pPr>
                  <w:bookmarkStart w:id="1666" w:name="_1._Création_d’un"/>
                  <w:bookmarkStart w:id="1667" w:name="_Toc18914425"/>
                  <w:bookmarkEnd w:id="1666"/>
                  <w:r>
                    <w:t>1. Création d’un nouvel établissement scolaire d’enseignement spécialisé</w:t>
                  </w:r>
                  <w:bookmarkEnd w:id="1667"/>
                </w:p>
                <w:p>
                  <w:pPr>
                    <w:jc w:val="both"/>
                  </w:pPr>
                </w:p>
                <w:p>
                  <w:pPr>
                    <w:jc w:val="both"/>
                    <w:rPr>
                      <w:rFonts w:cs="Calibri"/>
                    </w:rPr>
                  </w:pPr>
                  <w:r>
                    <w:rPr>
                      <w:rFonts w:cs="Calibri"/>
                    </w:rPr>
                    <w:t xml:space="preserve">En date du 31 août 2016, le Gouvernement de la Communauté française a adopté un nouvel arrêté </w:t>
                  </w:r>
                  <w:r>
                    <w:rPr>
                      <w:rFonts w:cs="Calibri"/>
                      <w:i/>
                    </w:rPr>
                    <w:t>relatif à la demande d’admission aux subventions des établissements scolaires</w:t>
                  </w:r>
                  <w:r>
                    <w:rPr>
                      <w:rFonts w:cs="Calibri"/>
                    </w:rPr>
                    <w:t xml:space="preserve">, afin d’établir les modalités d’introduction d’une demande d’admission aux subventions pour un établissement scolaire, conformément à l’article 37 de la loi du 29 mai 1959 </w:t>
                  </w:r>
                  <w:r>
                    <w:rPr>
                      <w:rFonts w:cs="Calibri"/>
                      <w:i/>
                    </w:rPr>
                    <w:t>modifiant certaines dispositions de la législation de l’enseignement</w:t>
                  </w:r>
                  <w:r>
                    <w:rPr>
                      <w:rFonts w:cs="Calibri"/>
                    </w:rPr>
                    <w:t>.</w:t>
                  </w:r>
                </w:p>
                <w:p>
                  <w:pPr>
                    <w:jc w:val="both"/>
                    <w:rPr>
                      <w:rFonts w:cs="Calibri"/>
                    </w:rPr>
                  </w:pPr>
                  <w:r>
                    <w:rPr>
                      <w:rFonts w:cs="Calibri"/>
                    </w:rPr>
                    <w:t xml:space="preserve">Cet arrêté intègre notamment le respect des nouvelles conditions de subventionnement ajoutées par le décret du 4 février 2016 portant diverses mesures en matière d’enseignement. </w:t>
                  </w:r>
                </w:p>
                <w:p>
                  <w:pPr>
                    <w:jc w:val="both"/>
                    <w:rPr>
                      <w:rFonts w:cs="Calibri"/>
                    </w:rPr>
                  </w:pPr>
                </w:p>
                <w:p>
                  <w:pPr>
                    <w:jc w:val="both"/>
                    <w:rPr>
                      <w:rFonts w:cs="Calibri"/>
                    </w:rPr>
                  </w:pPr>
                  <w:r>
                    <w:rPr>
                      <w:rFonts w:cs="Calibri"/>
                    </w:rPr>
                    <w:t>En pratique, il contient une annexe construite en deux parties, que les Pouvoirs organisateurs doivent renvoyer à l’Administration pour demander une première admission aux subventions d’un établissement scolaire de l’enseignement fondamental spécialisé.</w:t>
                  </w:r>
                </w:p>
                <w:p>
                  <w:pPr>
                    <w:jc w:val="both"/>
                    <w:rPr>
                      <w:rFonts w:cs="Calibri"/>
                    </w:rPr>
                  </w:pPr>
                </w:p>
                <w:p>
                  <w:pPr>
                    <w:jc w:val="both"/>
                    <w:rPr>
                      <w:rFonts w:cs="Calibri"/>
                    </w:rPr>
                  </w:pPr>
                  <w:r>
                    <w:rPr>
                      <w:rFonts w:cs="Calibri"/>
                    </w:rPr>
                    <w:t xml:space="preserve">La première partie concerne les données administratives liées au Pouvoir organisateur et aux structures de l’établissement. La deuxième partie contient une déclaration sur l’honneur enrichie, imposant notamment le transmis de certaines pièces ou de certaines informations, comme par exemple une copie des plans du bâtiment scolaire, du projet éducatif et pédagogique du Pouvoir organisateur, ou de l’accord de l’autorité compétente du culte concerné en cas d’admission aux subventions d’un établissement libre confessionnel. </w:t>
                  </w:r>
                </w:p>
                <w:p>
                  <w:pPr>
                    <w:jc w:val="both"/>
                    <w:rPr>
                      <w:rFonts w:cs="Calibri"/>
                    </w:rPr>
                  </w:pPr>
                </w:p>
                <w:p>
                  <w:pPr>
                    <w:jc w:val="both"/>
                    <w:rPr>
                      <w:rFonts w:cs="Calibri"/>
                    </w:rPr>
                  </w:pPr>
                  <w:r>
                    <w:rPr>
                      <w:rFonts w:cs="Calibri"/>
                    </w:rPr>
                    <w:t xml:space="preserve">L’arrêté du Gouvernement du 31 août 2016 précité instaure également plusieurs nouvelles règles : </w:t>
                  </w:r>
                </w:p>
                <w:p>
                  <w:pPr>
                    <w:rPr>
                      <w:rFonts w:cs="Calibri"/>
                    </w:rPr>
                  </w:pPr>
                </w:p>
                <w:p>
                  <w:pPr>
                    <w:pStyle w:val="Paragraphedeliste"/>
                    <w:numPr>
                      <w:ilvl w:val="0"/>
                      <w:numId w:val="66"/>
                    </w:numPr>
                    <w:jc w:val="both"/>
                    <w:rPr>
                      <w:rFonts w:asciiTheme="majorHAnsi" w:hAnsiTheme="majorHAnsi" w:cs="Calibri"/>
                      <w:sz w:val="22"/>
                      <w:szCs w:val="22"/>
                    </w:rPr>
                  </w:pPr>
                  <w:r>
                    <w:rPr>
                      <w:rFonts w:asciiTheme="majorHAnsi" w:hAnsiTheme="majorHAnsi" w:cs="Calibri"/>
                      <w:sz w:val="22"/>
                      <w:szCs w:val="22"/>
                    </w:rPr>
                    <w:t>il est prévu une date butoir pour toutes les demandes d’admission aux subventions d’établissements scolaires ;</w:t>
                  </w:r>
                </w:p>
                <w:p>
                  <w:pPr>
                    <w:pStyle w:val="Paragraphedeliste"/>
                    <w:numPr>
                      <w:ilvl w:val="0"/>
                      <w:numId w:val="66"/>
                    </w:numPr>
                    <w:jc w:val="both"/>
                    <w:rPr>
                      <w:rFonts w:asciiTheme="majorHAnsi" w:hAnsiTheme="majorHAnsi" w:cs="Calibri"/>
                      <w:sz w:val="22"/>
                      <w:szCs w:val="22"/>
                    </w:rPr>
                  </w:pPr>
                  <w:r>
                    <w:rPr>
                      <w:rFonts w:asciiTheme="majorHAnsi" w:hAnsiTheme="majorHAnsi" w:cs="Calibri"/>
                      <w:sz w:val="22"/>
                      <w:szCs w:val="22"/>
                    </w:rPr>
                    <w:t>il est prévu que dès le 1er septembre de l’admission aux subventions, l’établissement doit tenir à la disposition des services du Gouvernement les documents prouvant le respect des normes de subventionnement ;</w:t>
                  </w:r>
                </w:p>
                <w:p>
                  <w:pPr>
                    <w:pStyle w:val="Paragraphedeliste"/>
                    <w:numPr>
                      <w:ilvl w:val="0"/>
                      <w:numId w:val="66"/>
                    </w:numPr>
                    <w:jc w:val="both"/>
                    <w:rPr>
                      <w:rFonts w:asciiTheme="majorHAnsi" w:hAnsiTheme="majorHAnsi" w:cs="Calibri"/>
                      <w:sz w:val="22"/>
                      <w:szCs w:val="22"/>
                    </w:rPr>
                  </w:pPr>
                  <w:r>
                    <w:rPr>
                      <w:rFonts w:asciiTheme="majorHAnsi" w:hAnsiTheme="majorHAnsi" w:cs="Calibri"/>
                      <w:sz w:val="22"/>
                      <w:szCs w:val="22"/>
                    </w:rPr>
                    <w:t xml:space="preserve">il est précisé que dès le 2 janvier de la première année scolaire d’admission aux subventions, l’établissement non affilié à un organe de représentation tient à la disposition des services du Gouvernement la convention conclue avec un Service de conseil et de soutien pédagogique ou avec une Cellule de conseil et de soutien pédagogique visés par le Décret « Inspection » du 8 mars 2007.  </w:t>
                  </w:r>
                </w:p>
                <w:p>
                  <w:pPr>
                    <w:jc w:val="both"/>
                    <w:rPr>
                      <w:rFonts w:cs="Calibri"/>
                    </w:rPr>
                  </w:pPr>
                </w:p>
                <w:p>
                  <w:pPr>
                    <w:pStyle w:val="Titre4"/>
                  </w:pPr>
                  <w:bookmarkStart w:id="1668" w:name="_1._Introduction_d’une"/>
                  <w:bookmarkStart w:id="1669" w:name="_1.1._Introduction_d’une"/>
                  <w:bookmarkStart w:id="1670" w:name="_Toc464657503"/>
                  <w:bookmarkEnd w:id="1668"/>
                  <w:bookmarkEnd w:id="1669"/>
                  <w:r>
                    <w:t>1.1. Introduction d’une demande de subventionnement</w:t>
                  </w:r>
                  <w:bookmarkEnd w:id="1670"/>
                  <w:r>
                    <w:t xml:space="preserve"> </w:t>
                  </w:r>
                </w:p>
                <w:p>
                  <w:pPr>
                    <w:jc w:val="both"/>
                  </w:pPr>
                </w:p>
                <w:p>
                  <w:pPr>
                    <w:jc w:val="both"/>
                  </w:pPr>
                  <w:r>
                    <w:t>Toute demande d’admission aux subventions d’un établissement d’enseignement devra être adressée à l’Administration à l’aide du formulaire unique repris en annexe.  Ce formulaire s’applique aussi bien aux pouvoirs organisateurs souhaitant ouvrir une nouvelle école, qu’à ceux organisant d’ores et déjà une école privée et qui souhaiteraient bénéficier d’une subvention.</w:t>
                  </w:r>
                </w:p>
                <w:p>
                  <w:pPr>
                    <w:jc w:val="both"/>
                  </w:pPr>
                </w:p>
                <w:p>
                  <w:pPr>
                    <w:jc w:val="both"/>
                  </w:pPr>
                  <w:r>
                    <w:t>L’avis du Conseil Général de l’Enseignement Fondamental est requis avant toute décision du Gouvernement.</w:t>
                  </w:r>
                </w:p>
                <w:p>
                  <w:pPr>
                    <w:jc w:val="both"/>
                  </w:pPr>
                </w:p>
                <w:p>
                  <w:pPr>
                    <w:jc w:val="both"/>
                  </w:pPr>
                  <w:r>
                    <w:t>Vous trouverez ci-après les dates d’introduction de la demande, ainsi que l’adresse de destination.</w:t>
                  </w:r>
                </w:p>
                <w:p>
                  <w:pPr>
                    <w:jc w:val="both"/>
                  </w:pPr>
                </w:p>
                <w:p>
                  <w:pPr>
                    <w:pBdr>
                      <w:right w:val="single" w:sz="4" w:space="4" w:color="auto"/>
                    </w:pBdr>
                    <w:jc w:val="both"/>
                  </w:pPr>
                  <w:r>
                    <w:t xml:space="preserve">La demande d’admission aux subventions d’un établissement d’enseignement spécialisé est transmise </w:t>
                  </w:r>
                  <w:r>
                    <w:rPr>
                      <w:b/>
                    </w:rPr>
                    <w:t>à tout moment de l’année</w:t>
                  </w:r>
                  <w:r>
                    <w:t xml:space="preserve"> au moyen d’un formulaire à l’adresse suivante :</w:t>
                  </w:r>
                </w:p>
                <w:p>
                  <w:pPr>
                    <w:jc w:val="both"/>
                  </w:pPr>
                </w:p>
                <w:p>
                  <w:pPr>
                    <w:pBdr>
                      <w:top w:val="single" w:sz="4" w:space="1" w:color="auto"/>
                      <w:left w:val="single" w:sz="4" w:space="4" w:color="auto"/>
                      <w:bottom w:val="single" w:sz="4" w:space="1" w:color="auto"/>
                      <w:right w:val="single" w:sz="4" w:space="4" w:color="auto"/>
                    </w:pBdr>
                    <w:jc w:val="center"/>
                  </w:pPr>
                  <w:r>
                    <w:t>Direction générale de l’Enseignement obligatoire</w:t>
                  </w:r>
                </w:p>
                <w:p>
                  <w:pPr>
                    <w:pBdr>
                      <w:top w:val="single" w:sz="4" w:space="1" w:color="auto"/>
                      <w:left w:val="single" w:sz="4" w:space="4" w:color="auto"/>
                      <w:bottom w:val="single" w:sz="4" w:space="1" w:color="auto"/>
                      <w:right w:val="single" w:sz="4" w:space="4" w:color="auto"/>
                    </w:pBdr>
                    <w:jc w:val="center"/>
                  </w:pPr>
                  <w:r>
                    <w:t>Service de l’Enseignement spécialisé</w:t>
                  </w:r>
                </w:p>
                <w:p>
                  <w:pPr>
                    <w:pBdr>
                      <w:top w:val="single" w:sz="4" w:space="1" w:color="auto"/>
                      <w:left w:val="single" w:sz="4" w:space="4" w:color="auto"/>
                      <w:bottom w:val="single" w:sz="4" w:space="1" w:color="auto"/>
                      <w:right w:val="single" w:sz="4" w:space="4" w:color="auto"/>
                    </w:pBdr>
                    <w:jc w:val="center"/>
                  </w:pPr>
                  <w:r>
                    <w:t>Madame Véronique ROMBAUT</w:t>
                  </w:r>
                </w:p>
                <w:p>
                  <w:pPr>
                    <w:pBdr>
                      <w:top w:val="single" w:sz="4" w:space="1" w:color="auto"/>
                      <w:left w:val="single" w:sz="4" w:space="4" w:color="auto"/>
                      <w:bottom w:val="single" w:sz="4" w:space="1" w:color="auto"/>
                      <w:right w:val="single" w:sz="4" w:space="4" w:color="auto"/>
                    </w:pBdr>
                    <w:jc w:val="center"/>
                  </w:pPr>
                  <w:r>
                    <w:t>Bureau 2F245</w:t>
                  </w:r>
                </w:p>
                <w:p>
                  <w:pPr>
                    <w:pBdr>
                      <w:top w:val="single" w:sz="4" w:space="1" w:color="auto"/>
                      <w:left w:val="single" w:sz="4" w:space="4" w:color="auto"/>
                      <w:bottom w:val="single" w:sz="4" w:space="1" w:color="auto"/>
                      <w:right w:val="single" w:sz="4" w:space="4" w:color="auto"/>
                    </w:pBdr>
                    <w:jc w:val="center"/>
                  </w:pPr>
                  <w:r>
                    <w:t>Rue Adolphe Lavallée, 1</w:t>
                  </w:r>
                </w:p>
                <w:p>
                  <w:pPr>
                    <w:pBdr>
                      <w:top w:val="single" w:sz="4" w:space="1" w:color="auto"/>
                      <w:left w:val="single" w:sz="4" w:space="4" w:color="auto"/>
                      <w:bottom w:val="single" w:sz="4" w:space="1" w:color="auto"/>
                      <w:right w:val="single" w:sz="4" w:space="4" w:color="auto"/>
                    </w:pBdr>
                    <w:jc w:val="center"/>
                  </w:pPr>
                  <w:r>
                    <w:t>1080   BRUXELLES</w:t>
                  </w:r>
                </w:p>
                <w:p>
                  <w:pPr>
                    <w:pBdr>
                      <w:top w:val="single" w:sz="4" w:space="1" w:color="auto"/>
                      <w:left w:val="single" w:sz="4" w:space="4" w:color="auto"/>
                      <w:bottom w:val="single" w:sz="4" w:space="1" w:color="auto"/>
                      <w:right w:val="single" w:sz="4" w:space="4" w:color="auto"/>
                    </w:pBdr>
                    <w:jc w:val="center"/>
                  </w:pPr>
                  <w:r>
                    <w:sym w:font="Wingdings" w:char="F028"/>
                  </w:r>
                  <w:r>
                    <w:t xml:space="preserve"> 02/690.83.99 - </w:t>
                  </w:r>
                  <w:r>
                    <w:rPr>
                      <w:bCs/>
                    </w:rPr>
                    <w:sym w:font="Wingdings" w:char="F03A"/>
                  </w:r>
                  <w:r>
                    <w:rPr>
                      <w:bCs/>
                    </w:rPr>
                    <w:t xml:space="preserve"> : </w:t>
                  </w:r>
                  <w:hyperlink r:id="rId128" w:history="1">
                    <w:r>
                      <w:rPr>
                        <w:rStyle w:val="Lienhypertexte"/>
                      </w:rPr>
                      <w:t>veronique.rombaut@cfwb.be</w:t>
                    </w:r>
                  </w:hyperlink>
                </w:p>
                <w:p>
                  <w:pPr>
                    <w:jc w:val="center"/>
                    <w:rPr>
                      <w:b/>
                      <w:color w:val="FF0000"/>
                    </w:rPr>
                  </w:pPr>
                </w:p>
                <w:p>
                  <w:bookmarkStart w:id="1671" w:name="_Toc464657507"/>
                </w:p>
                <w:p>
                  <w:pPr>
                    <w:pStyle w:val="Titre4"/>
                  </w:pPr>
                  <w:bookmarkStart w:id="1672" w:name="_1.2._Affiliation_à"/>
                  <w:bookmarkEnd w:id="1671"/>
                  <w:bookmarkEnd w:id="1672"/>
                  <w:r>
                    <w:t>1.2. Affiliation à un organe de représentation et de coordination</w:t>
                  </w:r>
                </w:p>
                <w:p>
                  <w:pPr>
                    <w:spacing w:before="240"/>
                    <w:jc w:val="both"/>
                    <w:rPr>
                      <w:rFonts w:cstheme="minorHAnsi"/>
                    </w:rPr>
                  </w:pPr>
                  <w:r>
                    <w:rPr>
                      <w:rFonts w:cstheme="minorHAnsi"/>
                    </w:rPr>
                    <w:t xml:space="preserve">Le deuxième article de l’arrêté du 31 août 2016 prévoit en son premier paragraphe que, dès la première rentrée scolaire d’admission aux subventions, le Pouvoir organisateur de l’établissement admis aux subventions doit informer la Direction générale de l’Enseignement obligatoire de son affiliation (ou non) à un organe de représentation et de coordination. Pour votre information, voici la liste (et les coordonnées) des différents organes pour l’enseignement spécialisé : </w:t>
                  </w:r>
                </w:p>
                <w:p>
                  <w:pPr>
                    <w:spacing w:before="240"/>
                    <w:jc w:val="both"/>
                    <w:rPr>
                      <w:rFonts w:cstheme="minorHAnsi"/>
                      <w:u w:val="single"/>
                    </w:rPr>
                  </w:pPr>
                  <w:r>
                    <w:rPr>
                      <w:rFonts w:cstheme="minorHAnsi"/>
                      <w:u w:val="single"/>
                    </w:rPr>
                    <w:t>Conseil de l’Enseignement des Communes et des Provinces</w:t>
                  </w:r>
                </w:p>
                <w:p>
                  <w:pPr>
                    <w:tabs>
                      <w:tab w:val="left" w:pos="0"/>
                    </w:tabs>
                    <w:jc w:val="both"/>
                    <w:rPr>
                      <w:rFonts w:cstheme="minorHAnsi"/>
                    </w:rPr>
                  </w:pPr>
                  <w:r>
                    <w:rPr>
                      <w:rFonts w:cstheme="minorHAnsi"/>
                    </w:rPr>
                    <w:t>Avenue des Gaulois 32</w:t>
                  </w:r>
                </w:p>
                <w:p>
                  <w:pPr>
                    <w:tabs>
                      <w:tab w:val="left" w:pos="0"/>
                    </w:tabs>
                    <w:jc w:val="both"/>
                    <w:rPr>
                      <w:rFonts w:cstheme="minorHAnsi"/>
                    </w:rPr>
                  </w:pPr>
                  <w:r>
                    <w:rPr>
                      <w:rFonts w:cstheme="minorHAnsi"/>
                    </w:rPr>
                    <w:t>1040 Bruxelles</w:t>
                  </w:r>
                </w:p>
                <w:p>
                  <w:pPr>
                    <w:tabs>
                      <w:tab w:val="left" w:pos="0"/>
                    </w:tabs>
                    <w:jc w:val="both"/>
                    <w:rPr>
                      <w:rFonts w:cstheme="minorHAnsi"/>
                    </w:rPr>
                  </w:pPr>
                  <w:r>
                    <w:rPr>
                      <w:rFonts w:cstheme="minorHAnsi"/>
                    </w:rPr>
                    <w:t>Tel : 02/736.89.74 – Fax : 02/733.76.20</w:t>
                  </w:r>
                </w:p>
                <w:p>
                  <w:pPr>
                    <w:jc w:val="both"/>
                    <w:rPr>
                      <w:rFonts w:cstheme="minorHAnsi"/>
                    </w:rPr>
                  </w:pPr>
                </w:p>
                <w:p>
                  <w:pPr>
                    <w:tabs>
                      <w:tab w:val="left" w:pos="0"/>
                    </w:tabs>
                    <w:jc w:val="both"/>
                    <w:rPr>
                      <w:rFonts w:cstheme="minorHAnsi"/>
                      <w:u w:val="single"/>
                    </w:rPr>
                  </w:pPr>
                  <w:r>
                    <w:rPr>
                      <w:rFonts w:cstheme="minorHAnsi"/>
                      <w:u w:val="single"/>
                    </w:rPr>
                    <w:t>Secrétariat Général de l’Enseignement Catholique</w:t>
                  </w:r>
                </w:p>
                <w:p>
                  <w:pPr>
                    <w:tabs>
                      <w:tab w:val="left" w:pos="0"/>
                    </w:tabs>
                    <w:jc w:val="both"/>
                    <w:rPr>
                      <w:rFonts w:cstheme="minorHAnsi"/>
                    </w:rPr>
                  </w:pPr>
                  <w:r>
                    <w:rPr>
                      <w:rFonts w:cstheme="minorHAnsi"/>
                    </w:rPr>
                    <w:t>Avenue Emmanuel Mounier 100</w:t>
                  </w:r>
                </w:p>
                <w:p>
                  <w:pPr>
                    <w:tabs>
                      <w:tab w:val="left" w:pos="0"/>
                    </w:tabs>
                    <w:jc w:val="both"/>
                    <w:rPr>
                      <w:rFonts w:cstheme="minorHAnsi"/>
                    </w:rPr>
                  </w:pPr>
                  <w:r>
                    <w:rPr>
                      <w:rFonts w:cstheme="minorHAnsi"/>
                    </w:rPr>
                    <w:t>1200 Bruxelles</w:t>
                  </w:r>
                </w:p>
                <w:p>
                  <w:pPr>
                    <w:tabs>
                      <w:tab w:val="left" w:pos="0"/>
                    </w:tabs>
                    <w:jc w:val="both"/>
                    <w:rPr>
                      <w:rFonts w:cstheme="minorHAnsi"/>
                    </w:rPr>
                  </w:pPr>
                  <w:r>
                    <w:rPr>
                      <w:rFonts w:cstheme="minorHAnsi"/>
                    </w:rPr>
                    <w:t>Tel : 02/256.70.11 – Fax : 02/256.70.12</w:t>
                  </w:r>
                </w:p>
                <w:p>
                  <w:pPr>
                    <w:tabs>
                      <w:tab w:val="left" w:pos="0"/>
                    </w:tabs>
                    <w:jc w:val="both"/>
                    <w:rPr>
                      <w:rFonts w:cstheme="minorHAnsi"/>
                    </w:rPr>
                  </w:pPr>
                </w:p>
                <w:p>
                  <w:pPr>
                    <w:tabs>
                      <w:tab w:val="left" w:pos="0"/>
                    </w:tabs>
                    <w:jc w:val="both"/>
                    <w:rPr>
                      <w:rFonts w:cstheme="minorHAnsi"/>
                    </w:rPr>
                  </w:pPr>
                </w:p>
                <w:p>
                  <w:pPr>
                    <w:tabs>
                      <w:tab w:val="left" w:pos="0"/>
                    </w:tabs>
                    <w:jc w:val="both"/>
                    <w:rPr>
                      <w:rFonts w:cstheme="minorHAnsi"/>
                      <w:u w:val="single"/>
                    </w:rPr>
                  </w:pPr>
                  <w:r>
                    <w:rPr>
                      <w:rFonts w:cstheme="minorHAnsi"/>
                      <w:u w:val="single"/>
                    </w:rPr>
                    <w:t>Fédération des Établissements Libres Subventionnés Indépendants</w:t>
                  </w:r>
                </w:p>
                <w:p>
                  <w:pPr>
                    <w:tabs>
                      <w:tab w:val="left" w:pos="0"/>
                    </w:tabs>
                    <w:jc w:val="both"/>
                    <w:rPr>
                      <w:rFonts w:cstheme="minorHAnsi"/>
                    </w:rPr>
                  </w:pPr>
                  <w:r>
                    <w:rPr>
                      <w:rFonts w:cstheme="minorHAnsi"/>
                    </w:rPr>
                    <w:t>Avenue Jupiter 180</w:t>
                  </w:r>
                </w:p>
                <w:p>
                  <w:pPr>
                    <w:tabs>
                      <w:tab w:val="left" w:pos="0"/>
                    </w:tabs>
                    <w:jc w:val="both"/>
                    <w:rPr>
                      <w:rFonts w:cstheme="minorHAnsi"/>
                    </w:rPr>
                  </w:pPr>
                  <w:r>
                    <w:rPr>
                      <w:rFonts w:cstheme="minorHAnsi"/>
                    </w:rPr>
                    <w:t>1190 Bruxelles</w:t>
                  </w:r>
                </w:p>
                <w:p>
                  <w:pPr>
                    <w:tabs>
                      <w:tab w:val="left" w:pos="0"/>
                    </w:tabs>
                    <w:jc w:val="both"/>
                    <w:rPr>
                      <w:rFonts w:cstheme="minorHAnsi"/>
                    </w:rPr>
                  </w:pPr>
                  <w:r>
                    <w:rPr>
                      <w:rFonts w:cstheme="minorHAnsi"/>
                    </w:rPr>
                    <w:t>Tel : 02/527.37.92 – Fax : 02/527.37.91</w:t>
                  </w:r>
                </w:p>
                <w:p>
                  <w:pPr>
                    <w:tabs>
                      <w:tab w:val="left" w:pos="0"/>
                    </w:tabs>
                    <w:jc w:val="both"/>
                    <w:rPr>
                      <w:rFonts w:cstheme="minorHAnsi"/>
                    </w:rPr>
                  </w:pPr>
                </w:p>
                <w:p>
                  <w:pPr>
                    <w:tabs>
                      <w:tab w:val="left" w:pos="0"/>
                    </w:tabs>
                    <w:jc w:val="both"/>
                    <w:rPr>
                      <w:rFonts w:cstheme="minorHAnsi"/>
                    </w:rPr>
                  </w:pPr>
                  <w:r>
                    <w:rPr>
                      <w:rFonts w:cstheme="minorHAnsi"/>
                    </w:rPr>
                    <w:t xml:space="preserve">L’article 2 de l’Arrêté, en son §3, prévoit que les établissements non affiliés à un organe de représentation et de coordination doivent conclure une convention avec un Service de conseil et de soutien pédagogique ou avec une Cellule de conseil et de soutien pédagogique. </w:t>
                  </w:r>
                </w:p>
                <w:p>
                  <w:pPr>
                    <w:tabs>
                      <w:tab w:val="left" w:pos="0"/>
                    </w:tabs>
                    <w:jc w:val="both"/>
                    <w:rPr>
                      <w:rFonts w:cstheme="minorHAnsi"/>
                    </w:rPr>
                  </w:pPr>
                </w:p>
                <w:p>
                  <w:pPr>
                    <w:tabs>
                      <w:tab w:val="left" w:pos="0"/>
                    </w:tabs>
                    <w:jc w:val="both"/>
                    <w:rPr>
                      <w:rFonts w:cstheme="minorHAnsi"/>
                    </w:rPr>
                  </w:pPr>
                  <w:r>
                    <w:rPr>
                      <w:rFonts w:cstheme="minorHAnsi"/>
                    </w:rPr>
                    <w:t xml:space="preserve">Voici, pour votre information, la liste de ces Services/Cellules et leurs coordonnées : </w:t>
                  </w:r>
                </w:p>
                <w:p>
                  <w:pPr>
                    <w:tabs>
                      <w:tab w:val="left" w:pos="0"/>
                    </w:tabs>
                    <w:jc w:val="both"/>
                    <w:rPr>
                      <w:rFonts w:cstheme="minorHAnsi"/>
                    </w:rPr>
                  </w:pPr>
                </w:p>
                <w:p>
                  <w:pPr>
                    <w:tabs>
                      <w:tab w:val="left" w:pos="0"/>
                    </w:tabs>
                    <w:jc w:val="both"/>
                    <w:rPr>
                      <w:rFonts w:cstheme="minorHAnsi"/>
                      <w:u w:val="single"/>
                    </w:rPr>
                  </w:pPr>
                  <w:r>
                    <w:rPr>
                      <w:rFonts w:cstheme="minorHAnsi"/>
                      <w:u w:val="single"/>
                    </w:rPr>
                    <w:t>Service de conseil et de soutien pédagogique</w:t>
                  </w:r>
                </w:p>
                <w:p>
                  <w:pPr>
                    <w:tabs>
                      <w:tab w:val="left" w:pos="0"/>
                    </w:tabs>
                    <w:jc w:val="both"/>
                    <w:rPr>
                      <w:rFonts w:cstheme="minorHAnsi"/>
                    </w:rPr>
                  </w:pPr>
                  <w:r>
                    <w:rPr>
                      <w:rFonts w:cstheme="minorHAnsi"/>
                    </w:rPr>
                    <w:t>Service général de l’Enseignement organisé par le Fédération Wallonie-Bruxelles</w:t>
                  </w:r>
                </w:p>
                <w:p>
                  <w:pPr>
                    <w:tabs>
                      <w:tab w:val="left" w:pos="0"/>
                    </w:tabs>
                    <w:jc w:val="both"/>
                    <w:rPr>
                      <w:rFonts w:cstheme="minorHAnsi"/>
                    </w:rPr>
                  </w:pPr>
                  <w:r>
                    <w:rPr>
                      <w:rFonts w:cstheme="minorHAnsi"/>
                    </w:rPr>
                    <w:t>Boulevard du Jardin Botanique, 20-22</w:t>
                  </w:r>
                </w:p>
                <w:p>
                  <w:pPr>
                    <w:tabs>
                      <w:tab w:val="left" w:pos="0"/>
                    </w:tabs>
                    <w:jc w:val="both"/>
                    <w:rPr>
                      <w:rFonts w:cstheme="minorHAnsi"/>
                    </w:rPr>
                  </w:pPr>
                  <w:r>
                    <w:rPr>
                      <w:rFonts w:cstheme="minorHAnsi"/>
                    </w:rPr>
                    <w:t>1000 Bruxelles</w:t>
                  </w:r>
                </w:p>
                <w:p>
                  <w:pPr>
                    <w:tabs>
                      <w:tab w:val="left" w:pos="0"/>
                    </w:tabs>
                    <w:jc w:val="both"/>
                    <w:rPr>
                      <w:rFonts w:cstheme="minorHAnsi"/>
                    </w:rPr>
                  </w:pPr>
                  <w:r>
                    <w:rPr>
                      <w:rFonts w:cstheme="minorHAnsi"/>
                    </w:rPr>
                    <w:t>Tel : 02.690.81.01 – Fax : 02.690.81.06</w:t>
                  </w:r>
                </w:p>
                <w:p>
                  <w:pPr>
                    <w:tabs>
                      <w:tab w:val="left" w:pos="0"/>
                    </w:tabs>
                    <w:jc w:val="both"/>
                    <w:rPr>
                      <w:rFonts w:cstheme="minorHAnsi"/>
                    </w:rPr>
                  </w:pPr>
                  <w:r>
                    <w:rPr>
                      <w:rFonts w:cstheme="minorHAnsi"/>
                    </w:rPr>
                    <w:t>Fax : 026908135</w:t>
                  </w:r>
                </w:p>
                <w:p>
                  <w:pPr>
                    <w:tabs>
                      <w:tab w:val="left" w:pos="0"/>
                    </w:tabs>
                    <w:jc w:val="both"/>
                    <w:rPr>
                      <w:rFonts w:cstheme="minorHAnsi"/>
                    </w:rPr>
                  </w:pPr>
                </w:p>
                <w:p>
                  <w:pPr>
                    <w:tabs>
                      <w:tab w:val="left" w:pos="0"/>
                    </w:tabs>
                    <w:jc w:val="both"/>
                    <w:rPr>
                      <w:rFonts w:cstheme="minorHAnsi"/>
                      <w:u w:val="single"/>
                    </w:rPr>
                  </w:pPr>
                  <w:r>
                    <w:rPr>
                      <w:rFonts w:cstheme="minorHAnsi"/>
                      <w:u w:val="single"/>
                    </w:rPr>
                    <w:t>Cellule de conseil de soutien pédagogique du SeGEC</w:t>
                  </w:r>
                </w:p>
                <w:p>
                  <w:pPr>
                    <w:tabs>
                      <w:tab w:val="left" w:pos="0"/>
                    </w:tabs>
                    <w:jc w:val="both"/>
                    <w:rPr>
                      <w:rFonts w:cstheme="minorHAnsi"/>
                    </w:rPr>
                  </w:pPr>
                  <w:r>
                    <w:rPr>
                      <w:rFonts w:cstheme="minorHAnsi"/>
                    </w:rPr>
                    <w:t>Secrétariat Général de l’Enseignement Catholique</w:t>
                  </w:r>
                </w:p>
                <w:p>
                  <w:pPr>
                    <w:tabs>
                      <w:tab w:val="left" w:pos="0"/>
                    </w:tabs>
                    <w:jc w:val="both"/>
                    <w:rPr>
                      <w:rFonts w:cstheme="minorHAnsi"/>
                    </w:rPr>
                  </w:pPr>
                  <w:r>
                    <w:rPr>
                      <w:rFonts w:cstheme="minorHAnsi"/>
                    </w:rPr>
                    <w:t>Avenue Emmanuel Mounier 100</w:t>
                  </w:r>
                </w:p>
                <w:p>
                  <w:pPr>
                    <w:tabs>
                      <w:tab w:val="left" w:pos="0"/>
                    </w:tabs>
                    <w:jc w:val="both"/>
                    <w:rPr>
                      <w:rFonts w:cstheme="minorHAnsi"/>
                    </w:rPr>
                  </w:pPr>
                  <w:r>
                    <w:rPr>
                      <w:rFonts w:cstheme="minorHAnsi"/>
                    </w:rPr>
                    <w:t>1200 Bruxelles</w:t>
                  </w:r>
                </w:p>
                <w:p>
                  <w:pPr>
                    <w:tabs>
                      <w:tab w:val="left" w:pos="0"/>
                    </w:tabs>
                    <w:jc w:val="both"/>
                    <w:rPr>
                      <w:rFonts w:cstheme="minorHAnsi"/>
                    </w:rPr>
                  </w:pPr>
                  <w:r>
                    <w:rPr>
                      <w:rFonts w:cstheme="minorHAnsi"/>
                    </w:rPr>
                    <w:t>Tel : 02/256.70.11 – Fax : 02/256.70.12</w:t>
                  </w:r>
                </w:p>
                <w:p>
                  <w:pPr>
                    <w:tabs>
                      <w:tab w:val="left" w:pos="0"/>
                    </w:tabs>
                    <w:jc w:val="both"/>
                    <w:rPr>
                      <w:rFonts w:cstheme="minorHAnsi"/>
                    </w:rPr>
                  </w:pPr>
                </w:p>
                <w:p>
                  <w:pPr>
                    <w:tabs>
                      <w:tab w:val="left" w:pos="0"/>
                    </w:tabs>
                    <w:jc w:val="both"/>
                    <w:rPr>
                      <w:rFonts w:cstheme="minorHAnsi"/>
                      <w:u w:val="single"/>
                    </w:rPr>
                  </w:pPr>
                  <w:r>
                    <w:rPr>
                      <w:rFonts w:cstheme="minorHAnsi"/>
                      <w:u w:val="single"/>
                    </w:rPr>
                    <w:t>Cellule de conseil de soutien pédagogique du CECP</w:t>
                  </w:r>
                </w:p>
                <w:p>
                  <w:pPr>
                    <w:tabs>
                      <w:tab w:val="left" w:pos="0"/>
                    </w:tabs>
                    <w:jc w:val="both"/>
                    <w:rPr>
                      <w:rFonts w:cstheme="minorHAnsi"/>
                    </w:rPr>
                  </w:pPr>
                  <w:r>
                    <w:rPr>
                      <w:rFonts w:cstheme="minorHAnsi"/>
                    </w:rPr>
                    <w:t>Conseil de l’Enseignement des Communes et Provinces</w:t>
                  </w:r>
                </w:p>
                <w:p>
                  <w:pPr>
                    <w:tabs>
                      <w:tab w:val="left" w:pos="0"/>
                    </w:tabs>
                    <w:jc w:val="both"/>
                    <w:rPr>
                      <w:rFonts w:cstheme="minorHAnsi"/>
                    </w:rPr>
                  </w:pPr>
                  <w:r>
                    <w:rPr>
                      <w:rFonts w:cstheme="minorHAnsi"/>
                    </w:rPr>
                    <w:t>Avenue des Gaulois 32</w:t>
                  </w:r>
                </w:p>
                <w:p>
                  <w:pPr>
                    <w:tabs>
                      <w:tab w:val="left" w:pos="0"/>
                    </w:tabs>
                    <w:jc w:val="both"/>
                    <w:rPr>
                      <w:rFonts w:cstheme="minorHAnsi"/>
                    </w:rPr>
                  </w:pPr>
                  <w:r>
                    <w:rPr>
                      <w:rFonts w:cstheme="minorHAnsi"/>
                    </w:rPr>
                    <w:t>1040 Bruxelles</w:t>
                  </w:r>
                </w:p>
                <w:p>
                  <w:pPr>
                    <w:tabs>
                      <w:tab w:val="left" w:pos="0"/>
                    </w:tabs>
                    <w:jc w:val="both"/>
                    <w:rPr>
                      <w:rFonts w:cstheme="minorHAnsi"/>
                    </w:rPr>
                  </w:pPr>
                  <w:r>
                    <w:rPr>
                      <w:rFonts w:cstheme="minorHAnsi"/>
                    </w:rPr>
                    <w:t>Tel : 02/736.89.74 – Fax : 02/733.76.20</w:t>
                  </w:r>
                </w:p>
                <w:p>
                  <w:pPr>
                    <w:tabs>
                      <w:tab w:val="left" w:pos="0"/>
                    </w:tabs>
                    <w:jc w:val="both"/>
                    <w:rPr>
                      <w:rFonts w:cstheme="minorHAnsi"/>
                    </w:rPr>
                  </w:pPr>
                </w:p>
                <w:p>
                  <w:pPr>
                    <w:tabs>
                      <w:tab w:val="left" w:pos="0"/>
                    </w:tabs>
                    <w:jc w:val="both"/>
                    <w:rPr>
                      <w:rFonts w:cstheme="minorHAnsi"/>
                      <w:u w:val="single"/>
                    </w:rPr>
                  </w:pPr>
                  <w:r>
                    <w:rPr>
                      <w:rFonts w:cstheme="minorHAnsi"/>
                      <w:u w:val="single"/>
                    </w:rPr>
                    <w:t>Cellule de conseil de soutien pédagogique de la FELSI</w:t>
                  </w:r>
                </w:p>
                <w:p>
                  <w:pPr>
                    <w:tabs>
                      <w:tab w:val="left" w:pos="0"/>
                    </w:tabs>
                    <w:jc w:val="both"/>
                    <w:rPr>
                      <w:rFonts w:cstheme="minorHAnsi"/>
                    </w:rPr>
                  </w:pPr>
                  <w:r>
                    <w:rPr>
                      <w:rFonts w:cstheme="minorHAnsi"/>
                    </w:rPr>
                    <w:t>Fédération des Établissements Libres Subventionnés indépendants</w:t>
                  </w:r>
                </w:p>
                <w:p>
                  <w:pPr>
                    <w:tabs>
                      <w:tab w:val="left" w:pos="0"/>
                    </w:tabs>
                    <w:jc w:val="both"/>
                    <w:rPr>
                      <w:rFonts w:cstheme="minorHAnsi"/>
                    </w:rPr>
                  </w:pPr>
                  <w:r>
                    <w:rPr>
                      <w:rFonts w:cstheme="minorHAnsi"/>
                    </w:rPr>
                    <w:t>Avenue Jupiter 180</w:t>
                  </w:r>
                </w:p>
                <w:p>
                  <w:pPr>
                    <w:tabs>
                      <w:tab w:val="left" w:pos="0"/>
                    </w:tabs>
                    <w:jc w:val="both"/>
                    <w:rPr>
                      <w:rFonts w:cstheme="minorHAnsi"/>
                    </w:rPr>
                  </w:pPr>
                  <w:r>
                    <w:rPr>
                      <w:rFonts w:cstheme="minorHAnsi"/>
                    </w:rPr>
                    <w:t>1190 Bruxelles</w:t>
                  </w:r>
                </w:p>
                <w:p>
                  <w:pPr>
                    <w:tabs>
                      <w:tab w:val="left" w:pos="0"/>
                    </w:tabs>
                    <w:jc w:val="both"/>
                    <w:rPr>
                      <w:rFonts w:cstheme="minorHAnsi"/>
                    </w:rPr>
                  </w:pPr>
                  <w:r>
                    <w:rPr>
                      <w:rFonts w:cstheme="minorHAnsi"/>
                    </w:rPr>
                    <w:t>Tel : 02/527.37.92 – Fax : 02/527.37.91</w:t>
                  </w:r>
                </w:p>
                <w:p>
                  <w:pPr>
                    <w:tabs>
                      <w:tab w:val="left" w:pos="0"/>
                    </w:tabs>
                    <w:rPr>
                      <w:rFonts w:cstheme="minorHAnsi"/>
                    </w:rPr>
                  </w:pPr>
                </w:p>
                <w:p>
                  <w:pPr>
                    <w:rPr>
                      <w:rFonts w:cstheme="minorHAnsi"/>
                      <w:b/>
                      <w:u w:val="single"/>
                    </w:rPr>
                  </w:pPr>
                </w:p>
                <w:p>
                  <w:pPr>
                    <w:jc w:val="both"/>
                    <w:rPr>
                      <w:rFonts w:cstheme="minorHAnsi"/>
                      <w:b/>
                      <w:u w:val="single"/>
                    </w:rPr>
                  </w:pPr>
                  <w:r>
                    <w:rPr>
                      <w:rFonts w:cstheme="minorHAnsi"/>
                      <w:b/>
                      <w:u w:val="single"/>
                    </w:rPr>
                    <w:sym w:font="Wingdings" w:char="F047"/>
                  </w:r>
                  <w:r>
                    <w:rPr>
                      <w:rFonts w:cstheme="minorHAnsi"/>
                      <w:b/>
                      <w:u w:val="single"/>
                    </w:rPr>
                    <w:t xml:space="preserve"> Attention :</w:t>
                  </w:r>
                </w:p>
                <w:p>
                  <w:pPr>
                    <w:jc w:val="both"/>
                    <w:rPr>
                      <w:rFonts w:cstheme="minorHAnsi"/>
                    </w:rPr>
                  </w:pPr>
                  <w:r>
                    <w:rPr>
                      <w:rFonts w:cstheme="minorHAnsi"/>
                    </w:rPr>
                    <w:t xml:space="preserve">Lorsqu’un établissement n’est plus affilié à un organe de représentation et de coordination et/ou lorsqu’aucune convention n’est signée avec un Service de conseil et de soutien pédagogique ou avec une Cellule de conseil et de soutien pédagogique, </w:t>
                  </w:r>
                  <w:r>
                    <w:rPr>
                      <w:rFonts w:cstheme="minorHAnsi"/>
                      <w:b/>
                    </w:rPr>
                    <w:t>le chef d’établissement dans l’enseignement organisé par la FWB ou le Pouvoir organisateur dans l’enseignement subventionné par la FWB doit obligatoirement adresser</w:t>
                  </w:r>
                  <w:r>
                    <w:rPr>
                      <w:rFonts w:cstheme="minorHAnsi"/>
                    </w:rPr>
                    <w:t xml:space="preserve"> </w:t>
                  </w:r>
                  <w:r>
                    <w:rPr>
                      <w:rFonts w:cstheme="minorHAnsi"/>
                      <w:b/>
                    </w:rPr>
                    <w:t>un courrier informant l’administration de cette situation</w:t>
                  </w:r>
                  <w:r>
                    <w:rPr>
                      <w:rFonts w:cstheme="minorHAnsi"/>
                    </w:rPr>
                    <w:t xml:space="preserve"> dans les plus brefs délais à l’adresse suivante :</w:t>
                  </w:r>
                </w:p>
                <w:p/>
                <w:p>
                  <w:pPr>
                    <w:pBdr>
                      <w:top w:val="single" w:sz="4" w:space="1" w:color="auto"/>
                      <w:left w:val="single" w:sz="4" w:space="4" w:color="auto"/>
                      <w:bottom w:val="single" w:sz="4" w:space="1" w:color="auto"/>
                      <w:right w:val="single" w:sz="4" w:space="4" w:color="auto"/>
                    </w:pBdr>
                    <w:jc w:val="center"/>
                  </w:pPr>
                  <w:r>
                    <w:t>Direction générale de l’Enseignement obligatoire</w:t>
                  </w:r>
                </w:p>
                <w:p>
                  <w:pPr>
                    <w:pBdr>
                      <w:top w:val="single" w:sz="4" w:space="1" w:color="auto"/>
                      <w:left w:val="single" w:sz="4" w:space="4" w:color="auto"/>
                      <w:bottom w:val="single" w:sz="4" w:space="1" w:color="auto"/>
                      <w:right w:val="single" w:sz="4" w:space="4" w:color="auto"/>
                    </w:pBdr>
                    <w:jc w:val="center"/>
                  </w:pPr>
                  <w:r>
                    <w:t>Service de l’Enseignement spécialisé</w:t>
                  </w:r>
                </w:p>
                <w:p>
                  <w:pPr>
                    <w:pBdr>
                      <w:top w:val="single" w:sz="4" w:space="1" w:color="auto"/>
                      <w:left w:val="single" w:sz="4" w:space="4" w:color="auto"/>
                      <w:bottom w:val="single" w:sz="4" w:space="1" w:color="auto"/>
                      <w:right w:val="single" w:sz="4" w:space="4" w:color="auto"/>
                    </w:pBdr>
                    <w:jc w:val="center"/>
                  </w:pPr>
                  <w:r>
                    <w:t>Madame Véronique ROMBAUT</w:t>
                  </w:r>
                </w:p>
                <w:p>
                  <w:pPr>
                    <w:pBdr>
                      <w:top w:val="single" w:sz="4" w:space="1" w:color="auto"/>
                      <w:left w:val="single" w:sz="4" w:space="4" w:color="auto"/>
                      <w:bottom w:val="single" w:sz="4" w:space="1" w:color="auto"/>
                      <w:right w:val="single" w:sz="4" w:space="4" w:color="auto"/>
                    </w:pBdr>
                    <w:jc w:val="center"/>
                  </w:pPr>
                  <w:r>
                    <w:t>Bureau 2F245</w:t>
                  </w:r>
                </w:p>
                <w:p>
                  <w:pPr>
                    <w:pBdr>
                      <w:top w:val="single" w:sz="4" w:space="1" w:color="auto"/>
                      <w:left w:val="single" w:sz="4" w:space="4" w:color="auto"/>
                      <w:bottom w:val="single" w:sz="4" w:space="1" w:color="auto"/>
                      <w:right w:val="single" w:sz="4" w:space="4" w:color="auto"/>
                    </w:pBdr>
                    <w:jc w:val="center"/>
                  </w:pPr>
                  <w:r>
                    <w:t>Rue Adolphe Lavallée, 1</w:t>
                  </w:r>
                </w:p>
                <w:p>
                  <w:pPr>
                    <w:pBdr>
                      <w:top w:val="single" w:sz="4" w:space="1" w:color="auto"/>
                      <w:left w:val="single" w:sz="4" w:space="4" w:color="auto"/>
                      <w:bottom w:val="single" w:sz="4" w:space="1" w:color="auto"/>
                      <w:right w:val="single" w:sz="4" w:space="4" w:color="auto"/>
                    </w:pBdr>
                    <w:jc w:val="center"/>
                  </w:pPr>
                  <w:r>
                    <w:t>1080   BRUXELLES</w:t>
                  </w:r>
                </w:p>
                <w:p>
                  <w:pPr>
                    <w:pBdr>
                      <w:top w:val="single" w:sz="4" w:space="1" w:color="auto"/>
                      <w:left w:val="single" w:sz="4" w:space="4" w:color="auto"/>
                      <w:bottom w:val="single" w:sz="4" w:space="1" w:color="auto"/>
                      <w:right w:val="single" w:sz="4" w:space="4" w:color="auto"/>
                    </w:pBdr>
                    <w:jc w:val="center"/>
                  </w:pPr>
                  <w:r>
                    <w:sym w:font="Wingdings" w:char="F028"/>
                  </w:r>
                  <w:r>
                    <w:t xml:space="preserve"> 02/690.83.99 - </w:t>
                  </w:r>
                  <w:r>
                    <w:rPr>
                      <w:bCs/>
                    </w:rPr>
                    <w:sym w:font="Wingdings" w:char="F03A"/>
                  </w:r>
                  <w:r>
                    <w:rPr>
                      <w:bCs/>
                    </w:rPr>
                    <w:t xml:space="preserve"> : </w:t>
                  </w:r>
                  <w:hyperlink r:id="rId129" w:history="1">
                    <w:r>
                      <w:rPr>
                        <w:rStyle w:val="Lienhypertexte"/>
                      </w:rPr>
                      <w:t>veronique.rombaut@cfwb.be</w:t>
                    </w:r>
                  </w:hyperlink>
                </w:p>
                <w:p>
                  <w:pPr>
                    <w:tabs>
                      <w:tab w:val="left" w:pos="0"/>
                    </w:tabs>
                    <w:rPr>
                      <w:rFonts w:cstheme="minorHAnsi"/>
                    </w:rPr>
                  </w:pPr>
                </w:p>
                <w:p/>
                <w:p/>
                <w:p/>
                <w:p/>
                <w:p>
                  <w:pPr>
                    <w:pStyle w:val="Titre4"/>
                  </w:pPr>
                  <w:r>
                    <w:t>1.3. Documents à tenir à disposition des services du Gouvernement dès le 1er septembre de l’année scolaire d’admission aux subventions</w:t>
                  </w:r>
                </w:p>
                <w:p>
                  <w:pPr>
                    <w:tabs>
                      <w:tab w:val="left" w:pos="0"/>
                    </w:tabs>
                    <w:jc w:val="both"/>
                  </w:pPr>
                </w:p>
                <w:p>
                  <w:pPr>
                    <w:autoSpaceDE w:val="0"/>
                    <w:autoSpaceDN w:val="0"/>
                    <w:adjustRightInd w:val="0"/>
                    <w:jc w:val="both"/>
                    <w:rPr>
                      <w:rFonts w:eastAsia="Times New Roman" w:cs="Calibri"/>
                      <w:bCs/>
                      <w:lang w:val="fr-FR" w:eastAsia="fr-FR"/>
                    </w:rPr>
                  </w:pPr>
                  <w:r>
                    <w:rPr>
                      <w:rFonts w:eastAsia="Times New Roman" w:cs="Calibri"/>
                      <w:bCs/>
                      <w:lang w:val="fr-FR" w:eastAsia="fr-FR"/>
                    </w:rPr>
                    <w:t>Dès la première rentrée scolaire d’admission aux subventions, le Pouvoir organisateur tient à la disposition des services du Gouvernement les documents prouvant le respect des conditions de subventionnement qui s’appliquent à lui, notamment :</w:t>
                  </w:r>
                </w:p>
                <w:p>
                  <w:pPr>
                    <w:autoSpaceDE w:val="0"/>
                    <w:autoSpaceDN w:val="0"/>
                    <w:adjustRightInd w:val="0"/>
                    <w:jc w:val="both"/>
                    <w:rPr>
                      <w:rFonts w:eastAsia="Times New Roman" w:cs="Calibri"/>
                      <w:bCs/>
                      <w:lang w:val="fr-FR" w:eastAsia="fr-FR"/>
                    </w:rPr>
                  </w:pPr>
                </w:p>
                <w:p>
                  <w:pPr>
                    <w:numPr>
                      <w:ilvl w:val="0"/>
                      <w:numId w:val="163"/>
                    </w:numPr>
                    <w:spacing w:line="276" w:lineRule="auto"/>
                    <w:ind w:left="567" w:hanging="567"/>
                    <w:jc w:val="both"/>
                    <w:rPr>
                      <w:rFonts w:cs="Calibri"/>
                      <w:lang w:eastAsia="fr-BE"/>
                    </w:rPr>
                  </w:pPr>
                  <w:r>
                    <w:rPr>
                      <w:rFonts w:cs="Calibri"/>
                      <w:lang w:eastAsia="fr-BE"/>
                    </w:rPr>
                    <w:t>le projet d’établissement visé à l’article 67 du décret du 24 juillet 1997 définissant les missions prioritaires de l'enseignement fondamental et de l'enseignement secondaire et organisant les structures propres à les atteindre ;</w:t>
                  </w:r>
                </w:p>
                <w:p>
                  <w:pPr>
                    <w:numPr>
                      <w:ilvl w:val="0"/>
                      <w:numId w:val="163"/>
                    </w:numPr>
                    <w:spacing w:line="276" w:lineRule="auto"/>
                    <w:ind w:left="567" w:hanging="567"/>
                    <w:jc w:val="both"/>
                    <w:rPr>
                      <w:rFonts w:cs="Calibri"/>
                      <w:lang w:eastAsia="fr-BE"/>
                    </w:rPr>
                  </w:pPr>
                  <w:r>
                    <w:rPr>
                      <w:rFonts w:cs="Calibri"/>
                      <w:lang w:eastAsia="fr-BE"/>
                    </w:rPr>
                    <w:t>le règlement général des études visé aux articles 77, 77bis et 78 du décret du 24 juillet 1997 précité ;</w:t>
                  </w:r>
                </w:p>
                <w:p>
                  <w:pPr>
                    <w:numPr>
                      <w:ilvl w:val="0"/>
                      <w:numId w:val="163"/>
                    </w:numPr>
                    <w:spacing w:line="276" w:lineRule="auto"/>
                    <w:ind w:left="567" w:hanging="567"/>
                    <w:jc w:val="both"/>
                    <w:rPr>
                      <w:rFonts w:cs="Calibri"/>
                      <w:lang w:eastAsia="fr-BE"/>
                    </w:rPr>
                  </w:pPr>
                  <w:r>
                    <w:rPr>
                      <w:rFonts w:cs="Calibri"/>
                      <w:lang w:eastAsia="fr-BE"/>
                    </w:rPr>
                    <w:t xml:space="preserve">la grille-horaire des cours, conforme aux articles 4bis à 4octies de la loi du 19 juillet 1971 relative à la structure générale à l’organisation de l’enseignement secondaire et aux articles 7 à 12 du décret du 30 juin 2006 relatif à l'organisation pédagogique du 1er degré de l'enseignement secondaire ;  </w:t>
                  </w:r>
                </w:p>
                <w:p>
                  <w:pPr>
                    <w:numPr>
                      <w:ilvl w:val="0"/>
                      <w:numId w:val="163"/>
                    </w:numPr>
                    <w:spacing w:line="276" w:lineRule="auto"/>
                    <w:ind w:left="567" w:hanging="567"/>
                    <w:jc w:val="both"/>
                    <w:rPr>
                      <w:rFonts w:cs="Calibri"/>
                      <w:lang w:eastAsia="fr-BE"/>
                    </w:rPr>
                  </w:pPr>
                  <w:r>
                    <w:rPr>
                      <w:rFonts w:cs="Calibri"/>
                      <w:lang w:eastAsia="fr-BE"/>
                    </w:rPr>
                    <w:t>la grille-horaire des élèves, conforme aux articles 16 à 24, en particulier l’article 23, alinéa 2 ; aux articles 47, 48, 50, 52 et 54, §1</w:t>
                  </w:r>
                  <w:r>
                    <w:rPr>
                      <w:rFonts w:cs="Calibri"/>
                      <w:vertAlign w:val="superscript"/>
                      <w:lang w:eastAsia="fr-BE"/>
                    </w:rPr>
                    <w:t>er</w:t>
                  </w:r>
                  <w:r>
                    <w:rPr>
                      <w:rFonts w:cs="Calibri"/>
                      <w:lang w:eastAsia="fr-BE"/>
                    </w:rPr>
                    <w:t xml:space="preserve"> et § 2, du décret du 3 mars 2004 organisant l’enseignement spécialisé ;  </w:t>
                  </w:r>
                </w:p>
                <w:p>
                  <w:pPr>
                    <w:numPr>
                      <w:ilvl w:val="0"/>
                      <w:numId w:val="163"/>
                    </w:numPr>
                    <w:spacing w:line="276" w:lineRule="auto"/>
                    <w:ind w:left="567" w:hanging="567"/>
                    <w:jc w:val="both"/>
                    <w:rPr>
                      <w:rFonts w:cs="Calibri"/>
                      <w:lang w:eastAsia="fr-BE"/>
                    </w:rPr>
                  </w:pPr>
                  <w:r>
                    <w:rPr>
                      <w:rFonts w:cs="Calibri"/>
                      <w:lang w:eastAsia="fr-BE"/>
                    </w:rPr>
                    <w:t>la convention-cadre conclue avec un service de promotion de la santé à l’école telle que prévue à l’article 19 du décret du 20 décembre 2001 relatif à la promotion de la santé à l’école ;</w:t>
                  </w:r>
                </w:p>
                <w:p>
                  <w:pPr>
                    <w:numPr>
                      <w:ilvl w:val="0"/>
                      <w:numId w:val="163"/>
                    </w:numPr>
                    <w:spacing w:line="276" w:lineRule="auto"/>
                    <w:ind w:left="567" w:hanging="567"/>
                    <w:jc w:val="both"/>
                    <w:rPr>
                      <w:rFonts w:cs="Calibri"/>
                      <w:lang w:eastAsia="fr-BE"/>
                    </w:rPr>
                  </w:pPr>
                  <w:r>
                    <w:rPr>
                      <w:rFonts w:cs="Calibri"/>
                      <w:lang w:eastAsia="fr-BE"/>
                    </w:rPr>
                    <w:t>la convention conclue avec un centre psycho-médico-social telle que prévue à l’article 2, § 1</w:t>
                  </w:r>
                  <w:r>
                    <w:rPr>
                      <w:rFonts w:cs="Calibri"/>
                      <w:vertAlign w:val="superscript"/>
                      <w:lang w:eastAsia="fr-BE"/>
                    </w:rPr>
                    <w:t>er</w:t>
                  </w:r>
                  <w:r>
                    <w:rPr>
                      <w:rFonts w:cs="Calibri"/>
                      <w:lang w:eastAsia="fr-BE"/>
                    </w:rPr>
                    <w:t>, 3° et 4°, de la loi du 1</w:t>
                  </w:r>
                  <w:r>
                    <w:rPr>
                      <w:rFonts w:cs="Calibri"/>
                      <w:vertAlign w:val="superscript"/>
                      <w:lang w:eastAsia="fr-BE"/>
                    </w:rPr>
                    <w:t>er</w:t>
                  </w:r>
                  <w:r>
                    <w:rPr>
                      <w:rFonts w:cs="Calibri"/>
                      <w:lang w:eastAsia="fr-BE"/>
                    </w:rPr>
                    <w:t xml:space="preserve"> avril 1960 relative aux centres psycho-médico-sociaux ; </w:t>
                  </w:r>
                </w:p>
                <w:p>
                  <w:pPr>
                    <w:numPr>
                      <w:ilvl w:val="0"/>
                      <w:numId w:val="163"/>
                    </w:numPr>
                    <w:spacing w:line="276" w:lineRule="auto"/>
                    <w:ind w:left="567" w:hanging="567"/>
                    <w:jc w:val="both"/>
                    <w:rPr>
                      <w:rFonts w:cs="Calibri"/>
                      <w:lang w:eastAsia="fr-BE"/>
                    </w:rPr>
                  </w:pPr>
                  <w:r>
                    <w:rPr>
                      <w:rFonts w:cs="Calibri"/>
                      <w:lang w:eastAsia="fr-BE"/>
                    </w:rPr>
                    <w:t xml:space="preserve">la liste des enseignants de l’établissement et le titre de capacité dont ils disposent ; </w:t>
                  </w:r>
                </w:p>
                <w:p>
                  <w:pPr>
                    <w:numPr>
                      <w:ilvl w:val="0"/>
                      <w:numId w:val="163"/>
                    </w:numPr>
                    <w:spacing w:line="276" w:lineRule="auto"/>
                    <w:ind w:left="567" w:hanging="567"/>
                    <w:jc w:val="both"/>
                    <w:rPr>
                      <w:rFonts w:cs="Calibri"/>
                      <w:lang w:eastAsia="fr-BE"/>
                    </w:rPr>
                  </w:pPr>
                  <w:r>
                    <w:rPr>
                      <w:rFonts w:cs="Calibri"/>
                      <w:lang w:eastAsia="fr-BE"/>
                    </w:rPr>
                    <w:t xml:space="preserve">une analyse des risques relative au risque d’incendie. </w:t>
                  </w:r>
                </w:p>
                <w:p>
                  <w:pPr>
                    <w:tabs>
                      <w:tab w:val="left" w:pos="0"/>
                    </w:tabs>
                    <w:jc w:val="both"/>
                    <w:rPr>
                      <w:rFonts w:cs="Calibri"/>
                    </w:rPr>
                  </w:pPr>
                </w:p>
                <w:p>
                  <w:pPr>
                    <w:pStyle w:val="Titre3"/>
                    <w:rPr>
                      <w:lang w:val="fr-FR" w:eastAsia="fr-FR"/>
                    </w:rPr>
                  </w:pPr>
                  <w:bookmarkStart w:id="1673" w:name="_Toc18914426"/>
                  <w:r>
                    <w:rPr>
                      <w:lang w:val="fr-FR" w:eastAsia="fr-FR"/>
                    </w:rPr>
                    <w:t>2. Admission aux subventions pour création de nouveaux types, formes et métiers</w:t>
                  </w:r>
                  <w:bookmarkEnd w:id="1673"/>
                </w:p>
                <w:p>
                  <w:pPr>
                    <w:tabs>
                      <w:tab w:val="left" w:pos="0"/>
                    </w:tabs>
                    <w:rPr>
                      <w:rFonts w:eastAsia="Times New Roman" w:cs="Calibri"/>
                      <w:bCs/>
                      <w:lang w:val="fr-FR" w:eastAsia="fr-FR"/>
                    </w:rPr>
                  </w:pPr>
                </w:p>
                <w:p>
                  <w:pPr>
                    <w:jc w:val="both"/>
                    <w:rPr>
                      <w:rFonts w:eastAsia="Times New Roman" w:cs="Calibri"/>
                      <w:bCs/>
                      <w:lang w:val="fr-FR" w:eastAsia="fr-FR"/>
                    </w:rPr>
                  </w:pPr>
                  <w:r>
                    <w:rPr>
                      <w:rFonts w:eastAsia="Times New Roman" w:cs="Calibri"/>
                      <w:bCs/>
                      <w:lang w:val="fr-FR" w:eastAsia="fr-FR"/>
                    </w:rPr>
                    <w:t>Une demande d’admission aux subventions doit être introduite auprès de la Direction générale de l’Enseignement obligatoire pour toute création d’un nouveau type.</w:t>
                  </w:r>
                </w:p>
                <w:p>
                  <w:pPr>
                    <w:jc w:val="both"/>
                    <w:rPr>
                      <w:rFonts w:eastAsia="Times New Roman" w:cs="Calibri"/>
                      <w:bCs/>
                      <w:lang w:val="fr-FR" w:eastAsia="fr-FR"/>
                    </w:rPr>
                  </w:pPr>
                </w:p>
                <w:p>
                  <w:pPr>
                    <w:pStyle w:val="Paragraphedeliste"/>
                    <w:numPr>
                      <w:ilvl w:val="2"/>
                      <w:numId w:val="99"/>
                    </w:numPr>
                    <w:jc w:val="both"/>
                    <w:rPr>
                      <w:rFonts w:asciiTheme="majorHAnsi" w:hAnsiTheme="majorHAnsi"/>
                      <w:sz w:val="22"/>
                      <w:szCs w:val="22"/>
                      <w:u w:val="single"/>
                    </w:rPr>
                  </w:pPr>
                  <w:bookmarkStart w:id="1674" w:name="_Toc384300785"/>
                  <w:bookmarkStart w:id="1675" w:name="_Toc324768131"/>
                  <w:bookmarkStart w:id="1676" w:name="_Toc324767273"/>
                  <w:bookmarkStart w:id="1677" w:name="_Toc324166236"/>
                  <w:bookmarkStart w:id="1678" w:name="_Toc294185406"/>
                  <w:bookmarkStart w:id="1679" w:name="_Toc294004910"/>
                  <w:bookmarkStart w:id="1680" w:name="_Toc293654330"/>
                  <w:bookmarkStart w:id="1681" w:name="_Toc293653718"/>
                  <w:bookmarkStart w:id="1682" w:name="_Toc293652136"/>
                  <w:r>
                    <w:rPr>
                      <w:rFonts w:asciiTheme="majorHAnsi" w:hAnsiTheme="majorHAnsi"/>
                      <w:sz w:val="22"/>
                      <w:szCs w:val="22"/>
                      <w:u w:val="single"/>
                    </w:rPr>
                    <w:t>Constitution du dossier</w:t>
                  </w:r>
                  <w:bookmarkEnd w:id="1674"/>
                  <w:bookmarkEnd w:id="1675"/>
                  <w:bookmarkEnd w:id="1676"/>
                  <w:bookmarkEnd w:id="1677"/>
                  <w:bookmarkEnd w:id="1678"/>
                  <w:bookmarkEnd w:id="1679"/>
                  <w:bookmarkEnd w:id="1680"/>
                  <w:bookmarkEnd w:id="1681"/>
                  <w:bookmarkEnd w:id="1682"/>
                  <w:r>
                    <w:rPr>
                      <w:rFonts w:asciiTheme="majorHAnsi" w:hAnsiTheme="majorHAnsi"/>
                      <w:sz w:val="22"/>
                      <w:szCs w:val="22"/>
                      <w:u w:val="single"/>
                    </w:rPr>
                    <w:t xml:space="preserve"> </w:t>
                  </w:r>
                </w:p>
                <w:p>
                  <w:pPr>
                    <w:jc w:val="both"/>
                    <w:rPr>
                      <w:rFonts w:eastAsia="Times New Roman" w:cs="Calibri"/>
                      <w:bCs/>
                      <w:lang w:val="fr-FR" w:eastAsia="fr-FR"/>
                    </w:rPr>
                  </w:pPr>
                </w:p>
                <w:p>
                  <w:pPr>
                    <w:jc w:val="both"/>
                    <w:rPr>
                      <w:rFonts w:eastAsia="Times New Roman" w:cs="Calibri"/>
                      <w:bCs/>
                      <w:lang w:val="fr-FR" w:eastAsia="fr-FR"/>
                    </w:rPr>
                  </w:pPr>
                  <w:r>
                    <w:rPr>
                      <w:rFonts w:eastAsia="Times New Roman" w:cs="Calibri"/>
                      <w:bCs/>
                      <w:lang w:val="fr-FR" w:eastAsia="fr-FR"/>
                    </w:rPr>
                    <w:t>La demande doit être établie en un seul exemplaire par type.</w:t>
                  </w:r>
                </w:p>
                <w:p>
                  <w:pPr>
                    <w:jc w:val="both"/>
                    <w:rPr>
                      <w:rFonts w:eastAsia="Times New Roman" w:cs="Calibri"/>
                      <w:bCs/>
                      <w:lang w:val="fr-FR" w:eastAsia="fr-FR"/>
                    </w:rPr>
                  </w:pPr>
                </w:p>
                <w:p>
                  <w:pPr>
                    <w:jc w:val="both"/>
                    <w:rPr>
                      <w:rFonts w:eastAsia="Times New Roman" w:cs="Calibri"/>
                      <w:bCs/>
                      <w:u w:val="single"/>
                      <w:lang w:val="fr-FR" w:eastAsia="fr-FR"/>
                    </w:rPr>
                  </w:pPr>
                  <w:r>
                    <w:rPr>
                      <w:rFonts w:eastAsia="Times New Roman" w:cs="Calibri"/>
                      <w:bCs/>
                      <w:u w:val="single"/>
                      <w:lang w:val="fr-FR" w:eastAsia="fr-FR"/>
                    </w:rPr>
                    <w:t xml:space="preserve">Exemples : </w:t>
                  </w:r>
                </w:p>
                <w:p>
                  <w:pPr>
                    <w:jc w:val="both"/>
                    <w:rPr>
                      <w:rFonts w:eastAsia="Times New Roman" w:cs="Calibri"/>
                      <w:bCs/>
                      <w:u w:val="single"/>
                      <w:lang w:val="fr-FR" w:eastAsia="fr-FR"/>
                    </w:rPr>
                  </w:pPr>
                </w:p>
                <w:p>
                  <w:pPr>
                    <w:numPr>
                      <w:ilvl w:val="0"/>
                      <w:numId w:val="197"/>
                    </w:numPr>
                    <w:suppressAutoHyphens/>
                    <w:ind w:left="360" w:hanging="360"/>
                    <w:jc w:val="both"/>
                    <w:rPr>
                      <w:rFonts w:eastAsia="Times New Roman" w:cs="Calibri"/>
                      <w:bCs/>
                      <w:lang w:val="fr-FR" w:eastAsia="fr-FR"/>
                    </w:rPr>
                  </w:pPr>
                  <w:r>
                    <w:rPr>
                      <w:rFonts w:eastAsia="Times New Roman" w:cs="Calibri"/>
                      <w:bCs/>
                      <w:lang w:val="fr-FR" w:eastAsia="fr-FR"/>
                    </w:rPr>
                    <w:t>Un établissement qui souhaite organiser le type 3 aux niveaux maternel et primaire (Maturité I à IV) envoie une seule demande d’admission aux subventions.</w:t>
                  </w:r>
                </w:p>
                <w:p>
                  <w:pPr>
                    <w:numPr>
                      <w:ilvl w:val="0"/>
                      <w:numId w:val="197"/>
                    </w:numPr>
                    <w:suppressAutoHyphens/>
                    <w:ind w:left="360" w:hanging="360"/>
                    <w:jc w:val="both"/>
                    <w:rPr>
                      <w:rFonts w:eastAsia="Times New Roman" w:cs="Calibri"/>
                      <w:bCs/>
                      <w:lang w:val="fr-FR" w:eastAsia="fr-FR"/>
                    </w:rPr>
                  </w:pPr>
                  <w:r>
                    <w:rPr>
                      <w:rFonts w:eastAsia="Times New Roman" w:cs="Calibri"/>
                      <w:bCs/>
                      <w:lang w:val="fr-FR" w:eastAsia="fr-FR"/>
                    </w:rPr>
                    <w:t>Un établissement qui souhaite organiser deux types d’enseignement spécialisé envoie deux demandes d’admission aux subventions, une pour chaque type.</w:t>
                  </w:r>
                </w:p>
                <w:p>
                  <w:pPr>
                    <w:jc w:val="both"/>
                    <w:rPr>
                      <w:rFonts w:eastAsia="Times New Roman" w:cs="Calibri"/>
                      <w:bCs/>
                      <w:lang w:val="fr-FR" w:eastAsia="fr-FR"/>
                    </w:rPr>
                  </w:pPr>
                </w:p>
                <w:p>
                  <w:pPr>
                    <w:jc w:val="both"/>
                    <w:rPr>
                      <w:rFonts w:eastAsia="Times New Roman" w:cs="Calibri"/>
                      <w:bCs/>
                      <w:lang w:val="fr-FR" w:eastAsia="fr-FR"/>
                    </w:rPr>
                  </w:pPr>
                  <w:r>
                    <w:rPr>
                      <w:rFonts w:eastAsia="Times New Roman" w:cs="Calibri"/>
                      <w:bCs/>
                      <w:lang w:val="fr-FR" w:eastAsia="fr-FR"/>
                    </w:rPr>
                    <w:t>Le dossier reprendra les éléments suivants :</w:t>
                  </w:r>
                </w:p>
                <w:p>
                  <w:pPr>
                    <w:jc w:val="both"/>
                    <w:rPr>
                      <w:rFonts w:eastAsia="Times New Roman" w:cs="Calibri"/>
                      <w:bCs/>
                      <w:lang w:val="fr-FR" w:eastAsia="fr-FR"/>
                    </w:rPr>
                  </w:pPr>
                </w:p>
                <w:p>
                  <w:pPr>
                    <w:numPr>
                      <w:ilvl w:val="0"/>
                      <w:numId w:val="198"/>
                    </w:numPr>
                    <w:tabs>
                      <w:tab w:val="left" w:pos="360"/>
                    </w:tabs>
                    <w:suppressAutoHyphens/>
                    <w:ind w:left="426" w:hanging="426"/>
                    <w:jc w:val="both"/>
                    <w:rPr>
                      <w:rFonts w:eastAsia="Times New Roman" w:cs="Calibri"/>
                      <w:bCs/>
                      <w:lang w:val="fr-FR" w:eastAsia="fr-FR"/>
                    </w:rPr>
                  </w:pPr>
                  <w:r>
                    <w:rPr>
                      <w:rFonts w:eastAsia="Times New Roman" w:cs="Calibri"/>
                      <w:bCs/>
                      <w:lang w:val="fr-FR" w:eastAsia="fr-FR"/>
                    </w:rPr>
                    <w:t>Une demande du pouvoir organisateur ainsi que la copie du procès-verbal de délibération ;</w:t>
                  </w:r>
                </w:p>
                <w:p>
                  <w:pPr>
                    <w:numPr>
                      <w:ilvl w:val="0"/>
                      <w:numId w:val="199"/>
                    </w:numPr>
                    <w:tabs>
                      <w:tab w:val="left" w:pos="360"/>
                    </w:tabs>
                    <w:suppressAutoHyphens/>
                    <w:ind w:left="426" w:hanging="426"/>
                    <w:jc w:val="both"/>
                    <w:rPr>
                      <w:rFonts w:eastAsia="Times New Roman" w:cs="Calibri"/>
                      <w:bCs/>
                      <w:lang w:val="fr-FR" w:eastAsia="fr-FR"/>
                    </w:rPr>
                  </w:pPr>
                  <w:r>
                    <w:rPr>
                      <w:rFonts w:eastAsia="Times New Roman" w:cs="Calibri"/>
                      <w:bCs/>
                      <w:lang w:val="fr-FR" w:eastAsia="fr-FR"/>
                    </w:rPr>
                    <w:t>La déclaration sur l’honneur dûment complétée relative au respect des conditions reprises à l’article 24, §2, de la loi du 29 mai 1959 modifiant certaines dispositions de la législation de l'enseignement et reprise à l’annexe 1.</w:t>
                  </w:r>
                </w:p>
                <w:p>
                  <w:pPr>
                    <w:jc w:val="both"/>
                    <w:rPr>
                      <w:rFonts w:eastAsia="Times New Roman" w:cs="Calibri"/>
                      <w:bCs/>
                      <w:lang w:val="fr-FR" w:eastAsia="fr-FR"/>
                    </w:rPr>
                  </w:pPr>
                </w:p>
                <w:p>
                  <w:pPr>
                    <w:jc w:val="both"/>
                    <w:rPr>
                      <w:rFonts w:eastAsia="Times New Roman" w:cs="Calibri"/>
                      <w:bCs/>
                      <w:lang w:val="fr-FR" w:eastAsia="fr-FR"/>
                    </w:rPr>
                  </w:pPr>
                  <w:r>
                    <w:rPr>
                      <w:rFonts w:eastAsia="Times New Roman" w:cs="Calibri"/>
                      <w:bCs/>
                      <w:lang w:val="fr-FR" w:eastAsia="fr-FR"/>
                    </w:rPr>
                    <w:t xml:space="preserve">Il est porté à votre attention que certains documents doivent être tenus à la disposition du service de la vérification dans le cadre d’un rapport éventuel sur la salubrité, l’hygiène et la sécurité. Ils ne doivent donc pas être joints au dossier. </w:t>
                  </w:r>
                </w:p>
                <w:p>
                  <w:pPr>
                    <w:jc w:val="both"/>
                    <w:rPr>
                      <w:rFonts w:eastAsia="Times New Roman" w:cs="Calibri"/>
                      <w:bCs/>
                      <w:lang w:val="fr-FR" w:eastAsia="fr-FR"/>
                    </w:rPr>
                  </w:pPr>
                </w:p>
                <w:p>
                  <w:pPr>
                    <w:jc w:val="both"/>
                    <w:rPr>
                      <w:rFonts w:eastAsia="Times New Roman" w:cs="Calibri"/>
                      <w:bCs/>
                      <w:lang w:val="fr-FR" w:eastAsia="fr-FR"/>
                    </w:rPr>
                  </w:pPr>
                  <w:r>
                    <w:rPr>
                      <w:rFonts w:eastAsia="Times New Roman" w:cs="Calibri"/>
                      <w:bCs/>
                      <w:lang w:val="fr-FR" w:eastAsia="fr-FR"/>
                    </w:rPr>
                    <w:t>Ces documents sont les suivants : rapport du S.E.P.P.T</w:t>
                  </w:r>
                  <w:r>
                    <w:rPr>
                      <w:rFonts w:eastAsia="Times New Roman" w:cs="Calibri"/>
                      <w:bCs/>
                      <w:lang w:val="fr-FR" w:eastAsia="fr-FR"/>
                    </w:rPr>
                    <w:footnoteReference w:id="94"/>
                  </w:r>
                  <w:r>
                    <w:rPr>
                      <w:rFonts w:eastAsia="Times New Roman" w:cs="Calibri"/>
                      <w:bCs/>
                      <w:lang w:val="fr-FR" w:eastAsia="fr-FR"/>
                    </w:rPr>
                    <w:t>, rapport de la médecine scolaire PSE</w:t>
                  </w:r>
                  <w:r>
                    <w:rPr>
                      <w:rFonts w:eastAsia="Times New Roman" w:cs="Calibri"/>
                      <w:bCs/>
                      <w:lang w:val="fr-FR" w:eastAsia="fr-FR"/>
                    </w:rPr>
                    <w:footnoteReference w:id="95"/>
                  </w:r>
                  <w:r>
                    <w:rPr>
                      <w:rFonts w:eastAsia="Times New Roman" w:cs="Calibri"/>
                      <w:bCs/>
                      <w:lang w:val="fr-FR" w:eastAsia="fr-FR"/>
                    </w:rPr>
                    <w:t>, autorisation de l’AFSCA</w:t>
                  </w:r>
                  <w:r>
                    <w:rPr>
                      <w:rFonts w:eastAsia="Times New Roman" w:cs="Calibri"/>
                      <w:bCs/>
                      <w:lang w:val="fr-FR" w:eastAsia="fr-FR"/>
                    </w:rPr>
                    <w:footnoteReference w:id="96"/>
                  </w:r>
                  <w:r>
                    <w:rPr>
                      <w:rFonts w:eastAsia="Times New Roman" w:cs="Calibri"/>
                      <w:bCs/>
                      <w:lang w:val="fr-FR" w:eastAsia="fr-FR"/>
                    </w:rPr>
                    <w:t>, registre de la sécurité, rapport du service régional d’incendie, plan global de prévention, règlement de travail, registre des produits dangereux, inventaire amiante, plan interne d’urgence.</w:t>
                  </w:r>
                </w:p>
                <w:p>
                  <w:pPr>
                    <w:jc w:val="both"/>
                    <w:rPr>
                      <w:rFonts w:eastAsia="Times New Roman" w:cs="Calibri"/>
                      <w:bCs/>
                      <w:lang w:val="fr-FR" w:eastAsia="fr-FR"/>
                    </w:rPr>
                  </w:pPr>
                </w:p>
                <w:p>
                  <w:pPr>
                    <w:pStyle w:val="Paragraphedeliste"/>
                    <w:numPr>
                      <w:ilvl w:val="2"/>
                      <w:numId w:val="99"/>
                    </w:numPr>
                    <w:jc w:val="both"/>
                    <w:rPr>
                      <w:rFonts w:asciiTheme="majorHAnsi" w:hAnsiTheme="majorHAnsi" w:cs="Calibri"/>
                      <w:bCs/>
                      <w:sz w:val="22"/>
                      <w:szCs w:val="22"/>
                      <w:u w:val="single"/>
                      <w:lang w:val="fr-FR" w:eastAsia="fr-FR"/>
                    </w:rPr>
                  </w:pPr>
                  <w:r>
                    <w:rPr>
                      <w:rFonts w:asciiTheme="majorHAnsi" w:hAnsiTheme="majorHAnsi" w:cs="Calibri"/>
                      <w:bCs/>
                      <w:sz w:val="22"/>
                      <w:szCs w:val="22"/>
                      <w:u w:val="single"/>
                      <w:lang w:val="fr-FR" w:eastAsia="fr-FR"/>
                    </w:rPr>
                    <w:t>Modalités</w:t>
                  </w:r>
                </w:p>
                <w:p>
                  <w:pPr>
                    <w:pStyle w:val="Paragraphedeliste"/>
                    <w:ind w:left="360"/>
                    <w:jc w:val="both"/>
                    <w:rPr>
                      <w:rFonts w:asciiTheme="majorHAnsi" w:hAnsiTheme="majorHAnsi" w:cs="Calibri"/>
                      <w:bCs/>
                      <w:sz w:val="22"/>
                      <w:szCs w:val="22"/>
                      <w:lang w:val="fr-FR" w:eastAsia="fr-FR"/>
                    </w:rPr>
                  </w:pPr>
                </w:p>
                <w:p>
                  <w:pPr>
                    <w:jc w:val="both"/>
                    <w:rPr>
                      <w:rFonts w:eastAsia="Times New Roman" w:cs="Calibri"/>
                      <w:bCs/>
                      <w:lang w:val="fr-FR" w:eastAsia="fr-FR"/>
                    </w:rPr>
                  </w:pPr>
                  <w:r>
                    <w:rPr>
                      <w:rFonts w:eastAsia="Times New Roman" w:cs="Calibri"/>
                      <w:bCs/>
                      <w:lang w:val="fr-FR" w:eastAsia="fr-FR"/>
                    </w:rPr>
                    <w:t>Seuls les dossiers complets seront pris en considération. Il est donc inutile de transmettre un dossier ne comportant pas les pièces énumérées ci-dessus.</w:t>
                  </w:r>
                </w:p>
                <w:p>
                  <w:pPr>
                    <w:jc w:val="both"/>
                    <w:rPr>
                      <w:rFonts w:eastAsia="Times New Roman" w:cs="Calibri"/>
                      <w:bCs/>
                      <w:lang w:val="fr-FR" w:eastAsia="fr-FR"/>
                    </w:rPr>
                  </w:pPr>
                </w:p>
                <w:p>
                  <w:pPr>
                    <w:jc w:val="both"/>
                    <w:rPr>
                      <w:rFonts w:eastAsia="Times New Roman" w:cs="Calibri"/>
                      <w:bCs/>
                      <w:lang w:val="fr-FR" w:eastAsia="fr-FR"/>
                    </w:rPr>
                  </w:pPr>
                  <w:r>
                    <w:rPr>
                      <w:rFonts w:eastAsia="Times New Roman" w:cs="Calibri"/>
                      <w:bCs/>
                      <w:lang w:val="fr-FR" w:eastAsia="fr-FR"/>
                    </w:rPr>
                    <w:t>Les dossiers de demande d’admission aux subventions doivent être transmis par le pouvoir organisateur de l’établissement concerné, en un seul exemplaire à l’adresse suivante :</w:t>
                  </w:r>
                </w:p>
                <w:p>
                  <w:pPr>
                    <w:jc w:val="both"/>
                    <w:rPr>
                      <w:rFonts w:eastAsia="Times New Roman" w:cs="Calibri"/>
                      <w:bCs/>
                      <w:lang w:val="fr-FR" w:eastAsia="fr-FR"/>
                    </w:rPr>
                  </w:pPr>
                </w:p>
                <w:p>
                  <w:pPr>
                    <w:pBdr>
                      <w:top w:val="single" w:sz="4" w:space="1" w:color="auto"/>
                      <w:left w:val="single" w:sz="4" w:space="4" w:color="auto"/>
                      <w:bottom w:val="single" w:sz="4" w:space="1" w:color="auto"/>
                      <w:right w:val="single" w:sz="4" w:space="4" w:color="auto"/>
                    </w:pBdr>
                    <w:jc w:val="center"/>
                  </w:pPr>
                  <w:r>
                    <w:t>Direction générale de l’Enseignement obligatoire</w:t>
                  </w:r>
                </w:p>
                <w:p>
                  <w:pPr>
                    <w:pBdr>
                      <w:top w:val="single" w:sz="4" w:space="1" w:color="auto"/>
                      <w:left w:val="single" w:sz="4" w:space="4" w:color="auto"/>
                      <w:bottom w:val="single" w:sz="4" w:space="1" w:color="auto"/>
                      <w:right w:val="single" w:sz="4" w:space="4" w:color="auto"/>
                    </w:pBdr>
                    <w:jc w:val="center"/>
                  </w:pPr>
                  <w:r>
                    <w:t>Service de l’Enseignement spécialisé</w:t>
                  </w:r>
                </w:p>
                <w:p>
                  <w:pPr>
                    <w:pBdr>
                      <w:top w:val="single" w:sz="4" w:space="1" w:color="auto"/>
                      <w:left w:val="single" w:sz="4" w:space="4" w:color="auto"/>
                      <w:bottom w:val="single" w:sz="4" w:space="1" w:color="auto"/>
                      <w:right w:val="single" w:sz="4" w:space="4" w:color="auto"/>
                    </w:pBdr>
                    <w:jc w:val="center"/>
                  </w:pPr>
                  <w:r>
                    <w:t>Admission aux subventions</w:t>
                  </w:r>
                </w:p>
                <w:p>
                  <w:pPr>
                    <w:pBdr>
                      <w:top w:val="single" w:sz="4" w:space="1" w:color="auto"/>
                      <w:left w:val="single" w:sz="4" w:space="4" w:color="auto"/>
                      <w:bottom w:val="single" w:sz="4" w:space="1" w:color="auto"/>
                      <w:right w:val="single" w:sz="4" w:space="4" w:color="auto"/>
                    </w:pBdr>
                    <w:jc w:val="center"/>
                  </w:pPr>
                  <w:r>
                    <w:t>Madame Véronique ROMBAUT</w:t>
                  </w:r>
                </w:p>
                <w:p>
                  <w:pPr>
                    <w:pBdr>
                      <w:top w:val="single" w:sz="4" w:space="1" w:color="auto"/>
                      <w:left w:val="single" w:sz="4" w:space="4" w:color="auto"/>
                      <w:bottom w:val="single" w:sz="4" w:space="1" w:color="auto"/>
                      <w:right w:val="single" w:sz="4" w:space="4" w:color="auto"/>
                    </w:pBdr>
                    <w:jc w:val="center"/>
                  </w:pPr>
                  <w:r>
                    <w:t>Bureau 2F245</w:t>
                  </w:r>
                </w:p>
                <w:p>
                  <w:pPr>
                    <w:pBdr>
                      <w:top w:val="single" w:sz="4" w:space="1" w:color="auto"/>
                      <w:left w:val="single" w:sz="4" w:space="4" w:color="auto"/>
                      <w:bottom w:val="single" w:sz="4" w:space="1" w:color="auto"/>
                      <w:right w:val="single" w:sz="4" w:space="4" w:color="auto"/>
                    </w:pBdr>
                    <w:jc w:val="center"/>
                  </w:pPr>
                  <w:r>
                    <w:t>Rue Adolphe Lavallée, 1</w:t>
                  </w:r>
                </w:p>
                <w:p>
                  <w:pPr>
                    <w:pBdr>
                      <w:top w:val="single" w:sz="4" w:space="1" w:color="auto"/>
                      <w:left w:val="single" w:sz="4" w:space="4" w:color="auto"/>
                      <w:bottom w:val="single" w:sz="4" w:space="1" w:color="auto"/>
                      <w:right w:val="single" w:sz="4" w:space="4" w:color="auto"/>
                    </w:pBdr>
                    <w:jc w:val="center"/>
                  </w:pPr>
                  <w:r>
                    <w:t>1080   BRUXELLES</w:t>
                  </w:r>
                </w:p>
                <w:p>
                  <w:pPr>
                    <w:pBdr>
                      <w:top w:val="single" w:sz="4" w:space="1" w:color="auto"/>
                      <w:left w:val="single" w:sz="4" w:space="4" w:color="auto"/>
                      <w:bottom w:val="single" w:sz="4" w:space="1" w:color="auto"/>
                      <w:right w:val="single" w:sz="4" w:space="4" w:color="auto"/>
                    </w:pBdr>
                    <w:jc w:val="center"/>
                  </w:pPr>
                  <w:r>
                    <w:sym w:font="Wingdings" w:char="F028"/>
                  </w:r>
                  <w:r>
                    <w:t xml:space="preserve"> 02/690.83.99 - </w:t>
                  </w:r>
                  <w:r>
                    <w:rPr>
                      <w:bCs/>
                    </w:rPr>
                    <w:sym w:font="Wingdings" w:char="F03A"/>
                  </w:r>
                  <w:r>
                    <w:rPr>
                      <w:bCs/>
                    </w:rPr>
                    <w:t xml:space="preserve"> : </w:t>
                  </w:r>
                  <w:hyperlink r:id="rId130" w:history="1">
                    <w:r>
                      <w:rPr>
                        <w:rStyle w:val="Lienhypertexte"/>
                      </w:rPr>
                      <w:t>veronique.rombaut@cfwb.be</w:t>
                    </w:r>
                  </w:hyperlink>
                </w:p>
                <w:p>
                  <w:pPr>
                    <w:rPr>
                      <w:rFonts w:eastAsia="Times New Roman" w:cs="Calibri"/>
                      <w:bCs/>
                      <w:lang w:eastAsia="fr-FR"/>
                    </w:rPr>
                  </w:pPr>
                </w:p>
                <w:p>
                  <w:pPr>
                    <w:jc w:val="both"/>
                    <w:rPr>
                      <w:rFonts w:eastAsia="Times New Roman" w:cs="Calibri"/>
                      <w:bCs/>
                      <w:lang w:val="fr-FR" w:eastAsia="fr-FR"/>
                    </w:rPr>
                  </w:pPr>
                  <w:r>
                    <w:rPr>
                      <w:rFonts w:eastAsia="Times New Roman" w:cs="Calibri"/>
                      <w:bCs/>
                      <w:lang w:val="fr-FR" w:eastAsia="fr-FR"/>
                    </w:rPr>
                    <w:t>Ces dossiers peuvent être envoyés à n’importe quel moment de l’année et éventuellement joints au dossier annonçant la programmation.</w:t>
                  </w:r>
                </w:p>
                <w:p>
                  <w:pPr>
                    <w:rPr>
                      <w:rFonts w:eastAsia="Times New Roman" w:cs="Calibri"/>
                      <w:bCs/>
                      <w:lang w:val="fr-FR" w:eastAsia="fr-FR"/>
                    </w:rPr>
                  </w:pPr>
                </w:p>
                <w:p>
                  <w:pPr>
                    <w:tabs>
                      <w:tab w:val="left" w:pos="0"/>
                    </w:tabs>
                    <w:rPr>
                      <w:rFonts w:cs="Calibri"/>
                    </w:rPr>
                  </w:pPr>
                </w:p>
                <w:p>
                  <w:pPr>
                    <w:pStyle w:val="Titre3"/>
                  </w:pPr>
                  <w:bookmarkStart w:id="1683" w:name="_Toc18914427"/>
                  <w:r>
                    <w:t>3. Annexes</w:t>
                  </w:r>
                  <w:bookmarkEnd w:id="1683"/>
                  <w:r>
                    <w:br w:type="page"/>
                  </w:r>
                </w:p>
                <w:p>
                  <w:pPr>
                    <w:tabs>
                      <w:tab w:val="left" w:pos="0"/>
                    </w:tabs>
                  </w:pPr>
                </w:p>
                <w:p>
                  <w:pPr>
                    <w:pStyle w:val="Titre4"/>
                  </w:pPr>
                  <w:r>
                    <w:t>Annexe 1 : Demande</w:t>
                  </w:r>
                  <w:r>
                    <w:rPr>
                      <w:rStyle w:val="Titre3Car2"/>
                    </w:rPr>
                    <w:t xml:space="preserve"> </w:t>
                  </w:r>
                  <w:r>
                    <w:t>d’admission aux subventions d’un établissement scolaire</w:t>
                  </w:r>
                  <w:r>
                    <w:rPr>
                      <w:rStyle w:val="Appelnotedebasdep"/>
                      <w:b w:val="0"/>
                    </w:rPr>
                    <w:footnoteReference w:id="97"/>
                  </w:r>
                </w:p>
                <w:p>
                  <w:pPr>
                    <w:shd w:val="clear" w:color="auto" w:fill="FFFFFF" w:themeFill="background1"/>
                    <w:jc w:val="both"/>
                    <w:rPr>
                      <w:b/>
                    </w:rPr>
                  </w:pPr>
                </w:p>
                <w:p>
                  <w:pPr>
                    <w:jc w:val="both"/>
                    <w:rPr>
                      <w:b/>
                    </w:rPr>
                  </w:pPr>
                </w:p>
                <w:p>
                  <w:pPr>
                    <w:jc w:val="both"/>
                    <w:rPr>
                      <w:rFonts w:cs="Calibri"/>
                    </w:rPr>
                  </w:pPr>
                  <w:r>
                    <w:rPr>
                      <w:rFonts w:cs="Calibri"/>
                    </w:rPr>
                    <w:t>Le ……/……./……..</w:t>
                  </w:r>
                </w:p>
                <w:p>
                  <w:pPr>
                    <w:jc w:val="both"/>
                    <w:rPr>
                      <w:rFonts w:cs="Calibri"/>
                    </w:rPr>
                  </w:pPr>
                </w:p>
                <w:p>
                  <w:pPr>
                    <w:jc w:val="both"/>
                    <w:rPr>
                      <w:rFonts w:cs="Calibri"/>
                      <w:i/>
                    </w:rPr>
                  </w:pPr>
                  <w:r>
                    <w:rPr>
                      <w:rFonts w:cs="Calibri"/>
                    </w:rPr>
                    <w:t>Conformément aux dispositions des articles 24 et 37 de la loi du 29 mai 1959</w:t>
                  </w:r>
                  <w:r>
                    <w:rPr>
                      <w:rFonts w:cs="Calibri"/>
                      <w:color w:val="4A4A4A"/>
                    </w:rPr>
                    <w:t xml:space="preserve"> </w:t>
                  </w:r>
                  <w:r>
                    <w:rPr>
                      <w:rFonts w:cs="Calibri"/>
                      <w:i/>
                    </w:rPr>
                    <w:t xml:space="preserve">modifiant certaines dispositions de la législation de l'enseignement, </w:t>
                  </w:r>
                  <w:r>
                    <w:rPr>
                      <w:rFonts w:cs="Calibri"/>
                    </w:rPr>
                    <w:t xml:space="preserve">et à l’article 6 de l’arrêté royal du 22 octobre 1959 </w:t>
                  </w:r>
                  <w:r>
                    <w:rPr>
                      <w:rFonts w:cs="Calibri"/>
                      <w:i/>
                    </w:rPr>
                    <w:t>portant application des articles 34 et 37 de la loi du 29 mai 1959</w:t>
                  </w:r>
                </w:p>
                <w:p>
                  <w:pPr>
                    <w:jc w:val="both"/>
                    <w:rPr>
                      <w:rFonts w:cs="Calibri"/>
                    </w:rPr>
                  </w:pPr>
                </w:p>
                <w:p>
                  <w:pPr>
                    <w:spacing w:line="360" w:lineRule="auto"/>
                    <w:jc w:val="both"/>
                    <w:rPr>
                      <w:rFonts w:cs="Calibri"/>
                    </w:rPr>
                  </w:pPr>
                  <w:r>
                    <w:rPr>
                      <w:rFonts w:cs="Calibri"/>
                    </w:rPr>
                    <w:t>Je soussigné-e ................................................................................................................................</w:t>
                  </w:r>
                </w:p>
                <w:p>
                  <w:pPr>
                    <w:numPr>
                      <w:ilvl w:val="0"/>
                      <w:numId w:val="154"/>
                    </w:numPr>
                    <w:tabs>
                      <w:tab w:val="left" w:pos="495"/>
                    </w:tabs>
                    <w:ind w:left="0" w:firstLine="0"/>
                    <w:jc w:val="both"/>
                    <w:rPr>
                      <w:rFonts w:cs="Calibri"/>
                    </w:rPr>
                  </w:pPr>
                  <w:r>
                    <w:rPr>
                      <w:rFonts w:cs="Calibri"/>
                    </w:rPr>
                    <w:t xml:space="preserve">Gouverneur-e, Bourgmestre ou Président-e du Pouvoir organisateur suivant (biffez la mention inutile): </w:t>
                  </w:r>
                </w:p>
                <w:p>
                  <w:pPr>
                    <w:numPr>
                      <w:ilvl w:val="0"/>
                      <w:numId w:val="154"/>
                    </w:numPr>
                    <w:tabs>
                      <w:tab w:val="left" w:pos="495"/>
                    </w:tabs>
                    <w:ind w:left="0" w:firstLine="0"/>
                    <w:jc w:val="both"/>
                    <w:rPr>
                      <w:rFonts w:cs="Calibri"/>
                    </w:rPr>
                  </w:pPr>
                  <w:r>
                    <w:rPr>
                      <w:rFonts w:cs="Calibri"/>
                    </w:rPr>
                    <w:t>Représentant le Pouvoir organisateur suivant (</w:t>
                  </w:r>
                  <w:r>
                    <w:rPr>
                      <w:rFonts w:cs="Calibri"/>
                      <w:b/>
                    </w:rPr>
                    <w:t>joindre une copie du compte-rendu de la délibération du P.O. autorisant la représentation)</w:t>
                  </w:r>
                  <w:r>
                    <w:rPr>
                      <w:rFonts w:cs="Calibri"/>
                    </w:rPr>
                    <w:t xml:space="preserve">: </w:t>
                  </w:r>
                </w:p>
                <w:p>
                  <w:pPr>
                    <w:jc w:val="both"/>
                    <w:rPr>
                      <w:rFonts w:cs="Calibri"/>
                    </w:rPr>
                  </w:pPr>
                  <w:r>
                    <w:rPr>
                      <w:rFonts w:cs="Calibri"/>
                    </w:rPr>
                    <w:t>.................................................................................................................................................................</w:t>
                  </w:r>
                </w:p>
                <w:p>
                  <w:pPr>
                    <w:jc w:val="both"/>
                    <w:rPr>
                      <w:rFonts w:cs="Calibri"/>
                    </w:rPr>
                  </w:pPr>
                  <w:r>
                    <w:rPr>
                      <w:rFonts w:cs="Calibri"/>
                    </w:rPr>
                    <w:t>.................................................................................................................................................................</w:t>
                  </w:r>
                </w:p>
                <w:p>
                  <w:pPr>
                    <w:jc w:val="both"/>
                    <w:rPr>
                      <w:rFonts w:cs="Calibri"/>
                    </w:rPr>
                  </w:pPr>
                  <w:r>
                    <w:rPr>
                      <w:rFonts w:cs="Calibri"/>
                    </w:rPr>
                    <w:t xml:space="preserve"> (nom+adresse du P.O.)</w:t>
                  </w:r>
                </w:p>
                <w:p>
                  <w:pPr>
                    <w:tabs>
                      <w:tab w:val="left" w:pos="495"/>
                    </w:tabs>
                    <w:jc w:val="both"/>
                    <w:rPr>
                      <w:rFonts w:cs="Calibri"/>
                    </w:rPr>
                  </w:pPr>
                </w:p>
                <w:p>
                  <w:pPr>
                    <w:jc w:val="both"/>
                    <w:rPr>
                      <w:rFonts w:cs="Calibri"/>
                    </w:rPr>
                  </w:pPr>
                  <w:r>
                    <w:rPr>
                      <w:rFonts w:cs="Calibri"/>
                    </w:rPr>
                    <w:t>ai l'honneur de solliciter, à partir de l’année scolaire 20…...-20…….., l’admission aux subventions d’un établissement d’enseignement :</w:t>
                  </w:r>
                </w:p>
                <w:tbl>
                  <w:tblPr>
                    <w:tblW w:w="0" w:type="auto"/>
                    <w:tblLayout w:type="fixed"/>
                    <w:tblLook w:val="04A0" w:firstRow="1" w:lastRow="0" w:firstColumn="1" w:lastColumn="0" w:noHBand="0" w:noVBand="1"/>
                  </w:tblPr>
                  <w:tblGrid>
                    <w:gridCol w:w="9180"/>
                  </w:tblGrid>
                  <w:tr>
                    <w:tc>
                      <w:tcPr>
                        <w:tcW w:w="9180" w:type="dxa"/>
                      </w:tcPr>
                      <w:p>
                        <w:pPr>
                          <w:jc w:val="both"/>
                          <w:rPr>
                            <w:rFonts w:cs="Calibri"/>
                          </w:rPr>
                        </w:pPr>
                      </w:p>
                      <w:p>
                        <w:pPr>
                          <w:numPr>
                            <w:ilvl w:val="0"/>
                            <w:numId w:val="206"/>
                          </w:numPr>
                          <w:tabs>
                            <w:tab w:val="left" w:pos="743"/>
                          </w:tabs>
                          <w:ind w:hanging="1818"/>
                          <w:jc w:val="both"/>
                          <w:rPr>
                            <w:rFonts w:cs="Calibri"/>
                          </w:rPr>
                        </w:pPr>
                        <w:r>
                          <w:rPr>
                            <w:rFonts w:cs="Calibri"/>
                          </w:rPr>
                          <w:t>Ordinaire</w:t>
                        </w:r>
                      </w:p>
                      <w:p>
                        <w:pPr>
                          <w:numPr>
                            <w:ilvl w:val="0"/>
                            <w:numId w:val="206"/>
                          </w:numPr>
                          <w:tabs>
                            <w:tab w:val="left" w:pos="743"/>
                          </w:tabs>
                          <w:ind w:hanging="1818"/>
                          <w:jc w:val="both"/>
                          <w:rPr>
                            <w:rFonts w:cs="Calibri"/>
                          </w:rPr>
                        </w:pPr>
                        <w:r>
                          <w:rPr>
                            <w:rFonts w:cs="Calibri"/>
                          </w:rPr>
                          <w:t>Spécialisé</w:t>
                        </w:r>
                      </w:p>
                      <w:p>
                        <w:pPr>
                          <w:tabs>
                            <w:tab w:val="left" w:pos="743"/>
                          </w:tabs>
                          <w:ind w:hanging="1818"/>
                          <w:jc w:val="both"/>
                          <w:rPr>
                            <w:rFonts w:cs="Calibri"/>
                          </w:rPr>
                        </w:pPr>
                      </w:p>
                      <w:p>
                        <w:pPr>
                          <w:numPr>
                            <w:ilvl w:val="0"/>
                            <w:numId w:val="206"/>
                          </w:numPr>
                          <w:tabs>
                            <w:tab w:val="left" w:pos="743"/>
                          </w:tabs>
                          <w:ind w:hanging="1818"/>
                          <w:jc w:val="both"/>
                          <w:rPr>
                            <w:rFonts w:cs="Calibri"/>
                          </w:rPr>
                        </w:pPr>
                        <w:r>
                          <w:rPr>
                            <w:rFonts w:cs="Calibri"/>
                          </w:rPr>
                          <w:t xml:space="preserve">Maternel </w:t>
                        </w:r>
                      </w:p>
                      <w:p>
                        <w:pPr>
                          <w:numPr>
                            <w:ilvl w:val="0"/>
                            <w:numId w:val="206"/>
                          </w:numPr>
                          <w:tabs>
                            <w:tab w:val="left" w:pos="743"/>
                          </w:tabs>
                          <w:ind w:hanging="1818"/>
                          <w:jc w:val="both"/>
                          <w:rPr>
                            <w:rFonts w:cs="Calibri"/>
                          </w:rPr>
                        </w:pPr>
                        <w:r>
                          <w:rPr>
                            <w:rFonts w:cs="Calibri"/>
                          </w:rPr>
                          <w:t>Primaire</w:t>
                        </w:r>
                      </w:p>
                      <w:p>
                        <w:pPr>
                          <w:numPr>
                            <w:ilvl w:val="0"/>
                            <w:numId w:val="206"/>
                          </w:numPr>
                          <w:tabs>
                            <w:tab w:val="left" w:pos="743"/>
                          </w:tabs>
                          <w:ind w:hanging="1818"/>
                          <w:jc w:val="both"/>
                          <w:rPr>
                            <w:rFonts w:cs="Calibri"/>
                          </w:rPr>
                        </w:pPr>
                        <w:r>
                          <w:rPr>
                            <w:rFonts w:cs="Calibri"/>
                          </w:rPr>
                          <w:t>Fondamental</w:t>
                        </w:r>
                      </w:p>
                      <w:p>
                        <w:pPr>
                          <w:numPr>
                            <w:ilvl w:val="0"/>
                            <w:numId w:val="206"/>
                          </w:numPr>
                          <w:tabs>
                            <w:tab w:val="left" w:pos="743"/>
                          </w:tabs>
                          <w:ind w:hanging="1818"/>
                          <w:jc w:val="both"/>
                          <w:rPr>
                            <w:rFonts w:cs="Calibri"/>
                          </w:rPr>
                        </w:pPr>
                        <w:r>
                          <w:rPr>
                            <w:rFonts w:cs="Calibri"/>
                          </w:rPr>
                          <w:t>Secondaire</w:t>
                        </w:r>
                      </w:p>
                      <w:p>
                        <w:pPr>
                          <w:tabs>
                            <w:tab w:val="left" w:pos="495"/>
                          </w:tabs>
                          <w:ind w:hanging="567"/>
                          <w:jc w:val="both"/>
                          <w:rPr>
                            <w:rFonts w:cs="Calibri"/>
                          </w:rPr>
                        </w:pPr>
                      </w:p>
                      <w:p>
                        <w:pPr>
                          <w:numPr>
                            <w:ilvl w:val="0"/>
                            <w:numId w:val="206"/>
                          </w:numPr>
                          <w:tabs>
                            <w:tab w:val="left" w:pos="495"/>
                          </w:tabs>
                          <w:ind w:left="459" w:hanging="459"/>
                          <w:jc w:val="both"/>
                          <w:rPr>
                            <w:rFonts w:cs="Calibri"/>
                          </w:rPr>
                        </w:pPr>
                        <w:r>
                          <w:rPr>
                            <w:rFonts w:cs="Calibri"/>
                          </w:rPr>
                          <w:t>de confession (</w:t>
                        </w:r>
                        <w:r>
                          <w:rPr>
                            <w:rFonts w:cs="Calibri"/>
                            <w:b/>
                          </w:rPr>
                          <w:t xml:space="preserve">joindre une copie de l’accord de l’autorité compétente du culte concerné, </w:t>
                        </w:r>
                        <w:r>
                          <w:rPr>
                            <w:rFonts w:cs="Calibri"/>
                          </w:rPr>
                          <w:t>conformément à l’article 4, alinéa 2, 2, de la loi du 29 mai 1959 précitée) :</w:t>
                        </w:r>
                      </w:p>
                      <w:p>
                        <w:pPr>
                          <w:numPr>
                            <w:ilvl w:val="4"/>
                            <w:numId w:val="207"/>
                          </w:numPr>
                          <w:ind w:left="1735" w:hanging="425"/>
                          <w:jc w:val="both"/>
                          <w:rPr>
                            <w:rFonts w:cs="Calibri"/>
                          </w:rPr>
                        </w:pPr>
                        <w:r>
                          <w:rPr>
                            <w:rFonts w:cs="Calibri"/>
                          </w:rPr>
                          <w:t>Catholique</w:t>
                        </w:r>
                      </w:p>
                      <w:p>
                        <w:pPr>
                          <w:numPr>
                            <w:ilvl w:val="4"/>
                            <w:numId w:val="207"/>
                          </w:numPr>
                          <w:ind w:left="1735" w:hanging="425"/>
                          <w:jc w:val="both"/>
                          <w:rPr>
                            <w:rFonts w:cs="Calibri"/>
                          </w:rPr>
                        </w:pPr>
                        <w:r>
                          <w:rPr>
                            <w:rFonts w:cs="Calibri"/>
                          </w:rPr>
                          <w:t>Protestante</w:t>
                        </w:r>
                      </w:p>
                      <w:p>
                        <w:pPr>
                          <w:numPr>
                            <w:ilvl w:val="4"/>
                            <w:numId w:val="207"/>
                          </w:numPr>
                          <w:ind w:left="1735" w:hanging="425"/>
                          <w:jc w:val="both"/>
                          <w:rPr>
                            <w:rFonts w:cs="Calibri"/>
                          </w:rPr>
                        </w:pPr>
                        <w:r>
                          <w:rPr>
                            <w:rFonts w:cs="Calibri"/>
                          </w:rPr>
                          <w:t>Islamique</w:t>
                        </w:r>
                      </w:p>
                      <w:p>
                        <w:pPr>
                          <w:numPr>
                            <w:ilvl w:val="4"/>
                            <w:numId w:val="207"/>
                          </w:numPr>
                          <w:ind w:left="1735" w:hanging="425"/>
                          <w:jc w:val="both"/>
                          <w:rPr>
                            <w:rFonts w:cs="Calibri"/>
                          </w:rPr>
                        </w:pPr>
                        <w:r>
                          <w:rPr>
                            <w:rFonts w:cs="Calibri"/>
                          </w:rPr>
                          <w:t>Israélite</w:t>
                        </w:r>
                      </w:p>
                      <w:p>
                        <w:pPr>
                          <w:numPr>
                            <w:ilvl w:val="4"/>
                            <w:numId w:val="207"/>
                          </w:numPr>
                          <w:ind w:left="1735" w:hanging="425"/>
                          <w:jc w:val="both"/>
                          <w:rPr>
                            <w:rFonts w:cs="Calibri"/>
                          </w:rPr>
                        </w:pPr>
                        <w:r>
                          <w:rPr>
                            <w:rFonts w:cs="Calibri"/>
                          </w:rPr>
                          <w:t>Orthodoxe</w:t>
                        </w:r>
                      </w:p>
                      <w:p>
                        <w:pPr>
                          <w:ind w:hanging="567"/>
                          <w:jc w:val="both"/>
                          <w:rPr>
                            <w:rFonts w:cs="Calibri"/>
                          </w:rPr>
                        </w:pPr>
                      </w:p>
                      <w:p>
                        <w:pPr>
                          <w:numPr>
                            <w:ilvl w:val="0"/>
                            <w:numId w:val="206"/>
                          </w:numPr>
                          <w:tabs>
                            <w:tab w:val="left" w:pos="495"/>
                          </w:tabs>
                          <w:ind w:left="459" w:hanging="459"/>
                          <w:jc w:val="both"/>
                          <w:rPr>
                            <w:rFonts w:cs="Calibri"/>
                          </w:rPr>
                        </w:pPr>
                        <w:r>
                          <w:rPr>
                            <w:rFonts w:cs="Calibri"/>
                          </w:rPr>
                          <w:t>non confessionnel</w:t>
                        </w:r>
                      </w:p>
                      <w:p>
                        <w:pPr>
                          <w:jc w:val="both"/>
                          <w:rPr>
                            <w:rFonts w:cs="Calibri"/>
                          </w:rPr>
                        </w:pPr>
                      </w:p>
                    </w:tc>
                  </w:tr>
                </w:tbl>
                <w:p>
                  <w:pPr>
                    <w:jc w:val="both"/>
                    <w:rPr>
                      <w:rFonts w:cs="Calibri"/>
                    </w:rPr>
                  </w:pPr>
                  <w:r>
                    <w:rPr>
                      <w:rFonts w:cs="Calibri"/>
                    </w:rPr>
                    <w:t>Adresse de l’implantation principale :</w:t>
                  </w:r>
                </w:p>
                <w:p>
                  <w:pPr>
                    <w:spacing w:line="360" w:lineRule="auto"/>
                    <w:jc w:val="both"/>
                    <w:rPr>
                      <w:rFonts w:cs="Calibri"/>
                    </w:rPr>
                  </w:pPr>
                  <w:r>
                    <w:rPr>
                      <w:rFonts w:cs="Calibri"/>
                    </w:rPr>
                    <w:t>........................................................................................................................................................ ........................................................................................................................................................</w:t>
                  </w:r>
                </w:p>
                <w:p>
                  <w:pPr>
                    <w:jc w:val="both"/>
                    <w:rPr>
                      <w:rFonts w:cs="Calibri"/>
                    </w:rPr>
                  </w:pPr>
                  <w:r>
                    <w:rPr>
                      <w:rFonts w:cs="Calibri"/>
                    </w:rPr>
                    <w:t>Le cas échéant, adresse d’une autre implantation :</w:t>
                  </w:r>
                </w:p>
                <w:p>
                  <w:pPr>
                    <w:jc w:val="both"/>
                    <w:rPr>
                      <w:rFonts w:cs="Calibri"/>
                    </w:rPr>
                  </w:pPr>
                  <w:r>
                    <w:rPr>
                      <w:rFonts w:cs="Calibri"/>
                    </w:rPr>
                    <w:t xml:space="preserve">...........................................................................................................................…………………………........................................................................................................................................................ </w:t>
                  </w:r>
                </w:p>
                <w:p>
                  <w:pPr>
                    <w:rPr>
                      <w:b/>
                      <w:u w:val="single"/>
                    </w:rPr>
                  </w:pPr>
                  <w:r>
                    <w:br w:type="page"/>
                  </w:r>
                </w:p>
                <w:p>
                  <w:pPr>
                    <w:pStyle w:val="Titre4"/>
                  </w:pPr>
                  <w:r>
                    <w:t xml:space="preserve">Annexe 2 : Demande d’admission aux subventions d’un établissement scolaire pour l’enseignement </w:t>
                  </w:r>
                  <w:r>
                    <w:rPr>
                      <w:i/>
                    </w:rPr>
                    <w:t>spécialisé</w:t>
                  </w:r>
                  <w:r>
                    <w:t>.</w:t>
                  </w:r>
                </w:p>
                <w:p/>
                <w:p>
                  <w:pPr>
                    <w:jc w:val="both"/>
                  </w:pPr>
                  <w:r>
                    <w:t>ATTENTION : cochez le niveau, la forme et le type</w:t>
                  </w:r>
                  <w:r>
                    <w:rPr>
                      <w:rStyle w:val="Appelnotedebasdep"/>
                    </w:rPr>
                    <w:footnoteReference w:id="98"/>
                  </w:r>
                  <w:r>
                    <w:t> </w:t>
                  </w:r>
                </w:p>
                <w:p/>
                <w:p>
                  <w:pPr>
                    <w:rPr>
                      <w:rFonts w:cs="Calibri"/>
                      <w:b/>
                    </w:rPr>
                  </w:pPr>
                  <w:r>
                    <w:rPr>
                      <w:rFonts w:cs="Calibri"/>
                      <w:b/>
                    </w:rPr>
                    <w:t xml:space="preserve">Enseignement </w:t>
                  </w:r>
                  <w:r>
                    <w:rPr>
                      <w:rFonts w:cs="Calibri"/>
                      <w:b/>
                      <w:smallCaps/>
                    </w:rPr>
                    <w:t xml:space="preserve">fondamental </w:t>
                  </w:r>
                  <w:r>
                    <w:rPr>
                      <w:rFonts w:cs="Calibri"/>
                      <w:b/>
                    </w:rPr>
                    <w:t>spécialisé :</w:t>
                  </w:r>
                </w:p>
                <w:tbl>
                  <w:tblPr>
                    <w:tblStyle w:val="Grilledutableau"/>
                    <w:tblW w:w="0" w:type="auto"/>
                    <w:tblInd w:w="708" w:type="dxa"/>
                    <w:tblLook w:val="04A0" w:firstRow="1" w:lastRow="0" w:firstColumn="1" w:lastColumn="0" w:noHBand="0" w:noVBand="1"/>
                  </w:tblPr>
                  <w:tblGrid>
                    <w:gridCol w:w="2136"/>
                    <w:gridCol w:w="2136"/>
                    <w:gridCol w:w="2182"/>
                    <w:gridCol w:w="2182"/>
                  </w:tblGrid>
                  <w:tr>
                    <w:tc>
                      <w:tcPr>
                        <w:tcW w:w="4272" w:type="dxa"/>
                        <w:gridSpan w:val="2"/>
                        <w:tcBorders>
                          <w:bottom w:val="single" w:sz="2" w:space="0" w:color="auto"/>
                        </w:tcBorders>
                      </w:tcPr>
                      <w:p>
                        <w:pPr>
                          <w:jc w:val="center"/>
                          <w:rPr>
                            <w:rFonts w:cs="Calibri"/>
                            <w:u w:val="single"/>
                          </w:rPr>
                        </w:pPr>
                        <w:r>
                          <w:rPr>
                            <w:rFonts w:cs="Calibri"/>
                            <w:u w:val="single"/>
                          </w:rPr>
                          <w:t>Maternel</w:t>
                        </w:r>
                        <w:r>
                          <w:rPr>
                            <w:rFonts w:cs="Calibri"/>
                          </w:rPr>
                          <w:t> :</w:t>
                        </w:r>
                      </w:p>
                    </w:tc>
                    <w:tc>
                      <w:tcPr>
                        <w:tcW w:w="4364" w:type="dxa"/>
                        <w:gridSpan w:val="2"/>
                        <w:tcBorders>
                          <w:bottom w:val="single" w:sz="2" w:space="0" w:color="auto"/>
                        </w:tcBorders>
                      </w:tcPr>
                      <w:p>
                        <w:pPr>
                          <w:jc w:val="center"/>
                          <w:rPr>
                            <w:rFonts w:cs="Calibri"/>
                            <w:u w:val="single"/>
                          </w:rPr>
                        </w:pPr>
                        <w:r>
                          <w:rPr>
                            <w:rFonts w:cs="Calibri"/>
                            <w:u w:val="single"/>
                          </w:rPr>
                          <w:t>Primaire</w:t>
                        </w:r>
                      </w:p>
                    </w:tc>
                  </w:tr>
                  <w:tr>
                    <w:tc>
                      <w:tcPr>
                        <w:tcW w:w="2136" w:type="dxa"/>
                        <w:tcBorders>
                          <w:top w:val="single" w:sz="2" w:space="0" w:color="auto"/>
                          <w:left w:val="single" w:sz="2" w:space="0" w:color="auto"/>
                          <w:bottom w:val="single" w:sz="2" w:space="0" w:color="auto"/>
                          <w:right w:val="nil"/>
                        </w:tcBorders>
                      </w:tcPr>
                      <w:p>
                        <w:pPr>
                          <w:numPr>
                            <w:ilvl w:val="3"/>
                            <w:numId w:val="150"/>
                          </w:numPr>
                          <w:ind w:left="0" w:firstLine="30"/>
                          <w:rPr>
                            <w:rFonts w:cs="Calibri"/>
                          </w:rPr>
                        </w:pPr>
                        <w:r>
                          <w:rPr>
                            <w:rFonts w:cs="Calibri"/>
                          </w:rPr>
                          <w:t xml:space="preserve">Type 2 </w:t>
                        </w:r>
                      </w:p>
                      <w:p>
                        <w:pPr>
                          <w:numPr>
                            <w:ilvl w:val="3"/>
                            <w:numId w:val="150"/>
                          </w:numPr>
                          <w:ind w:left="0" w:firstLine="30"/>
                          <w:rPr>
                            <w:rFonts w:cs="Calibri"/>
                          </w:rPr>
                        </w:pPr>
                        <w:r>
                          <w:rPr>
                            <w:rFonts w:cs="Calibri"/>
                          </w:rPr>
                          <w:t>Type 3</w:t>
                        </w:r>
                      </w:p>
                      <w:p>
                        <w:pPr>
                          <w:numPr>
                            <w:ilvl w:val="3"/>
                            <w:numId w:val="150"/>
                          </w:numPr>
                          <w:ind w:left="0" w:firstLine="30"/>
                          <w:rPr>
                            <w:rFonts w:cs="Calibri"/>
                          </w:rPr>
                        </w:pPr>
                        <w:r>
                          <w:rPr>
                            <w:rFonts w:cs="Calibri"/>
                          </w:rPr>
                          <w:t>Type 4</w:t>
                        </w:r>
                      </w:p>
                      <w:p>
                        <w:pPr>
                          <w:rPr>
                            <w:rFonts w:cs="Calibri"/>
                          </w:rPr>
                        </w:pPr>
                      </w:p>
                    </w:tc>
                    <w:tc>
                      <w:tcPr>
                        <w:tcW w:w="2136" w:type="dxa"/>
                        <w:tcBorders>
                          <w:top w:val="single" w:sz="2" w:space="0" w:color="auto"/>
                          <w:left w:val="nil"/>
                          <w:bottom w:val="single" w:sz="2" w:space="0" w:color="auto"/>
                          <w:right w:val="single" w:sz="2" w:space="0" w:color="auto"/>
                        </w:tcBorders>
                      </w:tcPr>
                      <w:p>
                        <w:pPr>
                          <w:numPr>
                            <w:ilvl w:val="3"/>
                            <w:numId w:val="150"/>
                          </w:numPr>
                          <w:ind w:left="0" w:firstLine="30"/>
                          <w:rPr>
                            <w:rFonts w:cs="Calibri"/>
                          </w:rPr>
                        </w:pPr>
                        <w:r>
                          <w:rPr>
                            <w:rFonts w:cs="Calibri"/>
                          </w:rPr>
                          <w:t>Type 5</w:t>
                        </w:r>
                      </w:p>
                      <w:p>
                        <w:pPr>
                          <w:numPr>
                            <w:ilvl w:val="3"/>
                            <w:numId w:val="150"/>
                          </w:numPr>
                          <w:ind w:left="0" w:firstLine="30"/>
                          <w:rPr>
                            <w:rFonts w:cs="Calibri"/>
                          </w:rPr>
                        </w:pPr>
                        <w:r>
                          <w:rPr>
                            <w:rFonts w:cs="Calibri"/>
                          </w:rPr>
                          <w:t>Type 6</w:t>
                        </w:r>
                      </w:p>
                      <w:p>
                        <w:pPr>
                          <w:numPr>
                            <w:ilvl w:val="3"/>
                            <w:numId w:val="150"/>
                          </w:numPr>
                          <w:ind w:left="0" w:firstLine="30"/>
                          <w:rPr>
                            <w:rFonts w:cs="Calibri"/>
                          </w:rPr>
                        </w:pPr>
                        <w:r>
                          <w:rPr>
                            <w:rFonts w:cs="Calibri"/>
                          </w:rPr>
                          <w:t>Type 7</w:t>
                        </w:r>
                      </w:p>
                      <w:p>
                        <w:pPr>
                          <w:rPr>
                            <w:rFonts w:cs="Calibri"/>
                            <w:u w:val="single"/>
                          </w:rPr>
                        </w:pPr>
                      </w:p>
                    </w:tc>
                    <w:tc>
                      <w:tcPr>
                        <w:tcW w:w="2182" w:type="dxa"/>
                        <w:tcBorders>
                          <w:top w:val="single" w:sz="2" w:space="0" w:color="auto"/>
                          <w:left w:val="single" w:sz="2" w:space="0" w:color="auto"/>
                          <w:bottom w:val="single" w:sz="2" w:space="0" w:color="auto"/>
                          <w:right w:val="nil"/>
                        </w:tcBorders>
                      </w:tcPr>
                      <w:p>
                        <w:pPr>
                          <w:numPr>
                            <w:ilvl w:val="3"/>
                            <w:numId w:val="151"/>
                          </w:numPr>
                          <w:ind w:left="0" w:right="255" w:firstLine="0"/>
                          <w:rPr>
                            <w:rFonts w:cs="Calibri"/>
                          </w:rPr>
                        </w:pPr>
                        <w:r>
                          <w:rPr>
                            <w:rFonts w:cs="Calibri"/>
                          </w:rPr>
                          <w:t>Type 1</w:t>
                        </w:r>
                      </w:p>
                      <w:p>
                        <w:pPr>
                          <w:numPr>
                            <w:ilvl w:val="3"/>
                            <w:numId w:val="151"/>
                          </w:numPr>
                          <w:ind w:left="0" w:right="255" w:firstLine="0"/>
                          <w:rPr>
                            <w:rFonts w:cs="Calibri"/>
                          </w:rPr>
                        </w:pPr>
                        <w:r>
                          <w:rPr>
                            <w:rFonts w:cs="Calibri"/>
                          </w:rPr>
                          <w:t>Type 2</w:t>
                        </w:r>
                      </w:p>
                      <w:p>
                        <w:pPr>
                          <w:numPr>
                            <w:ilvl w:val="3"/>
                            <w:numId w:val="151"/>
                          </w:numPr>
                          <w:ind w:left="0" w:right="255" w:firstLine="0"/>
                          <w:rPr>
                            <w:rFonts w:cs="Calibri"/>
                          </w:rPr>
                        </w:pPr>
                        <w:r>
                          <w:rPr>
                            <w:rFonts w:cs="Calibri"/>
                          </w:rPr>
                          <w:t>Type 3</w:t>
                        </w:r>
                      </w:p>
                      <w:p>
                        <w:pPr>
                          <w:numPr>
                            <w:ilvl w:val="3"/>
                            <w:numId w:val="151"/>
                          </w:numPr>
                          <w:ind w:left="0" w:right="255" w:firstLine="0"/>
                          <w:rPr>
                            <w:rFonts w:cs="Calibri"/>
                          </w:rPr>
                        </w:pPr>
                        <w:r>
                          <w:rPr>
                            <w:rFonts w:cs="Calibri"/>
                          </w:rPr>
                          <w:t>Type 4</w:t>
                        </w:r>
                      </w:p>
                    </w:tc>
                    <w:tc>
                      <w:tcPr>
                        <w:tcW w:w="2182" w:type="dxa"/>
                        <w:tcBorders>
                          <w:top w:val="single" w:sz="2" w:space="0" w:color="auto"/>
                          <w:left w:val="nil"/>
                          <w:bottom w:val="single" w:sz="2" w:space="0" w:color="auto"/>
                          <w:right w:val="single" w:sz="2" w:space="0" w:color="auto"/>
                        </w:tcBorders>
                      </w:tcPr>
                      <w:p>
                        <w:pPr>
                          <w:numPr>
                            <w:ilvl w:val="3"/>
                            <w:numId w:val="151"/>
                          </w:numPr>
                          <w:ind w:left="0" w:right="255" w:firstLine="0"/>
                          <w:rPr>
                            <w:rFonts w:cs="Calibri"/>
                          </w:rPr>
                        </w:pPr>
                        <w:r>
                          <w:rPr>
                            <w:rFonts w:cs="Calibri"/>
                          </w:rPr>
                          <w:t>Type 5</w:t>
                        </w:r>
                      </w:p>
                      <w:p>
                        <w:pPr>
                          <w:numPr>
                            <w:ilvl w:val="3"/>
                            <w:numId w:val="151"/>
                          </w:numPr>
                          <w:ind w:left="0" w:right="255" w:firstLine="0"/>
                          <w:rPr>
                            <w:rFonts w:cs="Calibri"/>
                          </w:rPr>
                        </w:pPr>
                        <w:r>
                          <w:rPr>
                            <w:rFonts w:cs="Calibri"/>
                          </w:rPr>
                          <w:t>Type 6</w:t>
                        </w:r>
                      </w:p>
                      <w:p>
                        <w:pPr>
                          <w:numPr>
                            <w:ilvl w:val="3"/>
                            <w:numId w:val="151"/>
                          </w:numPr>
                          <w:ind w:left="0" w:right="255" w:firstLine="0"/>
                          <w:rPr>
                            <w:rFonts w:cs="Calibri"/>
                          </w:rPr>
                        </w:pPr>
                        <w:r>
                          <w:rPr>
                            <w:rFonts w:cs="Calibri"/>
                          </w:rPr>
                          <w:t>Type 7</w:t>
                        </w:r>
                      </w:p>
                      <w:p>
                        <w:pPr>
                          <w:numPr>
                            <w:ilvl w:val="3"/>
                            <w:numId w:val="151"/>
                          </w:numPr>
                          <w:ind w:left="0" w:right="255" w:firstLine="0"/>
                          <w:rPr>
                            <w:rFonts w:cs="Calibri"/>
                            <w:u w:val="single"/>
                          </w:rPr>
                        </w:pPr>
                        <w:r>
                          <w:rPr>
                            <w:rFonts w:cs="Calibri"/>
                          </w:rPr>
                          <w:t>Type 8</w:t>
                        </w:r>
                      </w:p>
                    </w:tc>
                  </w:tr>
                </w:tbl>
                <w:p>
                  <w:pPr>
                    <w:rPr>
                      <w:rFonts w:cs="Calibri"/>
                      <w:u w:val="single"/>
                    </w:rPr>
                  </w:pPr>
                </w:p>
                <w:p>
                  <w:pPr>
                    <w:rPr>
                      <w:rFonts w:cs="Calibri"/>
                      <w:b/>
                      <w:i/>
                    </w:rPr>
                  </w:pPr>
                  <w:r>
                    <w:rPr>
                      <w:rFonts w:cs="Calibri"/>
                      <w:b/>
                      <w:i/>
                    </w:rPr>
                    <w:t xml:space="preserve">Enseignement </w:t>
                  </w:r>
                  <w:r>
                    <w:rPr>
                      <w:rFonts w:cs="Calibri"/>
                      <w:b/>
                      <w:smallCaps/>
                    </w:rPr>
                    <w:t>secondaire</w:t>
                  </w:r>
                  <w:r>
                    <w:rPr>
                      <w:rFonts w:cs="Calibri"/>
                      <w:b/>
                      <w:i/>
                    </w:rPr>
                    <w:t xml:space="preserve"> spécialisé</w:t>
                  </w:r>
                </w:p>
                <w:tbl>
                  <w:tblPr>
                    <w:tblStyle w:val="Grilledutableau"/>
                    <w:tblW w:w="0" w:type="auto"/>
                    <w:tblInd w:w="708" w:type="dxa"/>
                    <w:tblLook w:val="04A0" w:firstRow="1" w:lastRow="0" w:firstColumn="1" w:lastColumn="0" w:noHBand="0" w:noVBand="1"/>
                  </w:tblPr>
                  <w:tblGrid>
                    <w:gridCol w:w="2159"/>
                    <w:gridCol w:w="2160"/>
                    <w:gridCol w:w="2158"/>
                    <w:gridCol w:w="2159"/>
                  </w:tblGrid>
                  <w:tr>
                    <w:tc>
                      <w:tcPr>
                        <w:tcW w:w="4319" w:type="dxa"/>
                        <w:gridSpan w:val="2"/>
                        <w:tcBorders>
                          <w:top w:val="single" w:sz="2" w:space="0" w:color="auto"/>
                          <w:left w:val="single" w:sz="2" w:space="0" w:color="auto"/>
                          <w:bottom w:val="single" w:sz="2" w:space="0" w:color="auto"/>
                          <w:right w:val="single" w:sz="2" w:space="0" w:color="auto"/>
                        </w:tcBorders>
                      </w:tcPr>
                      <w:p>
                        <w:pPr>
                          <w:numPr>
                            <w:ilvl w:val="0"/>
                            <w:numId w:val="157"/>
                          </w:numPr>
                          <w:spacing w:line="312" w:lineRule="auto"/>
                          <w:ind w:left="0"/>
                          <w:jc w:val="center"/>
                          <w:rPr>
                            <w:rFonts w:cs="Calibri"/>
                            <w:u w:val="single"/>
                          </w:rPr>
                        </w:pPr>
                        <w:r>
                          <w:rPr>
                            <w:rFonts w:cs="Calibri"/>
                            <w:u w:val="single"/>
                          </w:rPr>
                          <w:t>Forme 1</w:t>
                        </w:r>
                      </w:p>
                    </w:tc>
                    <w:tc>
                      <w:tcPr>
                        <w:tcW w:w="4317" w:type="dxa"/>
                        <w:gridSpan w:val="2"/>
                        <w:tcBorders>
                          <w:left w:val="single" w:sz="2" w:space="0" w:color="auto"/>
                          <w:bottom w:val="single" w:sz="2" w:space="0" w:color="auto"/>
                        </w:tcBorders>
                      </w:tcPr>
                      <w:p>
                        <w:pPr>
                          <w:numPr>
                            <w:ilvl w:val="0"/>
                            <w:numId w:val="157"/>
                          </w:numPr>
                          <w:spacing w:line="312" w:lineRule="auto"/>
                          <w:ind w:left="0"/>
                          <w:jc w:val="center"/>
                          <w:rPr>
                            <w:rFonts w:cs="Calibri"/>
                            <w:u w:val="single"/>
                          </w:rPr>
                        </w:pPr>
                        <w:r>
                          <w:rPr>
                            <w:rFonts w:cs="Calibri"/>
                            <w:u w:val="single"/>
                          </w:rPr>
                          <w:t>Forme 2</w:t>
                        </w:r>
                      </w:p>
                    </w:tc>
                  </w:tr>
                  <w:tr>
                    <w:tc>
                      <w:tcPr>
                        <w:tcW w:w="2159" w:type="dxa"/>
                        <w:tcBorders>
                          <w:top w:val="single" w:sz="2" w:space="0" w:color="auto"/>
                          <w:left w:val="single" w:sz="2" w:space="0" w:color="auto"/>
                          <w:bottom w:val="single" w:sz="2" w:space="0" w:color="auto"/>
                          <w:right w:val="nil"/>
                        </w:tcBorders>
                      </w:tcPr>
                      <w:p>
                        <w:pPr>
                          <w:numPr>
                            <w:ilvl w:val="2"/>
                            <w:numId w:val="159"/>
                          </w:numPr>
                          <w:spacing w:line="312" w:lineRule="auto"/>
                          <w:ind w:left="0" w:firstLine="0"/>
                          <w:rPr>
                            <w:rFonts w:cs="Calibri"/>
                          </w:rPr>
                        </w:pPr>
                        <w:r>
                          <w:rPr>
                            <w:rFonts w:cs="Calibri"/>
                          </w:rPr>
                          <w:t>Type 2</w:t>
                        </w:r>
                      </w:p>
                      <w:p>
                        <w:pPr>
                          <w:numPr>
                            <w:ilvl w:val="2"/>
                            <w:numId w:val="159"/>
                          </w:numPr>
                          <w:spacing w:line="312" w:lineRule="auto"/>
                          <w:ind w:left="0" w:firstLine="0"/>
                          <w:rPr>
                            <w:rFonts w:cs="Calibri"/>
                          </w:rPr>
                        </w:pPr>
                        <w:r>
                          <w:rPr>
                            <w:rFonts w:cs="Calibri"/>
                          </w:rPr>
                          <w:t>Type 3</w:t>
                        </w:r>
                      </w:p>
                      <w:p>
                        <w:pPr>
                          <w:numPr>
                            <w:ilvl w:val="2"/>
                            <w:numId w:val="159"/>
                          </w:numPr>
                          <w:spacing w:line="312" w:lineRule="auto"/>
                          <w:ind w:left="0" w:firstLine="0"/>
                          <w:rPr>
                            <w:rFonts w:cs="Calibri"/>
                          </w:rPr>
                        </w:pPr>
                        <w:r>
                          <w:rPr>
                            <w:rFonts w:cs="Calibri"/>
                          </w:rPr>
                          <w:t>Type 4</w:t>
                        </w:r>
                      </w:p>
                    </w:tc>
                    <w:tc>
                      <w:tcPr>
                        <w:tcW w:w="2160" w:type="dxa"/>
                        <w:tcBorders>
                          <w:top w:val="single" w:sz="2" w:space="0" w:color="auto"/>
                          <w:left w:val="nil"/>
                          <w:bottom w:val="single" w:sz="2" w:space="0" w:color="auto"/>
                          <w:right w:val="single" w:sz="2" w:space="0" w:color="auto"/>
                        </w:tcBorders>
                      </w:tcPr>
                      <w:p>
                        <w:pPr>
                          <w:numPr>
                            <w:ilvl w:val="2"/>
                            <w:numId w:val="159"/>
                          </w:numPr>
                          <w:spacing w:line="312" w:lineRule="auto"/>
                          <w:ind w:left="0" w:firstLine="0"/>
                          <w:rPr>
                            <w:rFonts w:cs="Calibri"/>
                          </w:rPr>
                        </w:pPr>
                        <w:r>
                          <w:rPr>
                            <w:rFonts w:cs="Calibri"/>
                          </w:rPr>
                          <w:t>Type 5</w:t>
                        </w:r>
                      </w:p>
                      <w:p>
                        <w:pPr>
                          <w:numPr>
                            <w:ilvl w:val="2"/>
                            <w:numId w:val="159"/>
                          </w:numPr>
                          <w:spacing w:line="312" w:lineRule="auto"/>
                          <w:ind w:left="0" w:firstLine="0"/>
                          <w:rPr>
                            <w:rFonts w:cs="Calibri"/>
                          </w:rPr>
                        </w:pPr>
                        <w:r>
                          <w:rPr>
                            <w:rFonts w:cs="Calibri"/>
                          </w:rPr>
                          <w:t>Type 6</w:t>
                        </w:r>
                      </w:p>
                      <w:p>
                        <w:pPr>
                          <w:numPr>
                            <w:ilvl w:val="2"/>
                            <w:numId w:val="159"/>
                          </w:numPr>
                          <w:spacing w:line="312" w:lineRule="auto"/>
                          <w:ind w:left="0" w:firstLine="0"/>
                          <w:rPr>
                            <w:rFonts w:cs="Calibri"/>
                            <w:u w:val="single"/>
                          </w:rPr>
                        </w:pPr>
                        <w:r>
                          <w:rPr>
                            <w:rFonts w:cs="Calibri"/>
                          </w:rPr>
                          <w:t>Type 7</w:t>
                        </w:r>
                      </w:p>
                    </w:tc>
                    <w:tc>
                      <w:tcPr>
                        <w:tcW w:w="2158" w:type="dxa"/>
                        <w:tcBorders>
                          <w:top w:val="single" w:sz="2" w:space="0" w:color="auto"/>
                          <w:left w:val="single" w:sz="2" w:space="0" w:color="auto"/>
                          <w:bottom w:val="single" w:sz="2" w:space="0" w:color="auto"/>
                          <w:right w:val="nil"/>
                        </w:tcBorders>
                      </w:tcPr>
                      <w:p>
                        <w:pPr>
                          <w:numPr>
                            <w:ilvl w:val="2"/>
                            <w:numId w:val="158"/>
                          </w:numPr>
                          <w:spacing w:line="312" w:lineRule="auto"/>
                          <w:ind w:left="0" w:firstLine="0"/>
                          <w:rPr>
                            <w:rFonts w:cs="Calibri"/>
                          </w:rPr>
                        </w:pPr>
                        <w:r>
                          <w:rPr>
                            <w:rFonts w:cs="Calibri"/>
                          </w:rPr>
                          <w:t>Type 2</w:t>
                        </w:r>
                      </w:p>
                      <w:p>
                        <w:pPr>
                          <w:numPr>
                            <w:ilvl w:val="2"/>
                            <w:numId w:val="158"/>
                          </w:numPr>
                          <w:spacing w:line="312" w:lineRule="auto"/>
                          <w:ind w:left="0" w:firstLine="0"/>
                          <w:rPr>
                            <w:rFonts w:cs="Calibri"/>
                          </w:rPr>
                        </w:pPr>
                        <w:r>
                          <w:rPr>
                            <w:rFonts w:cs="Calibri"/>
                          </w:rPr>
                          <w:t>Type 3</w:t>
                        </w:r>
                      </w:p>
                      <w:p>
                        <w:pPr>
                          <w:numPr>
                            <w:ilvl w:val="2"/>
                            <w:numId w:val="158"/>
                          </w:numPr>
                          <w:spacing w:line="312" w:lineRule="auto"/>
                          <w:ind w:left="0" w:firstLine="0"/>
                          <w:rPr>
                            <w:rFonts w:cs="Calibri"/>
                          </w:rPr>
                        </w:pPr>
                        <w:r>
                          <w:rPr>
                            <w:rFonts w:cs="Calibri"/>
                          </w:rPr>
                          <w:t>Type 4</w:t>
                        </w:r>
                      </w:p>
                    </w:tc>
                    <w:tc>
                      <w:tcPr>
                        <w:tcW w:w="2159" w:type="dxa"/>
                        <w:tcBorders>
                          <w:top w:val="single" w:sz="2" w:space="0" w:color="auto"/>
                          <w:left w:val="nil"/>
                          <w:bottom w:val="single" w:sz="2" w:space="0" w:color="auto"/>
                          <w:right w:val="single" w:sz="2" w:space="0" w:color="auto"/>
                        </w:tcBorders>
                      </w:tcPr>
                      <w:p>
                        <w:pPr>
                          <w:numPr>
                            <w:ilvl w:val="2"/>
                            <w:numId w:val="158"/>
                          </w:numPr>
                          <w:spacing w:line="312" w:lineRule="auto"/>
                          <w:ind w:left="0" w:firstLine="0"/>
                          <w:rPr>
                            <w:rFonts w:cs="Calibri"/>
                          </w:rPr>
                        </w:pPr>
                        <w:r>
                          <w:rPr>
                            <w:rFonts w:cs="Calibri"/>
                          </w:rPr>
                          <w:t>Type 5</w:t>
                        </w:r>
                      </w:p>
                      <w:p>
                        <w:pPr>
                          <w:numPr>
                            <w:ilvl w:val="2"/>
                            <w:numId w:val="158"/>
                          </w:numPr>
                          <w:spacing w:line="312" w:lineRule="auto"/>
                          <w:ind w:left="0" w:firstLine="0"/>
                          <w:rPr>
                            <w:rFonts w:cs="Calibri"/>
                          </w:rPr>
                        </w:pPr>
                        <w:r>
                          <w:rPr>
                            <w:rFonts w:cs="Calibri"/>
                          </w:rPr>
                          <w:t>Type 6</w:t>
                        </w:r>
                      </w:p>
                      <w:p>
                        <w:pPr>
                          <w:numPr>
                            <w:ilvl w:val="2"/>
                            <w:numId w:val="158"/>
                          </w:numPr>
                          <w:spacing w:line="312" w:lineRule="auto"/>
                          <w:ind w:left="0" w:firstLine="0"/>
                          <w:rPr>
                            <w:rFonts w:cs="Calibri"/>
                            <w:u w:val="single"/>
                          </w:rPr>
                        </w:pPr>
                        <w:r>
                          <w:rPr>
                            <w:rFonts w:cs="Calibri"/>
                          </w:rPr>
                          <w:t>Type 7</w:t>
                        </w:r>
                      </w:p>
                    </w:tc>
                  </w:tr>
                  <w:tr>
                    <w:tc>
                      <w:tcPr>
                        <w:tcW w:w="8636" w:type="dxa"/>
                        <w:gridSpan w:val="4"/>
                        <w:tcBorders>
                          <w:bottom w:val="single" w:sz="2" w:space="0" w:color="auto"/>
                        </w:tcBorders>
                      </w:tcPr>
                      <w:p>
                        <w:pPr>
                          <w:numPr>
                            <w:ilvl w:val="2"/>
                            <w:numId w:val="158"/>
                          </w:numPr>
                          <w:spacing w:line="312" w:lineRule="auto"/>
                          <w:ind w:left="0" w:hanging="708"/>
                          <w:rPr>
                            <w:rFonts w:cs="Calibri"/>
                          </w:rPr>
                        </w:pPr>
                        <w:r>
                          <w:rPr>
                            <w:rFonts w:cs="Calibri"/>
                            <w:u w:val="single"/>
                          </w:rPr>
                          <w:t>Forme 3</w:t>
                        </w:r>
                        <w:r>
                          <w:rPr>
                            <w:rFonts w:cs="Calibri"/>
                          </w:rPr>
                          <w:t xml:space="preserve"> : </w:t>
                        </w:r>
                        <w:r>
                          <w:rPr>
                            <w:rFonts w:cs="Calibri"/>
                            <w:b/>
                          </w:rPr>
                          <w:t>+ joindre en annexe libre le(s) secteur(s), groupe(s) professionnel(s) et métier(s)</w:t>
                        </w:r>
                      </w:p>
                    </w:tc>
                  </w:tr>
                  <w:tr>
                    <w:tc>
                      <w:tcPr>
                        <w:tcW w:w="4319" w:type="dxa"/>
                        <w:gridSpan w:val="2"/>
                        <w:tcBorders>
                          <w:top w:val="single" w:sz="2" w:space="0" w:color="auto"/>
                          <w:left w:val="single" w:sz="2" w:space="0" w:color="auto"/>
                          <w:bottom w:val="single" w:sz="2" w:space="0" w:color="auto"/>
                          <w:right w:val="nil"/>
                        </w:tcBorders>
                      </w:tcPr>
                      <w:p>
                        <w:pPr>
                          <w:numPr>
                            <w:ilvl w:val="0"/>
                            <w:numId w:val="152"/>
                          </w:numPr>
                          <w:spacing w:line="312" w:lineRule="auto"/>
                          <w:ind w:left="0" w:firstLine="1022"/>
                          <w:rPr>
                            <w:rFonts w:cs="Calibri"/>
                          </w:rPr>
                        </w:pPr>
                        <w:r>
                          <w:rPr>
                            <w:rFonts w:cs="Calibri"/>
                          </w:rPr>
                          <w:t>Type 1 </w:t>
                        </w:r>
                      </w:p>
                      <w:p>
                        <w:pPr>
                          <w:numPr>
                            <w:ilvl w:val="0"/>
                            <w:numId w:val="152"/>
                          </w:numPr>
                          <w:spacing w:line="312" w:lineRule="auto"/>
                          <w:ind w:left="0" w:firstLine="1022"/>
                          <w:rPr>
                            <w:rFonts w:cs="Calibri"/>
                          </w:rPr>
                        </w:pPr>
                        <w:r>
                          <w:rPr>
                            <w:rFonts w:cs="Calibri"/>
                          </w:rPr>
                          <w:t>Type 3</w:t>
                        </w:r>
                      </w:p>
                      <w:p>
                        <w:pPr>
                          <w:numPr>
                            <w:ilvl w:val="0"/>
                            <w:numId w:val="152"/>
                          </w:numPr>
                          <w:spacing w:line="312" w:lineRule="auto"/>
                          <w:ind w:left="0" w:firstLine="1022"/>
                          <w:rPr>
                            <w:rFonts w:cs="Calibri"/>
                          </w:rPr>
                        </w:pPr>
                        <w:r>
                          <w:rPr>
                            <w:rFonts w:cs="Calibri"/>
                          </w:rPr>
                          <w:t>Type 4 </w:t>
                        </w:r>
                      </w:p>
                    </w:tc>
                    <w:tc>
                      <w:tcPr>
                        <w:tcW w:w="4317" w:type="dxa"/>
                        <w:gridSpan w:val="2"/>
                        <w:tcBorders>
                          <w:top w:val="single" w:sz="2" w:space="0" w:color="auto"/>
                          <w:left w:val="nil"/>
                          <w:bottom w:val="single" w:sz="2" w:space="0" w:color="auto"/>
                          <w:right w:val="single" w:sz="2" w:space="0" w:color="auto"/>
                        </w:tcBorders>
                      </w:tcPr>
                      <w:p>
                        <w:pPr>
                          <w:numPr>
                            <w:ilvl w:val="0"/>
                            <w:numId w:val="152"/>
                          </w:numPr>
                          <w:spacing w:line="312" w:lineRule="auto"/>
                          <w:ind w:left="0" w:firstLine="1097"/>
                          <w:rPr>
                            <w:rFonts w:cs="Calibri"/>
                          </w:rPr>
                        </w:pPr>
                        <w:r>
                          <w:rPr>
                            <w:rFonts w:cs="Calibri"/>
                          </w:rPr>
                          <w:t>Type 5 </w:t>
                        </w:r>
                      </w:p>
                      <w:p>
                        <w:pPr>
                          <w:numPr>
                            <w:ilvl w:val="0"/>
                            <w:numId w:val="152"/>
                          </w:numPr>
                          <w:spacing w:line="312" w:lineRule="auto"/>
                          <w:ind w:left="0" w:firstLine="1097"/>
                          <w:rPr>
                            <w:rFonts w:cs="Calibri"/>
                          </w:rPr>
                        </w:pPr>
                        <w:r>
                          <w:rPr>
                            <w:rFonts w:cs="Calibri"/>
                          </w:rPr>
                          <w:t>Type 6 </w:t>
                        </w:r>
                      </w:p>
                      <w:p>
                        <w:pPr>
                          <w:numPr>
                            <w:ilvl w:val="0"/>
                            <w:numId w:val="152"/>
                          </w:numPr>
                          <w:spacing w:line="312" w:lineRule="auto"/>
                          <w:ind w:left="0" w:firstLine="1097"/>
                          <w:rPr>
                            <w:rFonts w:cs="Calibri"/>
                          </w:rPr>
                        </w:pPr>
                        <w:r>
                          <w:rPr>
                            <w:rFonts w:cs="Calibri"/>
                          </w:rPr>
                          <w:t>Type 7 </w:t>
                        </w:r>
                      </w:p>
                    </w:tc>
                  </w:tr>
                </w:tbl>
                <w:p>
                  <w:pPr>
                    <w:rPr>
                      <w:rFonts w:cs="Calibri"/>
                      <w:u w:val="single"/>
                    </w:rPr>
                  </w:pPr>
                </w:p>
                <w:tbl>
                  <w:tblPr>
                    <w:tblStyle w:val="Grilledutableau"/>
                    <w:tblW w:w="0" w:type="auto"/>
                    <w:tblInd w:w="708" w:type="dxa"/>
                    <w:tblLook w:val="04A0" w:firstRow="1" w:lastRow="0" w:firstColumn="1" w:lastColumn="0" w:noHBand="0" w:noVBand="1"/>
                  </w:tblPr>
                  <w:tblGrid>
                    <w:gridCol w:w="4282"/>
                    <w:gridCol w:w="36"/>
                    <w:gridCol w:w="4318"/>
                  </w:tblGrid>
                  <w:tr>
                    <w:tc>
                      <w:tcPr>
                        <w:tcW w:w="8636" w:type="dxa"/>
                        <w:gridSpan w:val="3"/>
                      </w:tcPr>
                      <w:p>
                        <w:pPr>
                          <w:spacing w:line="312" w:lineRule="auto"/>
                          <w:jc w:val="center"/>
                          <w:rPr>
                            <w:rFonts w:cs="Calibri"/>
                            <w:u w:val="single"/>
                          </w:rPr>
                        </w:pPr>
                        <w:r>
                          <w:rPr>
                            <w:rFonts w:cs="Calibri"/>
                            <w:u w:val="single"/>
                          </w:rPr>
                          <w:t>Forme 4</w:t>
                        </w:r>
                        <w:r>
                          <w:rPr>
                            <w:rFonts w:cs="Calibri"/>
                          </w:rPr>
                          <w:t> :</w:t>
                        </w:r>
                      </w:p>
                    </w:tc>
                  </w:tr>
                  <w:tr>
                    <w:tc>
                      <w:tcPr>
                        <w:tcW w:w="4282" w:type="dxa"/>
                      </w:tcPr>
                      <w:p>
                        <w:pPr>
                          <w:numPr>
                            <w:ilvl w:val="0"/>
                            <w:numId w:val="153"/>
                          </w:numPr>
                          <w:spacing w:line="312" w:lineRule="auto"/>
                          <w:ind w:left="0" w:firstLine="30"/>
                          <w:rPr>
                            <w:rFonts w:cs="Calibri"/>
                            <w:u w:val="single"/>
                          </w:rPr>
                        </w:pPr>
                        <w:r>
                          <w:rPr>
                            <w:rFonts w:cs="Calibri"/>
                          </w:rPr>
                          <w:t>Type 3</w:t>
                        </w:r>
                      </w:p>
                    </w:tc>
                    <w:tc>
                      <w:tcPr>
                        <w:tcW w:w="4354" w:type="dxa"/>
                        <w:gridSpan w:val="2"/>
                      </w:tcPr>
                      <w:p>
                        <w:pPr>
                          <w:numPr>
                            <w:ilvl w:val="0"/>
                            <w:numId w:val="153"/>
                          </w:numPr>
                          <w:spacing w:line="312" w:lineRule="auto"/>
                          <w:ind w:left="0" w:firstLine="30"/>
                          <w:rPr>
                            <w:rFonts w:cs="Calibri"/>
                            <w:u w:val="single"/>
                          </w:rPr>
                        </w:pPr>
                        <w:r>
                          <w:rPr>
                            <w:rFonts w:cs="Calibri"/>
                          </w:rPr>
                          <w:t>Type 4</w:t>
                        </w:r>
                      </w:p>
                    </w:tc>
                  </w:tr>
                  <w:tr>
                    <w:tc>
                      <w:tcPr>
                        <w:tcW w:w="4282" w:type="dxa"/>
                      </w:tcPr>
                      <w:p>
                        <w:pPr>
                          <w:numPr>
                            <w:ilvl w:val="0"/>
                            <w:numId w:val="153"/>
                          </w:numPr>
                          <w:ind w:left="544" w:hanging="414"/>
                          <w:rPr>
                            <w:rFonts w:cs="Calibri"/>
                          </w:rPr>
                        </w:pPr>
                        <w:r>
                          <w:rPr>
                            <w:rFonts w:cs="Calibri"/>
                          </w:rPr>
                          <w:t>1</w:t>
                        </w:r>
                        <w:r>
                          <w:rPr>
                            <w:rFonts w:cs="Calibri"/>
                            <w:vertAlign w:val="superscript"/>
                          </w:rPr>
                          <w:t>er</w:t>
                        </w:r>
                        <w:r>
                          <w:rPr>
                            <w:rFonts w:cs="Calibri"/>
                          </w:rPr>
                          <w:t xml:space="preserve"> degré commun</w:t>
                        </w:r>
                      </w:p>
                      <w:p>
                        <w:pPr>
                          <w:numPr>
                            <w:ilvl w:val="0"/>
                            <w:numId w:val="153"/>
                          </w:numPr>
                          <w:ind w:left="544" w:hanging="414"/>
                          <w:rPr>
                            <w:rFonts w:cs="Calibri"/>
                          </w:rPr>
                        </w:pPr>
                        <w:r>
                          <w:rPr>
                            <w:rFonts w:cs="Calibri"/>
                          </w:rPr>
                          <w:t>2</w:t>
                        </w:r>
                        <w:r>
                          <w:rPr>
                            <w:rFonts w:cs="Calibri"/>
                            <w:vertAlign w:val="superscript"/>
                          </w:rPr>
                          <w:t>ème</w:t>
                        </w:r>
                        <w:r>
                          <w:rPr>
                            <w:rFonts w:cs="Calibri"/>
                          </w:rPr>
                          <w:t xml:space="preserve"> degré</w:t>
                        </w:r>
                      </w:p>
                      <w:p>
                        <w:pPr>
                          <w:numPr>
                            <w:ilvl w:val="1"/>
                            <w:numId w:val="153"/>
                          </w:numPr>
                          <w:spacing w:line="360" w:lineRule="auto"/>
                          <w:ind w:left="1164" w:hanging="567"/>
                          <w:rPr>
                            <w:rFonts w:cs="Calibri"/>
                          </w:rPr>
                        </w:pPr>
                        <w:r>
                          <w:rPr>
                            <w:rFonts w:cs="Calibri"/>
                          </w:rPr>
                          <w:t>Général</w:t>
                        </w:r>
                      </w:p>
                      <w:p>
                        <w:pPr>
                          <w:numPr>
                            <w:ilvl w:val="1"/>
                            <w:numId w:val="153"/>
                          </w:numPr>
                          <w:spacing w:line="360" w:lineRule="auto"/>
                          <w:ind w:left="1164" w:hanging="567"/>
                          <w:rPr>
                            <w:rFonts w:cs="Calibri"/>
                          </w:rPr>
                        </w:pPr>
                        <w:r>
                          <w:rPr>
                            <w:rFonts w:cs="Calibri"/>
                          </w:rPr>
                          <w:t>Technique de Transition</w:t>
                        </w:r>
                      </w:p>
                      <w:p>
                        <w:pPr>
                          <w:numPr>
                            <w:ilvl w:val="1"/>
                            <w:numId w:val="153"/>
                          </w:numPr>
                          <w:spacing w:line="360" w:lineRule="auto"/>
                          <w:ind w:left="1164" w:hanging="567"/>
                          <w:rPr>
                            <w:rFonts w:cs="Calibri"/>
                          </w:rPr>
                        </w:pPr>
                        <w:r>
                          <w:rPr>
                            <w:rFonts w:cs="Calibri"/>
                          </w:rPr>
                          <w:t>Technique de Qualification</w:t>
                        </w:r>
                      </w:p>
                      <w:p>
                        <w:pPr>
                          <w:numPr>
                            <w:ilvl w:val="1"/>
                            <w:numId w:val="153"/>
                          </w:numPr>
                          <w:spacing w:line="360" w:lineRule="auto"/>
                          <w:ind w:left="1164" w:hanging="567"/>
                          <w:rPr>
                            <w:rFonts w:cs="Calibri"/>
                          </w:rPr>
                        </w:pPr>
                        <w:r>
                          <w:rPr>
                            <w:rFonts w:cs="Calibri"/>
                          </w:rPr>
                          <w:t>Artistique de Transition</w:t>
                        </w:r>
                      </w:p>
                      <w:p>
                        <w:pPr>
                          <w:numPr>
                            <w:ilvl w:val="1"/>
                            <w:numId w:val="153"/>
                          </w:numPr>
                          <w:spacing w:line="360" w:lineRule="auto"/>
                          <w:ind w:left="1164" w:hanging="567"/>
                          <w:rPr>
                            <w:rFonts w:cs="Calibri"/>
                          </w:rPr>
                        </w:pPr>
                        <w:r>
                          <w:rPr>
                            <w:rFonts w:cs="Calibri"/>
                          </w:rPr>
                          <w:t>Artistique de Qualification</w:t>
                        </w:r>
                      </w:p>
                      <w:p>
                        <w:pPr>
                          <w:numPr>
                            <w:ilvl w:val="1"/>
                            <w:numId w:val="153"/>
                          </w:numPr>
                          <w:spacing w:line="360" w:lineRule="auto"/>
                          <w:ind w:left="1164" w:hanging="567"/>
                          <w:rPr>
                            <w:rFonts w:cs="Calibri"/>
                          </w:rPr>
                        </w:pPr>
                        <w:r>
                          <w:rPr>
                            <w:rFonts w:cs="Calibri"/>
                          </w:rPr>
                          <w:t>Professionnel</w:t>
                        </w:r>
                      </w:p>
                      <w:p>
                        <w:pPr>
                          <w:numPr>
                            <w:ilvl w:val="0"/>
                            <w:numId w:val="153"/>
                          </w:numPr>
                          <w:spacing w:line="360" w:lineRule="auto"/>
                          <w:ind w:left="739" w:hanging="567"/>
                          <w:rPr>
                            <w:rFonts w:cs="Calibri"/>
                          </w:rPr>
                        </w:pPr>
                        <w:r>
                          <w:rPr>
                            <w:rFonts w:cs="Calibri"/>
                          </w:rPr>
                          <w:t>3</w:t>
                        </w:r>
                        <w:r>
                          <w:rPr>
                            <w:rFonts w:cs="Calibri"/>
                            <w:vertAlign w:val="superscript"/>
                          </w:rPr>
                          <w:t>ème</w:t>
                        </w:r>
                        <w:r>
                          <w:rPr>
                            <w:rFonts w:cs="Calibri"/>
                          </w:rPr>
                          <w:t xml:space="preserve"> degré</w:t>
                        </w:r>
                      </w:p>
                      <w:p>
                        <w:pPr>
                          <w:numPr>
                            <w:ilvl w:val="1"/>
                            <w:numId w:val="153"/>
                          </w:numPr>
                          <w:spacing w:line="360" w:lineRule="auto"/>
                          <w:ind w:left="1164" w:hanging="567"/>
                          <w:rPr>
                            <w:rFonts w:cs="Calibri"/>
                          </w:rPr>
                        </w:pPr>
                        <w:r>
                          <w:rPr>
                            <w:rFonts w:cs="Calibri"/>
                          </w:rPr>
                          <w:t>Général</w:t>
                        </w:r>
                      </w:p>
                      <w:p>
                        <w:pPr>
                          <w:numPr>
                            <w:ilvl w:val="1"/>
                            <w:numId w:val="153"/>
                          </w:numPr>
                          <w:spacing w:line="360" w:lineRule="auto"/>
                          <w:ind w:left="1164" w:hanging="567"/>
                          <w:rPr>
                            <w:rFonts w:cs="Calibri"/>
                          </w:rPr>
                        </w:pPr>
                        <w:r>
                          <w:rPr>
                            <w:rFonts w:cs="Calibri"/>
                          </w:rPr>
                          <w:t>Technique de Transition</w:t>
                        </w:r>
                      </w:p>
                      <w:p>
                        <w:pPr>
                          <w:numPr>
                            <w:ilvl w:val="1"/>
                            <w:numId w:val="153"/>
                          </w:numPr>
                          <w:spacing w:line="360" w:lineRule="auto"/>
                          <w:ind w:left="1164" w:hanging="567"/>
                          <w:rPr>
                            <w:rFonts w:cs="Calibri"/>
                          </w:rPr>
                        </w:pPr>
                        <w:r>
                          <w:rPr>
                            <w:rFonts w:cs="Calibri"/>
                          </w:rPr>
                          <w:t>Technique de Qualification</w:t>
                        </w:r>
                      </w:p>
                      <w:p>
                        <w:pPr>
                          <w:numPr>
                            <w:ilvl w:val="1"/>
                            <w:numId w:val="153"/>
                          </w:numPr>
                          <w:spacing w:line="360" w:lineRule="auto"/>
                          <w:ind w:left="1164" w:hanging="567"/>
                          <w:rPr>
                            <w:rFonts w:cs="Calibri"/>
                          </w:rPr>
                        </w:pPr>
                        <w:r>
                          <w:rPr>
                            <w:rFonts w:cs="Calibri"/>
                          </w:rPr>
                          <w:t>Artistique de Transition</w:t>
                        </w:r>
                      </w:p>
                      <w:p>
                        <w:pPr>
                          <w:numPr>
                            <w:ilvl w:val="1"/>
                            <w:numId w:val="153"/>
                          </w:numPr>
                          <w:spacing w:line="360" w:lineRule="auto"/>
                          <w:ind w:left="1164" w:hanging="567"/>
                          <w:rPr>
                            <w:rFonts w:cs="Calibri"/>
                          </w:rPr>
                        </w:pPr>
                        <w:r>
                          <w:rPr>
                            <w:rFonts w:cs="Calibri"/>
                          </w:rPr>
                          <w:t>Artistique de Qualification</w:t>
                        </w:r>
                      </w:p>
                      <w:p>
                        <w:pPr>
                          <w:numPr>
                            <w:ilvl w:val="1"/>
                            <w:numId w:val="153"/>
                          </w:numPr>
                          <w:spacing w:line="360" w:lineRule="auto"/>
                          <w:ind w:left="1164" w:hanging="567"/>
                          <w:rPr>
                            <w:rFonts w:cs="Calibri"/>
                            <w:u w:val="single"/>
                          </w:rPr>
                        </w:pPr>
                        <w:r>
                          <w:rPr>
                            <w:rFonts w:cs="Calibri"/>
                          </w:rPr>
                          <w:t>Professionnel</w:t>
                        </w:r>
                      </w:p>
                    </w:tc>
                    <w:tc>
                      <w:tcPr>
                        <w:tcW w:w="4354" w:type="dxa"/>
                        <w:gridSpan w:val="2"/>
                      </w:tcPr>
                      <w:p>
                        <w:pPr>
                          <w:numPr>
                            <w:ilvl w:val="0"/>
                            <w:numId w:val="153"/>
                          </w:numPr>
                          <w:ind w:left="544" w:hanging="414"/>
                          <w:rPr>
                            <w:rFonts w:cs="Calibri"/>
                          </w:rPr>
                        </w:pPr>
                        <w:r>
                          <w:rPr>
                            <w:rFonts w:cs="Calibri"/>
                          </w:rPr>
                          <w:t>1</w:t>
                        </w:r>
                        <w:r>
                          <w:rPr>
                            <w:rFonts w:cs="Calibri"/>
                            <w:vertAlign w:val="superscript"/>
                          </w:rPr>
                          <w:t>er</w:t>
                        </w:r>
                        <w:r>
                          <w:rPr>
                            <w:rFonts w:cs="Calibri"/>
                          </w:rPr>
                          <w:t xml:space="preserve"> degré commun</w:t>
                        </w:r>
                      </w:p>
                      <w:p>
                        <w:pPr>
                          <w:numPr>
                            <w:ilvl w:val="0"/>
                            <w:numId w:val="153"/>
                          </w:numPr>
                          <w:ind w:left="544" w:hanging="414"/>
                          <w:rPr>
                            <w:rFonts w:cs="Calibri"/>
                          </w:rPr>
                        </w:pPr>
                        <w:r>
                          <w:rPr>
                            <w:rFonts w:cs="Calibri"/>
                          </w:rPr>
                          <w:t>2</w:t>
                        </w:r>
                        <w:r>
                          <w:rPr>
                            <w:rFonts w:cs="Calibri"/>
                            <w:vertAlign w:val="superscript"/>
                          </w:rPr>
                          <w:t>ème</w:t>
                        </w:r>
                        <w:r>
                          <w:rPr>
                            <w:rFonts w:cs="Calibri"/>
                          </w:rPr>
                          <w:t xml:space="preserve"> degré</w:t>
                        </w:r>
                      </w:p>
                      <w:p>
                        <w:pPr>
                          <w:numPr>
                            <w:ilvl w:val="1"/>
                            <w:numId w:val="153"/>
                          </w:numPr>
                          <w:spacing w:line="360" w:lineRule="auto"/>
                          <w:ind w:left="842" w:hanging="416"/>
                          <w:rPr>
                            <w:rFonts w:cs="Calibri"/>
                          </w:rPr>
                        </w:pPr>
                        <w:r>
                          <w:rPr>
                            <w:rFonts w:cs="Calibri"/>
                          </w:rPr>
                          <w:t>Général</w:t>
                        </w:r>
                      </w:p>
                      <w:p>
                        <w:pPr>
                          <w:numPr>
                            <w:ilvl w:val="1"/>
                            <w:numId w:val="153"/>
                          </w:numPr>
                          <w:spacing w:line="360" w:lineRule="auto"/>
                          <w:ind w:left="842" w:hanging="416"/>
                          <w:rPr>
                            <w:rFonts w:cs="Calibri"/>
                          </w:rPr>
                        </w:pPr>
                        <w:r>
                          <w:rPr>
                            <w:rFonts w:cs="Calibri"/>
                          </w:rPr>
                          <w:t>Technique de Transition</w:t>
                        </w:r>
                      </w:p>
                      <w:p>
                        <w:pPr>
                          <w:numPr>
                            <w:ilvl w:val="1"/>
                            <w:numId w:val="153"/>
                          </w:numPr>
                          <w:spacing w:line="360" w:lineRule="auto"/>
                          <w:ind w:left="842" w:hanging="416"/>
                          <w:rPr>
                            <w:rFonts w:cs="Calibri"/>
                          </w:rPr>
                        </w:pPr>
                        <w:r>
                          <w:rPr>
                            <w:rFonts w:cs="Calibri"/>
                          </w:rPr>
                          <w:t>Technique de Qualification</w:t>
                        </w:r>
                      </w:p>
                      <w:p>
                        <w:pPr>
                          <w:numPr>
                            <w:ilvl w:val="1"/>
                            <w:numId w:val="153"/>
                          </w:numPr>
                          <w:spacing w:line="360" w:lineRule="auto"/>
                          <w:ind w:left="842" w:hanging="416"/>
                          <w:rPr>
                            <w:rFonts w:cs="Calibri"/>
                          </w:rPr>
                        </w:pPr>
                        <w:r>
                          <w:rPr>
                            <w:rFonts w:cs="Calibri"/>
                          </w:rPr>
                          <w:t>Artistique de Transition</w:t>
                        </w:r>
                      </w:p>
                      <w:p>
                        <w:pPr>
                          <w:numPr>
                            <w:ilvl w:val="1"/>
                            <w:numId w:val="153"/>
                          </w:numPr>
                          <w:spacing w:line="360" w:lineRule="auto"/>
                          <w:ind w:left="842" w:hanging="416"/>
                          <w:rPr>
                            <w:rFonts w:cs="Calibri"/>
                          </w:rPr>
                        </w:pPr>
                        <w:r>
                          <w:rPr>
                            <w:rFonts w:cs="Calibri"/>
                          </w:rPr>
                          <w:t>Artistique de Qualification</w:t>
                        </w:r>
                      </w:p>
                      <w:p>
                        <w:pPr>
                          <w:numPr>
                            <w:ilvl w:val="1"/>
                            <w:numId w:val="153"/>
                          </w:numPr>
                          <w:spacing w:line="360" w:lineRule="auto"/>
                          <w:ind w:left="842" w:hanging="416"/>
                          <w:rPr>
                            <w:rFonts w:cs="Calibri"/>
                          </w:rPr>
                        </w:pPr>
                        <w:r>
                          <w:rPr>
                            <w:rFonts w:cs="Calibri"/>
                          </w:rPr>
                          <w:t>Professionnel</w:t>
                        </w:r>
                      </w:p>
                      <w:p>
                        <w:pPr>
                          <w:numPr>
                            <w:ilvl w:val="0"/>
                            <w:numId w:val="153"/>
                          </w:numPr>
                          <w:spacing w:line="360" w:lineRule="auto"/>
                          <w:ind w:left="706"/>
                          <w:rPr>
                            <w:rFonts w:cs="Calibri"/>
                          </w:rPr>
                        </w:pPr>
                        <w:r>
                          <w:rPr>
                            <w:rFonts w:cs="Calibri"/>
                          </w:rPr>
                          <w:t>3</w:t>
                        </w:r>
                        <w:r>
                          <w:rPr>
                            <w:rFonts w:cs="Calibri"/>
                            <w:vertAlign w:val="superscript"/>
                          </w:rPr>
                          <w:t>ème</w:t>
                        </w:r>
                        <w:r>
                          <w:rPr>
                            <w:rFonts w:cs="Calibri"/>
                          </w:rPr>
                          <w:t xml:space="preserve"> degré</w:t>
                        </w:r>
                      </w:p>
                      <w:p>
                        <w:pPr>
                          <w:numPr>
                            <w:ilvl w:val="1"/>
                            <w:numId w:val="153"/>
                          </w:numPr>
                          <w:spacing w:line="360" w:lineRule="auto"/>
                          <w:ind w:left="848" w:hanging="425"/>
                          <w:rPr>
                            <w:rFonts w:cs="Calibri"/>
                          </w:rPr>
                        </w:pPr>
                        <w:r>
                          <w:rPr>
                            <w:rFonts w:cs="Calibri"/>
                          </w:rPr>
                          <w:t>Général</w:t>
                        </w:r>
                      </w:p>
                      <w:p>
                        <w:pPr>
                          <w:numPr>
                            <w:ilvl w:val="1"/>
                            <w:numId w:val="153"/>
                          </w:numPr>
                          <w:spacing w:line="360" w:lineRule="auto"/>
                          <w:ind w:left="848" w:hanging="425"/>
                          <w:rPr>
                            <w:rFonts w:cs="Calibri"/>
                          </w:rPr>
                        </w:pPr>
                        <w:r>
                          <w:rPr>
                            <w:rFonts w:cs="Calibri"/>
                          </w:rPr>
                          <w:t>Technique de Transition</w:t>
                        </w:r>
                      </w:p>
                      <w:p>
                        <w:pPr>
                          <w:numPr>
                            <w:ilvl w:val="1"/>
                            <w:numId w:val="153"/>
                          </w:numPr>
                          <w:spacing w:line="360" w:lineRule="auto"/>
                          <w:ind w:left="848" w:hanging="425"/>
                          <w:rPr>
                            <w:rFonts w:cs="Calibri"/>
                          </w:rPr>
                        </w:pPr>
                        <w:r>
                          <w:rPr>
                            <w:rFonts w:cs="Calibri"/>
                          </w:rPr>
                          <w:t>Technique de Qualification</w:t>
                        </w:r>
                      </w:p>
                      <w:p>
                        <w:pPr>
                          <w:numPr>
                            <w:ilvl w:val="1"/>
                            <w:numId w:val="153"/>
                          </w:numPr>
                          <w:spacing w:line="360" w:lineRule="auto"/>
                          <w:ind w:left="848" w:hanging="425"/>
                          <w:rPr>
                            <w:rFonts w:cs="Calibri"/>
                          </w:rPr>
                        </w:pPr>
                        <w:r>
                          <w:rPr>
                            <w:rFonts w:cs="Calibri"/>
                          </w:rPr>
                          <w:t>Artistique de Transition</w:t>
                        </w:r>
                      </w:p>
                      <w:p>
                        <w:pPr>
                          <w:numPr>
                            <w:ilvl w:val="1"/>
                            <w:numId w:val="153"/>
                          </w:numPr>
                          <w:spacing w:line="360" w:lineRule="auto"/>
                          <w:ind w:left="848" w:hanging="425"/>
                          <w:rPr>
                            <w:rFonts w:cs="Calibri"/>
                          </w:rPr>
                        </w:pPr>
                        <w:r>
                          <w:rPr>
                            <w:rFonts w:cs="Calibri"/>
                          </w:rPr>
                          <w:t>Artistique de Qualification</w:t>
                        </w:r>
                      </w:p>
                      <w:p>
                        <w:pPr>
                          <w:numPr>
                            <w:ilvl w:val="1"/>
                            <w:numId w:val="153"/>
                          </w:numPr>
                          <w:spacing w:line="360" w:lineRule="auto"/>
                          <w:ind w:left="848" w:hanging="425"/>
                          <w:rPr>
                            <w:rFonts w:cs="Calibri"/>
                            <w:u w:val="single"/>
                          </w:rPr>
                        </w:pPr>
                        <w:r>
                          <w:rPr>
                            <w:rFonts w:cs="Calibri"/>
                          </w:rPr>
                          <w:t>Professionnel</w:t>
                        </w:r>
                      </w:p>
                    </w:tc>
                  </w:tr>
                  <w:tr>
                    <w:tc>
                      <w:tcPr>
                        <w:tcW w:w="4282" w:type="dxa"/>
                      </w:tcPr>
                      <w:p>
                        <w:pPr>
                          <w:numPr>
                            <w:ilvl w:val="0"/>
                            <w:numId w:val="153"/>
                          </w:numPr>
                          <w:spacing w:line="312" w:lineRule="auto"/>
                          <w:ind w:left="0" w:firstLine="30"/>
                          <w:rPr>
                            <w:rFonts w:cs="Calibri"/>
                          </w:rPr>
                        </w:pPr>
                        <w:r>
                          <w:rPr>
                            <w:rFonts w:cs="Calibri"/>
                          </w:rPr>
                          <w:t>Type 5</w:t>
                        </w:r>
                      </w:p>
                    </w:tc>
                    <w:tc>
                      <w:tcPr>
                        <w:tcW w:w="4354" w:type="dxa"/>
                        <w:gridSpan w:val="2"/>
                      </w:tcPr>
                      <w:p>
                        <w:pPr>
                          <w:numPr>
                            <w:ilvl w:val="0"/>
                            <w:numId w:val="153"/>
                          </w:numPr>
                          <w:spacing w:line="312" w:lineRule="auto"/>
                          <w:ind w:left="0" w:firstLine="30"/>
                          <w:rPr>
                            <w:rFonts w:cs="Calibri"/>
                          </w:rPr>
                        </w:pPr>
                        <w:r>
                          <w:rPr>
                            <w:rFonts w:cs="Calibri"/>
                          </w:rPr>
                          <w:t>Type 6</w:t>
                        </w:r>
                      </w:p>
                    </w:tc>
                  </w:tr>
                  <w:tr>
                    <w:tc>
                      <w:tcPr>
                        <w:tcW w:w="4282" w:type="dxa"/>
                      </w:tcPr>
                      <w:p>
                        <w:pPr>
                          <w:numPr>
                            <w:ilvl w:val="0"/>
                            <w:numId w:val="153"/>
                          </w:numPr>
                          <w:spacing w:line="360" w:lineRule="auto"/>
                          <w:ind w:left="739"/>
                          <w:rPr>
                            <w:rFonts w:cs="Calibri"/>
                          </w:rPr>
                        </w:pPr>
                        <w:r>
                          <w:rPr>
                            <w:rFonts w:cs="Calibri"/>
                          </w:rPr>
                          <w:t>1</w:t>
                        </w:r>
                        <w:r>
                          <w:rPr>
                            <w:rFonts w:cs="Calibri"/>
                            <w:vertAlign w:val="superscript"/>
                          </w:rPr>
                          <w:t>er</w:t>
                        </w:r>
                        <w:r>
                          <w:rPr>
                            <w:rFonts w:cs="Calibri"/>
                          </w:rPr>
                          <w:t xml:space="preserve"> degré commun</w:t>
                        </w:r>
                      </w:p>
                      <w:p>
                        <w:pPr>
                          <w:numPr>
                            <w:ilvl w:val="0"/>
                            <w:numId w:val="153"/>
                          </w:numPr>
                          <w:spacing w:line="360" w:lineRule="auto"/>
                          <w:ind w:left="739"/>
                          <w:rPr>
                            <w:rFonts w:cs="Calibri"/>
                          </w:rPr>
                        </w:pPr>
                        <w:r>
                          <w:rPr>
                            <w:rFonts w:cs="Calibri"/>
                          </w:rPr>
                          <w:t>2</w:t>
                        </w:r>
                        <w:r>
                          <w:rPr>
                            <w:rFonts w:cs="Calibri"/>
                            <w:vertAlign w:val="superscript"/>
                          </w:rPr>
                          <w:t>ème</w:t>
                        </w:r>
                        <w:r>
                          <w:rPr>
                            <w:rFonts w:cs="Calibri"/>
                          </w:rPr>
                          <w:t xml:space="preserve"> degré</w:t>
                        </w:r>
                      </w:p>
                      <w:p>
                        <w:pPr>
                          <w:numPr>
                            <w:ilvl w:val="1"/>
                            <w:numId w:val="153"/>
                          </w:numPr>
                          <w:spacing w:line="360" w:lineRule="auto"/>
                          <w:ind w:left="880" w:hanging="283"/>
                          <w:rPr>
                            <w:rFonts w:cs="Calibri"/>
                          </w:rPr>
                        </w:pPr>
                        <w:r>
                          <w:rPr>
                            <w:rFonts w:cs="Calibri"/>
                          </w:rPr>
                          <w:t>Général</w:t>
                        </w:r>
                      </w:p>
                      <w:p>
                        <w:pPr>
                          <w:numPr>
                            <w:ilvl w:val="1"/>
                            <w:numId w:val="153"/>
                          </w:numPr>
                          <w:spacing w:line="360" w:lineRule="auto"/>
                          <w:ind w:left="880" w:hanging="283"/>
                          <w:rPr>
                            <w:rFonts w:cs="Calibri"/>
                          </w:rPr>
                        </w:pPr>
                        <w:r>
                          <w:rPr>
                            <w:rFonts w:cs="Calibri"/>
                          </w:rPr>
                          <w:t>Technique de Transition</w:t>
                        </w:r>
                      </w:p>
                      <w:p>
                        <w:pPr>
                          <w:numPr>
                            <w:ilvl w:val="1"/>
                            <w:numId w:val="153"/>
                          </w:numPr>
                          <w:spacing w:line="360" w:lineRule="auto"/>
                          <w:ind w:left="880" w:hanging="283"/>
                          <w:rPr>
                            <w:rFonts w:cs="Calibri"/>
                          </w:rPr>
                        </w:pPr>
                        <w:r>
                          <w:rPr>
                            <w:rFonts w:cs="Calibri"/>
                          </w:rPr>
                          <w:t>Technique de Qualification</w:t>
                        </w:r>
                      </w:p>
                      <w:p>
                        <w:pPr>
                          <w:numPr>
                            <w:ilvl w:val="1"/>
                            <w:numId w:val="153"/>
                          </w:numPr>
                          <w:spacing w:line="360" w:lineRule="auto"/>
                          <w:ind w:left="880" w:hanging="283"/>
                          <w:rPr>
                            <w:rFonts w:cs="Calibri"/>
                          </w:rPr>
                        </w:pPr>
                        <w:r>
                          <w:rPr>
                            <w:rFonts w:cs="Calibri"/>
                          </w:rPr>
                          <w:t>Artistique de Transition</w:t>
                        </w:r>
                      </w:p>
                      <w:p>
                        <w:pPr>
                          <w:numPr>
                            <w:ilvl w:val="1"/>
                            <w:numId w:val="153"/>
                          </w:numPr>
                          <w:spacing w:line="360" w:lineRule="auto"/>
                          <w:ind w:left="880" w:hanging="283"/>
                          <w:rPr>
                            <w:rFonts w:cs="Calibri"/>
                          </w:rPr>
                        </w:pPr>
                        <w:r>
                          <w:rPr>
                            <w:rFonts w:cs="Calibri"/>
                          </w:rPr>
                          <w:t>Artistique de Qualification</w:t>
                        </w:r>
                      </w:p>
                      <w:p>
                        <w:pPr>
                          <w:numPr>
                            <w:ilvl w:val="1"/>
                            <w:numId w:val="153"/>
                          </w:numPr>
                          <w:spacing w:line="360" w:lineRule="auto"/>
                          <w:ind w:left="880" w:hanging="283"/>
                          <w:rPr>
                            <w:rFonts w:cs="Calibri"/>
                          </w:rPr>
                        </w:pPr>
                        <w:r>
                          <w:rPr>
                            <w:rFonts w:cs="Calibri"/>
                          </w:rPr>
                          <w:t>Professionnel</w:t>
                        </w:r>
                      </w:p>
                      <w:p>
                        <w:pPr>
                          <w:numPr>
                            <w:ilvl w:val="0"/>
                            <w:numId w:val="153"/>
                          </w:numPr>
                          <w:spacing w:line="360" w:lineRule="auto"/>
                          <w:ind w:left="0" w:firstLine="0"/>
                          <w:rPr>
                            <w:rFonts w:cs="Calibri"/>
                          </w:rPr>
                        </w:pPr>
                        <w:r>
                          <w:rPr>
                            <w:rFonts w:cs="Calibri"/>
                          </w:rPr>
                          <w:t>3</w:t>
                        </w:r>
                        <w:r>
                          <w:rPr>
                            <w:rFonts w:cs="Calibri"/>
                            <w:vertAlign w:val="superscript"/>
                          </w:rPr>
                          <w:t>ème</w:t>
                        </w:r>
                        <w:r>
                          <w:rPr>
                            <w:rFonts w:cs="Calibri"/>
                          </w:rPr>
                          <w:t xml:space="preserve"> degré</w:t>
                        </w:r>
                      </w:p>
                      <w:p>
                        <w:pPr>
                          <w:numPr>
                            <w:ilvl w:val="1"/>
                            <w:numId w:val="153"/>
                          </w:numPr>
                          <w:spacing w:line="360" w:lineRule="auto"/>
                          <w:ind w:left="880" w:hanging="283"/>
                          <w:rPr>
                            <w:rFonts w:cs="Calibri"/>
                          </w:rPr>
                        </w:pPr>
                        <w:r>
                          <w:rPr>
                            <w:rFonts w:cs="Calibri"/>
                          </w:rPr>
                          <w:t>Général</w:t>
                        </w:r>
                      </w:p>
                      <w:p>
                        <w:pPr>
                          <w:numPr>
                            <w:ilvl w:val="1"/>
                            <w:numId w:val="153"/>
                          </w:numPr>
                          <w:spacing w:line="360" w:lineRule="auto"/>
                          <w:ind w:left="880" w:hanging="283"/>
                          <w:rPr>
                            <w:rFonts w:cs="Calibri"/>
                          </w:rPr>
                        </w:pPr>
                        <w:r>
                          <w:rPr>
                            <w:rFonts w:cs="Calibri"/>
                          </w:rPr>
                          <w:t>Technique de Transition</w:t>
                        </w:r>
                      </w:p>
                      <w:p>
                        <w:pPr>
                          <w:numPr>
                            <w:ilvl w:val="1"/>
                            <w:numId w:val="153"/>
                          </w:numPr>
                          <w:spacing w:line="360" w:lineRule="auto"/>
                          <w:ind w:left="880" w:hanging="283"/>
                          <w:rPr>
                            <w:rFonts w:cs="Calibri"/>
                          </w:rPr>
                        </w:pPr>
                        <w:r>
                          <w:rPr>
                            <w:rFonts w:cs="Calibri"/>
                          </w:rPr>
                          <w:t>Technique de Qualification</w:t>
                        </w:r>
                      </w:p>
                      <w:p>
                        <w:pPr>
                          <w:numPr>
                            <w:ilvl w:val="1"/>
                            <w:numId w:val="153"/>
                          </w:numPr>
                          <w:spacing w:line="360" w:lineRule="auto"/>
                          <w:ind w:left="880" w:hanging="283"/>
                          <w:rPr>
                            <w:rFonts w:cs="Calibri"/>
                          </w:rPr>
                        </w:pPr>
                        <w:r>
                          <w:rPr>
                            <w:rFonts w:cs="Calibri"/>
                          </w:rPr>
                          <w:t>Artistique de Transition</w:t>
                        </w:r>
                      </w:p>
                      <w:p>
                        <w:pPr>
                          <w:numPr>
                            <w:ilvl w:val="1"/>
                            <w:numId w:val="153"/>
                          </w:numPr>
                          <w:spacing w:line="360" w:lineRule="auto"/>
                          <w:ind w:left="880" w:hanging="283"/>
                          <w:rPr>
                            <w:rFonts w:cs="Calibri"/>
                          </w:rPr>
                        </w:pPr>
                        <w:r>
                          <w:rPr>
                            <w:rFonts w:cs="Calibri"/>
                          </w:rPr>
                          <w:t>Artistique de Qualification</w:t>
                        </w:r>
                      </w:p>
                      <w:p>
                        <w:pPr>
                          <w:numPr>
                            <w:ilvl w:val="1"/>
                            <w:numId w:val="153"/>
                          </w:numPr>
                          <w:spacing w:line="360" w:lineRule="auto"/>
                          <w:ind w:left="880" w:hanging="283"/>
                          <w:rPr>
                            <w:rFonts w:cs="Calibri"/>
                          </w:rPr>
                        </w:pPr>
                        <w:r>
                          <w:rPr>
                            <w:rFonts w:cs="Calibri"/>
                          </w:rPr>
                          <w:t>Professionnel</w:t>
                        </w:r>
                      </w:p>
                    </w:tc>
                    <w:tc>
                      <w:tcPr>
                        <w:tcW w:w="4354" w:type="dxa"/>
                        <w:gridSpan w:val="2"/>
                      </w:tcPr>
                      <w:p>
                        <w:pPr>
                          <w:numPr>
                            <w:ilvl w:val="0"/>
                            <w:numId w:val="153"/>
                          </w:numPr>
                          <w:spacing w:line="360" w:lineRule="auto"/>
                          <w:ind w:left="139" w:firstLine="0"/>
                          <w:rPr>
                            <w:rFonts w:cs="Calibri"/>
                          </w:rPr>
                        </w:pPr>
                        <w:r>
                          <w:rPr>
                            <w:rFonts w:cs="Calibri"/>
                          </w:rPr>
                          <w:t>1</w:t>
                        </w:r>
                        <w:r>
                          <w:rPr>
                            <w:rFonts w:cs="Calibri"/>
                            <w:vertAlign w:val="superscript"/>
                          </w:rPr>
                          <w:t>er</w:t>
                        </w:r>
                        <w:r>
                          <w:rPr>
                            <w:rFonts w:cs="Calibri"/>
                          </w:rPr>
                          <w:t xml:space="preserve"> degré commun</w:t>
                        </w:r>
                      </w:p>
                      <w:p>
                        <w:pPr>
                          <w:numPr>
                            <w:ilvl w:val="0"/>
                            <w:numId w:val="153"/>
                          </w:numPr>
                          <w:spacing w:line="360" w:lineRule="auto"/>
                          <w:ind w:left="139" w:firstLine="0"/>
                          <w:rPr>
                            <w:rFonts w:cs="Calibri"/>
                          </w:rPr>
                        </w:pPr>
                        <w:r>
                          <w:rPr>
                            <w:rFonts w:cs="Calibri"/>
                          </w:rPr>
                          <w:t>2</w:t>
                        </w:r>
                        <w:r>
                          <w:rPr>
                            <w:rFonts w:cs="Calibri"/>
                            <w:vertAlign w:val="superscript"/>
                          </w:rPr>
                          <w:t>ème</w:t>
                        </w:r>
                        <w:r>
                          <w:rPr>
                            <w:rFonts w:cs="Calibri"/>
                          </w:rPr>
                          <w:t xml:space="preserve"> degré</w:t>
                        </w:r>
                      </w:p>
                      <w:p>
                        <w:pPr>
                          <w:numPr>
                            <w:ilvl w:val="1"/>
                            <w:numId w:val="153"/>
                          </w:numPr>
                          <w:spacing w:line="360" w:lineRule="auto"/>
                          <w:ind w:left="990"/>
                          <w:rPr>
                            <w:rFonts w:cs="Calibri"/>
                          </w:rPr>
                        </w:pPr>
                        <w:r>
                          <w:rPr>
                            <w:rFonts w:cs="Calibri"/>
                          </w:rPr>
                          <w:t>Général</w:t>
                        </w:r>
                      </w:p>
                      <w:p>
                        <w:pPr>
                          <w:numPr>
                            <w:ilvl w:val="1"/>
                            <w:numId w:val="153"/>
                          </w:numPr>
                          <w:spacing w:line="360" w:lineRule="auto"/>
                          <w:ind w:left="990"/>
                          <w:rPr>
                            <w:rFonts w:cs="Calibri"/>
                          </w:rPr>
                        </w:pPr>
                        <w:r>
                          <w:rPr>
                            <w:rFonts w:cs="Calibri"/>
                          </w:rPr>
                          <w:t>Technique de Transition</w:t>
                        </w:r>
                      </w:p>
                      <w:p>
                        <w:pPr>
                          <w:numPr>
                            <w:ilvl w:val="1"/>
                            <w:numId w:val="153"/>
                          </w:numPr>
                          <w:spacing w:line="360" w:lineRule="auto"/>
                          <w:ind w:left="990"/>
                          <w:rPr>
                            <w:rFonts w:cs="Calibri"/>
                          </w:rPr>
                        </w:pPr>
                        <w:r>
                          <w:rPr>
                            <w:rFonts w:cs="Calibri"/>
                          </w:rPr>
                          <w:t>Technique de Qualification</w:t>
                        </w:r>
                      </w:p>
                      <w:p>
                        <w:pPr>
                          <w:numPr>
                            <w:ilvl w:val="1"/>
                            <w:numId w:val="153"/>
                          </w:numPr>
                          <w:spacing w:line="360" w:lineRule="auto"/>
                          <w:ind w:left="990"/>
                          <w:rPr>
                            <w:rFonts w:cs="Calibri"/>
                          </w:rPr>
                        </w:pPr>
                        <w:r>
                          <w:rPr>
                            <w:rFonts w:cs="Calibri"/>
                          </w:rPr>
                          <w:t>Artistique de Transition</w:t>
                        </w:r>
                      </w:p>
                      <w:p>
                        <w:pPr>
                          <w:numPr>
                            <w:ilvl w:val="1"/>
                            <w:numId w:val="153"/>
                          </w:numPr>
                          <w:spacing w:line="360" w:lineRule="auto"/>
                          <w:ind w:left="990"/>
                          <w:rPr>
                            <w:rFonts w:cs="Calibri"/>
                          </w:rPr>
                        </w:pPr>
                        <w:r>
                          <w:rPr>
                            <w:rFonts w:cs="Calibri"/>
                          </w:rPr>
                          <w:t>Artistique de Qualification</w:t>
                        </w:r>
                      </w:p>
                      <w:p>
                        <w:pPr>
                          <w:numPr>
                            <w:ilvl w:val="1"/>
                            <w:numId w:val="153"/>
                          </w:numPr>
                          <w:spacing w:line="360" w:lineRule="auto"/>
                          <w:ind w:left="990"/>
                          <w:rPr>
                            <w:rFonts w:cs="Calibri"/>
                          </w:rPr>
                        </w:pPr>
                        <w:r>
                          <w:rPr>
                            <w:rFonts w:cs="Calibri"/>
                          </w:rPr>
                          <w:t>Professionnel</w:t>
                        </w:r>
                      </w:p>
                      <w:p>
                        <w:pPr>
                          <w:numPr>
                            <w:ilvl w:val="0"/>
                            <w:numId w:val="153"/>
                          </w:numPr>
                          <w:spacing w:line="360" w:lineRule="auto"/>
                          <w:ind w:left="0" w:firstLine="0"/>
                          <w:rPr>
                            <w:rFonts w:cs="Calibri"/>
                          </w:rPr>
                        </w:pPr>
                        <w:r>
                          <w:rPr>
                            <w:rFonts w:cs="Calibri"/>
                          </w:rPr>
                          <w:t>3</w:t>
                        </w:r>
                        <w:r>
                          <w:rPr>
                            <w:rFonts w:cs="Calibri"/>
                            <w:vertAlign w:val="superscript"/>
                          </w:rPr>
                          <w:t>ème</w:t>
                        </w:r>
                        <w:r>
                          <w:rPr>
                            <w:rFonts w:cs="Calibri"/>
                          </w:rPr>
                          <w:t xml:space="preserve"> degré</w:t>
                        </w:r>
                      </w:p>
                      <w:p>
                        <w:pPr>
                          <w:numPr>
                            <w:ilvl w:val="1"/>
                            <w:numId w:val="153"/>
                          </w:numPr>
                          <w:spacing w:line="360" w:lineRule="auto"/>
                          <w:ind w:left="993" w:hanging="284"/>
                          <w:rPr>
                            <w:rFonts w:cs="Calibri"/>
                          </w:rPr>
                        </w:pPr>
                        <w:r>
                          <w:rPr>
                            <w:rFonts w:cs="Calibri"/>
                          </w:rPr>
                          <w:t>Général</w:t>
                        </w:r>
                      </w:p>
                      <w:p>
                        <w:pPr>
                          <w:numPr>
                            <w:ilvl w:val="1"/>
                            <w:numId w:val="153"/>
                          </w:numPr>
                          <w:spacing w:line="360" w:lineRule="auto"/>
                          <w:ind w:left="993" w:hanging="284"/>
                          <w:rPr>
                            <w:rFonts w:cs="Calibri"/>
                          </w:rPr>
                        </w:pPr>
                        <w:r>
                          <w:rPr>
                            <w:rFonts w:cs="Calibri"/>
                          </w:rPr>
                          <w:t>Technique de Transition</w:t>
                        </w:r>
                      </w:p>
                      <w:p>
                        <w:pPr>
                          <w:numPr>
                            <w:ilvl w:val="1"/>
                            <w:numId w:val="153"/>
                          </w:numPr>
                          <w:spacing w:line="360" w:lineRule="auto"/>
                          <w:ind w:left="993" w:hanging="284"/>
                          <w:rPr>
                            <w:rFonts w:cs="Calibri"/>
                          </w:rPr>
                        </w:pPr>
                        <w:r>
                          <w:rPr>
                            <w:rFonts w:cs="Calibri"/>
                          </w:rPr>
                          <w:t>Technique de Qualification</w:t>
                        </w:r>
                      </w:p>
                      <w:p>
                        <w:pPr>
                          <w:numPr>
                            <w:ilvl w:val="1"/>
                            <w:numId w:val="153"/>
                          </w:numPr>
                          <w:spacing w:line="360" w:lineRule="auto"/>
                          <w:ind w:left="993" w:hanging="284"/>
                          <w:rPr>
                            <w:rFonts w:cs="Calibri"/>
                          </w:rPr>
                        </w:pPr>
                        <w:r>
                          <w:rPr>
                            <w:rFonts w:cs="Calibri"/>
                          </w:rPr>
                          <w:t>Artistique de Transition</w:t>
                        </w:r>
                      </w:p>
                      <w:p>
                        <w:pPr>
                          <w:numPr>
                            <w:ilvl w:val="1"/>
                            <w:numId w:val="153"/>
                          </w:numPr>
                          <w:spacing w:line="360" w:lineRule="auto"/>
                          <w:ind w:left="993" w:hanging="284"/>
                          <w:rPr>
                            <w:rFonts w:cs="Calibri"/>
                          </w:rPr>
                        </w:pPr>
                        <w:r>
                          <w:rPr>
                            <w:rFonts w:cs="Calibri"/>
                          </w:rPr>
                          <w:t>Artistique de Qualification</w:t>
                        </w:r>
                      </w:p>
                      <w:p>
                        <w:pPr>
                          <w:numPr>
                            <w:ilvl w:val="1"/>
                            <w:numId w:val="153"/>
                          </w:numPr>
                          <w:spacing w:line="360" w:lineRule="auto"/>
                          <w:ind w:left="993" w:hanging="284"/>
                          <w:rPr>
                            <w:rFonts w:cs="Calibri"/>
                          </w:rPr>
                        </w:pPr>
                        <w:r>
                          <w:rPr>
                            <w:rFonts w:cs="Calibri"/>
                          </w:rPr>
                          <w:t>Professionnel</w:t>
                        </w:r>
                      </w:p>
                    </w:tc>
                  </w:tr>
                  <w:tr>
                    <w:tc>
                      <w:tcPr>
                        <w:tcW w:w="8636" w:type="dxa"/>
                        <w:gridSpan w:val="3"/>
                      </w:tcPr>
                      <w:p>
                        <w:pPr>
                          <w:spacing w:line="360" w:lineRule="auto"/>
                          <w:jc w:val="center"/>
                          <w:rPr>
                            <w:rFonts w:cs="Calibri"/>
                          </w:rPr>
                        </w:pPr>
                        <w:r>
                          <w:rPr>
                            <w:rFonts w:cs="Calibri"/>
                          </w:rPr>
                          <w:t>Type 7</w:t>
                        </w:r>
                      </w:p>
                    </w:tc>
                  </w:tr>
                  <w:tr>
                    <w:tc>
                      <w:tcPr>
                        <w:tcW w:w="4318" w:type="dxa"/>
                        <w:gridSpan w:val="2"/>
                      </w:tcPr>
                      <w:p>
                        <w:pPr>
                          <w:numPr>
                            <w:ilvl w:val="0"/>
                            <w:numId w:val="153"/>
                          </w:numPr>
                          <w:spacing w:line="360" w:lineRule="auto"/>
                          <w:ind w:left="0" w:firstLine="0"/>
                          <w:rPr>
                            <w:rFonts w:cs="Calibri"/>
                          </w:rPr>
                        </w:pPr>
                        <w:r>
                          <w:rPr>
                            <w:rFonts w:cs="Calibri"/>
                          </w:rPr>
                          <w:t>1</w:t>
                        </w:r>
                        <w:r>
                          <w:rPr>
                            <w:rFonts w:cs="Calibri"/>
                            <w:vertAlign w:val="superscript"/>
                          </w:rPr>
                          <w:t>er</w:t>
                        </w:r>
                        <w:r>
                          <w:rPr>
                            <w:rFonts w:cs="Calibri"/>
                          </w:rPr>
                          <w:t xml:space="preserve"> degré commun</w:t>
                        </w:r>
                      </w:p>
                      <w:p>
                        <w:pPr>
                          <w:numPr>
                            <w:ilvl w:val="0"/>
                            <w:numId w:val="153"/>
                          </w:numPr>
                          <w:spacing w:line="360" w:lineRule="auto"/>
                          <w:ind w:left="0" w:firstLine="0"/>
                          <w:rPr>
                            <w:rFonts w:cs="Calibri"/>
                          </w:rPr>
                        </w:pPr>
                        <w:r>
                          <w:rPr>
                            <w:rFonts w:cs="Calibri"/>
                          </w:rPr>
                          <w:t>2</w:t>
                        </w:r>
                        <w:r>
                          <w:rPr>
                            <w:rFonts w:cs="Calibri"/>
                            <w:vertAlign w:val="superscript"/>
                          </w:rPr>
                          <w:t>ème</w:t>
                        </w:r>
                        <w:r>
                          <w:rPr>
                            <w:rFonts w:cs="Calibri"/>
                          </w:rPr>
                          <w:t xml:space="preserve"> degré</w:t>
                        </w:r>
                      </w:p>
                      <w:p>
                        <w:pPr>
                          <w:numPr>
                            <w:ilvl w:val="1"/>
                            <w:numId w:val="153"/>
                          </w:numPr>
                          <w:spacing w:line="360" w:lineRule="auto"/>
                          <w:ind w:left="880"/>
                          <w:rPr>
                            <w:rFonts w:cs="Calibri"/>
                          </w:rPr>
                        </w:pPr>
                        <w:r>
                          <w:rPr>
                            <w:rFonts w:cs="Calibri"/>
                          </w:rPr>
                          <w:t>Général</w:t>
                        </w:r>
                      </w:p>
                      <w:p>
                        <w:pPr>
                          <w:numPr>
                            <w:ilvl w:val="1"/>
                            <w:numId w:val="153"/>
                          </w:numPr>
                          <w:spacing w:line="360" w:lineRule="auto"/>
                          <w:ind w:left="880"/>
                          <w:rPr>
                            <w:rFonts w:cs="Calibri"/>
                          </w:rPr>
                        </w:pPr>
                        <w:r>
                          <w:rPr>
                            <w:rFonts w:cs="Calibri"/>
                          </w:rPr>
                          <w:t>Technique de Transition</w:t>
                        </w:r>
                      </w:p>
                      <w:p>
                        <w:pPr>
                          <w:numPr>
                            <w:ilvl w:val="1"/>
                            <w:numId w:val="153"/>
                          </w:numPr>
                          <w:spacing w:line="360" w:lineRule="auto"/>
                          <w:ind w:left="880"/>
                          <w:rPr>
                            <w:rFonts w:cs="Calibri"/>
                          </w:rPr>
                        </w:pPr>
                        <w:r>
                          <w:rPr>
                            <w:rFonts w:cs="Calibri"/>
                          </w:rPr>
                          <w:t>Technique de Qualification</w:t>
                        </w:r>
                      </w:p>
                      <w:p>
                        <w:pPr>
                          <w:numPr>
                            <w:ilvl w:val="1"/>
                            <w:numId w:val="153"/>
                          </w:numPr>
                          <w:spacing w:line="360" w:lineRule="auto"/>
                          <w:ind w:left="880"/>
                          <w:rPr>
                            <w:rFonts w:cs="Calibri"/>
                          </w:rPr>
                        </w:pPr>
                        <w:r>
                          <w:rPr>
                            <w:rFonts w:cs="Calibri"/>
                          </w:rPr>
                          <w:t>Artistique de Transition</w:t>
                        </w:r>
                      </w:p>
                      <w:p>
                        <w:pPr>
                          <w:numPr>
                            <w:ilvl w:val="1"/>
                            <w:numId w:val="153"/>
                          </w:numPr>
                          <w:spacing w:line="360" w:lineRule="auto"/>
                          <w:ind w:left="880"/>
                          <w:rPr>
                            <w:rFonts w:cs="Calibri"/>
                          </w:rPr>
                        </w:pPr>
                        <w:r>
                          <w:rPr>
                            <w:rFonts w:cs="Calibri"/>
                          </w:rPr>
                          <w:t>Artistique de Qualification</w:t>
                        </w:r>
                      </w:p>
                      <w:p>
                        <w:pPr>
                          <w:numPr>
                            <w:ilvl w:val="1"/>
                            <w:numId w:val="153"/>
                          </w:numPr>
                          <w:spacing w:line="360" w:lineRule="auto"/>
                          <w:ind w:left="880"/>
                          <w:rPr>
                            <w:rFonts w:cs="Calibri"/>
                          </w:rPr>
                        </w:pPr>
                        <w:r>
                          <w:rPr>
                            <w:rFonts w:cs="Calibri"/>
                          </w:rPr>
                          <w:t>Professionnel</w:t>
                        </w:r>
                      </w:p>
                    </w:tc>
                    <w:tc>
                      <w:tcPr>
                        <w:tcW w:w="4318" w:type="dxa"/>
                      </w:tcPr>
                      <w:p>
                        <w:pPr>
                          <w:numPr>
                            <w:ilvl w:val="0"/>
                            <w:numId w:val="153"/>
                          </w:numPr>
                          <w:spacing w:line="360" w:lineRule="auto"/>
                          <w:ind w:left="0" w:firstLine="0"/>
                          <w:rPr>
                            <w:rFonts w:cs="Calibri"/>
                          </w:rPr>
                        </w:pPr>
                        <w:r>
                          <w:rPr>
                            <w:rFonts w:cs="Calibri"/>
                          </w:rPr>
                          <w:t>3</w:t>
                        </w:r>
                        <w:r>
                          <w:rPr>
                            <w:rFonts w:cs="Calibri"/>
                            <w:vertAlign w:val="superscript"/>
                          </w:rPr>
                          <w:t>ème</w:t>
                        </w:r>
                        <w:r>
                          <w:rPr>
                            <w:rFonts w:cs="Calibri"/>
                          </w:rPr>
                          <w:t xml:space="preserve"> degré</w:t>
                        </w:r>
                      </w:p>
                      <w:p>
                        <w:pPr>
                          <w:numPr>
                            <w:ilvl w:val="1"/>
                            <w:numId w:val="153"/>
                          </w:numPr>
                          <w:spacing w:line="360" w:lineRule="auto"/>
                          <w:ind w:left="880" w:hanging="425"/>
                          <w:rPr>
                            <w:rFonts w:cs="Calibri"/>
                          </w:rPr>
                        </w:pPr>
                        <w:r>
                          <w:rPr>
                            <w:rFonts w:cs="Calibri"/>
                          </w:rPr>
                          <w:t>Général</w:t>
                        </w:r>
                      </w:p>
                      <w:p>
                        <w:pPr>
                          <w:numPr>
                            <w:ilvl w:val="1"/>
                            <w:numId w:val="153"/>
                          </w:numPr>
                          <w:spacing w:line="360" w:lineRule="auto"/>
                          <w:ind w:left="880" w:hanging="425"/>
                          <w:rPr>
                            <w:rFonts w:cs="Calibri"/>
                          </w:rPr>
                        </w:pPr>
                        <w:r>
                          <w:rPr>
                            <w:rFonts w:cs="Calibri"/>
                          </w:rPr>
                          <w:t>Technique de Transition</w:t>
                        </w:r>
                      </w:p>
                      <w:p>
                        <w:pPr>
                          <w:numPr>
                            <w:ilvl w:val="1"/>
                            <w:numId w:val="153"/>
                          </w:numPr>
                          <w:spacing w:line="360" w:lineRule="auto"/>
                          <w:ind w:left="880" w:hanging="425"/>
                          <w:rPr>
                            <w:rFonts w:cs="Calibri"/>
                          </w:rPr>
                        </w:pPr>
                        <w:r>
                          <w:rPr>
                            <w:rFonts w:cs="Calibri"/>
                          </w:rPr>
                          <w:t>Technique de Qualification</w:t>
                        </w:r>
                      </w:p>
                      <w:p>
                        <w:pPr>
                          <w:numPr>
                            <w:ilvl w:val="1"/>
                            <w:numId w:val="153"/>
                          </w:numPr>
                          <w:spacing w:line="360" w:lineRule="auto"/>
                          <w:ind w:left="880" w:hanging="425"/>
                          <w:rPr>
                            <w:rFonts w:cs="Calibri"/>
                          </w:rPr>
                        </w:pPr>
                        <w:r>
                          <w:rPr>
                            <w:rFonts w:cs="Calibri"/>
                          </w:rPr>
                          <w:t>Artistique de Transition</w:t>
                        </w:r>
                      </w:p>
                      <w:p>
                        <w:pPr>
                          <w:numPr>
                            <w:ilvl w:val="1"/>
                            <w:numId w:val="153"/>
                          </w:numPr>
                          <w:spacing w:line="360" w:lineRule="auto"/>
                          <w:ind w:left="880" w:hanging="425"/>
                          <w:rPr>
                            <w:rFonts w:cs="Calibri"/>
                          </w:rPr>
                        </w:pPr>
                        <w:r>
                          <w:rPr>
                            <w:rFonts w:cs="Calibri"/>
                          </w:rPr>
                          <w:t>Artistique de Qualification</w:t>
                        </w:r>
                      </w:p>
                      <w:p>
                        <w:pPr>
                          <w:numPr>
                            <w:ilvl w:val="1"/>
                            <w:numId w:val="153"/>
                          </w:numPr>
                          <w:spacing w:line="360" w:lineRule="auto"/>
                          <w:ind w:left="880" w:hanging="425"/>
                          <w:rPr>
                            <w:rFonts w:cs="Calibri"/>
                          </w:rPr>
                        </w:pPr>
                        <w:r>
                          <w:rPr>
                            <w:rFonts w:cs="Calibri"/>
                          </w:rPr>
                          <w:t>Professionnel</w:t>
                        </w:r>
                      </w:p>
                    </w:tc>
                  </w:tr>
                </w:tbl>
                <w:p>
                  <w:pPr>
                    <w:spacing w:line="312" w:lineRule="auto"/>
                    <w:rPr>
                      <w:rFonts w:cs="Calibri"/>
                    </w:rPr>
                  </w:pPr>
                </w:p>
                <w:p>
                  <w:pPr>
                    <w:rPr>
                      <w:rFonts w:cs="Calibri"/>
                    </w:rPr>
                  </w:pPr>
                  <w:r>
                    <w:rPr>
                      <w:rFonts w:cs="Calibri"/>
                    </w:rPr>
                    <w:br w:type="page"/>
                  </w:r>
                </w:p>
                <w:p>
                  <w:pPr>
                    <w:pStyle w:val="Titre4"/>
                  </w:pPr>
                  <w:bookmarkStart w:id="1684" w:name="_Annexe_3_:_7"/>
                  <w:bookmarkEnd w:id="1684"/>
                  <w:r>
                    <w:t xml:space="preserve">Annexe 3 : Déclaration sur l’honneur </w:t>
                  </w:r>
                </w:p>
                <w:p>
                  <w:pPr>
                    <w:jc w:val="both"/>
                    <w:rPr>
                      <w:rFonts w:cs="Calibri"/>
                    </w:rPr>
                  </w:pPr>
                </w:p>
                <w:p>
                  <w:pPr>
                    <w:jc w:val="both"/>
                    <w:rPr>
                      <w:rFonts w:cs="Calibri"/>
                    </w:rPr>
                  </w:pPr>
                  <w:r>
                    <w:rPr>
                      <w:rFonts w:cs="Calibri"/>
                    </w:rPr>
                    <w:t>Je déclare  sur l'honneur que l'établissement précité s’engage à se conformer aux dispositions légales et réglementaires concernant l'organisation des études, les statuts administratifs des membres du personnel et l'application des lois linguistiques.</w:t>
                  </w:r>
                </w:p>
                <w:p>
                  <w:pPr>
                    <w:jc w:val="both"/>
                    <w:rPr>
                      <w:rFonts w:cs="Calibri"/>
                    </w:rPr>
                  </w:pPr>
                </w:p>
                <w:p>
                  <w:pPr>
                    <w:jc w:val="both"/>
                    <w:rPr>
                      <w:rFonts w:cs="Calibri"/>
                    </w:rPr>
                  </w:pPr>
                  <w:r>
                    <w:rPr>
                      <w:rFonts w:cs="Calibri"/>
                    </w:rPr>
                    <w:t xml:space="preserve">De plus, je déclare sur l’honneur que l’établissement s’engage également à : </w:t>
                  </w:r>
                </w:p>
                <w:p>
                  <w:pPr>
                    <w:jc w:val="both"/>
                    <w:rPr>
                      <w:rFonts w:cs="Calibri"/>
                    </w:rPr>
                  </w:pPr>
                </w:p>
                <w:p>
                  <w:pPr>
                    <w:pStyle w:val="msolistparagraph0"/>
                    <w:numPr>
                      <w:ilvl w:val="0"/>
                      <w:numId w:val="146"/>
                    </w:numPr>
                    <w:autoSpaceDE w:val="0"/>
                    <w:autoSpaceDN w:val="0"/>
                    <w:ind w:left="284" w:hanging="284"/>
                    <w:jc w:val="both"/>
                    <w:rPr>
                      <w:rFonts w:asciiTheme="majorHAnsi" w:hAnsiTheme="majorHAnsi" w:cs="Calibri"/>
                      <w:lang w:val="fr-BE"/>
                    </w:rPr>
                  </w:pPr>
                  <w:r>
                    <w:rPr>
                      <w:rFonts w:asciiTheme="majorHAnsi" w:hAnsiTheme="majorHAnsi" w:cs="Calibri"/>
                      <w:lang w:val="fr-BE"/>
                    </w:rPr>
                    <w:t>Adopter la structure d’enseignement définie par les lois, décrets et arrêtés royaux, notamment, selon le cas d’espèce :</w:t>
                  </w:r>
                </w:p>
                <w:p>
                  <w:pPr>
                    <w:pStyle w:val="msolistparagraph0"/>
                    <w:autoSpaceDE w:val="0"/>
                    <w:autoSpaceDN w:val="0"/>
                    <w:ind w:left="284" w:hanging="284"/>
                    <w:jc w:val="both"/>
                    <w:rPr>
                      <w:rFonts w:asciiTheme="majorHAnsi" w:hAnsiTheme="majorHAnsi" w:cs="Calibri"/>
                      <w:lang w:val="fr-BE"/>
                    </w:rPr>
                  </w:pPr>
                </w:p>
                <w:p>
                  <w:pPr>
                    <w:pStyle w:val="msolistparagraph0"/>
                    <w:numPr>
                      <w:ilvl w:val="1"/>
                      <w:numId w:val="156"/>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l’arrêté royal du 20 août 1957 portant coordination des lois sur l’enseignement primaire ;</w:t>
                  </w:r>
                </w:p>
                <w:p>
                  <w:pPr>
                    <w:pStyle w:val="msolistparagraph0"/>
                    <w:numPr>
                      <w:ilvl w:val="1"/>
                      <w:numId w:val="156"/>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 xml:space="preserve">le décret du 13 juillet 1998 portant organisation de l’enseignement maternel ; et primaire ordinaire et modifiant la réglementation de l’enseignement; </w:t>
                  </w:r>
                </w:p>
                <w:p>
                  <w:pPr>
                    <w:pStyle w:val="msolistparagraph0"/>
                    <w:numPr>
                      <w:ilvl w:val="1"/>
                      <w:numId w:val="156"/>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le décret du 29 juillet 1992 portant organisation de l’enseignement secondaire de plein exercice ;</w:t>
                  </w:r>
                </w:p>
                <w:p>
                  <w:pPr>
                    <w:pStyle w:val="msolistparagraph0"/>
                    <w:numPr>
                      <w:ilvl w:val="1"/>
                      <w:numId w:val="156"/>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la loi du 19 juillet 1971 relative à la structure générale et à l’organisation de l’enseignement secondaire ;</w:t>
                  </w:r>
                </w:p>
                <w:p>
                  <w:pPr>
                    <w:pStyle w:val="msolistparagraph0"/>
                    <w:numPr>
                      <w:ilvl w:val="1"/>
                      <w:numId w:val="156"/>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 xml:space="preserve">le décret du 30 juin 2006 </w:t>
                  </w:r>
                  <w:r>
                    <w:rPr>
                      <w:rFonts w:asciiTheme="majorHAnsi" w:hAnsiTheme="majorHAnsi" w:cs="Calibri"/>
                    </w:rPr>
                    <w:t>relatif à l'organisation pédagogique du 1er degré de l'enseignement secondaire</w:t>
                  </w:r>
                </w:p>
                <w:p>
                  <w:pPr>
                    <w:pStyle w:val="msolistparagraph0"/>
                    <w:numPr>
                      <w:ilvl w:val="1"/>
                      <w:numId w:val="156"/>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le décret du 3 mars 2004 organisant l’enseignement spécialisé.</w:t>
                  </w:r>
                </w:p>
                <w:p>
                  <w:pPr>
                    <w:pStyle w:val="msolistparagraph0"/>
                    <w:shd w:val="clear" w:color="auto" w:fill="FFFFFF"/>
                    <w:autoSpaceDE w:val="0"/>
                    <w:autoSpaceDN w:val="0"/>
                    <w:ind w:left="0"/>
                    <w:jc w:val="both"/>
                    <w:rPr>
                      <w:rFonts w:asciiTheme="majorHAnsi" w:hAnsiTheme="majorHAnsi" w:cs="Calibri"/>
                      <w:lang w:val="fr-BE"/>
                    </w:rPr>
                  </w:pPr>
                </w:p>
                <w:p>
                  <w:pPr>
                    <w:pStyle w:val="msolistparagraph0"/>
                    <w:numPr>
                      <w:ilvl w:val="0"/>
                      <w:numId w:val="146"/>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Respecter un programme approuvé par le Gouvernement, </w:t>
                  </w:r>
                  <w:r>
                    <w:rPr>
                      <w:rFonts w:asciiTheme="majorHAnsi" w:hAnsiTheme="majorHAnsi" w:cs="Calibri"/>
                    </w:rPr>
                    <w:t>au sens de l’article 5, 15° du décret du 24 juillet 1997</w:t>
                  </w:r>
                  <w:r>
                    <w:rPr>
                      <w:rFonts w:asciiTheme="majorHAnsi" w:hAnsiTheme="majorHAnsi" w:cs="Calibri"/>
                      <w:lang w:val="fr-BE"/>
                    </w:rPr>
                    <w:t xml:space="preserve"> définissant les missions prioritaires de l'enseignement fondamental et de l'enseignement secondaire et organisant les structures propres à les atteindre ; </w:t>
                  </w:r>
                </w:p>
                <w:p>
                  <w:pPr>
                    <w:pStyle w:val="Paragraphedeliste"/>
                    <w:ind w:left="0"/>
                    <w:jc w:val="both"/>
                    <w:rPr>
                      <w:rFonts w:asciiTheme="majorHAnsi" w:hAnsiTheme="majorHAnsi" w:cs="Calibri"/>
                      <w:sz w:val="22"/>
                      <w:szCs w:val="22"/>
                    </w:rPr>
                  </w:pPr>
                </w:p>
                <w:p>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 xml:space="preserve">A cet effet, je joins : </w:t>
                  </w:r>
                </w:p>
                <w:p>
                  <w:pPr>
                    <w:pStyle w:val="msolistparagraph0"/>
                    <w:autoSpaceDE w:val="0"/>
                    <w:autoSpaceDN w:val="0"/>
                    <w:ind w:left="0"/>
                    <w:jc w:val="both"/>
                    <w:rPr>
                      <w:rFonts w:asciiTheme="majorHAnsi" w:hAnsiTheme="majorHAnsi" w:cs="Calibri"/>
                      <w:lang w:val="fr-BE"/>
                    </w:rPr>
                  </w:pPr>
                </w:p>
                <w:p>
                  <w:pPr>
                    <w:numPr>
                      <w:ilvl w:val="0"/>
                      <w:numId w:val="149"/>
                    </w:numPr>
                    <w:tabs>
                      <w:tab w:val="left" w:pos="993"/>
                    </w:tabs>
                    <w:ind w:left="851" w:hanging="425"/>
                    <w:jc w:val="both"/>
                    <w:rPr>
                      <w:rFonts w:cs="Calibri"/>
                      <w:b/>
                    </w:rPr>
                  </w:pPr>
                  <w:r>
                    <w:rPr>
                      <w:rFonts w:cs="Calibri"/>
                      <w:b/>
                    </w:rPr>
                    <w:t xml:space="preserve">Soit la référence du ou des programmes choisi(s) si le Pouvoir organisateur opte pour un ou des programmes déjà approuvé(s) </w:t>
                  </w:r>
                  <w:r>
                    <w:rPr>
                      <w:rFonts w:cs="Calibri"/>
                    </w:rPr>
                    <w:t>conformément au décret du 24 juillet 1997 précité </w:t>
                  </w:r>
                  <w:r>
                    <w:rPr>
                      <w:rFonts w:cs="Calibri"/>
                      <w:b/>
                    </w:rPr>
                    <w:t>;</w:t>
                  </w:r>
                </w:p>
                <w:p>
                  <w:pPr>
                    <w:tabs>
                      <w:tab w:val="left" w:pos="993"/>
                    </w:tabs>
                    <w:ind w:left="851" w:hanging="425"/>
                    <w:jc w:val="both"/>
                    <w:rPr>
                      <w:rFonts w:cs="Calibri"/>
                      <w:b/>
                    </w:rPr>
                  </w:pPr>
                </w:p>
                <w:p>
                  <w:pPr>
                    <w:numPr>
                      <w:ilvl w:val="0"/>
                      <w:numId w:val="149"/>
                    </w:numPr>
                    <w:tabs>
                      <w:tab w:val="left" w:pos="993"/>
                    </w:tabs>
                    <w:ind w:left="851" w:hanging="425"/>
                    <w:jc w:val="both"/>
                    <w:rPr>
                      <w:rFonts w:cs="Calibri"/>
                      <w:b/>
                    </w:rPr>
                  </w:pPr>
                  <w:r>
                    <w:rPr>
                      <w:rFonts w:cs="Calibri"/>
                      <w:b/>
                    </w:rPr>
                    <w:t xml:space="preserve">Soit la copie de la demande d’approbation effectuée </w:t>
                  </w:r>
                  <w:r>
                    <w:rPr>
                      <w:rFonts w:cs="Calibri"/>
                    </w:rPr>
                    <w:t>conformément au décret du 24 juillet 1997 précité</w:t>
                  </w:r>
                  <w:r>
                    <w:rPr>
                      <w:rFonts w:cs="Calibri"/>
                      <w:b/>
                    </w:rPr>
                    <w:t xml:space="preserve">, laquelle contient donc le programme d’étude soumis à approbation et la date de demande d’approbation. </w:t>
                  </w:r>
                </w:p>
                <w:p>
                  <w:pPr>
                    <w:pStyle w:val="msolistparagraph0"/>
                    <w:autoSpaceDE w:val="0"/>
                    <w:autoSpaceDN w:val="0"/>
                    <w:ind w:left="0"/>
                    <w:jc w:val="both"/>
                    <w:rPr>
                      <w:rFonts w:asciiTheme="majorHAnsi" w:hAnsiTheme="majorHAnsi" w:cs="Calibri"/>
                      <w:lang w:val="fr-BE"/>
                    </w:rPr>
                  </w:pPr>
                </w:p>
                <w:p>
                  <w:pPr>
                    <w:pStyle w:val="msolistparagraph0"/>
                    <w:numPr>
                      <w:ilvl w:val="0"/>
                      <w:numId w:val="146"/>
                    </w:numPr>
                    <w:autoSpaceDE w:val="0"/>
                    <w:autoSpaceDN w:val="0"/>
                    <w:ind w:left="284" w:hanging="284"/>
                    <w:jc w:val="both"/>
                    <w:rPr>
                      <w:rFonts w:asciiTheme="majorHAnsi" w:hAnsiTheme="majorHAnsi" w:cs="Calibri"/>
                      <w:i/>
                      <w:lang w:val="fr-BE"/>
                    </w:rPr>
                  </w:pPr>
                  <w:r>
                    <w:rPr>
                      <w:rFonts w:asciiTheme="majorHAnsi" w:hAnsiTheme="majorHAnsi" w:cs="Calibri"/>
                      <w:lang w:val="fr-BE"/>
                    </w:rPr>
                    <w:t>Respecter les dispositions prévues par le décret du 24 juillet 1997 précité, notamment et sans préjudice des autres dispositions fixées par ce décret, les objectifs généraux prévus à l’article 6, 3° et 4°, à savoir </w:t>
                  </w:r>
                  <w:r>
                    <w:rPr>
                      <w:rFonts w:asciiTheme="majorHAnsi" w:hAnsiTheme="majorHAnsi" w:cs="Calibri"/>
                      <w:i/>
                      <w:lang w:val="fr-BE"/>
                    </w:rPr>
                    <w:t>« préparer tous les élèves à être des citoyens responsables, capables de contribuer au développement d'une société démocratique, solidaire, pluraliste et ouverte aux autres cultures »</w:t>
                  </w:r>
                  <w:r>
                    <w:rPr>
                      <w:rFonts w:asciiTheme="majorHAnsi" w:hAnsiTheme="majorHAnsi" w:cs="Calibri"/>
                      <w:lang w:val="fr-BE"/>
                    </w:rPr>
                    <w:t xml:space="preserve"> et </w:t>
                  </w:r>
                  <w:r>
                    <w:rPr>
                      <w:rFonts w:asciiTheme="majorHAnsi" w:hAnsiTheme="majorHAnsi" w:cs="Calibri"/>
                      <w:i/>
                      <w:lang w:val="fr-BE"/>
                    </w:rPr>
                    <w:t>« assurer à tous les élèves des chances égales d'émancipation sociale ».</w:t>
                  </w:r>
                </w:p>
                <w:p>
                  <w:pPr>
                    <w:pStyle w:val="msolistparagraph0"/>
                    <w:autoSpaceDE w:val="0"/>
                    <w:autoSpaceDN w:val="0"/>
                    <w:ind w:left="0"/>
                    <w:jc w:val="both"/>
                    <w:rPr>
                      <w:rFonts w:asciiTheme="majorHAnsi" w:hAnsiTheme="majorHAnsi" w:cs="Calibri"/>
                      <w:lang w:val="fr-BE"/>
                    </w:rPr>
                  </w:pPr>
                </w:p>
                <w:p>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A cet effet, je joins une copie du :</w:t>
                  </w:r>
                </w:p>
                <w:p>
                  <w:pPr>
                    <w:pStyle w:val="msolistparagraph0"/>
                    <w:autoSpaceDE w:val="0"/>
                    <w:autoSpaceDN w:val="0"/>
                    <w:ind w:left="0"/>
                    <w:jc w:val="both"/>
                    <w:rPr>
                      <w:rFonts w:asciiTheme="majorHAnsi" w:hAnsiTheme="majorHAnsi" w:cs="Calibri"/>
                      <w:b/>
                      <w:lang w:val="fr-BE"/>
                    </w:rPr>
                  </w:pPr>
                </w:p>
                <w:p>
                  <w:pPr>
                    <w:pStyle w:val="msolistparagraph0"/>
                    <w:numPr>
                      <w:ilvl w:val="0"/>
                      <w:numId w:val="149"/>
                    </w:numPr>
                    <w:autoSpaceDE w:val="0"/>
                    <w:autoSpaceDN w:val="0"/>
                    <w:ind w:left="851" w:hanging="425"/>
                    <w:jc w:val="both"/>
                    <w:rPr>
                      <w:rFonts w:asciiTheme="majorHAnsi" w:hAnsiTheme="majorHAnsi" w:cs="Calibri"/>
                      <w:lang w:val="fr-BE"/>
                    </w:rPr>
                  </w:pPr>
                  <w:r>
                    <w:rPr>
                      <w:rFonts w:asciiTheme="majorHAnsi" w:hAnsiTheme="majorHAnsi" w:cs="Calibri"/>
                      <w:b/>
                      <w:lang w:val="fr-BE"/>
                    </w:rPr>
                    <w:t>projet éducatif et du projet pédagogique du Pouvoir organisateur</w:t>
                  </w:r>
                  <w:r>
                    <w:rPr>
                      <w:rFonts w:asciiTheme="majorHAnsi" w:hAnsiTheme="majorHAnsi" w:cs="Calibri"/>
                      <w:lang w:val="fr-BE"/>
                    </w:rPr>
                    <w:t>, visés aux articles 63, 64 et 66 du décret du 24 juillet 1997 précité</w:t>
                  </w:r>
                </w:p>
                <w:p>
                  <w:pPr>
                    <w:pStyle w:val="msolistparagraph0"/>
                    <w:autoSpaceDE w:val="0"/>
                    <w:autoSpaceDN w:val="0"/>
                    <w:ind w:left="851" w:hanging="425"/>
                    <w:jc w:val="both"/>
                    <w:rPr>
                      <w:rFonts w:asciiTheme="majorHAnsi" w:hAnsiTheme="majorHAnsi" w:cs="Calibri"/>
                      <w:lang w:val="fr-BE"/>
                    </w:rPr>
                  </w:pPr>
                </w:p>
                <w:p>
                  <w:pPr>
                    <w:pStyle w:val="msolistparagraph0"/>
                    <w:numPr>
                      <w:ilvl w:val="0"/>
                      <w:numId w:val="149"/>
                    </w:numPr>
                    <w:autoSpaceDE w:val="0"/>
                    <w:autoSpaceDN w:val="0"/>
                    <w:ind w:left="851" w:hanging="425"/>
                    <w:jc w:val="both"/>
                    <w:rPr>
                      <w:rFonts w:asciiTheme="majorHAnsi" w:hAnsiTheme="majorHAnsi" w:cs="Calibri"/>
                      <w:b/>
                      <w:lang w:val="fr-BE"/>
                    </w:rPr>
                  </w:pPr>
                  <w:r>
                    <w:rPr>
                      <w:rFonts w:asciiTheme="majorHAnsi" w:hAnsiTheme="majorHAnsi" w:cs="Calibri"/>
                      <w:b/>
                      <w:lang w:val="fr-BE"/>
                    </w:rPr>
                    <w:t xml:space="preserve">règlement d’Ordre Intérieur (R.O.I.) du futur établissement, </w:t>
                  </w:r>
                  <w:r>
                    <w:rPr>
                      <w:rFonts w:asciiTheme="majorHAnsi" w:hAnsiTheme="majorHAnsi" w:cs="Calibri"/>
                      <w:lang w:val="fr-BE"/>
                    </w:rPr>
                    <w:t>visé à l’article 76, 4°, du décret du 24 juillet 1997 précité</w:t>
                  </w:r>
                  <w:r>
                    <w:rPr>
                      <w:rFonts w:asciiTheme="majorHAnsi" w:hAnsiTheme="majorHAnsi" w:cs="Calibri"/>
                      <w:b/>
                      <w:lang w:val="fr-BE"/>
                    </w:rPr>
                    <w:t xml:space="preserve"> </w:t>
                  </w:r>
                </w:p>
                <w:p>
                  <w:pPr>
                    <w:pStyle w:val="msolistparagraph0"/>
                    <w:autoSpaceDE w:val="0"/>
                    <w:autoSpaceDN w:val="0"/>
                    <w:ind w:left="0"/>
                    <w:jc w:val="both"/>
                    <w:rPr>
                      <w:rFonts w:asciiTheme="majorHAnsi" w:hAnsiTheme="majorHAnsi" w:cs="Calibri"/>
                      <w:lang w:val="fr-BE"/>
                    </w:rPr>
                  </w:pPr>
                </w:p>
                <w:p>
                  <w:pPr>
                    <w:pStyle w:val="msolistparagraph0"/>
                    <w:numPr>
                      <w:ilvl w:val="0"/>
                      <w:numId w:val="146"/>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Respecter les dispositions fixées par le décret du 20 décembre 2001 </w:t>
                  </w:r>
                  <w:r>
                    <w:rPr>
                      <w:rFonts w:asciiTheme="majorHAnsi" w:hAnsiTheme="majorHAnsi" w:cs="Calibri"/>
                      <w:i/>
                      <w:lang w:val="fr-BE"/>
                    </w:rPr>
                    <w:t>relatif à la promotion de la santé à l’école</w:t>
                  </w:r>
                  <w:r>
                    <w:rPr>
                      <w:rFonts w:asciiTheme="majorHAnsi" w:hAnsiTheme="majorHAnsi" w:cs="Calibri"/>
                      <w:lang w:val="fr-BE"/>
                    </w:rPr>
                    <w:t xml:space="preserve"> ; </w:t>
                  </w:r>
                </w:p>
                <w:p>
                  <w:pPr>
                    <w:pStyle w:val="msolistparagraph0"/>
                    <w:autoSpaceDE w:val="0"/>
                    <w:autoSpaceDN w:val="0"/>
                    <w:ind w:left="0" w:hanging="284"/>
                    <w:jc w:val="both"/>
                    <w:rPr>
                      <w:rFonts w:asciiTheme="majorHAnsi" w:hAnsiTheme="majorHAnsi" w:cs="Calibri"/>
                      <w:lang w:val="fr-BE"/>
                    </w:rPr>
                  </w:pPr>
                </w:p>
                <w:p>
                  <w:pPr>
                    <w:pStyle w:val="msolistparagraph0"/>
                    <w:numPr>
                      <w:ilvl w:val="0"/>
                      <w:numId w:val="146"/>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Respecter, le cas échéant, les dispositions fixées par le décret du 30 avril 2009 </w:t>
                  </w:r>
                  <w:r>
                    <w:rPr>
                      <w:rFonts w:asciiTheme="majorHAnsi" w:hAnsiTheme="majorHAnsi" w:cs="Calibri"/>
                      <w:i/>
                      <w:lang w:val="fr-BE"/>
                    </w:rPr>
                    <w:t>organisant un encadrement différencié au sein des établissements scolaires de la Communauté française afin d’assurer à chaque élève des chances égales d’émancipation sociale dans un environnement pédagogique de qualité</w:t>
                  </w:r>
                  <w:r>
                    <w:rPr>
                      <w:rFonts w:asciiTheme="majorHAnsi" w:hAnsiTheme="majorHAnsi" w:cs="Calibri"/>
                      <w:lang w:val="fr-BE"/>
                    </w:rPr>
                    <w:t xml:space="preserve"> ; </w:t>
                  </w:r>
                </w:p>
                <w:p>
                  <w:pPr>
                    <w:pStyle w:val="msolistparagraph0"/>
                    <w:autoSpaceDE w:val="0"/>
                    <w:autoSpaceDN w:val="0"/>
                    <w:ind w:left="284" w:hanging="284"/>
                    <w:jc w:val="both"/>
                    <w:rPr>
                      <w:rFonts w:asciiTheme="majorHAnsi" w:hAnsiTheme="majorHAnsi" w:cs="Calibri"/>
                      <w:lang w:val="fr-BE"/>
                    </w:rPr>
                  </w:pPr>
                </w:p>
                <w:p>
                  <w:pPr>
                    <w:pStyle w:val="msolistparagraph0"/>
                    <w:numPr>
                      <w:ilvl w:val="0"/>
                      <w:numId w:val="146"/>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Respecter les dispositions du décret du 21 novembre 2013 </w:t>
                  </w:r>
                  <w:r>
                    <w:rPr>
                      <w:rFonts w:asciiTheme="majorHAnsi" w:hAnsiTheme="majorHAnsi" w:cs="Calibri"/>
                      <w:i/>
                      <w:lang w:val="fr-BE"/>
                    </w:rPr>
                    <w:t>organisant divers dispositifs scolaires favorisant le bien-être des jeunes à l'école, l'accrochage scolaire, la prévention de la violence à l'école et l'accompagnement des démarches d'orientation scolaire </w:t>
                  </w:r>
                  <w:r>
                    <w:rPr>
                      <w:rFonts w:asciiTheme="majorHAnsi" w:hAnsiTheme="majorHAnsi" w:cs="Calibri"/>
                      <w:lang w:val="fr-BE"/>
                    </w:rPr>
                    <w:t>;</w:t>
                  </w:r>
                </w:p>
                <w:p>
                  <w:pPr>
                    <w:pStyle w:val="msolistparagraph0"/>
                    <w:autoSpaceDE w:val="0"/>
                    <w:autoSpaceDN w:val="0"/>
                    <w:ind w:left="284" w:hanging="284"/>
                    <w:jc w:val="both"/>
                    <w:rPr>
                      <w:rFonts w:asciiTheme="majorHAnsi" w:hAnsiTheme="majorHAnsi" w:cs="Calibri"/>
                      <w:lang w:val="fr-BE"/>
                    </w:rPr>
                  </w:pPr>
                </w:p>
                <w:p>
                  <w:pPr>
                    <w:pStyle w:val="msolistparagraph0"/>
                    <w:numPr>
                      <w:ilvl w:val="0"/>
                      <w:numId w:val="146"/>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Se soumettre au contrôle et à l'inspection organisée par la Communauté française conformément au décret du 8 mars </w:t>
                  </w:r>
                  <w:r>
                    <w:rPr>
                      <w:rFonts w:asciiTheme="majorHAnsi" w:hAnsiTheme="majorHAnsi" w:cs="Calibri"/>
                      <w:i/>
                      <w:lang w:val="fr-BE"/>
                    </w:rPr>
                    <w:t>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 </w:t>
                  </w:r>
                  <w:r>
                    <w:rPr>
                      <w:rFonts w:asciiTheme="majorHAnsi" w:hAnsiTheme="majorHAnsi" w:cs="Calibri"/>
                      <w:lang w:val="fr-BE"/>
                    </w:rPr>
                    <w:t xml:space="preserve">; </w:t>
                  </w:r>
                </w:p>
                <w:p>
                  <w:pPr>
                    <w:pStyle w:val="msolistparagraph0"/>
                    <w:autoSpaceDE w:val="0"/>
                    <w:autoSpaceDN w:val="0"/>
                    <w:ind w:left="284" w:hanging="284"/>
                    <w:jc w:val="both"/>
                    <w:rPr>
                      <w:rFonts w:asciiTheme="majorHAnsi" w:hAnsiTheme="majorHAnsi" w:cs="Calibri"/>
                      <w:lang w:val="fr-BE"/>
                    </w:rPr>
                  </w:pPr>
                </w:p>
                <w:p>
                  <w:pPr>
                    <w:pStyle w:val="msolistparagraph0"/>
                    <w:numPr>
                      <w:ilvl w:val="0"/>
                      <w:numId w:val="146"/>
                    </w:numPr>
                    <w:autoSpaceDE w:val="0"/>
                    <w:autoSpaceDN w:val="0"/>
                    <w:ind w:left="284" w:hanging="284"/>
                    <w:jc w:val="both"/>
                    <w:rPr>
                      <w:rFonts w:asciiTheme="majorHAnsi" w:hAnsiTheme="majorHAnsi" w:cs="Calibri"/>
                      <w:lang w:val="fr-BE"/>
                    </w:rPr>
                  </w:pPr>
                  <w:r>
                    <w:rPr>
                      <w:rFonts w:asciiTheme="majorHAnsi" w:hAnsiTheme="majorHAnsi" w:cs="Calibri"/>
                      <w:lang w:val="fr-BE"/>
                    </w:rPr>
                    <w:t>Bénéficier, si l’établissement n’est pas affilié à un organe de représentation et de coordination des Pouvoirs organisateurs visé à l’article 5bis de la loi du 29 mai 1959 précitée, de services de conseil et de soutien pédagogiques externes, en vertu d’une convention passée au plus tard 4 mois après la création de l’établissement avec le Service de conseil et de soutien pédagogiques ou avec une des Cellules de conseil et de soutien pédagogiques visés par le décret du 8 mars 2007 précité ;</w:t>
                  </w:r>
                </w:p>
                <w:p>
                  <w:pPr>
                    <w:pStyle w:val="msolistparagraph0"/>
                    <w:autoSpaceDE w:val="0"/>
                    <w:autoSpaceDN w:val="0"/>
                    <w:ind w:left="284" w:hanging="284"/>
                    <w:jc w:val="both"/>
                    <w:rPr>
                      <w:rFonts w:asciiTheme="majorHAnsi" w:hAnsiTheme="majorHAnsi" w:cs="Calibri"/>
                      <w:lang w:val="fr-BE"/>
                    </w:rPr>
                  </w:pPr>
                </w:p>
                <w:p>
                  <w:pPr>
                    <w:pStyle w:val="msolistparagraph0"/>
                    <w:numPr>
                      <w:ilvl w:val="0"/>
                      <w:numId w:val="146"/>
                    </w:numPr>
                    <w:autoSpaceDE w:val="0"/>
                    <w:autoSpaceDN w:val="0"/>
                    <w:ind w:left="284" w:hanging="284"/>
                    <w:jc w:val="both"/>
                    <w:rPr>
                      <w:rFonts w:asciiTheme="majorHAnsi" w:hAnsiTheme="majorHAnsi" w:cs="Calibri"/>
                      <w:lang w:val="fr-BE"/>
                    </w:rPr>
                  </w:pPr>
                  <w:r>
                    <w:rPr>
                      <w:rFonts w:asciiTheme="majorHAnsi" w:hAnsiTheme="majorHAnsi" w:cs="Calibri"/>
                      <w:lang w:val="fr-BE"/>
                    </w:rPr>
                    <w:t>Etre organisé par une personne morale qui en assume toute la responsabilité et qui ne bénéficie pas directement ou indirectement pour le fonctionnement, les frais de personnel et/ou les bâtiments de financement en provenance d’un Etat étranger n’appartenant pas à l’Union européenne ou d’institution relevant d’un Etat étranger n’appartenant pas à l’Union européenne.</w:t>
                  </w:r>
                </w:p>
                <w:p>
                  <w:pPr>
                    <w:pStyle w:val="msolistparagraph0"/>
                    <w:autoSpaceDE w:val="0"/>
                    <w:autoSpaceDN w:val="0"/>
                    <w:ind w:left="0"/>
                    <w:jc w:val="both"/>
                    <w:rPr>
                      <w:rFonts w:asciiTheme="majorHAnsi" w:hAnsiTheme="majorHAnsi" w:cs="Calibri"/>
                      <w:lang w:val="fr-BE"/>
                    </w:rPr>
                  </w:pPr>
                </w:p>
                <w:p>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A cet effet, je joins :</w:t>
                  </w:r>
                </w:p>
                <w:p>
                  <w:pPr>
                    <w:pStyle w:val="msolistparagraph0"/>
                    <w:autoSpaceDE w:val="0"/>
                    <w:autoSpaceDN w:val="0"/>
                    <w:ind w:left="0"/>
                    <w:jc w:val="both"/>
                    <w:rPr>
                      <w:rFonts w:asciiTheme="majorHAnsi" w:hAnsiTheme="majorHAnsi" w:cs="Calibri"/>
                      <w:b/>
                      <w:lang w:val="fr-BE"/>
                    </w:rPr>
                  </w:pPr>
                </w:p>
                <w:p>
                  <w:pPr>
                    <w:pStyle w:val="msolistparagraph0"/>
                    <w:numPr>
                      <w:ilvl w:val="0"/>
                      <w:numId w:val="155"/>
                    </w:numPr>
                    <w:autoSpaceDE w:val="0"/>
                    <w:autoSpaceDN w:val="0"/>
                    <w:ind w:left="851"/>
                    <w:jc w:val="both"/>
                    <w:rPr>
                      <w:rFonts w:asciiTheme="majorHAnsi" w:hAnsiTheme="majorHAnsi" w:cs="Calibri"/>
                      <w:b/>
                      <w:lang w:val="fr-BE"/>
                    </w:rPr>
                  </w:pPr>
                  <w:r>
                    <w:rPr>
                      <w:rFonts w:asciiTheme="majorHAnsi" w:hAnsiTheme="majorHAnsi" w:cs="Calibri"/>
                      <w:b/>
                      <w:lang w:val="fr-BE"/>
                    </w:rPr>
                    <w:t>le compte-rendu de la délibération actant la décision de solliciter l’admission aux subventions ;</w:t>
                  </w:r>
                </w:p>
                <w:p>
                  <w:pPr>
                    <w:pStyle w:val="msolistparagraph0"/>
                    <w:numPr>
                      <w:ilvl w:val="0"/>
                      <w:numId w:val="155"/>
                    </w:numPr>
                    <w:autoSpaceDE w:val="0"/>
                    <w:autoSpaceDN w:val="0"/>
                    <w:ind w:left="851"/>
                    <w:jc w:val="both"/>
                    <w:rPr>
                      <w:rFonts w:asciiTheme="majorHAnsi" w:hAnsiTheme="majorHAnsi" w:cs="Calibri"/>
                      <w:b/>
                      <w:lang w:val="fr-BE"/>
                    </w:rPr>
                  </w:pPr>
                  <w:r>
                    <w:rPr>
                      <w:rFonts w:asciiTheme="majorHAnsi" w:hAnsiTheme="majorHAnsi" w:cs="Calibri"/>
                      <w:b/>
                      <w:lang w:val="fr-BE"/>
                    </w:rPr>
                    <w:t>si le Pouvoir organisateur est constitué en ASBL, une copie des statuts.</w:t>
                  </w:r>
                </w:p>
                <w:p>
                  <w:pPr>
                    <w:pStyle w:val="msolistparagraph0"/>
                    <w:autoSpaceDE w:val="0"/>
                    <w:autoSpaceDN w:val="0"/>
                    <w:ind w:left="0"/>
                    <w:jc w:val="both"/>
                    <w:rPr>
                      <w:rFonts w:asciiTheme="majorHAnsi" w:hAnsiTheme="majorHAnsi" w:cs="Calibri"/>
                      <w:lang w:val="fr-BE"/>
                    </w:rPr>
                  </w:pPr>
                </w:p>
                <w:p>
                  <w:pPr>
                    <w:pStyle w:val="msolistparagraph0"/>
                    <w:autoSpaceDE w:val="0"/>
                    <w:autoSpaceDN w:val="0"/>
                    <w:ind w:left="0"/>
                    <w:jc w:val="both"/>
                    <w:rPr>
                      <w:rFonts w:asciiTheme="majorHAnsi" w:hAnsiTheme="majorHAnsi" w:cs="Calibri"/>
                      <w:lang w:val="fr-BE"/>
                    </w:rPr>
                  </w:pPr>
                  <w:r>
                    <w:rPr>
                      <w:rFonts w:asciiTheme="majorHAnsi" w:hAnsiTheme="majorHAnsi" w:cs="Calibri"/>
                      <w:lang w:val="fr-BE"/>
                    </w:rPr>
                    <w:t>Les personnes physiques qui composent la personne morale doivent :</w:t>
                  </w:r>
                </w:p>
                <w:p>
                  <w:pPr>
                    <w:pStyle w:val="msolistparagraph0"/>
                    <w:numPr>
                      <w:ilvl w:val="0"/>
                      <w:numId w:val="147"/>
                    </w:numPr>
                    <w:autoSpaceDE w:val="0"/>
                    <w:autoSpaceDN w:val="0"/>
                    <w:ind w:left="851" w:hanging="425"/>
                    <w:jc w:val="both"/>
                    <w:rPr>
                      <w:rFonts w:asciiTheme="majorHAnsi" w:hAnsiTheme="majorHAnsi" w:cs="Calibri"/>
                      <w:lang w:val="fr-BE"/>
                    </w:rPr>
                  </w:pPr>
                  <w:r>
                    <w:rPr>
                      <w:rFonts w:asciiTheme="majorHAnsi" w:hAnsiTheme="majorHAnsi" w:cs="Calibri"/>
                      <w:lang w:val="fr-BE"/>
                    </w:rPr>
                    <w:t>être de conduite irréprochable;</w:t>
                  </w:r>
                </w:p>
                <w:p>
                  <w:pPr>
                    <w:pStyle w:val="msolistparagraph0"/>
                    <w:numPr>
                      <w:ilvl w:val="0"/>
                      <w:numId w:val="147"/>
                    </w:numPr>
                    <w:autoSpaceDE w:val="0"/>
                    <w:autoSpaceDN w:val="0"/>
                    <w:ind w:left="851" w:hanging="425"/>
                    <w:jc w:val="both"/>
                    <w:rPr>
                      <w:rFonts w:asciiTheme="majorHAnsi" w:hAnsiTheme="majorHAnsi" w:cs="Calibri"/>
                      <w:lang w:val="fr-BE"/>
                    </w:rPr>
                  </w:pPr>
                  <w:r>
                    <w:rPr>
                      <w:rFonts w:asciiTheme="majorHAnsi" w:hAnsiTheme="majorHAnsi" w:cs="Calibri"/>
                      <w:lang w:val="fr-BE"/>
                    </w:rPr>
                    <w:t xml:space="preserve">jouir des droits civils et politiques. </w:t>
                  </w:r>
                </w:p>
                <w:p>
                  <w:pPr>
                    <w:pStyle w:val="msolistparagraph0"/>
                    <w:autoSpaceDE w:val="0"/>
                    <w:autoSpaceDN w:val="0"/>
                    <w:ind w:left="0"/>
                    <w:jc w:val="both"/>
                    <w:rPr>
                      <w:rFonts w:asciiTheme="majorHAnsi" w:hAnsiTheme="majorHAnsi" w:cs="Calibri"/>
                      <w:lang w:val="fr-BE"/>
                    </w:rPr>
                  </w:pPr>
                </w:p>
                <w:p>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A cet effet, je joins une copie de l’extrait de casier judiciaire des membres du Conseil d’administration de l’ASBL Pouvoir Organisateur.</w:t>
                  </w:r>
                </w:p>
                <w:p>
                  <w:pPr>
                    <w:pStyle w:val="msolistparagraph0"/>
                    <w:autoSpaceDE w:val="0"/>
                    <w:autoSpaceDN w:val="0"/>
                    <w:ind w:left="0"/>
                    <w:jc w:val="both"/>
                    <w:rPr>
                      <w:rFonts w:asciiTheme="majorHAnsi" w:hAnsiTheme="majorHAnsi" w:cs="Calibri"/>
                      <w:lang w:val="fr-BE"/>
                    </w:rPr>
                  </w:pPr>
                </w:p>
                <w:p>
                  <w:pPr>
                    <w:pStyle w:val="msolistparagraph0"/>
                    <w:numPr>
                      <w:ilvl w:val="0"/>
                      <w:numId w:val="146"/>
                    </w:numPr>
                    <w:autoSpaceDE w:val="0"/>
                    <w:autoSpaceDN w:val="0"/>
                    <w:ind w:left="426"/>
                    <w:jc w:val="both"/>
                    <w:rPr>
                      <w:rFonts w:asciiTheme="majorHAnsi" w:hAnsiTheme="majorHAnsi" w:cs="Calibri"/>
                      <w:lang w:val="fr-BE"/>
                    </w:rPr>
                  </w:pPr>
                  <w:r>
                    <w:rPr>
                      <w:rFonts w:asciiTheme="majorHAnsi" w:hAnsiTheme="majorHAnsi" w:cs="Calibri"/>
                      <w:lang w:val="fr-BE"/>
                    </w:rPr>
                    <w:t xml:space="preserve">Compter : </w:t>
                  </w:r>
                </w:p>
                <w:p>
                  <w:pPr>
                    <w:pStyle w:val="msolistparagraph0"/>
                    <w:autoSpaceDE w:val="0"/>
                    <w:autoSpaceDN w:val="0"/>
                    <w:ind w:left="0"/>
                    <w:jc w:val="both"/>
                    <w:rPr>
                      <w:rFonts w:asciiTheme="majorHAnsi" w:hAnsiTheme="majorHAnsi" w:cs="Calibri"/>
                      <w:lang w:val="fr-BE"/>
                    </w:rPr>
                  </w:pPr>
                </w:p>
                <w:p>
                  <w:pPr>
                    <w:pStyle w:val="msolistparagraph0"/>
                    <w:numPr>
                      <w:ilvl w:val="0"/>
                      <w:numId w:val="148"/>
                    </w:numPr>
                    <w:autoSpaceDE w:val="0"/>
                    <w:autoSpaceDN w:val="0"/>
                    <w:ind w:left="851" w:hanging="425"/>
                    <w:jc w:val="both"/>
                    <w:rPr>
                      <w:rFonts w:asciiTheme="majorHAnsi" w:hAnsiTheme="majorHAnsi" w:cs="Calibri"/>
                      <w:lang w:val="fr-BE"/>
                    </w:rPr>
                  </w:pPr>
                  <w:r>
                    <w:rPr>
                      <w:rFonts w:asciiTheme="majorHAnsi" w:hAnsiTheme="majorHAnsi" w:cs="Calibri"/>
                      <w:lang w:val="fr-BE"/>
                    </w:rPr>
                    <w:t>dans l’enseignement fondamental, par établissement, par implantation et par niveau au moins les nombres minimums d’élèves tels que définis par l’arrêté royal du 2 août 1984 portant rationalisation et programmation de l’enseignement maternel et primaire ordinaire ;</w:t>
                  </w:r>
                </w:p>
                <w:p>
                  <w:pPr>
                    <w:pStyle w:val="msolistparagraph0"/>
                    <w:numPr>
                      <w:ilvl w:val="0"/>
                      <w:numId w:val="148"/>
                    </w:numPr>
                    <w:autoSpaceDE w:val="0"/>
                    <w:autoSpaceDN w:val="0"/>
                    <w:ind w:left="851" w:hanging="425"/>
                    <w:jc w:val="both"/>
                    <w:rPr>
                      <w:rFonts w:asciiTheme="majorHAnsi" w:hAnsiTheme="majorHAnsi" w:cs="Calibri"/>
                      <w:lang w:val="fr-BE"/>
                    </w:rPr>
                  </w:pPr>
                  <w:r>
                    <w:rPr>
                      <w:rFonts w:asciiTheme="majorHAnsi" w:hAnsiTheme="majorHAnsi" w:cs="Calibri"/>
                      <w:lang w:val="fr-BE"/>
                    </w:rPr>
                    <w:t>dans l’enseignement secondaire, pour l’établissement ainsi que par classe, section, degré, année ou option au moins le nombre minimum d'élèves fixé par décret ;</w:t>
                  </w:r>
                </w:p>
                <w:p>
                  <w:pPr>
                    <w:pStyle w:val="msolistparagraph0"/>
                    <w:numPr>
                      <w:ilvl w:val="0"/>
                      <w:numId w:val="148"/>
                    </w:numPr>
                    <w:autoSpaceDE w:val="0"/>
                    <w:autoSpaceDN w:val="0"/>
                    <w:ind w:left="851" w:hanging="425"/>
                    <w:jc w:val="both"/>
                    <w:rPr>
                      <w:rFonts w:asciiTheme="majorHAnsi" w:hAnsiTheme="majorHAnsi" w:cs="Calibri"/>
                      <w:lang w:val="fr-BE"/>
                    </w:rPr>
                  </w:pPr>
                  <w:r>
                    <w:rPr>
                      <w:rFonts w:asciiTheme="majorHAnsi" w:hAnsiTheme="majorHAnsi" w:cs="Calibri"/>
                      <w:lang w:val="fr-BE"/>
                    </w:rPr>
                    <w:t>dans l’enseignement spécialisé, par établissement, au moins les nombres minimums prévus par les normes de programmation et rationalisation telles que définies dans le décret du 3 mars 2004 organisant l’enseignement spécialisé ;</w:t>
                  </w:r>
                </w:p>
                <w:p>
                  <w:pPr>
                    <w:pStyle w:val="msolistparagraph0"/>
                    <w:autoSpaceDE w:val="0"/>
                    <w:autoSpaceDN w:val="0"/>
                    <w:ind w:left="0"/>
                    <w:jc w:val="both"/>
                    <w:rPr>
                      <w:rFonts w:asciiTheme="majorHAnsi" w:hAnsiTheme="majorHAnsi" w:cs="Calibri"/>
                      <w:lang w:val="fr-BE"/>
                    </w:rPr>
                  </w:pPr>
                </w:p>
                <w:p>
                  <w:pPr>
                    <w:pStyle w:val="msolistparagraph0"/>
                    <w:numPr>
                      <w:ilvl w:val="0"/>
                      <w:numId w:val="146"/>
                    </w:numPr>
                    <w:autoSpaceDE w:val="0"/>
                    <w:autoSpaceDN w:val="0"/>
                    <w:ind w:left="426" w:hanging="357"/>
                    <w:jc w:val="both"/>
                    <w:rPr>
                      <w:rFonts w:asciiTheme="majorHAnsi" w:hAnsiTheme="majorHAnsi" w:cs="Calibri"/>
                      <w:lang w:val="fr-BE"/>
                    </w:rPr>
                  </w:pPr>
                  <w:r>
                    <w:rPr>
                      <w:rFonts w:asciiTheme="majorHAnsi" w:hAnsiTheme="majorHAnsi" w:cs="Calibri"/>
                      <w:lang w:val="fr-BE"/>
                    </w:rPr>
                    <w:t xml:space="preserve">Etre établi dans des locaux répondant à des conditions de sécurité, d'hygiène et de salubrité, tel que prévu, notamment dans l’arrêté royal du 18 novembre 1957 </w:t>
                  </w:r>
                  <w:r>
                    <w:rPr>
                      <w:rFonts w:asciiTheme="majorHAnsi" w:hAnsiTheme="majorHAnsi" w:cs="Calibri"/>
                      <w:i/>
                    </w:rPr>
                    <w:t>portant les conditions d'hygiène et de salubrité exigées des établissements d'enseignement moyen, technique et normal subventionnés</w:t>
                  </w:r>
                  <w:r>
                    <w:rPr>
                      <w:rFonts w:asciiTheme="majorHAnsi" w:hAnsiTheme="majorHAnsi" w:cs="Calibri"/>
                      <w:lang w:val="fr-BE"/>
                    </w:rPr>
                    <w:t> ;</w:t>
                  </w:r>
                </w:p>
                <w:p>
                  <w:pPr>
                    <w:pStyle w:val="msolistparagraph0"/>
                    <w:autoSpaceDE w:val="0"/>
                    <w:autoSpaceDN w:val="0"/>
                    <w:ind w:left="0"/>
                    <w:jc w:val="both"/>
                    <w:rPr>
                      <w:rFonts w:asciiTheme="majorHAnsi" w:hAnsiTheme="majorHAnsi" w:cs="Calibri"/>
                      <w:lang w:val="fr-BE"/>
                    </w:rPr>
                  </w:pPr>
                </w:p>
                <w:p>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A cet effet, je joins une copie du plan des bâtiments qui accueilleront les élèves.</w:t>
                  </w:r>
                </w:p>
                <w:p>
                  <w:pPr>
                    <w:pStyle w:val="msolistparagraph0"/>
                    <w:autoSpaceDE w:val="0"/>
                    <w:autoSpaceDN w:val="0"/>
                    <w:ind w:left="0"/>
                    <w:jc w:val="both"/>
                    <w:rPr>
                      <w:rFonts w:asciiTheme="majorHAnsi" w:hAnsiTheme="majorHAnsi" w:cs="Calibri"/>
                      <w:lang w:val="fr-BE"/>
                    </w:rPr>
                  </w:pPr>
                </w:p>
                <w:p>
                  <w:pPr>
                    <w:pStyle w:val="msolistparagraph0"/>
                    <w:numPr>
                      <w:ilvl w:val="0"/>
                      <w:numId w:val="146"/>
                    </w:numPr>
                    <w:autoSpaceDE w:val="0"/>
                    <w:autoSpaceDN w:val="0"/>
                    <w:ind w:left="567" w:hanging="425"/>
                    <w:jc w:val="both"/>
                    <w:rPr>
                      <w:rFonts w:asciiTheme="majorHAnsi" w:hAnsiTheme="majorHAnsi" w:cs="Calibri"/>
                      <w:lang w:val="fr-BE"/>
                    </w:rPr>
                  </w:pPr>
                  <w:r>
                    <w:rPr>
                      <w:rFonts w:asciiTheme="majorHAnsi" w:hAnsiTheme="majorHAnsi" w:cs="Calibri"/>
                      <w:lang w:val="fr-BE"/>
                    </w:rPr>
                    <w:t xml:space="preserve">Disposer du matériel didactique et de l'équipement scolaires répondant aux nécessités pédagogiques ; </w:t>
                  </w:r>
                </w:p>
                <w:p>
                  <w:pPr>
                    <w:pStyle w:val="msolistparagraph0"/>
                    <w:autoSpaceDE w:val="0"/>
                    <w:autoSpaceDN w:val="0"/>
                    <w:ind w:left="567" w:hanging="425"/>
                    <w:jc w:val="both"/>
                    <w:rPr>
                      <w:rFonts w:asciiTheme="majorHAnsi" w:hAnsiTheme="majorHAnsi" w:cs="Calibri"/>
                      <w:lang w:val="fr-BE"/>
                    </w:rPr>
                  </w:pPr>
                </w:p>
                <w:p>
                  <w:pPr>
                    <w:pStyle w:val="msolistparagraph0"/>
                    <w:numPr>
                      <w:ilvl w:val="0"/>
                      <w:numId w:val="146"/>
                    </w:numPr>
                    <w:autoSpaceDE w:val="0"/>
                    <w:autoSpaceDN w:val="0"/>
                    <w:ind w:left="567" w:hanging="425"/>
                    <w:jc w:val="both"/>
                    <w:rPr>
                      <w:rFonts w:asciiTheme="majorHAnsi" w:hAnsiTheme="majorHAnsi" w:cs="Calibri"/>
                      <w:lang w:val="fr-BE"/>
                    </w:rPr>
                  </w:pPr>
                  <w:r>
                    <w:rPr>
                      <w:rFonts w:asciiTheme="majorHAnsi" w:hAnsiTheme="majorHAnsi" w:cs="Calibri"/>
                      <w:lang w:val="fr-BE"/>
                    </w:rPr>
                    <w:t xml:space="preserve">Former un ensemble pédagogique situé dans un même complexe de bâtiments ou, en tout cas, dans une même commune ou agglomération, sauf dérogation qui sera introduite auprès du Gouvernement dans des cas exceptionnels ; </w:t>
                  </w:r>
                </w:p>
                <w:p>
                  <w:pPr>
                    <w:pStyle w:val="msolistparagraph0"/>
                    <w:autoSpaceDE w:val="0"/>
                    <w:autoSpaceDN w:val="0"/>
                    <w:ind w:left="567" w:hanging="425"/>
                    <w:jc w:val="both"/>
                    <w:rPr>
                      <w:rFonts w:asciiTheme="majorHAnsi" w:hAnsiTheme="majorHAnsi" w:cs="Calibri"/>
                      <w:lang w:val="fr-BE"/>
                    </w:rPr>
                  </w:pPr>
                </w:p>
                <w:p>
                  <w:pPr>
                    <w:pStyle w:val="msolistparagraph0"/>
                    <w:numPr>
                      <w:ilvl w:val="0"/>
                      <w:numId w:val="146"/>
                    </w:numPr>
                    <w:autoSpaceDE w:val="0"/>
                    <w:autoSpaceDN w:val="0"/>
                    <w:ind w:left="567" w:hanging="425"/>
                    <w:jc w:val="both"/>
                    <w:rPr>
                      <w:rFonts w:asciiTheme="majorHAnsi" w:hAnsiTheme="majorHAnsi" w:cs="Calibri"/>
                      <w:lang w:val="fr-BE"/>
                    </w:rPr>
                  </w:pPr>
                  <w:r>
                    <w:rPr>
                      <w:rFonts w:asciiTheme="majorHAnsi" w:hAnsiTheme="majorHAnsi" w:cs="Calibri"/>
                      <w:lang w:val="fr-BE"/>
                    </w:rPr>
                    <w:t xml:space="preserve">Disposer d'un personnel susceptible de ne pas mettre en danger la santé des élèves et soumis dès lors au contrôle prévu à l'article 28, alinéa 1er, 4°, de la loi du 29 mai 1959 précitée ; </w:t>
                  </w:r>
                </w:p>
                <w:p>
                  <w:pPr>
                    <w:pStyle w:val="msolistparagraph0"/>
                    <w:autoSpaceDE w:val="0"/>
                    <w:autoSpaceDN w:val="0"/>
                    <w:ind w:left="567" w:hanging="425"/>
                    <w:jc w:val="both"/>
                    <w:rPr>
                      <w:rFonts w:asciiTheme="majorHAnsi" w:hAnsiTheme="majorHAnsi" w:cs="Calibri"/>
                      <w:lang w:val="fr-BE"/>
                    </w:rPr>
                  </w:pPr>
                </w:p>
                <w:p>
                  <w:pPr>
                    <w:pStyle w:val="msolistparagraph0"/>
                    <w:numPr>
                      <w:ilvl w:val="0"/>
                      <w:numId w:val="146"/>
                    </w:numPr>
                    <w:autoSpaceDE w:val="0"/>
                    <w:autoSpaceDN w:val="0"/>
                    <w:ind w:left="567" w:hanging="425"/>
                    <w:jc w:val="both"/>
                    <w:rPr>
                      <w:rFonts w:asciiTheme="majorHAnsi" w:hAnsiTheme="majorHAnsi" w:cs="Calibri"/>
                      <w:lang w:val="fr-BE"/>
                    </w:rPr>
                  </w:pPr>
                  <w:r>
                    <w:rPr>
                      <w:rFonts w:asciiTheme="majorHAnsi" w:hAnsiTheme="majorHAnsi" w:cs="Calibri"/>
                      <w:lang w:val="fr-BE"/>
                    </w:rPr>
                    <w:t xml:space="preserve">Se soumettre au régime des congés organisé en application de l'article 7 de la loi du 29 mai 1959 précitée ; </w:t>
                  </w:r>
                </w:p>
                <w:p>
                  <w:pPr>
                    <w:pStyle w:val="Paragraphedeliste"/>
                    <w:ind w:left="567" w:hanging="425"/>
                    <w:jc w:val="both"/>
                    <w:rPr>
                      <w:rFonts w:asciiTheme="majorHAnsi" w:hAnsiTheme="majorHAnsi" w:cs="Calibri"/>
                      <w:sz w:val="22"/>
                      <w:szCs w:val="22"/>
                    </w:rPr>
                  </w:pPr>
                </w:p>
                <w:p>
                  <w:pPr>
                    <w:pStyle w:val="msolistparagraph0"/>
                    <w:numPr>
                      <w:ilvl w:val="0"/>
                      <w:numId w:val="146"/>
                    </w:numPr>
                    <w:autoSpaceDE w:val="0"/>
                    <w:autoSpaceDN w:val="0"/>
                    <w:ind w:left="567" w:hanging="425"/>
                    <w:jc w:val="both"/>
                    <w:rPr>
                      <w:rFonts w:asciiTheme="majorHAnsi" w:hAnsiTheme="majorHAnsi" w:cs="Calibri"/>
                      <w:lang w:val="fr-BE"/>
                    </w:rPr>
                  </w:pPr>
                  <w:r>
                    <w:rPr>
                      <w:rFonts w:asciiTheme="majorHAnsi" w:hAnsiTheme="majorHAnsi" w:cs="Calibri"/>
                      <w:lang w:val="fr-BE"/>
                    </w:rPr>
                    <w:t>Se conformer aux dispositions du décret du 11 juillet 2002 relatif à la formation en cours de carrière des membres du personnel des établissements d’enseignement fondamental ordinaire ou du décret du 11 juillet 2002 relatif à la formation en cours de carrière dans l’enseignement spécialisé, l’enseignement secondaire ordinaire et les centres psycho-médico-sociaux et à la création d’un institut de la formation en cours de carrière.</w:t>
                  </w:r>
                </w:p>
                <w:p>
                  <w:pPr>
                    <w:pStyle w:val="msolistparagraph0"/>
                    <w:autoSpaceDE w:val="0"/>
                    <w:autoSpaceDN w:val="0"/>
                    <w:ind w:left="142"/>
                    <w:jc w:val="both"/>
                    <w:rPr>
                      <w:rFonts w:asciiTheme="majorHAnsi" w:hAnsiTheme="majorHAnsi" w:cs="Calibri"/>
                      <w:lang w:val="fr-BE"/>
                    </w:rPr>
                  </w:pPr>
                </w:p>
                <w:p>
                  <w:pPr>
                    <w:pStyle w:val="msolistparagraph0"/>
                    <w:numPr>
                      <w:ilvl w:val="0"/>
                      <w:numId w:val="146"/>
                    </w:numPr>
                    <w:autoSpaceDE w:val="0"/>
                    <w:autoSpaceDN w:val="0"/>
                    <w:ind w:left="567" w:hanging="425"/>
                    <w:jc w:val="both"/>
                    <w:rPr>
                      <w:rFonts w:asciiTheme="majorHAnsi" w:hAnsiTheme="majorHAnsi" w:cs="Calibri"/>
                      <w:lang w:val="fr-BE"/>
                    </w:rPr>
                  </w:pPr>
                  <w:r>
                    <w:rPr>
                      <w:rFonts w:asciiTheme="majorHAnsi" w:hAnsiTheme="majorHAnsi" w:cs="Calibri"/>
                      <w:lang w:val="fr-BE"/>
                    </w:rPr>
                    <w:t>Le cas échéant, respecter les principes du décret du 17 décembre 2003 organisant la neutralité inhérente à l’enseignement officiel subventionné et portant diverses mesures en matière d’enseignement ou du décret du 31 mars 1994 définissant la neutralité de la Communauté française (s’il y a lieu, je joins la décision du pouvoir organisateur d’un établissement d’enseignement libre non confessionnel d’adhérer aux principes de neutralité du décret du 17 décembre 2003 précité ou la décision du pouvoir organisateur d’un établissement d’enseignement officiel subventionné ou libre non confessionnel d’adhérer aux principes de neutralité du décret du 31 mars 1994 précité).</w:t>
                  </w:r>
                </w:p>
                <w:p>
                  <w:pPr>
                    <w:pStyle w:val="msolistparagraph0"/>
                    <w:autoSpaceDE w:val="0"/>
                    <w:autoSpaceDN w:val="0"/>
                    <w:ind w:left="567"/>
                    <w:rPr>
                      <w:rFonts w:asciiTheme="majorHAnsi" w:hAnsiTheme="majorHAnsi" w:cs="Calibri"/>
                      <w:lang w:val="fr-BE"/>
                    </w:rPr>
                  </w:pPr>
                </w:p>
                <w:p>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ajorHAnsi" w:hAnsiTheme="majorHAnsi" w:cs="Calibri"/>
                      <w:lang w:val="fr-BE"/>
                    </w:rPr>
                  </w:pPr>
                  <w:r>
                    <w:rPr>
                      <w:rFonts w:asciiTheme="majorHAnsi" w:hAnsiTheme="majorHAnsi" w:cs="Calibri"/>
                      <w:lang w:val="fr-BE"/>
                    </w:rPr>
                    <w:t>Signature</w:t>
                  </w:r>
                </w:p>
                <w:p>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ajorHAnsi" w:hAnsiTheme="majorHAnsi" w:cs="Calibri"/>
                      <w:lang w:val="fr-BE"/>
                    </w:rPr>
                  </w:pPr>
                </w:p>
                <w:p>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ajorHAnsi" w:hAnsiTheme="majorHAnsi" w:cs="Calibri"/>
                      <w:lang w:val="fr-BE"/>
                    </w:rPr>
                  </w:pPr>
                </w:p>
                <w:p>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ajorHAnsi" w:hAnsiTheme="majorHAnsi" w:cs="Calibri"/>
                      <w:lang w:val="fr-BE"/>
                    </w:rPr>
                  </w:pPr>
                </w:p>
                <w:p>
                  <w:pPr>
                    <w:pStyle w:val="msolistparagraph0"/>
                    <w:autoSpaceDE w:val="0"/>
                    <w:autoSpaceDN w:val="0"/>
                    <w:ind w:left="0"/>
                    <w:rPr>
                      <w:rFonts w:asciiTheme="majorHAnsi" w:hAnsiTheme="majorHAnsi" w:cs="Calibri"/>
                      <w:lang w:val="fr-BE"/>
                    </w:rPr>
                  </w:pPr>
                </w:p>
                <w:p>
                  <w:pPr>
                    <w:rPr>
                      <w:rFonts w:eastAsia="Times New Roman" w:cs="Calibri"/>
                      <w:lang w:eastAsia="fr-FR"/>
                    </w:rPr>
                  </w:pPr>
                  <w:r>
                    <w:rPr>
                      <w:rFonts w:cs="Calibri"/>
                    </w:rPr>
                    <w:br w:type="page"/>
                  </w:r>
                </w:p>
                <w:p>
                  <w:pPr>
                    <w:pStyle w:val="msolistparagraph0"/>
                    <w:autoSpaceDE w:val="0"/>
                    <w:autoSpaceDN w:val="0"/>
                    <w:ind w:left="0"/>
                    <w:rPr>
                      <w:rFonts w:asciiTheme="majorHAnsi" w:hAnsiTheme="majorHAnsi" w:cs="Calibri"/>
                      <w:lang w:val="fr-BE"/>
                    </w:rPr>
                  </w:pPr>
                </w:p>
                <w:p>
                  <w:pPr>
                    <w:pStyle w:val="Titre4"/>
                  </w:pPr>
                  <w:bookmarkStart w:id="1685" w:name="_Annexe_4_:_7"/>
                  <w:bookmarkEnd w:id="1685"/>
                  <w:r>
                    <w:t>Annexe 4 : Annexes à joindre à la présente demande </w:t>
                  </w:r>
                </w:p>
                <w:tbl>
                  <w:tblPr>
                    <w:tblW w:w="17424" w:type="dxa"/>
                    <w:tblInd w:w="-1026" w:type="dxa"/>
                    <w:tblLook w:val="04A0" w:firstRow="1" w:lastRow="0" w:firstColumn="1" w:lastColumn="0" w:noHBand="0" w:noVBand="1"/>
                  </w:tblPr>
                  <w:tblGrid>
                    <w:gridCol w:w="17424"/>
                  </w:tblGrid>
                  <w:tr>
                    <w:tc>
                      <w:tcPr>
                        <w:tcW w:w="17424" w:type="dxa"/>
                      </w:tcPr>
                      <w:p>
                        <w:pPr>
                          <w:pStyle w:val="msolistparagraph0"/>
                          <w:autoSpaceDE w:val="0"/>
                          <w:autoSpaceDN w:val="0"/>
                          <w:ind w:left="0"/>
                          <w:jc w:val="both"/>
                          <w:rPr>
                            <w:rFonts w:asciiTheme="majorHAnsi" w:hAnsiTheme="majorHAnsi" w:cs="Calibri"/>
                            <w:b/>
                          </w:rPr>
                        </w:pPr>
                      </w:p>
                    </w:tc>
                  </w:tr>
                </w:tbl>
                <w:p>
                  <w:pPr>
                    <w:pStyle w:val="msolistparagraph0"/>
                    <w:numPr>
                      <w:ilvl w:val="0"/>
                      <w:numId w:val="160"/>
                    </w:numPr>
                    <w:autoSpaceDE w:val="0"/>
                    <w:autoSpaceDN w:val="0"/>
                    <w:spacing w:after="200"/>
                    <w:ind w:left="0" w:firstLine="0"/>
                    <w:jc w:val="both"/>
                    <w:rPr>
                      <w:rFonts w:asciiTheme="majorHAnsi" w:hAnsiTheme="majorHAnsi" w:cs="Calibri"/>
                      <w:lang w:val="fr-BE"/>
                    </w:rPr>
                  </w:pPr>
                  <w:r>
                    <w:rPr>
                      <w:rFonts w:asciiTheme="majorHAnsi" w:hAnsiTheme="majorHAnsi" w:cs="Calibri"/>
                      <w:b/>
                      <w:u w:val="single"/>
                      <w:lang w:val="fr-BE"/>
                    </w:rPr>
                    <w:t>Dans tous les cas</w:t>
                  </w:r>
                  <w:r>
                    <w:rPr>
                      <w:rFonts w:asciiTheme="majorHAnsi" w:hAnsiTheme="majorHAnsi" w:cs="Calibri"/>
                      <w:lang w:val="fr-BE"/>
                    </w:rPr>
                    <w:t xml:space="preserve"> : </w:t>
                  </w:r>
                </w:p>
                <w:p>
                  <w:pPr>
                    <w:pStyle w:val="msolistparagraph0"/>
                    <w:numPr>
                      <w:ilvl w:val="0"/>
                      <w:numId w:val="161"/>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1</w:t>
                  </w:r>
                  <w:r>
                    <w:rPr>
                      <w:rFonts w:asciiTheme="majorHAnsi" w:hAnsiTheme="majorHAnsi" w:cs="Calibri"/>
                      <w:lang w:val="fr-BE"/>
                    </w:rPr>
                    <w:t> : copie du compte-rendu de la délibération du P.O. actant la décision de solliciter l’admission aux subventions ;</w:t>
                  </w:r>
                </w:p>
                <w:p>
                  <w:pPr>
                    <w:pStyle w:val="msolistparagraph0"/>
                    <w:numPr>
                      <w:ilvl w:val="0"/>
                      <w:numId w:val="161"/>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2</w:t>
                  </w:r>
                  <w:r>
                    <w:rPr>
                      <w:rFonts w:asciiTheme="majorHAnsi" w:hAnsiTheme="majorHAnsi" w:cs="Calibri"/>
                      <w:lang w:val="fr-BE"/>
                    </w:rPr>
                    <w:t xml:space="preserve"> : copie du projet éducatif et pédagogique ; </w:t>
                  </w:r>
                </w:p>
                <w:p>
                  <w:pPr>
                    <w:pStyle w:val="msolistparagraph0"/>
                    <w:numPr>
                      <w:ilvl w:val="0"/>
                      <w:numId w:val="161"/>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3</w:t>
                  </w:r>
                  <w:r>
                    <w:rPr>
                      <w:rFonts w:asciiTheme="majorHAnsi" w:hAnsiTheme="majorHAnsi" w:cs="Calibri"/>
                      <w:lang w:val="fr-BE"/>
                    </w:rPr>
                    <w:t> : copie du R.O.I. ;</w:t>
                  </w:r>
                </w:p>
                <w:p>
                  <w:pPr>
                    <w:pStyle w:val="msolistparagraph0"/>
                    <w:numPr>
                      <w:ilvl w:val="0"/>
                      <w:numId w:val="161"/>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4</w:t>
                  </w:r>
                  <w:r>
                    <w:rPr>
                      <w:rFonts w:asciiTheme="majorHAnsi" w:hAnsiTheme="majorHAnsi" w:cs="Calibri"/>
                      <w:lang w:val="fr-BE"/>
                    </w:rPr>
                    <w:t> : copie du plan des bâtiments ;</w:t>
                  </w:r>
                </w:p>
                <w:p>
                  <w:pPr>
                    <w:pStyle w:val="msolistparagraph0"/>
                    <w:numPr>
                      <w:ilvl w:val="0"/>
                      <w:numId w:val="161"/>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5a</w:t>
                  </w:r>
                  <w:r>
                    <w:rPr>
                      <w:rFonts w:asciiTheme="majorHAnsi" w:hAnsiTheme="majorHAnsi" w:cs="Calibri"/>
                      <w:lang w:val="fr-BE"/>
                    </w:rPr>
                    <w:t> : référence du ou des programmes choisi(s) si le P.O. opte pour un ou des programmes déjà approuvé(s) ;</w:t>
                  </w:r>
                </w:p>
                <w:p>
                  <w:pPr>
                    <w:pStyle w:val="msolistparagraph0"/>
                    <w:autoSpaceDE w:val="0"/>
                    <w:autoSpaceDN w:val="0"/>
                    <w:ind w:left="0"/>
                    <w:jc w:val="both"/>
                    <w:rPr>
                      <w:rFonts w:asciiTheme="majorHAnsi" w:hAnsiTheme="majorHAnsi" w:cs="Calibri"/>
                      <w:lang w:val="fr-BE"/>
                    </w:rPr>
                  </w:pPr>
                  <w:r>
                    <w:rPr>
                      <w:rFonts w:asciiTheme="majorHAnsi" w:hAnsiTheme="majorHAnsi" w:cs="Calibri"/>
                      <w:lang w:val="fr-BE"/>
                    </w:rPr>
                    <w:t>Ou</w:t>
                  </w:r>
                </w:p>
                <w:p>
                  <w:pPr>
                    <w:pStyle w:val="msolistparagraph0"/>
                    <w:autoSpaceDE w:val="0"/>
                    <w:autoSpaceDN w:val="0"/>
                    <w:ind w:left="0"/>
                    <w:jc w:val="both"/>
                    <w:rPr>
                      <w:rFonts w:asciiTheme="majorHAnsi" w:hAnsiTheme="majorHAnsi" w:cs="Calibri"/>
                      <w:lang w:val="fr-BE"/>
                    </w:rPr>
                  </w:pPr>
                </w:p>
                <w:p>
                  <w:pPr>
                    <w:pStyle w:val="msolistparagraph0"/>
                    <w:autoSpaceDE w:val="0"/>
                    <w:autoSpaceDN w:val="0"/>
                    <w:ind w:left="0"/>
                    <w:jc w:val="both"/>
                    <w:rPr>
                      <w:rFonts w:asciiTheme="majorHAnsi" w:hAnsiTheme="majorHAnsi" w:cs="Calibri"/>
                    </w:rPr>
                  </w:pPr>
                  <w:r>
                    <w:rPr>
                      <w:rFonts w:asciiTheme="majorHAnsi" w:hAnsiTheme="majorHAnsi" w:cs="Calibri"/>
                      <w:b/>
                      <w:lang w:val="fr-BE"/>
                    </w:rPr>
                    <w:t>Annexe 5b</w:t>
                  </w:r>
                  <w:r>
                    <w:rPr>
                      <w:rFonts w:asciiTheme="majorHAnsi" w:hAnsiTheme="majorHAnsi" w:cs="Calibri"/>
                      <w:lang w:val="fr-BE"/>
                    </w:rPr>
                    <w:t xml:space="preserve"> : copie </w:t>
                  </w:r>
                  <w:r>
                    <w:rPr>
                      <w:rFonts w:asciiTheme="majorHAnsi" w:hAnsiTheme="majorHAnsi" w:cs="Calibri"/>
                    </w:rPr>
                    <w:t>de la demande d’approbation effectuée avec le programme d’étude soumis à approbation et la date de demande d’approbation ;</w:t>
                  </w:r>
                </w:p>
                <w:p>
                  <w:pPr>
                    <w:pStyle w:val="msolistparagraph0"/>
                    <w:autoSpaceDE w:val="0"/>
                    <w:autoSpaceDN w:val="0"/>
                    <w:ind w:left="0"/>
                    <w:jc w:val="both"/>
                    <w:rPr>
                      <w:rFonts w:asciiTheme="majorHAnsi" w:hAnsiTheme="majorHAnsi" w:cs="Calibri"/>
                    </w:rPr>
                  </w:pPr>
                </w:p>
                <w:p>
                  <w:pPr>
                    <w:pStyle w:val="msolistparagraph0"/>
                    <w:numPr>
                      <w:ilvl w:val="0"/>
                      <w:numId w:val="160"/>
                    </w:numPr>
                    <w:autoSpaceDE w:val="0"/>
                    <w:autoSpaceDN w:val="0"/>
                    <w:spacing w:after="200"/>
                    <w:ind w:left="709" w:hanging="709"/>
                    <w:jc w:val="both"/>
                    <w:rPr>
                      <w:rFonts w:asciiTheme="majorHAnsi" w:hAnsiTheme="majorHAnsi" w:cs="Calibri"/>
                    </w:rPr>
                  </w:pPr>
                  <w:r>
                    <w:rPr>
                      <w:rFonts w:asciiTheme="majorHAnsi" w:hAnsiTheme="majorHAnsi" w:cs="Calibri"/>
                      <w:b/>
                      <w:u w:val="single"/>
                    </w:rPr>
                    <w:t>Le cas échéant</w:t>
                  </w:r>
                  <w:r>
                    <w:rPr>
                      <w:rFonts w:asciiTheme="majorHAnsi" w:hAnsiTheme="majorHAnsi" w:cs="Calibri"/>
                    </w:rPr>
                    <w:t xml:space="preserve"> : </w:t>
                  </w:r>
                </w:p>
                <w:p>
                  <w:pPr>
                    <w:pStyle w:val="msolistparagraph0"/>
                    <w:numPr>
                      <w:ilvl w:val="0"/>
                      <w:numId w:val="162"/>
                    </w:numPr>
                    <w:autoSpaceDE w:val="0"/>
                    <w:autoSpaceDN w:val="0"/>
                    <w:spacing w:after="200"/>
                    <w:ind w:left="0" w:firstLine="0"/>
                    <w:jc w:val="both"/>
                    <w:rPr>
                      <w:rFonts w:asciiTheme="majorHAnsi" w:hAnsiTheme="majorHAnsi" w:cs="Calibri"/>
                    </w:rPr>
                  </w:pPr>
                  <w:r>
                    <w:rPr>
                      <w:rFonts w:asciiTheme="majorHAnsi" w:hAnsiTheme="majorHAnsi" w:cs="Calibri"/>
                      <w:b/>
                    </w:rPr>
                    <w:t>Annexe 6</w:t>
                  </w:r>
                  <w:r>
                    <w:rPr>
                      <w:rFonts w:asciiTheme="majorHAnsi" w:hAnsiTheme="majorHAnsi" w:cs="Calibri"/>
                    </w:rPr>
                    <w:t xml:space="preserve"> : </w:t>
                  </w:r>
                  <w:r>
                    <w:rPr>
                      <w:rFonts w:asciiTheme="majorHAnsi" w:hAnsiTheme="majorHAnsi" w:cs="Calibri"/>
                      <w:lang w:val="fr-BE"/>
                    </w:rPr>
                    <w:t>copie du compte-rendu de la délibération du P.O. autorisant la représentation</w:t>
                  </w:r>
                </w:p>
                <w:p>
                  <w:pPr>
                    <w:pStyle w:val="msolistparagraph0"/>
                    <w:numPr>
                      <w:ilvl w:val="0"/>
                      <w:numId w:val="162"/>
                    </w:numPr>
                    <w:autoSpaceDE w:val="0"/>
                    <w:autoSpaceDN w:val="0"/>
                    <w:spacing w:after="200"/>
                    <w:ind w:left="0" w:firstLine="0"/>
                    <w:jc w:val="both"/>
                    <w:rPr>
                      <w:rFonts w:asciiTheme="majorHAnsi" w:hAnsiTheme="majorHAnsi" w:cs="Calibri"/>
                    </w:rPr>
                  </w:pPr>
                  <w:r>
                    <w:rPr>
                      <w:rFonts w:asciiTheme="majorHAnsi" w:hAnsiTheme="majorHAnsi" w:cs="Calibri"/>
                      <w:b/>
                    </w:rPr>
                    <w:t>Annexe 7</w:t>
                  </w:r>
                  <w:r>
                    <w:rPr>
                      <w:rFonts w:asciiTheme="majorHAnsi" w:hAnsiTheme="majorHAnsi" w:cs="Calibri"/>
                    </w:rPr>
                    <w:t xml:space="preserve"> : </w:t>
                  </w:r>
                  <w:r>
                    <w:rPr>
                      <w:rFonts w:asciiTheme="majorHAnsi" w:hAnsiTheme="majorHAnsi" w:cs="Calibri"/>
                      <w:lang w:val="fr-BE"/>
                    </w:rPr>
                    <w:t>si le P.O. est constitué en ASBL, une copie des statuts</w:t>
                  </w:r>
                </w:p>
                <w:p>
                  <w:pPr>
                    <w:pStyle w:val="msolistparagraph0"/>
                    <w:numPr>
                      <w:ilvl w:val="0"/>
                      <w:numId w:val="162"/>
                    </w:numPr>
                    <w:autoSpaceDE w:val="0"/>
                    <w:autoSpaceDN w:val="0"/>
                    <w:spacing w:after="200"/>
                    <w:ind w:left="0" w:firstLine="0"/>
                    <w:jc w:val="both"/>
                    <w:rPr>
                      <w:rFonts w:asciiTheme="majorHAnsi" w:hAnsiTheme="majorHAnsi" w:cs="Calibri"/>
                    </w:rPr>
                  </w:pPr>
                  <w:r>
                    <w:rPr>
                      <w:rFonts w:asciiTheme="majorHAnsi" w:hAnsiTheme="majorHAnsi" w:cs="Calibri"/>
                      <w:b/>
                    </w:rPr>
                    <w:t>Annexe 8</w:t>
                  </w:r>
                  <w:r>
                    <w:rPr>
                      <w:rFonts w:asciiTheme="majorHAnsi" w:hAnsiTheme="majorHAnsi" w:cs="Calibri"/>
                    </w:rPr>
                    <w:t> :</w:t>
                  </w:r>
                  <w:r>
                    <w:rPr>
                      <w:rFonts w:asciiTheme="majorHAnsi" w:hAnsiTheme="majorHAnsi" w:cs="Calibri"/>
                      <w:lang w:val="fr-BE"/>
                    </w:rPr>
                    <w:t xml:space="preserve"> si le P.O. est constitué en ASBL, une copie de l’extrait de casier judiciaire des membres du C.A. </w:t>
                  </w:r>
                </w:p>
                <w:p>
                  <w:pPr>
                    <w:pStyle w:val="msolistparagraph0"/>
                    <w:numPr>
                      <w:ilvl w:val="0"/>
                      <w:numId w:val="162"/>
                    </w:numPr>
                    <w:autoSpaceDE w:val="0"/>
                    <w:autoSpaceDN w:val="0"/>
                    <w:spacing w:after="200"/>
                    <w:ind w:left="0" w:firstLine="0"/>
                    <w:jc w:val="both"/>
                    <w:rPr>
                      <w:rFonts w:asciiTheme="majorHAnsi" w:hAnsiTheme="majorHAnsi" w:cs="Calibri"/>
                    </w:rPr>
                  </w:pPr>
                  <w:r>
                    <w:rPr>
                      <w:rFonts w:asciiTheme="majorHAnsi" w:hAnsiTheme="majorHAnsi" w:cs="Calibri"/>
                      <w:b/>
                    </w:rPr>
                    <w:t>Annexe 9</w:t>
                  </w:r>
                  <w:r>
                    <w:rPr>
                      <w:rFonts w:asciiTheme="majorHAnsi" w:hAnsiTheme="majorHAnsi" w:cs="Calibri"/>
                    </w:rPr>
                    <w:t xml:space="preserve"> : </w:t>
                  </w:r>
                  <w:r>
                    <w:rPr>
                      <w:rFonts w:asciiTheme="majorHAnsi" w:hAnsiTheme="majorHAnsi" w:cs="Calibri"/>
                      <w:lang w:val="fr-BE"/>
                    </w:rPr>
                    <w:t>si enseignement confessionnel, copie de l’accord de l’autorité compétente du culte concerné</w:t>
                  </w:r>
                </w:p>
                <w:p>
                  <w:pPr>
                    <w:pStyle w:val="msolistparagraph0"/>
                    <w:numPr>
                      <w:ilvl w:val="0"/>
                      <w:numId w:val="162"/>
                    </w:numPr>
                    <w:autoSpaceDE w:val="0"/>
                    <w:autoSpaceDN w:val="0"/>
                    <w:spacing w:after="200"/>
                    <w:ind w:left="0" w:firstLine="0"/>
                    <w:jc w:val="both"/>
                    <w:rPr>
                      <w:rFonts w:asciiTheme="majorHAnsi" w:hAnsiTheme="majorHAnsi" w:cs="Calibri"/>
                    </w:rPr>
                  </w:pPr>
                  <w:r>
                    <w:rPr>
                      <w:rFonts w:asciiTheme="majorHAnsi" w:hAnsiTheme="majorHAnsi" w:cs="Calibri"/>
                      <w:b/>
                    </w:rPr>
                    <w:t>Annexe 10</w:t>
                  </w:r>
                  <w:r>
                    <w:rPr>
                      <w:rFonts w:asciiTheme="majorHAnsi" w:hAnsiTheme="majorHAnsi" w:cs="Calibri"/>
                    </w:rPr>
                    <w:t> :</w:t>
                  </w:r>
                  <w:r>
                    <w:rPr>
                      <w:rFonts w:asciiTheme="majorHAnsi" w:hAnsiTheme="majorHAnsi" w:cs="Calibri"/>
                      <w:lang w:val="fr-BE"/>
                    </w:rPr>
                    <w:t xml:space="preserve"> si enseignement secondaire spécialisé de forme 3, préciser le(s) secteur(s), le(s) groupes(s) professionnel(s) et les métier(s)</w:t>
                  </w:r>
                </w:p>
                <w:p>
                  <w:pPr>
                    <w:pStyle w:val="msolistparagraph0"/>
                    <w:numPr>
                      <w:ilvl w:val="0"/>
                      <w:numId w:val="162"/>
                    </w:numPr>
                    <w:autoSpaceDE w:val="0"/>
                    <w:autoSpaceDN w:val="0"/>
                    <w:spacing w:after="200"/>
                    <w:ind w:left="0" w:firstLine="0"/>
                    <w:jc w:val="both"/>
                    <w:rPr>
                      <w:rFonts w:asciiTheme="majorHAnsi" w:hAnsiTheme="majorHAnsi" w:cs="Calibri"/>
                    </w:rPr>
                  </w:pPr>
                  <w:r>
                    <w:rPr>
                      <w:rFonts w:asciiTheme="majorHAnsi" w:hAnsiTheme="majorHAnsi" w:cs="Calibri"/>
                      <w:b/>
                    </w:rPr>
                    <w:t>Annexe 11</w:t>
                  </w:r>
                  <w:r>
                    <w:rPr>
                      <w:rFonts w:asciiTheme="majorHAnsi" w:hAnsiTheme="majorHAnsi" w:cs="Calibri"/>
                    </w:rPr>
                    <w:t> : adhésion par un P.O. de l’enseignement libre non confessionnel aux principes de neutralité inhérents à l’enseignement officiel ou officiel subventionné ou adhésion d’un pouvoir organisateur de l’enseignement officiel subventionné aux principes de neutralité de l’enseignement officiel.</w:t>
                  </w:r>
                </w:p>
                <w:p>
                  <w:pPr>
                    <w:rPr>
                      <w:lang w:val="fr-FR"/>
                    </w:rPr>
                  </w:pPr>
                </w:p>
                <w:p>
                  <w:pPr>
                    <w:rPr>
                      <w:b/>
                      <w:u w:val="single"/>
                    </w:rPr>
                  </w:pPr>
                  <w:r>
                    <w:br w:type="page"/>
                  </w:r>
                </w:p>
                <w:p/>
                <w:bookmarkEnd w:id="1664"/>
                <w:bookmarkEnd w:id="1665"/>
                <w:p>
                  <w:pPr>
                    <w:pStyle w:val="Titre4"/>
                  </w:pPr>
                  <w:r>
                    <w:t>Annexe 5 : Demande d’admission aux subventions – Enseignement fondamental spécialisé</w:t>
                  </w:r>
                </w:p>
                <w:p>
                  <w:pPr>
                    <w:jc w:val="both"/>
                  </w:pPr>
                </w:p>
                <w:p>
                  <w:pPr>
                    <w:jc w:val="both"/>
                    <w:rPr>
                      <w:b/>
                      <w:u w:val="single"/>
                    </w:rPr>
                  </w:pPr>
                  <w:r>
                    <w:rPr>
                      <w:b/>
                      <w:u w:val="single"/>
                    </w:rPr>
                    <w:t>Présenter une demande distincte par type d’enseignement</w:t>
                  </w:r>
                </w:p>
                <w:p>
                  <w:pPr>
                    <w:jc w:val="both"/>
                  </w:pPr>
                </w:p>
                <w:p>
                  <w:pPr>
                    <w:pBdr>
                      <w:top w:val="single" w:sz="4" w:space="0" w:color="000000"/>
                      <w:left w:val="single" w:sz="4" w:space="4" w:color="000000"/>
                      <w:bottom w:val="single" w:sz="4" w:space="1" w:color="000000"/>
                      <w:right w:val="single" w:sz="4" w:space="0" w:color="000000"/>
                    </w:pBdr>
                    <w:jc w:val="both"/>
                    <w:rPr>
                      <w:b/>
                    </w:rPr>
                  </w:pPr>
                  <w:r>
                    <w:rPr>
                      <w:b/>
                    </w:rPr>
                    <w:t xml:space="preserve">Dénomination et adresse du pouvoir organisateur </w:t>
                  </w:r>
                </w:p>
                <w:p>
                  <w:pPr>
                    <w:pBdr>
                      <w:top w:val="single" w:sz="4" w:space="0" w:color="000000"/>
                      <w:left w:val="single" w:sz="4" w:space="4" w:color="000000"/>
                      <w:bottom w:val="single" w:sz="4" w:space="1" w:color="000000"/>
                      <w:right w:val="single" w:sz="4" w:space="0" w:color="000000"/>
                    </w:pBdr>
                    <w:jc w:val="both"/>
                  </w:pPr>
                </w:p>
                <w:p>
                  <w:pPr>
                    <w:pBdr>
                      <w:top w:val="single" w:sz="4" w:space="0" w:color="000000"/>
                      <w:left w:val="single" w:sz="4" w:space="4" w:color="000000"/>
                      <w:bottom w:val="single" w:sz="4" w:space="1" w:color="000000"/>
                      <w:right w:val="single" w:sz="4" w:space="0" w:color="000000"/>
                    </w:pBdr>
                    <w:jc w:val="both"/>
                  </w:pPr>
                </w:p>
                <w:p>
                  <w:pPr>
                    <w:pBdr>
                      <w:top w:val="single" w:sz="4" w:space="0" w:color="000000"/>
                      <w:left w:val="single" w:sz="4" w:space="4" w:color="000000"/>
                      <w:bottom w:val="single" w:sz="4" w:space="1" w:color="000000"/>
                      <w:right w:val="single" w:sz="4" w:space="0" w:color="000000"/>
                    </w:pBdr>
                    <w:jc w:val="both"/>
                  </w:pPr>
                </w:p>
                <w:p>
                  <w:pPr>
                    <w:jc w:val="both"/>
                  </w:pPr>
                </w:p>
                <w:p>
                  <w:pPr>
                    <w:jc w:val="both"/>
                  </w:pPr>
                  <w:r>
                    <w:t xml:space="preserve">Annexes : </w:t>
                  </w:r>
                  <w:r>
                    <w:tab/>
                  </w:r>
                  <w:r>
                    <w:tab/>
                  </w:r>
                  <w:r>
                    <w:tab/>
                  </w:r>
                  <w:r>
                    <w:tab/>
                  </w:r>
                  <w:r>
                    <w:tab/>
                  </w:r>
                  <w:r>
                    <w:tab/>
                  </w:r>
                  <w:r>
                    <w:tab/>
                  </w:r>
                  <w:r>
                    <w:tab/>
                    <w:t>Date d’envoi :</w:t>
                  </w:r>
                </w:p>
                <w:p>
                  <w:pPr>
                    <w:jc w:val="both"/>
                  </w:pPr>
                </w:p>
                <w:p>
                  <w:pPr>
                    <w:jc w:val="both"/>
                  </w:pPr>
                </w:p>
                <w:p>
                  <w:pPr>
                    <w:jc w:val="both"/>
                    <w:rPr>
                      <w:rStyle w:val="Caractresdenotedebasdepage"/>
                    </w:rPr>
                  </w:pPr>
                  <w:r>
                    <w:t xml:space="preserve">Conformément aux dispositions des articles 24 et 37 de la loi du 29 mai 1959 modifiant certaines dispositions de la législation de l'enseignement, le (la) soussigné(e) </w:t>
                  </w:r>
                  <w:r>
                    <w:rPr>
                      <w:rStyle w:val="Caractresdenotedebasdepage"/>
                    </w:rPr>
                    <w:footnoteReference w:customMarkFollows="1" w:id="99"/>
                    <w:t>(1)</w:t>
                  </w:r>
                </w:p>
                <w:p>
                  <w:pPr>
                    <w:jc w:val="both"/>
                  </w:pPr>
                </w:p>
                <w:p>
                  <w:pPr>
                    <w:jc w:val="both"/>
                  </w:pPr>
                  <w:r>
                    <w:t>Représentant le pouvoir organisateur de l’établissement :</w:t>
                  </w:r>
                </w:p>
                <w:p>
                  <w:pPr>
                    <w:jc w:val="both"/>
                  </w:pPr>
                  <w:r>
                    <w:t>Matricule SIGES et Numéro FASE :</w:t>
                  </w:r>
                </w:p>
                <w:p>
                  <w:pPr>
                    <w:jc w:val="both"/>
                  </w:pPr>
                </w:p>
                <w:p>
                  <w:pPr>
                    <w:jc w:val="both"/>
                  </w:pPr>
                  <w:r>
                    <w:t>Dénomination :</w:t>
                  </w:r>
                </w:p>
                <w:p>
                  <w:pPr>
                    <w:jc w:val="both"/>
                  </w:pPr>
                </w:p>
                <w:p>
                  <w:pPr>
                    <w:jc w:val="both"/>
                  </w:pPr>
                  <w:r>
                    <w:t>Adresse :</w:t>
                  </w:r>
                </w:p>
                <w:p>
                  <w:pPr>
                    <w:jc w:val="both"/>
                  </w:pPr>
                </w:p>
                <w:p>
                  <w:pPr>
                    <w:jc w:val="both"/>
                  </w:pPr>
                  <w:r>
                    <w:t>CP et LOCALITE</w:t>
                  </w:r>
                </w:p>
                <w:p>
                  <w:pPr>
                    <w:jc w:val="both"/>
                  </w:pPr>
                  <w:r>
                    <w:rPr>
                      <w:rFonts w:cs="Arial"/>
                    </w:rPr>
                    <w:sym w:font="Wingdings" w:char="F028"/>
                  </w:r>
                  <w:r>
                    <w:rPr>
                      <w:rFonts w:cs="Arial"/>
                    </w:rPr>
                    <w:t> </w:t>
                  </w:r>
                  <w:r>
                    <w:t>:</w:t>
                  </w:r>
                  <w:r>
                    <w:tab/>
                  </w:r>
                  <w:r>
                    <w:tab/>
                  </w:r>
                  <w:r>
                    <w:tab/>
                  </w:r>
                  <w:r>
                    <w:tab/>
                  </w:r>
                  <w:r>
                    <w:tab/>
                    <w:t xml:space="preserve">fax : </w:t>
                  </w:r>
                </w:p>
                <w:p>
                  <w:pPr>
                    <w:jc w:val="both"/>
                  </w:pPr>
                </w:p>
                <w:p>
                  <w:pPr>
                    <w:jc w:val="both"/>
                    <w:rPr>
                      <w:vertAlign w:val="superscript"/>
                    </w:rPr>
                  </w:pPr>
                  <w:r>
                    <w:t xml:space="preserve">Direction confiée à Madame/Monsieur </w:t>
                  </w:r>
                  <w:r>
                    <w:rPr>
                      <w:rStyle w:val="Caractresdenotedebasdepage"/>
                    </w:rPr>
                    <w:t xml:space="preserve"> </w:t>
                  </w:r>
                  <w:r>
                    <w:rPr>
                      <w:rStyle w:val="Caractresdenotedebasdepage"/>
                    </w:rPr>
                    <w:footnoteReference w:customMarkFollows="1" w:id="100"/>
                    <w:t>(1) (2)</w:t>
                  </w:r>
                </w:p>
                <w:p>
                  <w:pPr>
                    <w:jc w:val="both"/>
                  </w:pPr>
                  <w:r>
                    <w:t>A l’honneur de solliciter les subventions de la Fédération Wallonie-Bruxelles pour l’enseignement fondamental spécialisé de type …..</w:t>
                  </w:r>
                </w:p>
                <w:p>
                  <w:pPr>
                    <w:jc w:val="both"/>
                  </w:pPr>
                </w:p>
                <w:p>
                  <w:pPr>
                    <w:jc w:val="both"/>
                    <w:rPr>
                      <w:b/>
                    </w:rPr>
                  </w:pPr>
                  <w:r>
                    <w:rPr>
                      <w:b/>
                    </w:rPr>
                    <w:t>Il (Elle) déclare sur l’honneur que l’établissement organisant la structure précitée :</w:t>
                  </w:r>
                </w:p>
                <w:p>
                  <w:pPr>
                    <w:jc w:val="both"/>
                  </w:pPr>
                </w:p>
                <w:p>
                  <w:pPr>
                    <w:jc w:val="both"/>
                  </w:pPr>
                  <w:r>
                    <w:t>1) se conforme aux dispositions légales et réglementaires concernant l’organisation des études, les statuts administratifs des membres du personnel et l’application des lois linguistiques ;</w:t>
                  </w:r>
                </w:p>
                <w:p>
                  <w:pPr>
                    <w:jc w:val="both"/>
                  </w:pPr>
                </w:p>
                <w:p>
                  <w:pPr>
                    <w:jc w:val="both"/>
                  </w:pPr>
                  <w:r>
                    <w:t>2) adopte une structure  existante dans l’enseignement de la Fédération Wallonie-Bruxelles ;</w:t>
                  </w:r>
                </w:p>
                <w:p>
                  <w:pPr>
                    <w:jc w:val="both"/>
                  </w:pPr>
                </w:p>
                <w:p>
                  <w:pPr>
                    <w:jc w:val="both"/>
                  </w:pPr>
                  <w:r>
                    <w:t>3) respecte les dispositions fixées :</w:t>
                  </w:r>
                </w:p>
                <w:p>
                  <w:pPr>
                    <w:numPr>
                      <w:ilvl w:val="0"/>
                      <w:numId w:val="109"/>
                    </w:numPr>
                    <w:suppressAutoHyphens/>
                    <w:ind w:left="709" w:hanging="709"/>
                    <w:jc w:val="both"/>
                  </w:pPr>
                  <w:r>
                    <w:t>par le décret du 24 juillet 1997 définissant les missions prioritaires de l’enseignement fondamental et de l’enseignement secondaire et organisant les structures propres à les atteindre ;</w:t>
                  </w:r>
                </w:p>
                <w:p>
                  <w:pPr>
                    <w:numPr>
                      <w:ilvl w:val="0"/>
                      <w:numId w:val="109"/>
                    </w:numPr>
                    <w:suppressAutoHyphens/>
                    <w:ind w:left="709" w:hanging="709"/>
                    <w:jc w:val="both"/>
                  </w:pPr>
                  <w:r>
                    <w:t>par le décret du 20 décembre 2001 relatif à la promotion de la santé à l’école ;</w:t>
                  </w:r>
                </w:p>
                <w:p>
                  <w:pPr>
                    <w:jc w:val="both"/>
                  </w:pPr>
                </w:p>
                <w:p>
                  <w:pPr>
                    <w:jc w:val="both"/>
                  </w:pPr>
                  <w:r>
                    <w:t>4) est organisé par une personne physique ou morale</w:t>
                  </w:r>
                  <w:r>
                    <w:rPr>
                      <w:rStyle w:val="Caractresdenotedebasdepage"/>
                    </w:rPr>
                    <w:t>(2)</w:t>
                  </w:r>
                  <w:r>
                    <w:t xml:space="preserve"> qui en assume la responsabilité ; </w:t>
                  </w:r>
                </w:p>
                <w:p>
                  <w:pPr>
                    <w:numPr>
                      <w:ilvl w:val="0"/>
                      <w:numId w:val="71"/>
                    </w:numPr>
                    <w:suppressAutoHyphens/>
                    <w:ind w:left="0" w:firstLine="0"/>
                    <w:jc w:val="both"/>
                  </w:pPr>
                  <w:r>
                    <w:t>dénomination de cette personne :</w:t>
                  </w:r>
                </w:p>
                <w:p>
                  <w:pPr>
                    <w:jc w:val="both"/>
                  </w:pPr>
                </w:p>
                <w:p>
                  <w:pPr>
                    <w:jc w:val="both"/>
                  </w:pPr>
                  <w:r>
                    <w:t xml:space="preserve">5) forme un ensemble pédagogique situé </w:t>
                  </w:r>
                  <w:r>
                    <w:rPr>
                      <w:rStyle w:val="Caractresdenotedebasdepage"/>
                    </w:rPr>
                    <w:footnoteReference w:customMarkFollows="1" w:id="101"/>
                    <w:t>(3)</w:t>
                  </w:r>
                  <w:r>
                    <w:t> ;</w:t>
                  </w:r>
                </w:p>
                <w:p>
                  <w:pPr>
                    <w:jc w:val="both"/>
                  </w:pPr>
                </w:p>
                <w:p>
                  <w:pPr>
                    <w:jc w:val="both"/>
                  </w:pPr>
                  <w:r>
                    <w:t>6) se soumet au régime des congés tel qu’il est prévu par l’arrêté de l’Exécutif de la Communauté française du 22 mars 1984 fixant le régime des vacances et des congés dans l’enseignement organisé dans la Communauté française ;</w:t>
                  </w:r>
                </w:p>
                <w:p>
                  <w:pPr>
                    <w:jc w:val="both"/>
                  </w:pPr>
                </w:p>
                <w:p>
                  <w:pPr>
                    <w:jc w:val="both"/>
                  </w:pPr>
                  <w:r>
                    <w:t>7) respecte un programme conforme aux prescriptions légales</w:t>
                  </w:r>
                  <w:r>
                    <w:rPr>
                      <w:rStyle w:val="Caractresdenotedebasdepage"/>
                    </w:rPr>
                    <w:footnoteReference w:customMarkFollows="1" w:id="102"/>
                    <w:t>(4)</w:t>
                  </w:r>
                  <w:r>
                    <w:t> ;</w:t>
                  </w:r>
                </w:p>
                <w:p>
                  <w:pPr>
                    <w:jc w:val="both"/>
                  </w:pPr>
                </w:p>
                <w:p>
                  <w:pPr>
                    <w:jc w:val="both"/>
                  </w:pPr>
                  <w:r>
                    <w:t>8) se soumet au contrôle de la vérification comptable et de l’inspection organisés par la Fédération Wallonie-Bruxelles;</w:t>
                  </w:r>
                </w:p>
                <w:p>
                  <w:pPr>
                    <w:jc w:val="both"/>
                  </w:pPr>
                </w:p>
                <w:p>
                  <w:pPr>
                    <w:jc w:val="both"/>
                  </w:pPr>
                  <w:r>
                    <w:t>9) est établi dans des locaux répondant aux conditions normales d’hygiène et de salubrité telles que fixées par la réglementation et notamment celles fixées par l’arrêté royal du 18 novembre 1957</w:t>
                  </w:r>
                  <w:r>
                    <w:rPr>
                      <w:color w:val="4A4A4A"/>
                    </w:rPr>
                    <w:t xml:space="preserve"> </w:t>
                  </w:r>
                  <w:r>
                    <w:t>portant les conditions d'hygiène et de salubrité exigées des établissements d'enseignement moyen, technique et normal subventionnés ;</w:t>
                  </w:r>
                </w:p>
                <w:p>
                  <w:pPr>
                    <w:jc w:val="both"/>
                  </w:pPr>
                </w:p>
                <w:p>
                  <w:pPr>
                    <w:jc w:val="both"/>
                  </w:pPr>
                  <w:r>
                    <w:t>10) dispose du matériel didactique et de l’équipement répondant aux nécessités pédagogiques;</w:t>
                  </w:r>
                </w:p>
                <w:p>
                  <w:pPr>
                    <w:jc w:val="both"/>
                  </w:pPr>
                </w:p>
                <w:p>
                  <w:pPr>
                    <w:jc w:val="both"/>
                  </w:pPr>
                  <w:r>
                    <w:t>11) dispose d’un personnel qui ne met pas en danger la santé des élèves et qui se soumet au contrôle de santé administratif ;</w:t>
                  </w:r>
                </w:p>
                <w:p>
                  <w:pPr>
                    <w:jc w:val="both"/>
                  </w:pPr>
                </w:p>
                <w:p>
                  <w:pPr>
                    <w:jc w:val="both"/>
                  </w:pPr>
                  <w:r>
                    <w:t xml:space="preserve">12) compte par type d’enseignement spécialisé le nombre minimum d’élèves fixé par la réglementation et compte </w:t>
                  </w:r>
                  <w:r>
                    <w:tab/>
                  </w:r>
                  <w:r>
                    <w:tab/>
                    <w:t>élèves.</w:t>
                  </w:r>
                </w:p>
                <w:p>
                  <w:pPr>
                    <w:jc w:val="both"/>
                  </w:pPr>
                </w:p>
                <w:p>
                  <w:pPr>
                    <w:jc w:val="both"/>
                  </w:pPr>
                </w:p>
                <w:p>
                  <w:pPr>
                    <w:jc w:val="both"/>
                  </w:pPr>
                  <w:r>
                    <w:t>Au nom du pouvoir organisateur</w:t>
                  </w:r>
                </w:p>
                <w:p>
                  <w:pPr>
                    <w:jc w:val="both"/>
                  </w:pPr>
                </w:p>
                <w:p>
                  <w:pPr>
                    <w:jc w:val="both"/>
                  </w:pPr>
                </w:p>
                <w:p>
                  <w:pPr>
                    <w:jc w:val="both"/>
                  </w:pPr>
                </w:p>
                <w:p>
                  <w:pPr>
                    <w:jc w:val="both"/>
                  </w:pPr>
                  <w:r>
                    <w:t xml:space="preserve">             Date et signature</w:t>
                  </w:r>
                </w:p>
                <w:p>
                  <w:pPr>
                    <w:pStyle w:val="Sansinterligne"/>
                    <w:jc w:val="both"/>
                    <w:rPr>
                      <w:rFonts w:asciiTheme="majorHAnsi" w:hAnsiTheme="majorHAnsi"/>
                    </w:rPr>
                  </w:pPr>
                  <w:r>
                    <w:rPr>
                      <w:rFonts w:asciiTheme="majorHAnsi" w:hAnsiTheme="majorHAnsi"/>
                    </w:rPr>
                    <w:br w:type="page"/>
                  </w:r>
                </w:p>
                <w:sdt>
                  <w:sdtPr>
                    <w:id w:val="1412036194"/>
                    <w:docPartObj>
                      <w:docPartGallery w:val="Cover Pages"/>
                      <w:docPartUnique/>
                    </w:docPartObj>
                  </w:sdtPr>
                  <w:sdtContent>
                    <w:p>
                      <w:pPr>
                        <w:tabs>
                          <w:tab w:val="center" w:pos="4536"/>
                        </w:tabs>
                      </w:pPr>
                    </w:p>
                    <w:p>
                      <w:pPr>
                        <w:pStyle w:val="Titre2"/>
                      </w:pPr>
                      <w:bookmarkStart w:id="1686" w:name="_Toc477623663"/>
                      <w:bookmarkStart w:id="1687" w:name="_Toc477767456"/>
                      <w:bookmarkStart w:id="1688" w:name="_Toc18914428"/>
                      <w:r>
                        <w:t>Chapitre</w:t>
                      </w:r>
                      <w:bookmarkEnd w:id="1686"/>
                      <w:bookmarkEnd w:id="1687"/>
                      <w:r>
                        <w:t xml:space="preserve"> 4 :</w:t>
                      </w:r>
                      <w:bookmarkStart w:id="1689" w:name="_Toc477623664"/>
                      <w:bookmarkStart w:id="1690" w:name="_Toc477767457"/>
                      <w:r>
                        <w:t xml:space="preserve"> Calendrier scolaire, suspension des cours et fermeture exceptionnelle</w:t>
                      </w:r>
                      <w:bookmarkEnd w:id="1689"/>
                      <w:bookmarkEnd w:id="1690"/>
                      <w:bookmarkEnd w:id="1688"/>
                    </w:p>
                    <w:p/>
                    <w:p>
                      <w:pPr>
                        <w:rPr>
                          <w:rFonts w:eastAsiaTheme="minorEastAsia"/>
                          <w:lang w:eastAsia="fr-BE"/>
                        </w:rPr>
                      </w:pPr>
                    </w:p>
                    <w:p>
                      <w:pPr>
                        <w:rPr>
                          <w:rFonts w:eastAsiaTheme="minorEastAsia"/>
                          <w:lang w:eastAsia="fr-BE"/>
                        </w:rPr>
                      </w:pPr>
                    </w:p>
                    <w:p>
                      <w:pPr>
                        <w:rPr>
                          <w:rFonts w:eastAsiaTheme="minorEastAsia"/>
                          <w:lang w:eastAsia="fr-BE"/>
                        </w:rPr>
                      </w:pPr>
                    </w:p>
                  </w:sdtContent>
                </w:sdt>
                <w:p>
                  <w:pPr>
                    <w:jc w:val="both"/>
                    <w:rPr>
                      <w:b/>
                      <w:u w:val="single"/>
                    </w:rPr>
                  </w:pPr>
                  <w:r>
                    <w:rPr>
                      <w:b/>
                      <w:u w:val="single"/>
                    </w:rPr>
                    <w:t>Bases légales :</w:t>
                  </w:r>
                </w:p>
                <w:p>
                  <w:pPr>
                    <w:jc w:val="both"/>
                    <w:rPr>
                      <w:b/>
                      <w:u w:val="single"/>
                    </w:rPr>
                  </w:pPr>
                </w:p>
                <w:p>
                  <w:pPr>
                    <w:numPr>
                      <w:ilvl w:val="0"/>
                      <w:numId w:val="43"/>
                    </w:numPr>
                    <w:suppressAutoHyphens/>
                    <w:jc w:val="both"/>
                    <w:rPr>
                      <w:rFonts w:cs="Arial"/>
                    </w:rPr>
                  </w:pPr>
                  <w:hyperlink r:id="rId131" w:history="1">
                    <w:r>
                      <w:rPr>
                        <w:rStyle w:val="Lienhypertexte"/>
                        <w:rFonts w:cs="Arial"/>
                      </w:rPr>
                      <w:t>Décret du 3 mars 2004 organisant l'Enseignement spécialisé</w:t>
                    </w:r>
                  </w:hyperlink>
                  <w:r>
                    <w:rPr>
                      <w:rFonts w:cs="Arial"/>
                    </w:rPr>
                    <w:t> ;</w:t>
                  </w:r>
                </w:p>
                <w:p>
                  <w:pPr>
                    <w:numPr>
                      <w:ilvl w:val="0"/>
                      <w:numId w:val="43"/>
                    </w:numPr>
                    <w:suppressAutoHyphens/>
                    <w:jc w:val="both"/>
                    <w:rPr>
                      <w:rStyle w:val="Lienhypertexte"/>
                      <w:rFonts w:cs="Arial"/>
                      <w:color w:val="auto"/>
                      <w:u w:val="none"/>
                    </w:rPr>
                  </w:pPr>
                  <w:hyperlink r:id="rId132" w:history="1">
                    <w:r>
                      <w:rPr>
                        <w:rStyle w:val="Lienhypertexte"/>
                        <w:rFonts w:cs="Arial"/>
                      </w:rPr>
                      <w:t>Arrêté de l’Exécutif du 22 mars 1984 fixant le régime des vacances et des congés dans l’enseignement organisé dans la Communauté française.</w:t>
                    </w:r>
                  </w:hyperlink>
                </w:p>
                <w:p>
                  <w:pPr>
                    <w:numPr>
                      <w:ilvl w:val="0"/>
                      <w:numId w:val="43"/>
                    </w:numPr>
                    <w:suppressAutoHyphens/>
                    <w:jc w:val="both"/>
                    <w:rPr>
                      <w:rFonts w:cs="Arial"/>
                    </w:rPr>
                  </w:pPr>
                  <w:hyperlink r:id="rId133" w:history="1">
                    <w:r>
                      <w:rPr>
                        <w:rStyle w:val="Lienhypertexte"/>
                        <w:rFonts w:cs="Arial"/>
                      </w:rPr>
                      <w:t>Circulaire n° 7142 du 22 mai 2019 concernant la Formation en cours de carrière – demande pour des demi-jours de formation supplémentaire – première et deuxième cohorte des établissements scolaires devant établir un plan de pilotage</w:t>
                    </w:r>
                  </w:hyperlink>
                </w:p>
                <w:p>
                  <w:pPr>
                    <w:rPr>
                      <w:rFonts w:cs="Arial"/>
                    </w:rPr>
                  </w:pPr>
                </w:p>
                <w:p>
                  <w:pPr>
                    <w:rPr>
                      <w:rFonts w:cs="Arial"/>
                    </w:rPr>
                  </w:pPr>
                </w:p>
                <w:p>
                  <w:pPr>
                    <w:pStyle w:val="Titre3"/>
                  </w:pPr>
                  <w:bookmarkStart w:id="1691" w:name="_1._Calendrier_scolaire"/>
                  <w:bookmarkStart w:id="1692" w:name="_Toc391629049"/>
                  <w:bookmarkStart w:id="1693" w:name="_Toc414353027"/>
                  <w:bookmarkStart w:id="1694" w:name="_Toc453837055"/>
                  <w:bookmarkStart w:id="1695" w:name="_Toc18914429"/>
                  <w:bookmarkEnd w:id="1691"/>
                  <w:r>
                    <w:t xml:space="preserve">1. Calendrier scolaire </w:t>
                  </w:r>
                  <w:bookmarkEnd w:id="1692"/>
                  <w:bookmarkEnd w:id="1693"/>
                  <w:r>
                    <w:t>2019-20</w:t>
                  </w:r>
                  <w:bookmarkEnd w:id="1694"/>
                  <w:r>
                    <w:t>20</w:t>
                  </w:r>
                  <w:bookmarkEnd w:id="1695"/>
                </w:p>
                <w:p/>
                <w:p>
                  <w:pPr>
                    <w:pBdr>
                      <w:right w:val="single" w:sz="4" w:space="4" w:color="auto"/>
                    </w:pBdr>
                    <w:rPr>
                      <w:rFonts w:cs="Arial"/>
                    </w:rPr>
                  </w:pPr>
                  <w:bookmarkStart w:id="1696" w:name="_Toc295913783"/>
                  <w:bookmarkStart w:id="1697" w:name="_Toc295932053"/>
                  <w:bookmarkStart w:id="1698" w:name="_Toc391629050"/>
                  <w:bookmarkStart w:id="1699" w:name="_Toc414353028"/>
                  <w:r>
                    <w:rPr>
                      <w:rFonts w:cs="Arial"/>
                    </w:rPr>
                    <w:t xml:space="preserve">Le nombre de jours de classe est fixé à </w:t>
                  </w:r>
                  <w:r>
                    <w:rPr>
                      <w:rFonts w:cs="Arial"/>
                      <w:b/>
                      <w:color w:val="7030A0"/>
                    </w:rPr>
                    <w:t>181</w:t>
                  </w:r>
                  <w:r>
                    <w:rPr>
                      <w:rFonts w:cs="Arial"/>
                      <w:b/>
                      <w:color w:val="FF0000"/>
                    </w:rPr>
                    <w:t xml:space="preserve"> </w:t>
                  </w:r>
                  <w:r>
                    <w:rPr>
                      <w:rFonts w:cs="Arial"/>
                    </w:rPr>
                    <w:t>jours.</w:t>
                  </w:r>
                </w:p>
                <w:p>
                  <w:pPr>
                    <w:rPr>
                      <w:rFonts w:cs="Arial"/>
                    </w:rPr>
                  </w:pPr>
                  <w:r>
                    <w:rPr>
                      <w:rFonts w:cs="Arial"/>
                      <w:noProof/>
                      <w:lang w:eastAsia="fr-BE"/>
                    </w:rPr>
                    <mc:AlternateContent>
                      <mc:Choice Requires="wps">
                        <w:drawing>
                          <wp:anchor distT="0" distB="0" distL="114300" distR="114300" simplePos="0" relativeHeight="252042240" behindDoc="0" locked="0" layoutInCell="1" allowOverlap="1">
                            <wp:simplePos x="0" y="0"/>
                            <wp:positionH relativeFrom="column">
                              <wp:posOffset>6021366</wp:posOffset>
                            </wp:positionH>
                            <wp:positionV relativeFrom="paragraph">
                              <wp:posOffset>132656</wp:posOffset>
                            </wp:positionV>
                            <wp:extent cx="0" cy="2200275"/>
                            <wp:effectExtent l="0" t="0" r="19050" b="28575"/>
                            <wp:wrapNone/>
                            <wp:docPr id="4928" name="Connecteur droit 4928"/>
                            <wp:cNvGraphicFramePr/>
                            <a:graphic xmlns:a="http://schemas.openxmlformats.org/drawingml/2006/main">
                              <a:graphicData uri="http://schemas.microsoft.com/office/word/2010/wordprocessingShape">
                                <wps:wsp>
                                  <wps:cNvCnPr/>
                                  <wps:spPr>
                                    <a:xfrm>
                                      <a:off x="0" y="0"/>
                                      <a:ext cx="0" cy="22002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16F3E2" id="Connecteur droit 4928" o:spid="_x0000_s1026" style="position:absolute;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4.1pt,10.45pt" to="474.1pt,18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" strokecolor="black [3040]"/>
                        </w:pict>
                      </mc:Fallback>
                    </mc:AlternateContent>
                  </w:r>
                </w:p>
                <w:tbl>
                  <w:tblPr>
                    <w:tblW w:w="0" w:type="auto"/>
                    <w:tblCellSpacing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5" w:type="dxa"/>
                      <w:left w:w="15" w:type="dxa"/>
                      <w:bottom w:w="15" w:type="dxa"/>
                      <w:right w:w="15" w:type="dxa"/>
                    </w:tblCellMar>
                    <w:tblLook w:val="04A0" w:firstRow="1" w:lastRow="0" w:firstColumn="1" w:lastColumn="0" w:noHBand="0" w:noVBand="1"/>
                  </w:tblPr>
                  <w:tblGrid>
                    <w:gridCol w:w="3321"/>
                    <w:gridCol w:w="5583"/>
                  </w:tblGrid>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Rentrée scolaire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lundi 2 septembre 2019</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Fête de la Communauté française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vendredi 27 septembre 2019</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Congé d'automne (Toussaint)</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du lundi 28 octobre 2019 au vendredi 1</w:t>
                        </w:r>
                        <w:r>
                          <w:rPr>
                            <w:rFonts w:eastAsia="Times New Roman" w:cs="Arial"/>
                            <w:spacing w:val="2"/>
                            <w:vertAlign w:val="superscript"/>
                            <w:lang w:eastAsia="fr-BE"/>
                          </w:rPr>
                          <w:t>er</w:t>
                        </w:r>
                        <w:r>
                          <w:rPr>
                            <w:rFonts w:eastAsia="Times New Roman" w:cs="Arial"/>
                            <w:spacing w:val="2"/>
                            <w:lang w:eastAsia="fr-BE"/>
                          </w:rPr>
                          <w:t xml:space="preserve"> novembre 2019</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Commémoration du 11 novembre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lundi 11 novembre 2019</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Vacances d'hiver (Noël)</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du lundi 23 décembre 2019 au vendredi 3 janvier 2020</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Congé de détente (Carnaval)</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du lundi 24 février 2020 au vendredi 28 février 2020</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Vacances de printemps (Pâques)</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du lundi 06 avril 2020 au vendredi 17 avril 2020</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Fête du 1er mai</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vendredi 1er mai 2020</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Congé de l'Ascension</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jeudi 21 mai 2020</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Congé</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vendredi 22 mai 2020</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pPr>
                          <w:pBdr>
                            <w:right w:val="single" w:sz="18" w:space="0" w:color="FF0000"/>
                          </w:pBdr>
                          <w:rPr>
                            <w:rFonts w:eastAsia="Times New Roman" w:cs="Arial"/>
                            <w:spacing w:val="2"/>
                            <w:lang w:eastAsia="fr-BE"/>
                          </w:rPr>
                        </w:pPr>
                        <w:r>
                          <w:rPr>
                            <w:rFonts w:eastAsia="Times New Roman" w:cs="Arial"/>
                            <w:spacing w:val="2"/>
                            <w:lang w:eastAsia="fr-BE"/>
                          </w:rPr>
                          <w:t xml:space="preserve">Les vacances d’été débutent le </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pPr>
                          <w:pBdr>
                            <w:right w:val="single" w:sz="18" w:space="0" w:color="FF0000"/>
                          </w:pBdr>
                          <w:rPr>
                            <w:rFonts w:eastAsia="Times New Roman" w:cs="Arial"/>
                            <w:spacing w:val="2"/>
                            <w:lang w:eastAsia="fr-BE"/>
                          </w:rPr>
                        </w:pPr>
                        <w:r>
                          <w:rPr>
                            <w:rFonts w:eastAsia="Times New Roman" w:cs="Arial"/>
                            <w:spacing w:val="2"/>
                            <w:lang w:eastAsia="fr-BE"/>
                          </w:rPr>
                          <w:t>Mercredi 1</w:t>
                        </w:r>
                        <w:r>
                          <w:rPr>
                            <w:rFonts w:eastAsia="Times New Roman" w:cs="Arial"/>
                            <w:spacing w:val="2"/>
                            <w:vertAlign w:val="superscript"/>
                            <w:lang w:eastAsia="fr-BE"/>
                          </w:rPr>
                          <w:t>er</w:t>
                        </w:r>
                        <w:r>
                          <w:rPr>
                            <w:rFonts w:eastAsia="Times New Roman" w:cs="Arial"/>
                            <w:spacing w:val="2"/>
                            <w:lang w:eastAsia="fr-BE"/>
                          </w:rPr>
                          <w:t xml:space="preserve"> juillet 2020</w:t>
                        </w:r>
                      </w:p>
                    </w:tc>
                  </w:tr>
                </w:tbl>
                <w:p>
                  <w:pPr>
                    <w:pStyle w:val="Paragraphedeliste"/>
                    <w:ind w:left="0"/>
                    <w:rPr>
                      <w:rFonts w:asciiTheme="majorHAnsi" w:hAnsiTheme="majorHAnsi"/>
                      <w:sz w:val="22"/>
                      <w:szCs w:val="22"/>
                    </w:rPr>
                  </w:pPr>
                </w:p>
                <w:p>
                  <w:pPr>
                    <w:pStyle w:val="Titre3"/>
                  </w:pPr>
                  <w:bookmarkStart w:id="1700" w:name="_2._Suspension_de"/>
                  <w:bookmarkStart w:id="1701" w:name="_Toc453837056"/>
                  <w:bookmarkStart w:id="1702" w:name="_Toc18914430"/>
                  <w:bookmarkEnd w:id="1700"/>
                  <w:r>
                    <w:t>2. Suspension de cours</w:t>
                  </w:r>
                  <w:bookmarkEnd w:id="1696"/>
                  <w:bookmarkEnd w:id="1697"/>
                  <w:bookmarkEnd w:id="1698"/>
                  <w:bookmarkEnd w:id="1699"/>
                  <w:bookmarkEnd w:id="1701"/>
                  <w:bookmarkEnd w:id="1702"/>
                </w:p>
                <w:p>
                  <w:pPr>
                    <w:jc w:val="both"/>
                  </w:pPr>
                </w:p>
                <w:p>
                  <w:pPr>
                    <w:pStyle w:val="Titre4"/>
                  </w:pPr>
                  <w:bookmarkStart w:id="1703" w:name="_2.1._Principe_général"/>
                  <w:bookmarkEnd w:id="1703"/>
                  <w:r>
                    <w:t>2.1. Principe général</w:t>
                  </w:r>
                </w:p>
                <w:p>
                  <w:pPr>
                    <w:pBdr>
                      <w:right w:val="single" w:sz="4" w:space="4" w:color="auto"/>
                    </w:pBdr>
                    <w:tabs>
                      <w:tab w:val="left" w:pos="2415"/>
                    </w:tabs>
                    <w:jc w:val="both"/>
                  </w:pPr>
                  <w:r>
                    <w:tab/>
                  </w:r>
                </w:p>
                <w:p>
                  <w:pPr>
                    <w:pBdr>
                      <w:right w:val="single" w:sz="4" w:space="4" w:color="auto"/>
                    </w:pBdr>
                    <w:jc w:val="both"/>
                    <w:rPr>
                      <w:rFonts w:cs="Arial"/>
                    </w:rPr>
                  </w:pPr>
                  <w:r>
                    <w:rPr>
                      <w:rFonts w:cs="Arial"/>
                    </w:rPr>
                    <w:t xml:space="preserve">Les demi-jours ou les jours où les cours n’ont pas été donnés doivent être récupérés.  </w:t>
                  </w:r>
                </w:p>
                <w:p>
                  <w:pPr>
                    <w:pBdr>
                      <w:right w:val="single" w:sz="4" w:space="4" w:color="auto"/>
                    </w:pBdr>
                    <w:jc w:val="both"/>
                    <w:rPr>
                      <w:rFonts w:cs="Arial"/>
                    </w:rPr>
                  </w:pPr>
                </w:p>
                <w:p>
                  <w:pPr>
                    <w:pBdr>
                      <w:right w:val="single" w:sz="4" w:space="4" w:color="auto"/>
                    </w:pBdr>
                    <w:jc w:val="both"/>
                    <w:rPr>
                      <w:rFonts w:cs="Arial"/>
                    </w:rPr>
                  </w:pPr>
                  <w:r>
                    <w:rPr>
                      <w:rFonts w:cs="Arial"/>
                    </w:rPr>
                    <w:t xml:space="preserve">A cet effet, le chef d’établissement, dans l’enseignement organisé par la Communauté française, ou le pouvoir organisateur ou son délégué, dans l’enseignement subventionné, informe spontanément la </w:t>
                  </w:r>
                  <w:r>
                    <w:t>Direction générale de l'Enseignement obligatoire</w:t>
                  </w:r>
                  <w:r>
                    <w:rPr>
                      <w:rFonts w:cs="Arial"/>
                    </w:rPr>
                    <w:t xml:space="preserve"> des modalités de récupération de ces cours, au plus tard dans les vingt jours ouvrables à dater du premier demi-jour de suspension des cours,</w:t>
                  </w:r>
                  <w:r>
                    <w:rPr>
                      <w:rFonts w:ascii="Cambria" w:hAnsi="Cambria" w:cs="Arial"/>
                    </w:rPr>
                    <w:t xml:space="preserve"> et ce au moyen de l</w:t>
                  </w:r>
                  <w:r>
                    <w:rPr>
                      <w:rFonts w:ascii="Cambria" w:hAnsi="Cambria" w:cs="Arial"/>
                      <w:b/>
                    </w:rPr>
                    <w:t xml:space="preserve">’annexe </w:t>
                  </w:r>
                  <w:r>
                    <w:rPr>
                      <w:rFonts w:ascii="Cambria" w:hAnsi="Cambria" w:cs="Arial"/>
                    </w:rPr>
                    <w:t>1,</w:t>
                  </w:r>
                  <w:r>
                    <w:rPr>
                      <w:rFonts w:cs="Arial"/>
                    </w:rPr>
                    <w:t xml:space="preserve"> après que les modalités de récupération des cours aient été déterminées au sein de l’organe de concertation locale, qui veillera pour ce faire à prendre en considération l’offre de transport public et/ou scolaire.</w:t>
                  </w:r>
                </w:p>
                <w:p>
                  <w:pPr>
                    <w:jc w:val="both"/>
                    <w:rPr>
                      <w:rFonts w:cs="Arial"/>
                    </w:rPr>
                  </w:pPr>
                </w:p>
                <w:p>
                  <w:pPr>
                    <w:jc w:val="both"/>
                    <w:rPr>
                      <w:rFonts w:cs="Arial"/>
                    </w:rPr>
                  </w:pPr>
                </w:p>
                <w:p>
                  <w:pPr>
                    <w:jc w:val="both"/>
                    <w:rPr>
                      <w:rFonts w:cs="Arial"/>
                    </w:rPr>
                  </w:pPr>
                </w:p>
                <w:p>
                  <w:pPr>
                    <w:jc w:val="both"/>
                    <w:rPr>
                      <w:rFonts w:cs="Arial"/>
                    </w:rPr>
                  </w:pPr>
                </w:p>
                <w:p>
                  <w:pPr>
                    <w:jc w:val="both"/>
                    <w:rPr>
                      <w:rFonts w:ascii="Cambria" w:hAnsi="Cambria"/>
                    </w:rPr>
                  </w:pPr>
                  <w:hyperlink w:anchor="_Annexe_1_:_18" w:history="1">
                    <w:r>
                      <w:rPr>
                        <w:rStyle w:val="Lienhypertexte"/>
                        <w:rFonts w:ascii="Cambria" w:hAnsi="Cambria" w:cstheme="minorBidi"/>
                      </w:rPr>
                      <w:t>L’Annexe 1</w:t>
                    </w:r>
                  </w:hyperlink>
                  <w:r>
                    <w:rPr>
                      <w:rFonts w:ascii="Cambria" w:hAnsi="Cambria"/>
                    </w:rPr>
                    <w:t xml:space="preserve"> est à adresser à l’adresse suivante : </w:t>
                  </w:r>
                </w:p>
                <w:p>
                  <w:pPr>
                    <w:jc w:val="both"/>
                    <w:rPr>
                      <w:rFonts w:ascii="Cambria" w:hAnsi="Cambria"/>
                    </w:rPr>
                  </w:pPr>
                </w:p>
                <w:p>
                  <w:pPr>
                    <w:pBdr>
                      <w:top w:val="single" w:sz="4" w:space="1" w:color="auto"/>
                      <w:left w:val="single" w:sz="4" w:space="4" w:color="auto"/>
                      <w:bottom w:val="single" w:sz="4" w:space="1" w:color="auto"/>
                      <w:right w:val="single" w:sz="4" w:space="4" w:color="auto"/>
                    </w:pBdr>
                    <w:jc w:val="center"/>
                  </w:pPr>
                  <w:r>
                    <w:t>Direction générale de l’enseignement obligatoire</w:t>
                  </w:r>
                </w:p>
                <w:p>
                  <w:pPr>
                    <w:pBdr>
                      <w:top w:val="single" w:sz="4" w:space="1" w:color="auto"/>
                      <w:left w:val="single" w:sz="4" w:space="4" w:color="auto"/>
                      <w:bottom w:val="single" w:sz="4" w:space="1" w:color="auto"/>
                      <w:right w:val="single" w:sz="4" w:space="4" w:color="auto"/>
                    </w:pBdr>
                    <w:jc w:val="center"/>
                  </w:pPr>
                  <w:r>
                    <w:t>Service de l’enseignement spécialisé</w:t>
                  </w:r>
                </w:p>
                <w:p>
                  <w:pPr>
                    <w:pBdr>
                      <w:top w:val="single" w:sz="4" w:space="1" w:color="auto"/>
                      <w:left w:val="single" w:sz="4" w:space="4" w:color="auto"/>
                      <w:bottom w:val="single" w:sz="4" w:space="1" w:color="auto"/>
                      <w:right w:val="single" w:sz="4" w:space="4" w:color="auto"/>
                    </w:pBdr>
                    <w:jc w:val="center"/>
                  </w:pPr>
                  <w:r>
                    <w:t>Rue Adolphe Lavallée, 1</w:t>
                  </w:r>
                </w:p>
                <w:p>
                  <w:pPr>
                    <w:pBdr>
                      <w:top w:val="single" w:sz="4" w:space="1" w:color="auto"/>
                      <w:left w:val="single" w:sz="4" w:space="4" w:color="auto"/>
                      <w:bottom w:val="single" w:sz="4" w:space="1" w:color="auto"/>
                      <w:right w:val="single" w:sz="4" w:space="4" w:color="auto"/>
                    </w:pBdr>
                    <w:jc w:val="center"/>
                  </w:pPr>
                  <w:r>
                    <w:t>1080    BRUXELLES</w:t>
                  </w:r>
                </w:p>
                <w:p>
                  <w:pPr>
                    <w:pBdr>
                      <w:top w:val="single" w:sz="4" w:space="1" w:color="auto"/>
                      <w:left w:val="single" w:sz="4" w:space="4" w:color="auto"/>
                      <w:bottom w:val="single" w:sz="4" w:space="1" w:color="auto"/>
                      <w:right w:val="single" w:sz="4" w:space="4" w:color="auto"/>
                    </w:pBdr>
                    <w:jc w:val="center"/>
                  </w:pPr>
                  <w:r>
                    <w:t>Madame Véronique ROMBAUT</w:t>
                  </w:r>
                </w:p>
                <w:p>
                  <w:pPr>
                    <w:pBdr>
                      <w:top w:val="single" w:sz="4" w:space="1" w:color="auto"/>
                      <w:left w:val="single" w:sz="4" w:space="4" w:color="auto"/>
                      <w:bottom w:val="single" w:sz="4" w:space="1" w:color="auto"/>
                      <w:right w:val="single" w:sz="4" w:space="4" w:color="auto"/>
                    </w:pBdr>
                    <w:jc w:val="center"/>
                  </w:pPr>
                  <w:r>
                    <w:t>Bureau 2F245</w:t>
                  </w:r>
                </w:p>
                <w:p>
                  <w:pPr>
                    <w:pBdr>
                      <w:top w:val="single" w:sz="4" w:space="1" w:color="auto"/>
                      <w:left w:val="single" w:sz="4" w:space="4" w:color="auto"/>
                      <w:bottom w:val="single" w:sz="4" w:space="1" w:color="auto"/>
                      <w:right w:val="single" w:sz="4" w:space="4" w:color="auto"/>
                    </w:pBdr>
                    <w:jc w:val="center"/>
                  </w:pPr>
                  <w:r>
                    <w:sym w:font="Wingdings" w:char="F028"/>
                  </w:r>
                  <w:r>
                    <w:t> : 02/690.83.99</w:t>
                  </w:r>
                </w:p>
                <w:p>
                  <w:pPr>
                    <w:pBdr>
                      <w:top w:val="single" w:sz="4" w:space="1" w:color="auto"/>
                      <w:left w:val="single" w:sz="4" w:space="4" w:color="auto"/>
                      <w:bottom w:val="single" w:sz="4" w:space="1" w:color="auto"/>
                      <w:right w:val="single" w:sz="4" w:space="4" w:color="auto"/>
                    </w:pBdr>
                    <w:jc w:val="center"/>
                  </w:pPr>
                  <w:r>
                    <w:rPr>
                      <w:bCs/>
                    </w:rPr>
                    <w:sym w:font="Wingdings" w:char="F03A"/>
                  </w:r>
                  <w:r>
                    <w:rPr>
                      <w:bCs/>
                    </w:rPr>
                    <w:t> :</w:t>
                  </w:r>
                  <w:r>
                    <w:t xml:space="preserve"> </w:t>
                  </w:r>
                  <w:hyperlink r:id="rId134" w:history="1">
                    <w:r>
                      <w:rPr>
                        <w:rStyle w:val="Lienhypertexte"/>
                        <w:rFonts w:ascii="Cambria" w:eastAsiaTheme="minorEastAsia" w:hAnsi="Cambria"/>
                      </w:rPr>
                      <w:t>veronique.rombaut@cfwb.be</w:t>
                    </w:r>
                  </w:hyperlink>
                </w:p>
                <w:p>
                  <w:pPr>
                    <w:jc w:val="both"/>
                    <w:rPr>
                      <w:rFonts w:ascii="Cambria" w:hAnsi="Cambria" w:cs="Arial"/>
                    </w:rPr>
                  </w:pPr>
                </w:p>
                <w:p>
                  <w:pPr>
                    <w:jc w:val="both"/>
                    <w:rPr>
                      <w:rFonts w:ascii="Cambria" w:hAnsi="Cambria" w:cs="Arial"/>
                    </w:rPr>
                  </w:pPr>
                  <w:r>
                    <w:rPr>
                      <w:rFonts w:ascii="Cambria" w:hAnsi="Cambria" w:cs="Arial"/>
                    </w:rPr>
                    <w:t>Le chef d’établissement ou le pouvoir organisateur qui a suspendu les cours sans devoir les récupérer ultérieurement doit néanmoins tout mettre en œuvre, dans la mesure du possible, afin que les compétences attendues soient atteintes au terme de l’année scolaire.</w:t>
                  </w:r>
                </w:p>
                <w:p>
                  <w:pPr>
                    <w:jc w:val="both"/>
                    <w:rPr>
                      <w:rFonts w:ascii="Cambria" w:hAnsi="Cambria" w:cs="Arial"/>
                    </w:rPr>
                  </w:pPr>
                  <w:r>
                    <w:rPr>
                      <w:rFonts w:ascii="Cambria" w:hAnsi="Cambria" w:cs="Arial"/>
                    </w:rPr>
                    <w:t>Si la fermeture de l’école résulte d’un événement prévisible, les cours qui n’ont pas été dispensés doivent être récupérés.</w:t>
                  </w:r>
                </w:p>
                <w:p>
                  <w:pPr>
                    <w:jc w:val="both"/>
                    <w:rPr>
                      <w:rFonts w:cs="Arial"/>
                    </w:rPr>
                  </w:pPr>
                </w:p>
                <w:p>
                  <w:pPr>
                    <w:pStyle w:val="Titre4"/>
                  </w:pPr>
                  <w:r>
                    <w:t>2.2. Cas où les cours ne doivent pas être récupérés :</w:t>
                  </w:r>
                </w:p>
                <w:p>
                  <w:pPr>
                    <w:jc w:val="both"/>
                    <w:rPr>
                      <w:rFonts w:cs="Arial"/>
                    </w:rPr>
                  </w:pPr>
                </w:p>
                <w:p>
                  <w:pPr>
                    <w:jc w:val="both"/>
                    <w:rPr>
                      <w:rFonts w:cs="Arial"/>
                    </w:rPr>
                  </w:pPr>
                  <w:r>
                    <w:rPr>
                      <w:rFonts w:cs="Arial"/>
                    </w:rPr>
                    <w:t>Par dérogation à l’alinéa précédent, les cours ne doivent néanmoins pas être récupérés si une prise en charge pédagogique des élèves concernés a pu être assurée par l’établissement scolaire, ou si la suspension des cours relève d’un cas de force majeure.</w:t>
                  </w:r>
                </w:p>
                <w:p>
                  <w:pPr>
                    <w:jc w:val="both"/>
                    <w:rPr>
                      <w:rFonts w:cs="Arial"/>
                    </w:rPr>
                  </w:pPr>
                </w:p>
                <w:p>
                  <w:pPr>
                    <w:jc w:val="both"/>
                    <w:rPr>
                      <w:rFonts w:cs="Arial"/>
                    </w:rPr>
                  </w:pPr>
                  <w:r>
                    <w:rPr>
                      <w:rFonts w:cs="Arial"/>
                    </w:rPr>
                    <w:t xml:space="preserve">Par « cas de force majeure », il y a lieu d’entendre un évènement irrésistible, imprévisible et extérieur à la personne qui l’invoque </w:t>
                  </w:r>
                  <w:r>
                    <w:rPr>
                      <w:rFonts w:ascii="Cambria" w:hAnsi="Cambria" w:cs="Arial"/>
                    </w:rPr>
                    <w:t>(exemples : panne de chauffage, tempête de neige)</w:t>
                  </w:r>
                  <w:r>
                    <w:rPr>
                      <w:rFonts w:cs="Arial"/>
                    </w:rPr>
                    <w:t>.</w:t>
                  </w:r>
                </w:p>
                <w:p>
                  <w:pPr>
                    <w:jc w:val="both"/>
                    <w:rPr>
                      <w:rFonts w:cs="Arial"/>
                    </w:rPr>
                  </w:pPr>
                </w:p>
                <w:p>
                  <w:pPr>
                    <w:jc w:val="both"/>
                    <w:rPr>
                      <w:rFonts w:ascii="Cambria" w:hAnsi="Cambria" w:cs="Arial"/>
                    </w:rPr>
                  </w:pPr>
                  <w:r>
                    <w:rPr>
                      <w:rFonts w:ascii="Cambria" w:hAnsi="Cambria" w:cs="Arial"/>
                    </w:rPr>
                    <w:t>Le chef d’établissement, ou le pouvoir organisateur ou son délégué, atteste de l’une ou l’autre des situations visées à l’alinéa précédent au moyen de l’annexe 1 au plus tard dans les dix jours ouvrables à dater du premier demi-jour de suspension des cours.</w:t>
                  </w:r>
                </w:p>
                <w:p>
                  <w:pPr>
                    <w:jc w:val="both"/>
                    <w:rPr>
                      <w:rFonts w:ascii="Cambria" w:hAnsi="Cambria" w:cs="Arial"/>
                    </w:rPr>
                  </w:pPr>
                </w:p>
                <w:p>
                  <w:pPr>
                    <w:jc w:val="both"/>
                    <w:rPr>
                      <w:rFonts w:ascii="Cambria" w:hAnsi="Cambria" w:cs="Arial"/>
                    </w:rPr>
                  </w:pPr>
                  <w:r>
                    <w:rPr>
                      <w:rFonts w:ascii="Cambria" w:hAnsi="Cambria" w:cs="Arial"/>
                    </w:rPr>
                    <w:t>Les services du Gouvernement sont habilités à vérifier que la déclaration sur l’honneur est conforme à la réalité.</w:t>
                  </w:r>
                </w:p>
                <w:p>
                  <w:pPr>
                    <w:rPr>
                      <w:rFonts w:ascii="Cambria" w:hAnsi="Cambria" w:cs="Arial"/>
                    </w:rPr>
                  </w:pPr>
                </w:p>
                <w:p>
                  <w:pPr>
                    <w:jc w:val="both"/>
                    <w:rPr>
                      <w:rFonts w:ascii="Cambria" w:hAnsi="Cambria"/>
                    </w:rPr>
                  </w:pPr>
                  <w:hyperlink w:anchor="_Annexe_1_:_18" w:history="1">
                    <w:r>
                      <w:rPr>
                        <w:rStyle w:val="Lienhypertexte"/>
                        <w:rFonts w:ascii="Cambria" w:hAnsi="Cambria" w:cstheme="minorBidi"/>
                      </w:rPr>
                      <w:t>L’Annexe 1</w:t>
                    </w:r>
                  </w:hyperlink>
                  <w:r>
                    <w:rPr>
                      <w:rFonts w:ascii="Cambria" w:hAnsi="Cambria"/>
                    </w:rPr>
                    <w:t xml:space="preserve"> est à adresser à l’adresse suivante : </w:t>
                  </w:r>
                </w:p>
                <w:p>
                  <w:pPr>
                    <w:jc w:val="both"/>
                    <w:rPr>
                      <w:rFonts w:ascii="Cambria" w:hAnsi="Cambria"/>
                    </w:rPr>
                  </w:pPr>
                </w:p>
                <w:p>
                  <w:pPr>
                    <w:pBdr>
                      <w:top w:val="single" w:sz="4" w:space="1" w:color="auto"/>
                      <w:left w:val="single" w:sz="4" w:space="4" w:color="auto"/>
                      <w:bottom w:val="single" w:sz="4" w:space="1" w:color="auto"/>
                      <w:right w:val="single" w:sz="4" w:space="4" w:color="auto"/>
                    </w:pBdr>
                    <w:jc w:val="center"/>
                  </w:pPr>
                  <w:r>
                    <w:t>Direction générale de l’enseignement obligatoire</w:t>
                  </w:r>
                </w:p>
                <w:p>
                  <w:pPr>
                    <w:pBdr>
                      <w:top w:val="single" w:sz="4" w:space="1" w:color="auto"/>
                      <w:left w:val="single" w:sz="4" w:space="4" w:color="auto"/>
                      <w:bottom w:val="single" w:sz="4" w:space="1" w:color="auto"/>
                      <w:right w:val="single" w:sz="4" w:space="4" w:color="auto"/>
                    </w:pBdr>
                    <w:jc w:val="center"/>
                  </w:pPr>
                  <w:r>
                    <w:t>Service de l’enseignement spécialisé</w:t>
                  </w:r>
                </w:p>
                <w:p>
                  <w:pPr>
                    <w:pBdr>
                      <w:top w:val="single" w:sz="4" w:space="1" w:color="auto"/>
                      <w:left w:val="single" w:sz="4" w:space="4" w:color="auto"/>
                      <w:bottom w:val="single" w:sz="4" w:space="1" w:color="auto"/>
                      <w:right w:val="single" w:sz="4" w:space="4" w:color="auto"/>
                    </w:pBdr>
                    <w:jc w:val="center"/>
                  </w:pPr>
                  <w:r>
                    <w:t>Rue Adolphe Lavallée, 1</w:t>
                  </w:r>
                </w:p>
                <w:p>
                  <w:pPr>
                    <w:pBdr>
                      <w:top w:val="single" w:sz="4" w:space="1" w:color="auto"/>
                      <w:left w:val="single" w:sz="4" w:space="4" w:color="auto"/>
                      <w:bottom w:val="single" w:sz="4" w:space="1" w:color="auto"/>
                      <w:right w:val="single" w:sz="4" w:space="4" w:color="auto"/>
                    </w:pBdr>
                    <w:jc w:val="center"/>
                  </w:pPr>
                  <w:r>
                    <w:t>1080    BRUXELLES</w:t>
                  </w:r>
                </w:p>
                <w:p>
                  <w:pPr>
                    <w:pBdr>
                      <w:top w:val="single" w:sz="4" w:space="1" w:color="auto"/>
                      <w:left w:val="single" w:sz="4" w:space="4" w:color="auto"/>
                      <w:bottom w:val="single" w:sz="4" w:space="1" w:color="auto"/>
                      <w:right w:val="single" w:sz="4" w:space="4" w:color="auto"/>
                    </w:pBdr>
                    <w:jc w:val="center"/>
                  </w:pPr>
                  <w:r>
                    <w:t>Madame Véronique ROMBAUT</w:t>
                  </w:r>
                </w:p>
                <w:p>
                  <w:pPr>
                    <w:pBdr>
                      <w:top w:val="single" w:sz="4" w:space="1" w:color="auto"/>
                      <w:left w:val="single" w:sz="4" w:space="4" w:color="auto"/>
                      <w:bottom w:val="single" w:sz="4" w:space="1" w:color="auto"/>
                      <w:right w:val="single" w:sz="4" w:space="4" w:color="auto"/>
                    </w:pBdr>
                    <w:jc w:val="center"/>
                  </w:pPr>
                  <w:r>
                    <w:t>Bureau 2F245</w:t>
                  </w:r>
                </w:p>
                <w:p>
                  <w:pPr>
                    <w:pBdr>
                      <w:top w:val="single" w:sz="4" w:space="1" w:color="auto"/>
                      <w:left w:val="single" w:sz="4" w:space="4" w:color="auto"/>
                      <w:bottom w:val="single" w:sz="4" w:space="1" w:color="auto"/>
                      <w:right w:val="single" w:sz="4" w:space="4" w:color="auto"/>
                    </w:pBdr>
                    <w:jc w:val="center"/>
                  </w:pPr>
                  <w:r>
                    <w:sym w:font="Wingdings" w:char="F028"/>
                  </w:r>
                  <w:r>
                    <w:t> : 02/690.83.99</w:t>
                  </w:r>
                </w:p>
                <w:p>
                  <w:pPr>
                    <w:pBdr>
                      <w:top w:val="single" w:sz="4" w:space="1" w:color="auto"/>
                      <w:left w:val="single" w:sz="4" w:space="4" w:color="auto"/>
                      <w:bottom w:val="single" w:sz="4" w:space="1" w:color="auto"/>
                      <w:right w:val="single" w:sz="4" w:space="4" w:color="auto"/>
                    </w:pBdr>
                    <w:jc w:val="center"/>
                  </w:pPr>
                  <w:r>
                    <w:rPr>
                      <w:bCs/>
                    </w:rPr>
                    <w:sym w:font="Wingdings" w:char="F03A"/>
                  </w:r>
                  <w:r>
                    <w:rPr>
                      <w:bCs/>
                    </w:rPr>
                    <w:t> :</w:t>
                  </w:r>
                  <w:r>
                    <w:t xml:space="preserve"> </w:t>
                  </w:r>
                  <w:hyperlink r:id="rId135" w:history="1">
                    <w:r>
                      <w:rPr>
                        <w:rStyle w:val="Lienhypertexte"/>
                        <w:rFonts w:ascii="Cambria" w:eastAsiaTheme="minorEastAsia" w:hAnsi="Cambria"/>
                      </w:rPr>
                      <w:t>veronique.rombaut@cfwb.be</w:t>
                    </w:r>
                  </w:hyperlink>
                </w:p>
                <w:p>
                  <w:pPr>
                    <w:jc w:val="both"/>
                    <w:rPr>
                      <w:rFonts w:ascii="Cambria" w:hAnsi="Cambria" w:cs="Arial"/>
                    </w:rPr>
                  </w:pPr>
                </w:p>
                <w:p>
                  <w:pPr>
                    <w:jc w:val="both"/>
                    <w:rPr>
                      <w:rFonts w:ascii="Cambria" w:hAnsi="Cambria" w:cs="Arial"/>
                    </w:rPr>
                  </w:pPr>
                  <w:r>
                    <w:rPr>
                      <w:rFonts w:ascii="Cambria" w:hAnsi="Cambria" w:cs="Arial"/>
                    </w:rPr>
                    <w:t>Les cours ne doivent pas être récupérés dans le cas où les cours sont suspendus suite :</w:t>
                  </w:r>
                </w:p>
                <w:p>
                  <w:pPr>
                    <w:numPr>
                      <w:ilvl w:val="0"/>
                      <w:numId w:val="273"/>
                    </w:numPr>
                    <w:pBdr>
                      <w:right w:val="single" w:sz="4" w:space="4" w:color="auto"/>
                    </w:pBdr>
                    <w:jc w:val="both"/>
                    <w:rPr>
                      <w:rFonts w:ascii="Cambria" w:hAnsi="Cambria" w:cs="Arial"/>
                    </w:rPr>
                  </w:pPr>
                  <w:r>
                    <w:rPr>
                      <w:rFonts w:ascii="Cambria" w:hAnsi="Cambria" w:cs="Arial"/>
                    </w:rPr>
                    <w:t>à l’absence d’un enseignant</w:t>
                  </w:r>
                </w:p>
                <w:p>
                  <w:pPr>
                    <w:numPr>
                      <w:ilvl w:val="0"/>
                      <w:numId w:val="273"/>
                    </w:numPr>
                    <w:pBdr>
                      <w:right w:val="single" w:sz="4" w:space="4" w:color="auto"/>
                    </w:pBdr>
                    <w:jc w:val="both"/>
                    <w:rPr>
                      <w:rFonts w:ascii="Cambria" w:hAnsi="Cambria" w:cs="Arial"/>
                    </w:rPr>
                  </w:pPr>
                  <w:r>
                    <w:rPr>
                      <w:rFonts w:ascii="Cambria" w:hAnsi="Cambria" w:cs="Arial"/>
                    </w:rPr>
                    <w:t xml:space="preserve">une grève d’un ou plusieurs enseignants, </w:t>
                  </w:r>
                </w:p>
                <w:p>
                  <w:pPr>
                    <w:numPr>
                      <w:ilvl w:val="0"/>
                      <w:numId w:val="273"/>
                    </w:numPr>
                    <w:pBdr>
                      <w:right w:val="single" w:sz="4" w:space="4" w:color="auto"/>
                    </w:pBdr>
                    <w:jc w:val="both"/>
                    <w:rPr>
                      <w:rFonts w:ascii="Cambria" w:hAnsi="Cambria" w:cs="Arial"/>
                    </w:rPr>
                  </w:pPr>
                  <w:r>
                    <w:rPr>
                      <w:rFonts w:ascii="Cambria" w:hAnsi="Cambria" w:cs="Arial"/>
                    </w:rPr>
                    <w:t>à l’organisation d’une journée ou demi-journée de formation en cours de carrière,</w:t>
                  </w:r>
                </w:p>
                <w:p>
                  <w:pPr>
                    <w:numPr>
                      <w:ilvl w:val="0"/>
                      <w:numId w:val="273"/>
                    </w:numPr>
                    <w:pBdr>
                      <w:right w:val="single" w:sz="4" w:space="4" w:color="auto"/>
                    </w:pBdr>
                    <w:jc w:val="both"/>
                    <w:rPr>
                      <w:rFonts w:ascii="Cambria" w:hAnsi="Cambria" w:cs="Arial"/>
                    </w:rPr>
                  </w:pPr>
                  <w:r>
                    <w:rPr>
                      <w:rFonts w:ascii="Cambria" w:hAnsi="Cambria" w:cs="Arial"/>
                    </w:rPr>
                    <w:t xml:space="preserve">à l’organisation d’une réunion de parents </w:t>
                  </w:r>
                </w:p>
                <w:p>
                  <w:pPr>
                    <w:numPr>
                      <w:ilvl w:val="0"/>
                      <w:numId w:val="273"/>
                    </w:numPr>
                    <w:pBdr>
                      <w:right w:val="single" w:sz="4" w:space="4" w:color="auto"/>
                    </w:pBdr>
                    <w:jc w:val="both"/>
                    <w:rPr>
                      <w:rFonts w:ascii="Cambria" w:hAnsi="Cambria" w:cs="Arial"/>
                    </w:rPr>
                  </w:pPr>
                  <w:r>
                    <w:rPr>
                      <w:rFonts w:ascii="Cambria" w:hAnsi="Cambria" w:cs="Arial"/>
                    </w:rPr>
                    <w:t>à la réquisition des locaux pour l’organisation d’élections.</w:t>
                  </w:r>
                </w:p>
                <w:p>
                  <w:pPr>
                    <w:pBdr>
                      <w:right w:val="single" w:sz="4" w:space="4" w:color="auto"/>
                    </w:pBdr>
                    <w:jc w:val="both"/>
                    <w:rPr>
                      <w:rFonts w:ascii="Cambria" w:hAnsi="Cambria" w:cs="Arial"/>
                    </w:rPr>
                  </w:pPr>
                </w:p>
                <w:p>
                  <w:pPr>
                    <w:pBdr>
                      <w:right w:val="single" w:sz="4" w:space="4" w:color="auto"/>
                    </w:pBdr>
                    <w:jc w:val="both"/>
                    <w:rPr>
                      <w:rFonts w:ascii="Cambria" w:hAnsi="Cambria"/>
                    </w:rPr>
                  </w:pPr>
                  <w:r>
                    <w:rPr>
                      <w:rFonts w:ascii="Cambria" w:hAnsi="Cambria"/>
                    </w:rPr>
                    <w:t>Dans l’enseignement fondamental spécialisé, les cours peuvent être suspendus pendant 3 jours au maximum sur l’année afin d’organiser, dans le cadre de la rédaction ou de l’ajustement du plan individuel d’apprentissage, les réunions des conseils de classe et les rencontres avec les parents. L’accueil des élèves présents doit néanmoins être assuré.</w:t>
                  </w:r>
                </w:p>
                <w:p>
                  <w:pPr>
                    <w:rPr>
                      <w:rFonts w:ascii="Cambria" w:hAnsi="Cambria"/>
                    </w:rPr>
                  </w:pPr>
                </w:p>
                <w:p>
                  <w:pPr>
                    <w:rPr>
                      <w:rFonts w:ascii="Cambria" w:hAnsi="Cambria"/>
                    </w:rPr>
                  </w:pPr>
                </w:p>
                <w:p>
                  <w:pPr>
                    <w:jc w:val="both"/>
                    <w:rPr>
                      <w:rFonts w:ascii="Cambria" w:hAnsi="Cambria"/>
                    </w:rPr>
                  </w:pPr>
                  <w:r>
                    <w:rPr>
                      <w:rFonts w:ascii="Cambria" w:hAnsi="Cambria"/>
                    </w:rPr>
                    <w:t xml:space="preserve">Dans l’enseignement spécialisé, les cours sont suspendus pendant six demi-jours maximum afin de permettre aux membres du personnel de participer aux formations obligatoires visées à l’article 8, §2 du décret du 11 juillet 2002 relatif à la formation en cours de carrière dans l’enseignement spécialisé, l’enseignement secondaire et les centres psycho-médico-sociaux et à la création d'un Institut de la formation en cours de carrière. </w:t>
                  </w:r>
                </w:p>
                <w:p>
                  <w:pPr>
                    <w:jc w:val="both"/>
                    <w:rPr>
                      <w:rFonts w:ascii="Cambria" w:hAnsi="Cambria"/>
                    </w:rPr>
                  </w:pPr>
                  <w:r>
                    <w:rPr>
                      <w:rFonts w:ascii="Cambria" w:hAnsi="Cambria"/>
                    </w:rPr>
                    <w:t>Pendant ces journées, les élèves ne sont pas tenus à la fréquentation normale de l'école.</w:t>
                  </w:r>
                </w:p>
                <w:p>
                  <w:pPr>
                    <w:jc w:val="both"/>
                    <w:rPr>
                      <w:rFonts w:ascii="Cambria" w:hAnsi="Cambria"/>
                    </w:rPr>
                  </w:pPr>
                </w:p>
                <w:p>
                  <w:pPr>
                    <w:jc w:val="both"/>
                    <w:rPr>
                      <w:rFonts w:ascii="Cambria" w:hAnsi="Cambria"/>
                    </w:rPr>
                  </w:pPr>
                  <w:r>
                    <w:rPr>
                      <w:rFonts w:ascii="Cambria" w:hAnsi="Cambria"/>
                    </w:rPr>
                    <w:t>Lorsqu'il n'existe pas de congé de réserve et qu'une festivité locale rend impossible l’organisation des cours un jour réservé à la classe, le pouvoir organisateur est tenu d'organiser une des journées de formations visées ci-dessus pendant un jour de congé des élèves, sauf s</w:t>
                  </w:r>
                  <w:r>
                    <w:rPr>
                      <w:rFonts w:ascii="Cambria" w:hAnsi="Cambria" w:cs="Arial"/>
                    </w:rPr>
                    <w:t>’il a procédé à la récupération des cours qui n’ont pas été donnés ou sauf s’il n’est pas tenu de récupérer les cours en raison de l’implication pédagogique des élèves lors de la festivité locale</w:t>
                  </w:r>
                  <w:r>
                    <w:rPr>
                      <w:rFonts w:ascii="Cambria" w:hAnsi="Cambria"/>
                    </w:rPr>
                    <w:t>. Il en informe par écrit la Direction générale de l'Enseignement obligatoire à l’aide de l’annexe 1.</w:t>
                  </w:r>
                </w:p>
                <w:p>
                  <w:pPr>
                    <w:jc w:val="both"/>
                    <w:rPr>
                      <w:rFonts w:ascii="Cambria" w:hAnsi="Cambria"/>
                    </w:rPr>
                  </w:pPr>
                </w:p>
                <w:p>
                  <w:pPr>
                    <w:pStyle w:val="Titre4"/>
                  </w:pPr>
                  <w:bookmarkStart w:id="1704" w:name="_Toc518999843"/>
                  <w:r>
                    <w:t>2.3. Fermeture exceptionnelle</w:t>
                  </w:r>
                  <w:bookmarkEnd w:id="1704"/>
                </w:p>
                <w:p>
                  <w:pPr>
                    <w:jc w:val="both"/>
                    <w:rPr>
                      <w:rFonts w:ascii="Cambria" w:hAnsi="Cambria"/>
                    </w:rPr>
                  </w:pPr>
                </w:p>
                <w:p>
                  <w:pPr>
                    <w:jc w:val="both"/>
                    <w:rPr>
                      <w:rFonts w:ascii="Cambria" w:hAnsi="Cambria"/>
                    </w:rPr>
                  </w:pPr>
                  <w:r>
                    <w:rPr>
                      <w:rFonts w:ascii="Cambria" w:hAnsi="Cambria"/>
                    </w:rPr>
                    <w:t xml:space="preserve">Une dérogation à la suspension des cours peut être accordée pour des raisons exceptionnelles et dûment motivées.  Les demi-jours ou les jours durant lesquels les cours ne sont pas donnés doivent être récupérés un mercredi après-midi ou un samedi. </w:t>
                  </w:r>
                </w:p>
                <w:p>
                  <w:pPr>
                    <w:jc w:val="both"/>
                    <w:rPr>
                      <w:rFonts w:ascii="Cambria" w:hAnsi="Cambria"/>
                    </w:rPr>
                  </w:pPr>
                </w:p>
                <w:p>
                  <w:pPr>
                    <w:jc w:val="both"/>
                    <w:rPr>
                      <w:rFonts w:ascii="Cambria" w:hAnsi="Cambria" w:cs="Arial"/>
                    </w:rPr>
                  </w:pPr>
                  <w:r>
                    <w:rPr>
                      <w:rFonts w:ascii="Cambria" w:hAnsi="Cambria" w:cs="Arial"/>
                    </w:rPr>
                    <w:t>Le chef d’établissement (réseau FWB) ou le Pouvoir organisateur (enseignement subventionné) doit en faire la demande au préalable par écrit à la Direction générale de l'enseignement obligatoire et ce, dans des délais raisonnables.</w:t>
                  </w:r>
                </w:p>
                <w:p>
                  <w:pPr>
                    <w:jc w:val="both"/>
                    <w:rPr>
                      <w:rFonts w:ascii="Cambria" w:hAnsi="Cambria"/>
                    </w:rPr>
                  </w:pPr>
                </w:p>
                <w:p>
                  <w:pPr>
                    <w:jc w:val="both"/>
                    <w:rPr>
                      <w:rFonts w:ascii="Cambria" w:hAnsi="Cambria"/>
                    </w:rPr>
                  </w:pPr>
                  <w:r>
                    <w:rPr>
                      <w:rFonts w:ascii="Cambria" w:hAnsi="Cambria"/>
                    </w:rPr>
                    <w:t xml:space="preserve">Les demandes complètes introduites à l’aide du formulaire en </w:t>
                  </w:r>
                  <w:hyperlink w:anchor="_Annexe_1_:_18" w:history="1">
                    <w:r>
                      <w:rPr>
                        <w:rStyle w:val="Lienhypertexte"/>
                        <w:rFonts w:ascii="Cambria" w:hAnsi="Cambria"/>
                      </w:rPr>
                      <w:t>Annexe 1</w:t>
                    </w:r>
                  </w:hyperlink>
                  <w:r>
                    <w:rPr>
                      <w:rStyle w:val="Lienhypertexte"/>
                      <w:rFonts w:ascii="Cambria" w:hAnsi="Cambria"/>
                    </w:rPr>
                    <w:t xml:space="preserve"> </w:t>
                  </w:r>
                  <w:r>
                    <w:rPr>
                      <w:rFonts w:ascii="Cambria" w:hAnsi="Cambria"/>
                    </w:rPr>
                    <w:t xml:space="preserve">sont à adresser à : </w:t>
                  </w:r>
                </w:p>
                <w:p>
                  <w:pPr>
                    <w:jc w:val="center"/>
                    <w:rPr>
                      <w:rFonts w:ascii="Cambria" w:hAnsi="Cambria"/>
                    </w:rPr>
                  </w:pPr>
                </w:p>
                <w:p>
                  <w:pPr>
                    <w:pBdr>
                      <w:top w:val="single" w:sz="4" w:space="1" w:color="auto"/>
                      <w:left w:val="single" w:sz="4" w:space="4" w:color="auto"/>
                      <w:bottom w:val="single" w:sz="4" w:space="1" w:color="auto"/>
                      <w:right w:val="single" w:sz="4" w:space="4" w:color="auto"/>
                    </w:pBdr>
                    <w:jc w:val="center"/>
                    <w:rPr>
                      <w:b/>
                    </w:rPr>
                  </w:pPr>
                  <w:r>
                    <w:t>Direction générale de l’enseignement obligatoire</w:t>
                  </w:r>
                </w:p>
                <w:p>
                  <w:pPr>
                    <w:pBdr>
                      <w:top w:val="single" w:sz="4" w:space="1" w:color="auto"/>
                      <w:left w:val="single" w:sz="4" w:space="4" w:color="auto"/>
                      <w:bottom w:val="single" w:sz="4" w:space="1" w:color="auto"/>
                      <w:right w:val="single" w:sz="4" w:space="4" w:color="auto"/>
                    </w:pBdr>
                    <w:jc w:val="center"/>
                    <w:rPr>
                      <w:b/>
                    </w:rPr>
                  </w:pPr>
                  <w:r>
                    <w:t>Service de l’enseignement spécialisé</w:t>
                  </w:r>
                </w:p>
                <w:p>
                  <w:pPr>
                    <w:pBdr>
                      <w:top w:val="single" w:sz="4" w:space="1" w:color="auto"/>
                      <w:left w:val="single" w:sz="4" w:space="4" w:color="auto"/>
                      <w:bottom w:val="single" w:sz="4" w:space="1" w:color="auto"/>
                      <w:right w:val="single" w:sz="4" w:space="4" w:color="auto"/>
                    </w:pBdr>
                    <w:jc w:val="center"/>
                    <w:rPr>
                      <w:b/>
                    </w:rPr>
                  </w:pPr>
                  <w:r>
                    <w:t>Rue Adolphe Lavallée, 1</w:t>
                  </w:r>
                </w:p>
                <w:p>
                  <w:pPr>
                    <w:pBdr>
                      <w:top w:val="single" w:sz="4" w:space="1" w:color="auto"/>
                      <w:left w:val="single" w:sz="4" w:space="4" w:color="auto"/>
                      <w:bottom w:val="single" w:sz="4" w:space="1" w:color="auto"/>
                      <w:right w:val="single" w:sz="4" w:space="4" w:color="auto"/>
                    </w:pBdr>
                    <w:jc w:val="center"/>
                    <w:rPr>
                      <w:b/>
                    </w:rPr>
                  </w:pPr>
                  <w:r>
                    <w:t>1080    BRUXELLES</w:t>
                  </w:r>
                </w:p>
                <w:p>
                  <w:pPr>
                    <w:pBdr>
                      <w:top w:val="single" w:sz="4" w:space="1" w:color="auto"/>
                      <w:left w:val="single" w:sz="4" w:space="4" w:color="auto"/>
                      <w:bottom w:val="single" w:sz="4" w:space="1" w:color="auto"/>
                      <w:right w:val="single" w:sz="4" w:space="4" w:color="auto"/>
                    </w:pBdr>
                    <w:jc w:val="center"/>
                    <w:rPr>
                      <w:b/>
                    </w:rPr>
                  </w:pPr>
                  <w:r>
                    <w:t>Madame Véronique ROMBAUT</w:t>
                  </w:r>
                </w:p>
                <w:p>
                  <w:pPr>
                    <w:pBdr>
                      <w:top w:val="single" w:sz="4" w:space="1" w:color="auto"/>
                      <w:left w:val="single" w:sz="4" w:space="4" w:color="auto"/>
                      <w:bottom w:val="single" w:sz="4" w:space="1" w:color="auto"/>
                      <w:right w:val="single" w:sz="4" w:space="4" w:color="auto"/>
                    </w:pBdr>
                    <w:jc w:val="center"/>
                    <w:rPr>
                      <w:b/>
                    </w:rPr>
                  </w:pPr>
                  <w:r>
                    <w:t>Bureau 2F245</w:t>
                  </w:r>
                </w:p>
                <w:p>
                  <w:pPr>
                    <w:pBdr>
                      <w:top w:val="single" w:sz="4" w:space="1" w:color="auto"/>
                      <w:left w:val="single" w:sz="4" w:space="4" w:color="auto"/>
                      <w:bottom w:val="single" w:sz="4" w:space="1" w:color="auto"/>
                      <w:right w:val="single" w:sz="4" w:space="4" w:color="auto"/>
                    </w:pBdr>
                    <w:jc w:val="center"/>
                    <w:rPr>
                      <w:b/>
                    </w:rPr>
                  </w:pPr>
                  <w:r>
                    <w:sym w:font="Wingdings" w:char="F028"/>
                  </w:r>
                  <w:r>
                    <w:t> : 02/690.83.99</w:t>
                  </w:r>
                </w:p>
                <w:p>
                  <w:pPr>
                    <w:pBdr>
                      <w:top w:val="single" w:sz="4" w:space="1" w:color="auto"/>
                      <w:left w:val="single" w:sz="4" w:space="4" w:color="auto"/>
                      <w:bottom w:val="single" w:sz="4" w:space="1" w:color="auto"/>
                      <w:right w:val="single" w:sz="4" w:space="4" w:color="auto"/>
                    </w:pBdr>
                    <w:jc w:val="center"/>
                    <w:rPr>
                      <w:b/>
                    </w:rPr>
                  </w:pPr>
                  <w:r>
                    <w:rPr>
                      <w:bCs/>
                    </w:rPr>
                    <w:sym w:font="Wingdings" w:char="F03A"/>
                  </w:r>
                  <w:r>
                    <w:rPr>
                      <w:bCs/>
                    </w:rPr>
                    <w:t> :</w:t>
                  </w:r>
                  <w:r>
                    <w:t xml:space="preserve"> </w:t>
                  </w:r>
                  <w:hyperlink r:id="rId136" w:history="1">
                    <w:r>
                      <w:rPr>
                        <w:rStyle w:val="Lienhypertexte"/>
                        <w:rFonts w:ascii="Cambria" w:eastAsiaTheme="minorEastAsia" w:hAnsi="Cambria"/>
                      </w:rPr>
                      <w:t>veronique.rombaut@cfwb.be</w:t>
                    </w:r>
                  </w:hyperlink>
                </w:p>
                <w:p>
                  <w:pPr>
                    <w:rPr>
                      <w:rFonts w:ascii="Cambria" w:hAnsi="Cambria" w:cs="Arial"/>
                    </w:rPr>
                  </w:pPr>
                </w:p>
                <w:p>
                  <w:pPr>
                    <w:rPr>
                      <w:rFonts w:ascii="Cambria" w:hAnsi="Cambria" w:cs="Arial"/>
                    </w:rPr>
                  </w:pPr>
                </w:p>
                <w:p>
                  <w:bookmarkStart w:id="1705" w:name="_Toc414353030"/>
                  <w:bookmarkStart w:id="1706" w:name="_Toc453837058"/>
                </w:p>
                <w:p>
                  <w:pPr>
                    <w:pStyle w:val="Titre3"/>
                  </w:pPr>
                  <w:bookmarkStart w:id="1707" w:name="_Toc18914431"/>
                  <w:r>
                    <w:t>3. Annexe</w:t>
                  </w:r>
                  <w:bookmarkEnd w:id="1705"/>
                  <w:bookmarkEnd w:id="1706"/>
                  <w:bookmarkEnd w:id="1707"/>
                </w:p>
                <w:p>
                  <w:pPr>
                    <w:pStyle w:val="Titre4"/>
                  </w:pPr>
                  <w:bookmarkStart w:id="1708" w:name="_Annexe_1_:_18"/>
                  <w:bookmarkEnd w:id="1708"/>
                  <w:r>
                    <w:br w:type="page"/>
                  </w:r>
                  <w:bookmarkStart w:id="1709" w:name="_Ref11410639"/>
                  <w:bookmarkStart w:id="1710" w:name="_Ref11410697"/>
                  <w:bookmarkStart w:id="1711" w:name="_Ref11410744"/>
                  <w:bookmarkStart w:id="1712" w:name="_Toc518999845"/>
                  <w:bookmarkStart w:id="1713" w:name="_Toc453837059"/>
                  <w:bookmarkStart w:id="1714" w:name="_Toc414353031"/>
                  <w:r>
                    <w:t>Annexe 1 : Déclaration pour suspension des cours</w:t>
                  </w:r>
                  <w:bookmarkEnd w:id="1709"/>
                  <w:bookmarkEnd w:id="1710"/>
                  <w:bookmarkEnd w:id="1711"/>
                  <w:r>
                    <w:t xml:space="preserve"> </w:t>
                  </w:r>
                  <w:bookmarkEnd w:id="1712"/>
                  <w:bookmarkEnd w:id="1713"/>
                  <w:bookmarkEnd w:id="1714"/>
                </w:p>
                <w:p/>
                <w:p/>
                <w:p>
                  <w:pPr>
                    <w:jc w:val="center"/>
                    <w:rPr>
                      <w:rFonts w:ascii="Calibri Light" w:hAnsi="Calibri Light"/>
                    </w:rPr>
                  </w:pPr>
                </w:p>
                <w:p>
                  <w:pPr>
                    <w:pBdr>
                      <w:top w:val="single" w:sz="4" w:space="1" w:color="auto"/>
                      <w:left w:val="single" w:sz="4" w:space="4" w:color="auto"/>
                      <w:bottom w:val="single" w:sz="4" w:space="1" w:color="auto"/>
                      <w:right w:val="single" w:sz="4" w:space="4" w:color="auto"/>
                    </w:pBdr>
                    <w:jc w:val="center"/>
                    <w:rPr>
                      <w:b/>
                    </w:rPr>
                  </w:pPr>
                  <w:r>
                    <w:rPr>
                      <w:b/>
                    </w:rPr>
                    <w:t>Renseignements portant sur l’école (un formulaire par école / implantation)</w:t>
                  </w:r>
                </w:p>
                <w:p>
                  <w:pPr>
                    <w:jc w:val="center"/>
                    <w:rPr>
                      <w:rFonts w:ascii="Calibri Light" w:hAnsi="Calibri Light"/>
                    </w:rPr>
                  </w:pPr>
                </w:p>
                <w:p>
                  <w:pPr>
                    <w:rPr>
                      <w:rFonts w:ascii="Cambria" w:hAnsi="Cambria" w:cs="Arial"/>
                    </w:rPr>
                  </w:pPr>
                  <w:r>
                    <w:rPr>
                      <w:rFonts w:ascii="Cambria" w:hAnsi="Cambria" w:cs="Arial"/>
                    </w:rPr>
                    <w:t>NOM de l’école : ……………..…………………………………………………………………………………..……………………</w:t>
                  </w:r>
                </w:p>
                <w:p>
                  <w:pPr>
                    <w:rPr>
                      <w:rFonts w:ascii="Cambria" w:hAnsi="Cambria" w:cs="Arial"/>
                    </w:rPr>
                  </w:pPr>
                </w:p>
                <w:p>
                  <w:pPr>
                    <w:rPr>
                      <w:rFonts w:ascii="Cambria" w:hAnsi="Cambria" w:cs="Arial"/>
                    </w:rPr>
                  </w:pPr>
                  <w:r>
                    <w:rPr>
                      <w:rFonts w:ascii="Cambria" w:hAnsi="Cambria" w:cs="Arial"/>
                    </w:rPr>
                    <w:t>Niveau : Enseignement spécialisé maternel – primaire – fondamental</w:t>
                  </w:r>
                  <w:r>
                    <w:rPr>
                      <w:rStyle w:val="Appelnotedebasdep"/>
                      <w:rFonts w:ascii="Cambria" w:hAnsi="Cambria" w:cs="Arial"/>
                    </w:rPr>
                    <w:footnoteReference w:id="103"/>
                  </w:r>
                </w:p>
                <w:p>
                  <w:pPr>
                    <w:rPr>
                      <w:rFonts w:ascii="Cambria" w:hAnsi="Cambria" w:cs="Arial"/>
                    </w:rPr>
                  </w:pPr>
                </w:p>
                <w:p>
                  <w:pPr>
                    <w:rPr>
                      <w:rFonts w:ascii="Cambria" w:hAnsi="Cambria" w:cs="Arial"/>
                    </w:rPr>
                  </w:pPr>
                  <w:r>
                    <w:rPr>
                      <w:rFonts w:ascii="Cambria" w:hAnsi="Cambria" w:cs="Arial"/>
                    </w:rPr>
                    <w:t>Numéro FASE (obligatoire) : ……………..…………………….………………………………………………………………</w:t>
                  </w:r>
                </w:p>
                <w:p>
                  <w:pPr>
                    <w:rPr>
                      <w:rFonts w:ascii="Cambria" w:hAnsi="Cambria" w:cs="Arial"/>
                    </w:rPr>
                  </w:pPr>
                </w:p>
                <w:p>
                  <w:pPr>
                    <w:rPr>
                      <w:rFonts w:ascii="Cambria" w:hAnsi="Cambria" w:cs="Arial"/>
                    </w:rPr>
                  </w:pPr>
                  <w:r>
                    <w:rPr>
                      <w:rFonts w:ascii="Cambria" w:hAnsi="Cambria" w:cs="Arial"/>
                    </w:rPr>
                    <w:t>Adresse complète : ……………..……………………………………………………………………………………………………</w:t>
                  </w:r>
                </w:p>
                <w:p>
                  <w:pPr>
                    <w:rPr>
                      <w:rFonts w:ascii="Cambria" w:hAnsi="Cambria" w:cs="Arial"/>
                    </w:rPr>
                  </w:pPr>
                </w:p>
                <w:p>
                  <w:pPr>
                    <w:rPr>
                      <w:rFonts w:ascii="Cambria" w:hAnsi="Cambria" w:cs="Arial"/>
                    </w:rPr>
                  </w:pPr>
                  <w:r>
                    <w:rPr>
                      <w:rFonts w:ascii="Cambria" w:hAnsi="Cambria" w:cs="Arial"/>
                    </w:rPr>
                    <w:t>Numéro de téléphone : ……………..………………………………………………………………………………</w:t>
                  </w:r>
                </w:p>
                <w:p>
                  <w:pPr>
                    <w:rPr>
                      <w:rFonts w:ascii="Cambria" w:hAnsi="Cambria" w:cs="Arial"/>
                    </w:rPr>
                  </w:pPr>
                </w:p>
                <w:p>
                  <w:pPr>
                    <w:rPr>
                      <w:rFonts w:ascii="Cambria" w:hAnsi="Cambria" w:cs="Arial"/>
                    </w:rPr>
                  </w:pPr>
                  <w:r>
                    <w:rPr>
                      <w:rFonts w:ascii="Cambria" w:hAnsi="Cambria" w:cs="Arial"/>
                    </w:rPr>
                    <w:t>NOM complet de la Direction : Madame-Monsieur ……………..………………………………………………………</w:t>
                  </w:r>
                </w:p>
                <w:p>
                  <w:pPr>
                    <w:rPr>
                      <w:rFonts w:ascii="Cambria" w:hAnsi="Cambria" w:cs="Arial"/>
                    </w:rPr>
                  </w:pPr>
                </w:p>
                <w:p>
                  <w:pPr>
                    <w:pBdr>
                      <w:top w:val="single" w:sz="4" w:space="1" w:color="auto"/>
                      <w:left w:val="single" w:sz="4" w:space="4" w:color="auto"/>
                      <w:bottom w:val="single" w:sz="4" w:space="1" w:color="auto"/>
                      <w:right w:val="single" w:sz="4" w:space="4" w:color="auto"/>
                    </w:pBdr>
                    <w:jc w:val="center"/>
                    <w:rPr>
                      <w:rFonts w:ascii="Cambria" w:hAnsi="Cambria" w:cs="Arial"/>
                    </w:rPr>
                  </w:pPr>
                  <w:r>
                    <w:rPr>
                      <w:rFonts w:ascii="Cambria" w:hAnsi="Cambria" w:cs="Arial"/>
                    </w:rPr>
                    <w:t xml:space="preserve">Renseignements portant sur la suspension des cours </w:t>
                  </w:r>
                </w:p>
                <w:p>
                  <w:pPr>
                    <w:rPr>
                      <w:rFonts w:ascii="Cambria" w:hAnsi="Cambria" w:cs="Arial"/>
                    </w:rPr>
                  </w:pPr>
                </w:p>
                <w:p>
                  <w:pPr>
                    <w:rPr>
                      <w:rFonts w:ascii="Cambria" w:hAnsi="Cambria" w:cs="Arial"/>
                    </w:rPr>
                  </w:pPr>
                  <w:r>
                    <w:rPr>
                      <w:rFonts w:ascii="Cambria" w:hAnsi="Cambria" w:cs="Arial"/>
                    </w:rPr>
                    <w:t>Date de la suspension des cours  : ……………..………………………………………………………………………………</w:t>
                  </w:r>
                </w:p>
                <w:p>
                  <w:pPr>
                    <w:rPr>
                      <w:rFonts w:ascii="Cambria" w:hAnsi="Cambria" w:cs="Arial"/>
                    </w:rPr>
                  </w:pPr>
                  <w:r>
                    <w:rPr>
                      <w:rFonts w:ascii="Cambria" w:hAnsi="Cambria" w:cs="Arial"/>
                    </w:rPr>
                    <w:t>Motif de suspension des cours (entourer l’une des propositions suivantes) :</w:t>
                  </w:r>
                </w:p>
                <w:p>
                  <w:pPr>
                    <w:pStyle w:val="Paragraphedeliste"/>
                    <w:numPr>
                      <w:ilvl w:val="0"/>
                      <w:numId w:val="274"/>
                    </w:numPr>
                    <w:suppressAutoHyphens w:val="0"/>
                    <w:spacing w:line="256" w:lineRule="auto"/>
                    <w:contextualSpacing/>
                    <w:rPr>
                      <w:rFonts w:ascii="Cambria" w:hAnsi="Cambria"/>
                      <w:sz w:val="22"/>
                    </w:rPr>
                  </w:pPr>
                  <w:r>
                    <w:rPr>
                      <w:rFonts w:ascii="Cambria" w:hAnsi="Cambria"/>
                      <w:sz w:val="22"/>
                    </w:rPr>
                    <w:t>Force majeure</w:t>
                  </w:r>
                </w:p>
                <w:p>
                  <w:pPr>
                    <w:pStyle w:val="Paragraphedeliste"/>
                    <w:numPr>
                      <w:ilvl w:val="0"/>
                      <w:numId w:val="274"/>
                    </w:numPr>
                    <w:suppressAutoHyphens w:val="0"/>
                    <w:spacing w:line="256" w:lineRule="auto"/>
                    <w:contextualSpacing/>
                    <w:rPr>
                      <w:rFonts w:ascii="Cambria" w:hAnsi="Cambria"/>
                      <w:sz w:val="22"/>
                    </w:rPr>
                  </w:pPr>
                  <w:r>
                    <w:rPr>
                      <w:rFonts w:ascii="Cambria" w:hAnsi="Cambria"/>
                      <w:sz w:val="22"/>
                    </w:rPr>
                    <w:t>Situation prévisible</w:t>
                  </w:r>
                </w:p>
                <w:p>
                  <w:pPr>
                    <w:numPr>
                      <w:ilvl w:val="0"/>
                      <w:numId w:val="274"/>
                    </w:numPr>
                    <w:spacing w:after="160" w:line="259" w:lineRule="auto"/>
                    <w:rPr>
                      <w:rFonts w:ascii="Cambria" w:hAnsi="Cambria" w:cs="Arial"/>
                    </w:rPr>
                  </w:pPr>
                  <w:r>
                    <w:rPr>
                      <w:rFonts w:ascii="Cambria" w:hAnsi="Cambria" w:cs="Arial"/>
                    </w:rPr>
                    <w:t>Fermeture exceptionnelle</w:t>
                  </w:r>
                </w:p>
                <w:p>
                  <w:pPr>
                    <w:rPr>
                      <w:sz w:val="20"/>
                      <w:szCs w:val="20"/>
                    </w:rPr>
                  </w:pPr>
                  <w:r>
                    <w:rPr>
                      <w:rFonts w:ascii="Cambria" w:hAnsi="Cambria" w:cs="Arial"/>
                    </w:rPr>
                    <w:t>Raison de la suspension des cours :</w:t>
                  </w:r>
                  <w:r>
                    <w:rPr>
                      <w:b/>
                      <w:sz w:val="20"/>
                      <w:szCs w:val="20"/>
                    </w:rPr>
                    <w:t xml:space="preserve"> </w:t>
                  </w:r>
                  <w:r>
                    <w:rPr>
                      <w:rFonts w:ascii="Calibri Light" w:hAnsi="Calibri Light"/>
                    </w:rPr>
                    <w:t>………………………………………………………………………………………………………………………………………………………………………………………………………………………………………………………………………………………………………………………………………………………………………………………………………………………………………………………………………………………………………………………………………………………………………………………………………………………………………………………………………………………………………………………………………………………………………………………………………………………………………………………………………………………………………………………………………………………………………………………………</w:t>
                  </w:r>
                </w:p>
                <w:p>
                  <w:pPr>
                    <w:rPr>
                      <w:rFonts w:ascii="Cambria" w:hAnsi="Cambria" w:cs="Arial"/>
                    </w:rPr>
                  </w:pPr>
                </w:p>
                <w:p>
                  <w:pPr>
                    <w:rPr>
                      <w:rFonts w:ascii="Cambria" w:hAnsi="Cambria" w:cs="Arial"/>
                    </w:rPr>
                  </w:pPr>
                  <w:r>
                    <w:rPr>
                      <w:rFonts w:ascii="Cambria" w:hAnsi="Cambria" w:cs="Arial"/>
                    </w:rPr>
                    <w:t>Si la suspension des cours résulte du motif b) ou c), indiquer la date de récupération des cours :</w:t>
                  </w:r>
                </w:p>
                <w:p>
                  <w:pPr>
                    <w:rPr>
                      <w:rFonts w:ascii="Cambria" w:hAnsi="Cambria" w:cs="Arial"/>
                    </w:rPr>
                  </w:pPr>
                </w:p>
                <w:p>
                  <w:pPr>
                    <w:ind w:firstLine="426"/>
                    <w:rPr>
                      <w:rFonts w:ascii="Cambria" w:hAnsi="Cambria" w:cs="Arial"/>
                    </w:rPr>
                  </w:pPr>
                  <w:r>
                    <w:rPr>
                      <w:rFonts w:ascii="Cambria" w:hAnsi="Cambria" w:cs="Arial"/>
                    </w:rPr>
                    <w:t>Date de récupération du jour de fermeture : ……………………………………………………………………</w:t>
                  </w:r>
                </w:p>
                <w:p>
                  <w:pPr>
                    <w:rPr>
                      <w:rFonts w:ascii="Cambria" w:hAnsi="Cambria" w:cs="Arial"/>
                    </w:rPr>
                  </w:pPr>
                </w:p>
                <w:p>
                  <w:pPr>
                    <w:rPr>
                      <w:rFonts w:ascii="Cambria" w:hAnsi="Cambria" w:cs="Arial"/>
                    </w:rPr>
                  </w:pPr>
                </w:p>
                <w:p>
                  <w:pPr>
                    <w:rPr>
                      <w:rFonts w:ascii="Cambria" w:hAnsi="Cambria" w:cs="Arial"/>
                      <w:b/>
                    </w:rPr>
                  </w:pPr>
                  <w:r>
                    <w:rPr>
                      <w:rFonts w:ascii="Cambria" w:hAnsi="Cambria" w:cs="Arial"/>
                      <w:b/>
                    </w:rPr>
                    <w:t>Je déclare sur l’honneur que les informations reprises ci-dessus sont sincères et exactes.</w:t>
                  </w:r>
                </w:p>
                <w:p>
                  <w:pPr>
                    <w:rPr>
                      <w:rFonts w:ascii="Cambria" w:hAnsi="Cambria" w:cs="Arial"/>
                      <w:b/>
                    </w:rPr>
                  </w:pPr>
                </w:p>
                <w:p>
                  <w:pPr>
                    <w:rPr>
                      <w:rFonts w:ascii="Cambria" w:hAnsi="Cambria" w:cs="Arial"/>
                      <w:b/>
                    </w:rPr>
                  </w:pPr>
                  <w:r>
                    <w:rPr>
                      <w:rFonts w:ascii="Cambria" w:hAnsi="Cambria" w:cs="Arial"/>
                      <w:b/>
                    </w:rPr>
                    <w:t>Pour le Pouvoir organisateur (OS-LS) ou le chef d’établissement (FWB)</w:t>
                  </w:r>
                  <w:r>
                    <w:rPr>
                      <w:rStyle w:val="Appelnotedebasdep"/>
                      <w:rFonts w:ascii="Cambria" w:hAnsi="Cambria" w:cs="Arial"/>
                      <w:b/>
                    </w:rPr>
                    <w:footnoteReference w:id="104"/>
                  </w:r>
                  <w:r>
                    <w:rPr>
                      <w:rFonts w:ascii="Cambria" w:hAnsi="Cambria" w:cs="Arial"/>
                      <w:b/>
                    </w:rPr>
                    <w:t xml:space="preserve"> : </w:t>
                  </w:r>
                </w:p>
                <w:p>
                  <w:pPr>
                    <w:rPr>
                      <w:rFonts w:ascii="Cambria" w:hAnsi="Cambria" w:cs="Arial"/>
                      <w:b/>
                    </w:rPr>
                  </w:pPr>
                  <w:r>
                    <w:rPr>
                      <w:rFonts w:ascii="Cambria" w:hAnsi="Cambria" w:cs="Arial"/>
                      <w:b/>
                    </w:rPr>
                    <w:t>NOM (en majuscules) et signature :</w:t>
                  </w:r>
                  <w:r>
                    <w:rPr>
                      <w:rFonts w:ascii="Cambria" w:hAnsi="Cambria" w:cs="Arial"/>
                      <w:b/>
                    </w:rPr>
                    <w:tab/>
                  </w:r>
                  <w:r>
                    <w:rPr>
                      <w:rFonts w:ascii="Cambria" w:hAnsi="Cambria" w:cs="Arial"/>
                      <w:b/>
                    </w:rPr>
                    <w:tab/>
                  </w:r>
                  <w:r>
                    <w:rPr>
                      <w:rFonts w:ascii="Cambria" w:hAnsi="Cambria" w:cs="Arial"/>
                      <w:b/>
                    </w:rPr>
                    <w:tab/>
                  </w:r>
                  <w:r>
                    <w:rPr>
                      <w:rFonts w:ascii="Cambria" w:hAnsi="Cambria" w:cs="Arial"/>
                      <w:b/>
                    </w:rPr>
                    <w:tab/>
                  </w:r>
                  <w:r>
                    <w:rPr>
                      <w:rFonts w:ascii="Cambria" w:hAnsi="Cambria" w:cs="Arial"/>
                      <w:b/>
                    </w:rPr>
                    <w:tab/>
                    <w:t>Date :</w:t>
                  </w:r>
                </w:p>
                <w:p>
                  <w:pPr>
                    <w:pStyle w:val="Corpsdetexte3"/>
                    <w:rPr>
                      <w:rFonts w:ascii="Calibri Light" w:hAnsi="Calibri Light"/>
                      <w:sz w:val="22"/>
                      <w:szCs w:val="22"/>
                    </w:rPr>
                  </w:pPr>
                </w:p>
                <w:p>
                  <w:pPr>
                    <w:rPr>
                      <w:rFonts w:ascii="Calibri Light" w:hAnsi="Calibri Light"/>
                      <w:b/>
                      <w:u w:val="single"/>
                    </w:rPr>
                  </w:pPr>
                </w:p>
                <w:p/>
                <w:p>
                  <w:pPr>
                    <w:pStyle w:val="Corpsdetexte3"/>
                    <w:rPr>
                      <w:rFonts w:asciiTheme="majorHAnsi" w:hAnsiTheme="majorHAnsi"/>
                      <w:sz w:val="22"/>
                      <w:szCs w:val="22"/>
                    </w:rPr>
                  </w:pPr>
                </w:p>
                <w:p/>
                <w:p>
                  <w:pPr>
                    <w:pStyle w:val="Sansinterligne"/>
                    <w:rPr>
                      <w:rFonts w:asciiTheme="majorHAnsi" w:hAnsiTheme="majorHAnsi"/>
                    </w:rPr>
                  </w:pPr>
                </w:p>
                <w:sdt>
                  <w:sdtPr>
                    <w:rPr>
                      <w:rFonts w:asciiTheme="majorHAnsi" w:eastAsiaTheme="minorHAnsi" w:hAnsiTheme="majorHAnsi"/>
                      <w:sz w:val="24"/>
                      <w:lang w:eastAsia="en-US"/>
                    </w:rPr>
                    <w:id w:val="426542486"/>
                    <w:docPartObj>
                      <w:docPartGallery w:val="Cover Pages"/>
                      <w:docPartUnique/>
                    </w:docPartObj>
                  </w:sdtPr>
                  <w:sdtEndPr>
                    <w:rPr>
                      <w:sz w:val="22"/>
                    </w:rPr>
                  </w:sdtEndPr>
                  <w:sdtContent>
                    <w:p>
                      <w:pPr>
                        <w:pStyle w:val="Sansinterligne"/>
                        <w:rPr>
                          <w:rFonts w:asciiTheme="majorHAnsi" w:hAnsiTheme="majorHAnsi"/>
                        </w:rPr>
                      </w:pPr>
                    </w:p>
                    <w:p>
                      <w:pPr>
                        <w:pStyle w:val="Titre2"/>
                      </w:pPr>
                      <w:bookmarkStart w:id="1715" w:name="_chapitre_5_:"/>
                      <w:bookmarkStart w:id="1716" w:name="_Toc477623671"/>
                      <w:bookmarkStart w:id="1717" w:name="_Toc477767464"/>
                      <w:bookmarkStart w:id="1718" w:name="_Toc18914432"/>
                      <w:bookmarkEnd w:id="1715"/>
                      <w:r>
                        <w:t>Chapitre</w:t>
                      </w:r>
                      <w:bookmarkEnd w:id="1716"/>
                      <w:bookmarkEnd w:id="1717"/>
                      <w:r>
                        <w:t xml:space="preserve"> 5 : </w:t>
                      </w:r>
                      <w:bookmarkStart w:id="1719" w:name="_Toc477623672"/>
                      <w:bookmarkStart w:id="1720" w:name="_Toc477767465"/>
                      <w:r>
                        <w:t>Personnel directeur et enseignant des établissements et instituts d’enseignement spécialisé</w:t>
                      </w:r>
                      <w:bookmarkEnd w:id="1719"/>
                      <w:bookmarkEnd w:id="1720"/>
                      <w:bookmarkEnd w:id="1718"/>
                    </w:p>
                    <w:p>
                      <w:pPr>
                        <w:rPr>
                          <w:rFonts w:eastAsiaTheme="minorEastAsia"/>
                          <w:lang w:eastAsia="fr-BE"/>
                        </w:rPr>
                      </w:pPr>
                    </w:p>
                    <w:p>
                      <w:pPr>
                        <w:rPr>
                          <w:rFonts w:eastAsiaTheme="minorEastAsia"/>
                          <w:lang w:eastAsia="fr-BE"/>
                        </w:rPr>
                      </w:pPr>
                    </w:p>
                    <w:p>
                      <w:pPr>
                        <w:rPr>
                          <w:rFonts w:eastAsiaTheme="minorEastAsia"/>
                          <w:lang w:eastAsia="fr-BE"/>
                        </w:rPr>
                      </w:pPr>
                    </w:p>
                  </w:sdtContent>
                </w:sdt>
                <w:p>
                  <w:pPr>
                    <w:rPr>
                      <w:b/>
                      <w:u w:val="single"/>
                    </w:rPr>
                  </w:pPr>
                </w:p>
                <w:p>
                  <w:pPr>
                    <w:rPr>
                      <w:b/>
                      <w:u w:val="single"/>
                    </w:rPr>
                  </w:pPr>
                  <w:r>
                    <w:rPr>
                      <w:b/>
                      <w:u w:val="single"/>
                    </w:rPr>
                    <w:t xml:space="preserve">Bases légales : </w:t>
                  </w:r>
                </w:p>
                <w:p>
                  <w:pPr>
                    <w:rPr>
                      <w:b/>
                      <w:u w:val="single"/>
                    </w:rPr>
                  </w:pPr>
                </w:p>
                <w:p>
                  <w:pPr>
                    <w:numPr>
                      <w:ilvl w:val="0"/>
                      <w:numId w:val="40"/>
                    </w:numPr>
                    <w:suppressAutoHyphens/>
                    <w:jc w:val="both"/>
                    <w:rPr>
                      <w:rStyle w:val="Lienhypertexte"/>
                      <w:rFonts w:cstheme="minorBidi"/>
                      <w:color w:val="auto"/>
                      <w:u w:val="none"/>
                    </w:rPr>
                  </w:pPr>
                  <w:hyperlink r:id="rId137" w:history="1">
                    <w:r>
                      <w:rPr>
                        <w:rStyle w:val="Lienhypertexte"/>
                        <w:rFonts w:cs="Arial"/>
                      </w:rPr>
                      <w:t>Décret du 3 mars 2004 organisant l'enseignement spécialisé</w:t>
                    </w:r>
                  </w:hyperlink>
                </w:p>
                <w:p>
                  <w:pPr>
                    <w:numPr>
                      <w:ilvl w:val="0"/>
                      <w:numId w:val="40"/>
                    </w:numPr>
                    <w:suppressAutoHyphens/>
                    <w:autoSpaceDE w:val="0"/>
                    <w:jc w:val="both"/>
                    <w:rPr>
                      <w:rFonts w:cs="Arial"/>
                      <w:color w:val="0000FF"/>
                      <w:lang w:val="fr-FR"/>
                    </w:rPr>
                  </w:pPr>
                  <w:hyperlink r:id="rId138" w:history="1">
                    <w:r>
                      <w:rPr>
                        <w:rStyle w:val="Lienhypertexte"/>
                        <w:rFonts w:cstheme="minorBidi"/>
                      </w:rPr>
                      <w:t>Décret 14 mars 2019 portant diverses dispositions relatives à l’organisation du travail  des membres du personnel de l’enseignement et octroyant plus de souplesse organisationnelle aux Pouvoirs organisateurs.</w:t>
                    </w:r>
                  </w:hyperlink>
                  <w:r>
                    <w:t xml:space="preserve"> </w:t>
                  </w:r>
                </w:p>
                <w:p>
                  <w:pPr>
                    <w:numPr>
                      <w:ilvl w:val="0"/>
                      <w:numId w:val="40"/>
                    </w:numPr>
                    <w:suppressAutoHyphens/>
                    <w:autoSpaceDE w:val="0"/>
                    <w:jc w:val="both"/>
                    <w:rPr>
                      <w:rFonts w:cs="Arial"/>
                      <w:color w:val="0000FF"/>
                      <w:lang w:val="fr-FR"/>
                    </w:rPr>
                  </w:pPr>
                  <w:hyperlink r:id="rId139" w:history="1">
                    <w:r>
                      <w:rPr>
                        <w:rStyle w:val="Lienhypertexte"/>
                        <w:rFonts w:cs="Arial"/>
                        <w:lang w:val="fr-FR"/>
                      </w:rPr>
                      <w:t xml:space="preserve">Circulaire 7167 concernant la </w:t>
                    </w:r>
                    <w:r>
                      <w:rPr>
                        <w:rStyle w:val="Lienhypertexte"/>
                        <w:rFonts w:cs="Arial"/>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pPr>
                    <w:numPr>
                      <w:ilvl w:val="0"/>
                      <w:numId w:val="40"/>
                    </w:numPr>
                    <w:suppressAutoHyphens/>
                    <w:jc w:val="both"/>
                    <w:rPr>
                      <w:rStyle w:val="Lienhypertexte"/>
                      <w:rFonts w:cstheme="minorBidi"/>
                    </w:rPr>
                  </w:pPr>
                  <w:r>
                    <w:rPr>
                      <w:rStyle w:val="Lienhypertexte"/>
                      <w:rFonts w:cs="Arial"/>
                    </w:rPr>
                    <w:fldChar w:fldCharType="begin"/>
                  </w:r>
                  <w:r>
                    <w:rPr>
                      <w:rStyle w:val="Lienhypertexte"/>
                      <w:rFonts w:cs="Arial"/>
                    </w:rPr>
                    <w:instrText xml:space="preserve"> HYPERLINK "https://www.gallilex.cfwb.be/document/pdf/10164_007.pdf" </w:instrText>
                  </w:r>
                  <w:r>
                    <w:rPr>
                      <w:rStyle w:val="Lienhypertexte"/>
                      <w:rFonts w:cs="Arial"/>
                    </w:rPr>
                    <w:fldChar w:fldCharType="separate"/>
                  </w:r>
                  <w:r>
                    <w:rPr>
                      <w:rStyle w:val="Lienhypertexte"/>
                      <w:rFonts w:cs="Arial"/>
                    </w:rPr>
                    <w:t>Arrêté royal n°297 du 31 mars 1984</w:t>
                  </w:r>
                  <w:r>
                    <w:rPr>
                      <w:rStyle w:val="Lienhypertexte"/>
                      <w:rFonts w:cstheme="minorBidi"/>
                    </w:rPr>
                    <w:t xml:space="preserve"> relatif aux charges, traitements, subventions traitements et congés pour prestations réduites dans l'enseignement et les centres psycho-médico-sociaux.</w:t>
                  </w:r>
                </w:p>
                <w:p>
                  <w:pPr>
                    <w:numPr>
                      <w:ilvl w:val="0"/>
                      <w:numId w:val="40"/>
                    </w:numPr>
                    <w:suppressAutoHyphens/>
                    <w:autoSpaceDE w:val="0"/>
                    <w:jc w:val="both"/>
                    <w:rPr>
                      <w:rFonts w:cs="Arial"/>
                      <w:color w:val="0000FF"/>
                      <w:lang w:val="fr-FR"/>
                    </w:rPr>
                  </w:pPr>
                  <w:r>
                    <w:rPr>
                      <w:rStyle w:val="Lienhypertexte"/>
                      <w:rFonts w:cs="Arial"/>
                    </w:rPr>
                    <w:fldChar w:fldCharType="end"/>
                  </w:r>
                  <w:hyperlink r:id="rId140" w:history="1">
                    <w:r>
                      <w:rPr>
                        <w:rStyle w:val="Lienhypertexte"/>
                        <w:rFonts w:cs="Arial"/>
                        <w:lang w:val="fr-FR"/>
                      </w:rPr>
                      <w:t>Circulaire n°1422 du 5 avril 2006 « Emplois de professeur de pratique professionnelle sans élèves dans les établissements secondaires organisés ou subventionnés par la Communauté française, qui dispensent un enseignement dans le secteur de l’agronomie ».</w:t>
                    </w:r>
                  </w:hyperlink>
                  <w:r>
                    <w:rPr>
                      <w:rFonts w:cs="Arial"/>
                      <w:color w:val="0000FF"/>
                      <w:lang w:val="fr-FR"/>
                    </w:rPr>
                    <w:t xml:space="preserve"> </w:t>
                  </w:r>
                </w:p>
                <w:p>
                  <w:pPr>
                    <w:suppressAutoHyphens/>
                    <w:autoSpaceDE w:val="0"/>
                    <w:jc w:val="both"/>
                    <w:rPr>
                      <w:rFonts w:cs="Arial"/>
                      <w:color w:val="0000FF"/>
                      <w:lang w:val="fr-FR"/>
                    </w:rPr>
                  </w:pPr>
                </w:p>
                <w:p>
                  <w:pPr>
                    <w:pStyle w:val="Titre3"/>
                  </w:pPr>
                  <w:bookmarkStart w:id="1721" w:name="_Toc453314312"/>
                  <w:bookmarkStart w:id="1722" w:name="_Toc454980347"/>
                  <w:bookmarkStart w:id="1723" w:name="_Toc18914433"/>
                  <w:r>
                    <w:t xml:space="preserve">1. </w:t>
                  </w:r>
                  <w:r>
                    <w:rPr>
                      <w:spacing w:val="1"/>
                    </w:rPr>
                    <w:t>Pr</w:t>
                  </w:r>
                  <w:r>
                    <w:rPr>
                      <w:spacing w:val="-3"/>
                    </w:rPr>
                    <w:t>i</w:t>
                  </w:r>
                  <w:r>
                    <w:rPr>
                      <w:spacing w:val="-2"/>
                    </w:rPr>
                    <w:t>n</w:t>
                  </w:r>
                  <w:r>
                    <w:rPr>
                      <w:spacing w:val="1"/>
                    </w:rPr>
                    <w:t>c</w:t>
                  </w:r>
                  <w:r>
                    <w:t xml:space="preserve">ipes </w:t>
                  </w:r>
                  <w:r>
                    <w:rPr>
                      <w:spacing w:val="1"/>
                    </w:rPr>
                    <w:t>g</w:t>
                  </w:r>
                  <w:r>
                    <w:rPr>
                      <w:spacing w:val="-3"/>
                    </w:rPr>
                    <w:t>é</w:t>
                  </w:r>
                  <w:r>
                    <w:rPr>
                      <w:spacing w:val="1"/>
                    </w:rPr>
                    <w:t>n</w:t>
                  </w:r>
                  <w:r>
                    <w:rPr>
                      <w:spacing w:val="-3"/>
                    </w:rPr>
                    <w:t>é</w:t>
                  </w:r>
                  <w:r>
                    <w:rPr>
                      <w:spacing w:val="1"/>
                    </w:rPr>
                    <w:t>r</w:t>
                  </w:r>
                  <w:r>
                    <w:t>aux</w:t>
                  </w:r>
                  <w:bookmarkEnd w:id="1721"/>
                  <w:bookmarkEnd w:id="1722"/>
                  <w:bookmarkEnd w:id="1723"/>
                </w:p>
                <w:p>
                  <w:pPr>
                    <w:widowControl w:val="0"/>
                    <w:autoSpaceDE w:val="0"/>
                    <w:autoSpaceDN w:val="0"/>
                    <w:adjustRightInd w:val="0"/>
                    <w:spacing w:before="19" w:line="220" w:lineRule="exact"/>
                    <w:jc w:val="both"/>
                    <w:rPr>
                      <w:rFonts w:cs="Georgia"/>
                      <w:color w:val="000000"/>
                    </w:rPr>
                  </w:pPr>
                </w:p>
                <w:p>
                  <w:pPr>
                    <w:pStyle w:val="Titre4"/>
                  </w:pPr>
                  <w:bookmarkStart w:id="1724" w:name="_Toc453314313"/>
                  <w:bookmarkStart w:id="1725" w:name="_Toc454980348"/>
                  <w:r>
                    <w:t>1.1.</w:t>
                  </w:r>
                  <w:r>
                    <w:rPr>
                      <w:spacing w:val="-1"/>
                    </w:rPr>
                    <w:t xml:space="preserve"> </w:t>
                  </w:r>
                  <w:r>
                    <w:t>C</w:t>
                  </w:r>
                  <w:r>
                    <w:rPr>
                      <w:spacing w:val="-1"/>
                    </w:rPr>
                    <w:t>a</w:t>
                  </w:r>
                  <w:r>
                    <w:t>p</w:t>
                  </w:r>
                  <w:r>
                    <w:rPr>
                      <w:spacing w:val="-3"/>
                    </w:rPr>
                    <w:t>i</w:t>
                  </w:r>
                  <w:r>
                    <w:t>t</w:t>
                  </w:r>
                  <w:r>
                    <w:rPr>
                      <w:spacing w:val="-1"/>
                    </w:rPr>
                    <w:t>al-</w:t>
                  </w:r>
                  <w:r>
                    <w:t>p</w:t>
                  </w:r>
                  <w:r>
                    <w:rPr>
                      <w:spacing w:val="-1"/>
                    </w:rPr>
                    <w:t>é</w:t>
                  </w:r>
                  <w:r>
                    <w:rPr>
                      <w:spacing w:val="1"/>
                    </w:rPr>
                    <w:t>r</w:t>
                  </w:r>
                  <w:r>
                    <w:rPr>
                      <w:spacing w:val="-3"/>
                    </w:rPr>
                    <w:t>i</w:t>
                  </w:r>
                  <w:r>
                    <w:t>o</w:t>
                  </w:r>
                  <w:r>
                    <w:rPr>
                      <w:spacing w:val="-1"/>
                    </w:rPr>
                    <w:t>des</w:t>
                  </w:r>
                  <w:bookmarkEnd w:id="1724"/>
                  <w:bookmarkEnd w:id="1725"/>
                </w:p>
                <w:p>
                  <w:pPr>
                    <w:widowControl w:val="0"/>
                    <w:autoSpaceDE w:val="0"/>
                    <w:autoSpaceDN w:val="0"/>
                    <w:adjustRightInd w:val="0"/>
                    <w:spacing w:before="8" w:line="200" w:lineRule="exact"/>
                    <w:jc w:val="both"/>
                    <w:rPr>
                      <w:rFonts w:cs="Georgia"/>
                      <w:color w:val="000000"/>
                    </w:rPr>
                  </w:pPr>
                </w:p>
                <w:p>
                  <w:pPr>
                    <w:widowControl w:val="0"/>
                    <w:autoSpaceDE w:val="0"/>
                    <w:autoSpaceDN w:val="0"/>
                    <w:adjustRightInd w:val="0"/>
                    <w:spacing w:before="38" w:line="250" w:lineRule="exact"/>
                    <w:ind w:right="46"/>
                    <w:jc w:val="both"/>
                    <w:rPr>
                      <w:rFonts w:cs="Georgia"/>
                      <w:color w:val="000000"/>
                    </w:rPr>
                  </w:pPr>
                  <w:r>
                    <w:rPr>
                      <w:rFonts w:cs="Georgia"/>
                      <w:color w:val="000000"/>
                      <w:spacing w:val="1"/>
                    </w:rPr>
                    <w:t>L</w:t>
                  </w:r>
                  <w:r>
                    <w:rPr>
                      <w:rFonts w:cs="Georgia"/>
                      <w:color w:val="000000"/>
                    </w:rPr>
                    <w:t>e</w:t>
                  </w:r>
                  <w:r>
                    <w:rPr>
                      <w:rFonts w:cs="Georgia"/>
                      <w:color w:val="000000"/>
                      <w:spacing w:val="1"/>
                    </w:rPr>
                    <w:t xml:space="preserve"> c</w:t>
                  </w:r>
                  <w:r>
                    <w:rPr>
                      <w:rFonts w:cs="Georgia"/>
                      <w:color w:val="000000"/>
                      <w:spacing w:val="-1"/>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al-</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spacing w:val="-2"/>
                    </w:rPr>
                    <w:t>s</w:t>
                  </w:r>
                  <w:r>
                    <w:rPr>
                      <w:rFonts w:cs="Georgia"/>
                      <w:color w:val="000000"/>
                      <w:spacing w:val="1"/>
                    </w:rPr>
                    <w:t xml:space="preserve"> est le vo</w:t>
                  </w:r>
                  <w:r>
                    <w:rPr>
                      <w:rFonts w:cs="Georgia"/>
                      <w:color w:val="000000"/>
                      <w:spacing w:val="-1"/>
                    </w:rPr>
                    <w:t>l</w:t>
                  </w:r>
                  <w:r>
                    <w:rPr>
                      <w:rFonts w:cs="Georgia"/>
                      <w:color w:val="000000"/>
                    </w:rPr>
                    <w:t>ume</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pr</w:t>
                  </w:r>
                  <w:r>
                    <w:rPr>
                      <w:rFonts w:cs="Georgia"/>
                      <w:color w:val="000000"/>
                      <w:spacing w:val="-3"/>
                    </w:rPr>
                    <w:t>e</w:t>
                  </w:r>
                  <w:r>
                    <w:rPr>
                      <w:rFonts w:cs="Georgia"/>
                      <w:color w:val="000000"/>
                      <w:spacing w:val="1"/>
                    </w:rPr>
                    <w:t>st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s</w:t>
                  </w:r>
                  <w:r>
                    <w:rPr>
                      <w:rFonts w:cs="Georgia"/>
                      <w:color w:val="000000"/>
                      <w:spacing w:val="3"/>
                    </w:rPr>
                    <w:t xml:space="preserve"> </w:t>
                  </w:r>
                  <w:r>
                    <w:rPr>
                      <w:rFonts w:cs="Georgia"/>
                      <w:color w:val="000000"/>
                    </w:rPr>
                    <w:t>d</w:t>
                  </w:r>
                  <w:r>
                    <w:rPr>
                      <w:rFonts w:cs="Georgia"/>
                      <w:color w:val="000000"/>
                      <w:spacing w:val="1"/>
                    </w:rPr>
                    <w:t>o</w:t>
                  </w:r>
                  <w:r>
                    <w:rPr>
                      <w:rFonts w:cs="Georgia"/>
                      <w:color w:val="000000"/>
                      <w:spacing w:val="-1"/>
                    </w:rPr>
                    <w:t>n</w:t>
                  </w:r>
                  <w:r>
                    <w:rPr>
                      <w:rFonts w:cs="Georgia"/>
                      <w:color w:val="000000"/>
                    </w:rPr>
                    <w:t xml:space="preserve">t </w:t>
                  </w:r>
                  <w:r>
                    <w:rPr>
                      <w:rFonts w:cs="Georgia"/>
                      <w:color w:val="000000"/>
                      <w:spacing w:val="1"/>
                    </w:rPr>
                    <w:t>p</w:t>
                  </w:r>
                  <w:r>
                    <w:rPr>
                      <w:rFonts w:cs="Georgia"/>
                      <w:color w:val="000000"/>
                      <w:spacing w:val="-1"/>
                    </w:rPr>
                    <w:t>e</w:t>
                  </w:r>
                  <w:r>
                    <w:rPr>
                      <w:rFonts w:cs="Georgia"/>
                      <w:color w:val="000000"/>
                    </w:rPr>
                    <w:t>u</w:t>
                  </w:r>
                  <w:r>
                    <w:rPr>
                      <w:rFonts w:cs="Georgia"/>
                      <w:color w:val="000000"/>
                      <w:spacing w:val="1"/>
                    </w:rPr>
                    <w:t>v</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ch</w:t>
                  </w:r>
                  <w:r>
                    <w:rPr>
                      <w:rFonts w:cs="Georgia"/>
                      <w:color w:val="000000"/>
                      <w:spacing w:val="-1"/>
                    </w:rPr>
                    <w:t>a</w:t>
                  </w:r>
                  <w:r>
                    <w:rPr>
                      <w:rFonts w:cs="Georgia"/>
                      <w:color w:val="000000"/>
                      <w:spacing w:val="-2"/>
                    </w:rPr>
                    <w:t>r</w:t>
                  </w:r>
                  <w:r>
                    <w:rPr>
                      <w:rFonts w:cs="Georgia"/>
                      <w:color w:val="000000"/>
                    </w:rPr>
                    <w:t>g</w:t>
                  </w:r>
                  <w:r>
                    <w:rPr>
                      <w:rFonts w:cs="Georgia"/>
                      <w:color w:val="000000"/>
                      <w:spacing w:val="-1"/>
                    </w:rPr>
                    <w:t>é</w:t>
                  </w:r>
                  <w:r>
                    <w:rPr>
                      <w:rFonts w:cs="Georgia"/>
                      <w:color w:val="000000"/>
                    </w:rPr>
                    <w:t>s</w:t>
                  </w:r>
                  <w:r>
                    <w:rPr>
                      <w:rFonts w:cs="Georgia"/>
                      <w:color w:val="000000"/>
                      <w:spacing w:val="3"/>
                    </w:rPr>
                    <w:t xml:space="preserve"> </w:t>
                  </w:r>
                  <w:r>
                    <w:rPr>
                      <w:rFonts w:cs="Georgia"/>
                      <w:color w:val="000000"/>
                      <w:spacing w:val="-1"/>
                    </w:rPr>
                    <w:t>le</w:t>
                  </w:r>
                  <w:r>
                    <w:rPr>
                      <w:rFonts w:cs="Georgia"/>
                      <w:color w:val="000000"/>
                    </w:rPr>
                    <w:t>s</w:t>
                  </w:r>
                  <w:r>
                    <w:rPr>
                      <w:rFonts w:cs="Georgia"/>
                      <w:color w:val="000000"/>
                      <w:spacing w:val="3"/>
                    </w:rPr>
                    <w:t xml:space="preserve"> </w:t>
                  </w:r>
                  <w:r>
                    <w:rPr>
                      <w:rFonts w:cs="Georgia"/>
                      <w:color w:val="000000"/>
                    </w:rPr>
                    <w:t>m</w:t>
                  </w:r>
                  <w:r>
                    <w:rPr>
                      <w:rFonts w:cs="Georgia"/>
                      <w:color w:val="000000"/>
                      <w:spacing w:val="-1"/>
                    </w:rPr>
                    <w:t>e</w:t>
                  </w:r>
                  <w:r>
                    <w:rPr>
                      <w:rFonts w:cs="Georgia"/>
                      <w:color w:val="000000"/>
                    </w:rPr>
                    <w:t>m</w:t>
                  </w:r>
                  <w:r>
                    <w:rPr>
                      <w:rFonts w:cs="Georgia"/>
                      <w:color w:val="000000"/>
                      <w:spacing w:val="1"/>
                    </w:rPr>
                    <w:t>br</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2"/>
                    </w:rPr>
                    <w:t>d</w:t>
                  </w:r>
                  <w:r>
                    <w:rPr>
                      <w:rFonts w:cs="Georgia"/>
                      <w:color w:val="000000"/>
                    </w:rPr>
                    <w:t>u</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w:t>
                  </w:r>
                  <w:r>
                    <w:rPr>
                      <w:rFonts w:cs="Georgia"/>
                      <w:color w:val="000000"/>
                    </w:rPr>
                    <w:t>l</w:t>
                  </w:r>
                  <w:r>
                    <w:rPr>
                      <w:rFonts w:cs="Georgia"/>
                      <w:color w:val="000000"/>
                      <w:spacing w:val="1"/>
                    </w:rPr>
                    <w:t xml:space="preserve"> </w:t>
                  </w:r>
                  <w:r>
                    <w:rPr>
                      <w:rFonts w:cs="Georgia"/>
                      <w:color w:val="000000"/>
                    </w:rPr>
                    <w:t>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1"/>
                    </w:rPr>
                    <w:t>e</w:t>
                  </w:r>
                  <w:r>
                    <w:rPr>
                      <w:rFonts w:cs="Georgia"/>
                      <w:color w:val="000000"/>
                    </w:rPr>
                    <w:t>ur</w:t>
                  </w:r>
                  <w:r>
                    <w:rPr>
                      <w:rFonts w:cs="Georgia"/>
                      <w:color w:val="000000"/>
                      <w:spacing w:val="3"/>
                    </w:rPr>
                    <w:t xml:space="preserve"> </w:t>
                  </w:r>
                  <w:r>
                    <w:rPr>
                      <w:rFonts w:cs="Georgia"/>
                      <w:color w:val="000000"/>
                      <w:spacing w:val="-1"/>
                    </w:rPr>
                    <w:t>et 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nan</w:t>
                  </w:r>
                  <w:r>
                    <w:rPr>
                      <w:rFonts w:cs="Georgia"/>
                      <w:color w:val="000000"/>
                    </w:rPr>
                    <w:t>t</w:t>
                  </w:r>
                  <w:r>
                    <w:rPr>
                      <w:rFonts w:cs="Georgia"/>
                      <w:color w:val="000000"/>
                      <w:spacing w:val="4"/>
                    </w:rPr>
                    <w:t xml:space="preserve"> </w:t>
                  </w:r>
                  <w:r>
                    <w:rPr>
                      <w:rFonts w:cs="Georgia"/>
                      <w:color w:val="000000"/>
                    </w:rPr>
                    <w:t>d</w:t>
                  </w:r>
                  <w:r>
                    <w:rPr>
                      <w:rFonts w:cs="Georgia"/>
                      <w:color w:val="000000"/>
                      <w:spacing w:val="1"/>
                    </w:rPr>
                    <w:t>'</w:t>
                  </w:r>
                  <w:r>
                    <w:rPr>
                      <w:rFonts w:cs="Georgia"/>
                      <w:color w:val="000000"/>
                    </w:rPr>
                    <w:t>un</w:t>
                  </w:r>
                  <w:r>
                    <w:rPr>
                      <w:rFonts w:cs="Georgia"/>
                      <w:color w:val="000000"/>
                      <w:spacing w:val="2"/>
                    </w:rPr>
                    <w:t xml:space="preserve"> </w:t>
                  </w:r>
                  <w:r>
                    <w:rPr>
                      <w:rFonts w:cs="Georgia"/>
                      <w:color w:val="000000"/>
                      <w:spacing w:val="-1"/>
                    </w:rPr>
                    <w:t>é</w:t>
                  </w:r>
                  <w:r>
                    <w:rPr>
                      <w:rFonts w:cs="Georgia"/>
                      <w:color w:val="000000"/>
                      <w:spacing w:val="1"/>
                    </w:rPr>
                    <w:t>t</w:t>
                  </w:r>
                  <w:r>
                    <w:rPr>
                      <w:rFonts w:cs="Georgia"/>
                      <w:color w:val="000000"/>
                      <w:spacing w:val="-3"/>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w:t>
                  </w:r>
                  <w:r>
                    <w:rPr>
                      <w:rFonts w:cs="Georgia"/>
                      <w:color w:val="000000"/>
                      <w:spacing w:val="-2"/>
                    </w:rPr>
                    <w:t>s</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1"/>
                    </w:rPr>
                    <w:t>o</w:t>
                  </w:r>
                  <w:r>
                    <w:rPr>
                      <w:rFonts w:cs="Georgia"/>
                      <w:color w:val="000000"/>
                    </w:rPr>
                    <w:t>u</w:t>
                  </w:r>
                  <w:r>
                    <w:rPr>
                      <w:rFonts w:cs="Georgia"/>
                      <w:color w:val="000000"/>
                      <w:spacing w:val="3"/>
                    </w:rPr>
                    <w:t xml:space="preserve"> </w:t>
                  </w:r>
                  <w:r>
                    <w:rPr>
                      <w:rFonts w:cs="Georgia"/>
                      <w:color w:val="000000"/>
                      <w:spacing w:val="-2"/>
                    </w:rPr>
                    <w:t>d</w:t>
                  </w:r>
                  <w:r>
                    <w:rPr>
                      <w:rFonts w:cs="Georgia"/>
                      <w:color w:val="000000"/>
                      <w:spacing w:val="1"/>
                    </w:rPr>
                    <w:t>'</w:t>
                  </w:r>
                  <w:r>
                    <w:rPr>
                      <w:rFonts w:cs="Georgia"/>
                      <w:color w:val="000000"/>
                    </w:rPr>
                    <w:t>un</w:t>
                  </w:r>
                  <w:r>
                    <w:rPr>
                      <w:rFonts w:cs="Georgia"/>
                      <w:color w:val="000000"/>
                      <w:spacing w:val="2"/>
                    </w:rPr>
                    <w:t xml:space="preserve"> </w:t>
                  </w:r>
                  <w:r>
                    <w:rPr>
                      <w:rFonts w:cs="Georgia"/>
                      <w:color w:val="000000"/>
                    </w:rPr>
                    <w:t>i</w:t>
                  </w:r>
                  <w:r>
                    <w:rPr>
                      <w:rFonts w:cs="Georgia"/>
                      <w:color w:val="000000"/>
                      <w:spacing w:val="-1"/>
                    </w:rPr>
                    <w:t>n</w:t>
                  </w:r>
                  <w:r>
                    <w:rPr>
                      <w:rFonts w:cs="Georgia"/>
                      <w:color w:val="000000"/>
                      <w:spacing w:val="-2"/>
                    </w:rPr>
                    <w:t>s</w:t>
                  </w:r>
                  <w:r>
                    <w:rPr>
                      <w:rFonts w:cs="Georgia"/>
                      <w:color w:val="000000"/>
                      <w:spacing w:val="1"/>
                    </w:rPr>
                    <w:t>t</w:t>
                  </w:r>
                  <w:r>
                    <w:rPr>
                      <w:rFonts w:cs="Georgia"/>
                      <w:color w:val="000000"/>
                    </w:rPr>
                    <w:t>i</w:t>
                  </w:r>
                  <w:r>
                    <w:rPr>
                      <w:rFonts w:cs="Georgia"/>
                      <w:color w:val="000000"/>
                      <w:spacing w:val="-2"/>
                    </w:rPr>
                    <w:t>t</w:t>
                  </w:r>
                  <w:r>
                    <w:rPr>
                      <w:rFonts w:cs="Georgia"/>
                      <w:color w:val="000000"/>
                    </w:rPr>
                    <w:t>ut</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2"/>
                    </w:rPr>
                    <w:t>s</w:t>
                  </w:r>
                  <w:r>
                    <w:rPr>
                      <w:rFonts w:cs="Georgia"/>
                      <w:color w:val="000000"/>
                      <w:spacing w:val="1"/>
                    </w:rPr>
                    <w:t>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2"/>
                    </w:rPr>
                    <w:t>s</w:t>
                  </w:r>
                  <w:r>
                    <w:rPr>
                      <w:rFonts w:cs="Georgia"/>
                      <w:color w:val="000000"/>
                    </w:rPr>
                    <w:t>é. C</w:t>
                  </w:r>
                  <w:r>
                    <w:rPr>
                      <w:rFonts w:cs="Georgia"/>
                      <w:color w:val="000000"/>
                      <w:spacing w:val="1"/>
                    </w:rPr>
                    <w:t>h</w:t>
                  </w:r>
                  <w:r>
                    <w:rPr>
                      <w:rFonts w:cs="Georgia"/>
                      <w:color w:val="000000"/>
                      <w:spacing w:val="-1"/>
                    </w:rPr>
                    <w:t>aq</w:t>
                  </w:r>
                  <w:r>
                    <w:rPr>
                      <w:rFonts w:cs="Georgia"/>
                      <w:color w:val="000000"/>
                    </w:rPr>
                    <w:t>ue</w:t>
                  </w:r>
                  <w:r>
                    <w:rPr>
                      <w:rFonts w:cs="Georgia"/>
                      <w:color w:val="000000"/>
                      <w:spacing w:val="-1"/>
                    </w:rPr>
                    <w:t xml:space="preserve"> é</w:t>
                  </w:r>
                  <w:r>
                    <w:rPr>
                      <w:rFonts w:cs="Georgia"/>
                      <w:color w:val="000000"/>
                      <w:spacing w:val="1"/>
                    </w:rPr>
                    <w:t>co</w:t>
                  </w:r>
                  <w:r>
                    <w:rPr>
                      <w:rFonts w:cs="Georgia"/>
                      <w:color w:val="000000"/>
                      <w:spacing w:val="-1"/>
                    </w:rPr>
                    <w:t>l</w:t>
                  </w:r>
                  <w:r>
                    <w:rPr>
                      <w:rFonts w:cs="Georgia"/>
                      <w:color w:val="000000"/>
                    </w:rPr>
                    <w:t>e</w:t>
                  </w:r>
                  <w:r>
                    <w:rPr>
                      <w:rFonts w:cs="Georgia"/>
                      <w:color w:val="000000"/>
                      <w:spacing w:val="-1"/>
                    </w:rPr>
                    <w:t xml:space="preserve"> en </w:t>
                  </w:r>
                  <w:r>
                    <w:rPr>
                      <w:rFonts w:cs="Georgia"/>
                      <w:color w:val="000000"/>
                    </w:rPr>
                    <w:t>di</w:t>
                  </w:r>
                  <w:r>
                    <w:rPr>
                      <w:rFonts w:cs="Georgia"/>
                      <w:color w:val="000000"/>
                      <w:spacing w:val="-2"/>
                    </w:rPr>
                    <w:t>s</w:t>
                  </w:r>
                  <w:r>
                    <w:rPr>
                      <w:rFonts w:cs="Georgia"/>
                      <w:color w:val="000000"/>
                      <w:spacing w:val="1"/>
                    </w:rPr>
                    <w:t>p</w:t>
                  </w:r>
                  <w:r>
                    <w:rPr>
                      <w:rFonts w:cs="Georgia"/>
                      <w:color w:val="000000"/>
                      <w:spacing w:val="-1"/>
                    </w:rPr>
                    <w:t>o</w:t>
                  </w:r>
                  <w:r>
                    <w:rPr>
                      <w:rFonts w:cs="Georgia"/>
                      <w:color w:val="000000"/>
                      <w:spacing w:val="1"/>
                    </w:rPr>
                    <w:t>s</w:t>
                  </w:r>
                  <w:r>
                    <w:rPr>
                      <w:rFonts w:cs="Georgia"/>
                      <w:color w:val="000000"/>
                    </w:rPr>
                    <w:t>e</w:t>
                  </w:r>
                  <w:r>
                    <w:rPr>
                      <w:rFonts w:cs="Georgia"/>
                      <w:color w:val="000000"/>
                      <w:spacing w:val="-1"/>
                    </w:rPr>
                    <w:t xml:space="preserve"> </w:t>
                  </w:r>
                  <w:r>
                    <w:rPr>
                      <w:rFonts w:cs="Georgia"/>
                      <w:color w:val="000000"/>
                      <w:spacing w:val="1"/>
                    </w:rPr>
                    <w:t>p</w:t>
                  </w:r>
                  <w:r>
                    <w:rPr>
                      <w:rFonts w:cs="Georgia"/>
                      <w:color w:val="000000"/>
                      <w:spacing w:val="-1"/>
                    </w:rPr>
                    <w:t>o</w:t>
                  </w:r>
                  <w:r>
                    <w:rPr>
                      <w:rFonts w:cs="Georgia"/>
                      <w:color w:val="000000"/>
                    </w:rPr>
                    <w:t xml:space="preserve">ur </w:t>
                  </w:r>
                  <w:r>
                    <w:rPr>
                      <w:rFonts w:cs="Georgia"/>
                      <w:color w:val="000000"/>
                      <w:spacing w:val="-3"/>
                    </w:rPr>
                    <w:t>l</w:t>
                  </w:r>
                  <w:r>
                    <w:rPr>
                      <w:rFonts w:cs="Georgia"/>
                      <w:color w:val="000000"/>
                    </w:rPr>
                    <w:t>a</w:t>
                  </w:r>
                  <w:r>
                    <w:rPr>
                      <w:rFonts w:cs="Georgia"/>
                      <w:color w:val="000000"/>
                      <w:spacing w:val="-1"/>
                    </w:rPr>
                    <w:t xml:space="preserve"> </w:t>
                  </w:r>
                  <w:r>
                    <w:rPr>
                      <w:rFonts w:cs="Georgia"/>
                      <w:color w:val="000000"/>
                    </w:rPr>
                    <w:t>du</w:t>
                  </w:r>
                  <w:r>
                    <w:rPr>
                      <w:rFonts w:cs="Georgia"/>
                      <w:color w:val="000000"/>
                      <w:spacing w:val="1"/>
                    </w:rPr>
                    <w:t>r</w:t>
                  </w:r>
                  <w:r>
                    <w:rPr>
                      <w:rFonts w:cs="Georgia"/>
                      <w:color w:val="000000"/>
                      <w:spacing w:val="-1"/>
                    </w:rPr>
                    <w:t>é</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spacing w:val="-1"/>
                    </w:rPr>
                    <w:t>e.</w:t>
                  </w:r>
                </w:p>
                <w:p>
                  <w:pPr>
                    <w:widowControl w:val="0"/>
                    <w:autoSpaceDE w:val="0"/>
                    <w:autoSpaceDN w:val="0"/>
                    <w:adjustRightInd w:val="0"/>
                    <w:spacing w:before="9" w:line="240" w:lineRule="exact"/>
                    <w:jc w:val="both"/>
                    <w:rPr>
                      <w:rFonts w:cs="Georgia"/>
                      <w:color w:val="000000"/>
                    </w:rPr>
                  </w:pPr>
                </w:p>
                <w:p>
                  <w:pPr>
                    <w:pStyle w:val="Titre4"/>
                  </w:pPr>
                  <w:bookmarkStart w:id="1726" w:name="_1.2._Éléments_servant"/>
                  <w:bookmarkStart w:id="1727" w:name="_Toc453314314"/>
                  <w:bookmarkStart w:id="1728" w:name="_Toc454980349"/>
                  <w:bookmarkEnd w:id="1726"/>
                  <w:r>
                    <w:t>1.</w:t>
                  </w:r>
                  <w:r>
                    <w:rPr>
                      <w:spacing w:val="1"/>
                    </w:rPr>
                    <w:t>2</w:t>
                  </w:r>
                  <w:r>
                    <w:t>.</w:t>
                  </w:r>
                  <w:r>
                    <w:rPr>
                      <w:spacing w:val="-1"/>
                    </w:rPr>
                    <w:t xml:space="preserve"> É</w:t>
                  </w:r>
                  <w:r>
                    <w:rPr>
                      <w:spacing w:val="1"/>
                    </w:rPr>
                    <w:t>lé</w:t>
                  </w:r>
                  <w:r>
                    <w:rPr>
                      <w:spacing w:val="-4"/>
                    </w:rPr>
                    <w:t>m</w:t>
                  </w:r>
                  <w:r>
                    <w:rPr>
                      <w:spacing w:val="1"/>
                    </w:rPr>
                    <w:t>e</w:t>
                  </w:r>
                  <w:r>
                    <w:rPr>
                      <w:spacing w:val="-1"/>
                    </w:rPr>
                    <w:t>n</w:t>
                  </w:r>
                  <w:r>
                    <w:rPr>
                      <w:spacing w:val="1"/>
                    </w:rPr>
                    <w:t>t</w:t>
                  </w:r>
                  <w:r>
                    <w:t>s</w:t>
                  </w:r>
                  <w:r>
                    <w:rPr>
                      <w:spacing w:val="-1"/>
                    </w:rPr>
                    <w:t xml:space="preserve"> </w:t>
                  </w:r>
                  <w:r>
                    <w:t>s</w:t>
                  </w:r>
                  <w:r>
                    <w:rPr>
                      <w:spacing w:val="-2"/>
                    </w:rPr>
                    <w:t>e</w:t>
                  </w:r>
                  <w:r>
                    <w:t>rva</w:t>
                  </w:r>
                  <w:r>
                    <w:rPr>
                      <w:spacing w:val="-1"/>
                    </w:rPr>
                    <w:t>n</w:t>
                  </w:r>
                  <w:r>
                    <w:t>t</w:t>
                  </w:r>
                  <w:r>
                    <w:rPr>
                      <w:spacing w:val="-2"/>
                    </w:rPr>
                    <w:t xml:space="preserve"> </w:t>
                  </w:r>
                  <w:r>
                    <w:t>au</w:t>
                  </w:r>
                  <w:r>
                    <w:rPr>
                      <w:spacing w:val="-2"/>
                    </w:rPr>
                    <w:t xml:space="preserve"> </w:t>
                  </w:r>
                  <w:r>
                    <w:t>ca</w:t>
                  </w:r>
                  <w:r>
                    <w:rPr>
                      <w:spacing w:val="1"/>
                    </w:rPr>
                    <w:t>l</w:t>
                  </w:r>
                  <w:r>
                    <w:t>c</w:t>
                  </w:r>
                  <w:r>
                    <w:rPr>
                      <w:spacing w:val="-3"/>
                    </w:rPr>
                    <w:t>u</w:t>
                  </w:r>
                  <w:r>
                    <w:t>l du</w:t>
                  </w:r>
                  <w:r>
                    <w:rPr>
                      <w:spacing w:val="-2"/>
                    </w:rPr>
                    <w:t xml:space="preserve"> </w:t>
                  </w:r>
                  <w:r>
                    <w:t>c</w:t>
                  </w:r>
                  <w:r>
                    <w:rPr>
                      <w:spacing w:val="-2"/>
                    </w:rPr>
                    <w:t>a</w:t>
                  </w:r>
                  <w:r>
                    <w:rPr>
                      <w:spacing w:val="1"/>
                    </w:rPr>
                    <w:t>p</w:t>
                  </w:r>
                  <w:r>
                    <w:rPr>
                      <w:spacing w:val="-1"/>
                    </w:rPr>
                    <w:t>i</w:t>
                  </w:r>
                  <w:r>
                    <w:rPr>
                      <w:spacing w:val="1"/>
                    </w:rPr>
                    <w:t>t</w:t>
                  </w:r>
                  <w:r>
                    <w:rPr>
                      <w:spacing w:val="-2"/>
                    </w:rPr>
                    <w:t>a</w:t>
                  </w:r>
                  <w:r>
                    <w:rPr>
                      <w:spacing w:val="1"/>
                    </w:rPr>
                    <w:t>l</w:t>
                  </w:r>
                  <w:r>
                    <w:rPr>
                      <w:spacing w:val="-2"/>
                    </w:rPr>
                    <w:t>-</w:t>
                  </w:r>
                  <w:r>
                    <w:rPr>
                      <w:spacing w:val="-1"/>
                    </w:rPr>
                    <w:t>p</w:t>
                  </w:r>
                  <w:r>
                    <w:rPr>
                      <w:spacing w:val="1"/>
                    </w:rPr>
                    <w:t>é</w:t>
                  </w:r>
                  <w:r>
                    <w:rPr>
                      <w:spacing w:val="-2"/>
                    </w:rPr>
                    <w:t>r</w:t>
                  </w:r>
                  <w:r>
                    <w:rPr>
                      <w:spacing w:val="1"/>
                    </w:rPr>
                    <w:t>i</w:t>
                  </w:r>
                  <w:r>
                    <w:rPr>
                      <w:spacing w:val="-1"/>
                    </w:rPr>
                    <w:t>o</w:t>
                  </w:r>
                  <w:r>
                    <w:t>d</w:t>
                  </w:r>
                  <w:r>
                    <w:rPr>
                      <w:spacing w:val="1"/>
                    </w:rPr>
                    <w:t>e</w:t>
                  </w:r>
                  <w:r>
                    <w:t>s</w:t>
                  </w:r>
                  <w:bookmarkEnd w:id="1727"/>
                  <w:bookmarkEnd w:id="1728"/>
                </w:p>
                <w:p>
                  <w:pPr>
                    <w:widowControl w:val="0"/>
                    <w:autoSpaceDE w:val="0"/>
                    <w:autoSpaceDN w:val="0"/>
                    <w:adjustRightInd w:val="0"/>
                    <w:spacing w:before="10" w:line="240" w:lineRule="exact"/>
                    <w:jc w:val="both"/>
                    <w:rPr>
                      <w:rFonts w:cs="Georgia"/>
                      <w:color w:val="000000"/>
                    </w:rPr>
                  </w:pPr>
                </w:p>
                <w:p>
                  <w:pPr>
                    <w:widowControl w:val="0"/>
                    <w:autoSpaceDE w:val="0"/>
                    <w:autoSpaceDN w:val="0"/>
                    <w:adjustRightInd w:val="0"/>
                    <w:ind w:right="41"/>
                    <w:jc w:val="both"/>
                    <w:rPr>
                      <w:rFonts w:cs="Georgia"/>
                      <w:color w:val="000000"/>
                    </w:rPr>
                  </w:pPr>
                  <w:r>
                    <w:rPr>
                      <w:rFonts w:cs="Georgia"/>
                      <w:color w:val="000000"/>
                      <w:spacing w:val="1"/>
                    </w:rPr>
                    <w:t>L</w:t>
                  </w:r>
                  <w:r>
                    <w:rPr>
                      <w:rFonts w:cs="Georgia"/>
                      <w:color w:val="000000"/>
                      <w:spacing w:val="-1"/>
                    </w:rPr>
                    <w:t>e</w:t>
                  </w:r>
                  <w:r>
                    <w:rPr>
                      <w:rFonts w:cs="Georgia"/>
                      <w:color w:val="000000"/>
                    </w:rPr>
                    <w:t xml:space="preserve">s </w:t>
                  </w:r>
                  <w:r>
                    <w:rPr>
                      <w:rFonts w:cs="Georgia"/>
                      <w:color w:val="000000"/>
                      <w:spacing w:val="-1"/>
                    </w:rPr>
                    <w:t>élé</w:t>
                  </w:r>
                  <w:r>
                    <w:rPr>
                      <w:rFonts w:cs="Georgia"/>
                      <w:color w:val="000000"/>
                    </w:rPr>
                    <w:t>m</w:t>
                  </w:r>
                  <w:r>
                    <w:rPr>
                      <w:rFonts w:cs="Georgia"/>
                      <w:color w:val="000000"/>
                      <w:spacing w:val="-1"/>
                    </w:rPr>
                    <w:t>en</w:t>
                  </w:r>
                  <w:r>
                    <w:rPr>
                      <w:rFonts w:cs="Georgia"/>
                      <w:color w:val="000000"/>
                      <w:spacing w:val="1"/>
                    </w:rPr>
                    <w:t>t</w:t>
                  </w:r>
                  <w:r>
                    <w:rPr>
                      <w:rFonts w:cs="Georgia"/>
                      <w:color w:val="000000"/>
                    </w:rPr>
                    <w:t xml:space="preserve">s </w:t>
                  </w:r>
                  <w:r>
                    <w:rPr>
                      <w:rFonts w:cs="Georgia"/>
                      <w:color w:val="000000"/>
                      <w:spacing w:val="1"/>
                    </w:rPr>
                    <w:t>s</w:t>
                  </w:r>
                  <w:r>
                    <w:rPr>
                      <w:rFonts w:cs="Georgia"/>
                      <w:color w:val="000000"/>
                    </w:rPr>
                    <w:t>ui</w:t>
                  </w:r>
                  <w:r>
                    <w:rPr>
                      <w:rFonts w:cs="Georgia"/>
                      <w:color w:val="000000"/>
                      <w:spacing w:val="1"/>
                    </w:rPr>
                    <w:t>v</w:t>
                  </w:r>
                  <w:r>
                    <w:rPr>
                      <w:rFonts w:cs="Georgia"/>
                      <w:color w:val="000000"/>
                      <w:spacing w:val="-1"/>
                    </w:rPr>
                    <w:t>an</w:t>
                  </w:r>
                  <w:r>
                    <w:rPr>
                      <w:rFonts w:cs="Georgia"/>
                      <w:color w:val="000000"/>
                      <w:spacing w:val="-2"/>
                    </w:rPr>
                    <w:t>t</w:t>
                  </w:r>
                  <w:r>
                    <w:rPr>
                      <w:rFonts w:cs="Georgia"/>
                      <w:color w:val="000000"/>
                    </w:rPr>
                    <w:t xml:space="preserve">s </w:t>
                  </w:r>
                  <w:r>
                    <w:rPr>
                      <w:rFonts w:cs="Georgia"/>
                      <w:color w:val="000000"/>
                      <w:spacing w:val="-1"/>
                    </w:rPr>
                    <w:t>en</w:t>
                  </w:r>
                  <w:r>
                    <w:rPr>
                      <w:rFonts w:cs="Georgia"/>
                      <w:color w:val="000000"/>
                      <w:spacing w:val="1"/>
                    </w:rPr>
                    <w:t>tr</w:t>
                  </w:r>
                  <w:r>
                    <w:rPr>
                      <w:rFonts w:cs="Georgia"/>
                      <w:color w:val="000000"/>
                      <w:spacing w:val="-1"/>
                    </w:rPr>
                    <w:t>en</w:t>
                  </w:r>
                  <w:r>
                    <w:rPr>
                      <w:rFonts w:cs="Georgia"/>
                      <w:color w:val="000000"/>
                    </w:rPr>
                    <w:t xml:space="preserve">t </w:t>
                  </w:r>
                  <w:r>
                    <w:rPr>
                      <w:rFonts w:cs="Georgia"/>
                      <w:color w:val="000000"/>
                      <w:spacing w:val="-1"/>
                    </w:rPr>
                    <w:t>e</w:t>
                  </w:r>
                  <w:r>
                    <w:rPr>
                      <w:rFonts w:cs="Georgia"/>
                      <w:color w:val="000000"/>
                    </w:rPr>
                    <w:t>n</w:t>
                  </w:r>
                  <w:r>
                    <w:rPr>
                      <w:rFonts w:cs="Georgia"/>
                      <w:color w:val="000000"/>
                      <w:spacing w:val="-1"/>
                    </w:rPr>
                    <w:t xml:space="preserve"> l</w:t>
                  </w:r>
                  <w:r>
                    <w:rPr>
                      <w:rFonts w:cs="Georgia"/>
                      <w:color w:val="000000"/>
                    </w:rPr>
                    <w:t>ig</w:t>
                  </w:r>
                  <w:r>
                    <w:rPr>
                      <w:rFonts w:cs="Georgia"/>
                      <w:color w:val="000000"/>
                      <w:spacing w:val="-1"/>
                    </w:rPr>
                    <w:t>n</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co</w:t>
                  </w:r>
                  <w:r>
                    <w:rPr>
                      <w:rFonts w:cs="Georgia"/>
                      <w:color w:val="000000"/>
                    </w:rPr>
                    <w:t>m</w:t>
                  </w:r>
                  <w:r>
                    <w:rPr>
                      <w:rFonts w:cs="Georgia"/>
                      <w:color w:val="000000"/>
                      <w:spacing w:val="-1"/>
                    </w:rPr>
                    <w:t>p</w:t>
                  </w:r>
                  <w:r>
                    <w:rPr>
                      <w:rFonts w:cs="Georgia"/>
                      <w:color w:val="000000"/>
                      <w:spacing w:val="1"/>
                    </w:rPr>
                    <w:t>t</w:t>
                  </w:r>
                  <w:r>
                    <w:rPr>
                      <w:rFonts w:cs="Georgia"/>
                      <w:color w:val="000000"/>
                    </w:rPr>
                    <w:t>e</w:t>
                  </w:r>
                  <w:r>
                    <w:rPr>
                      <w:rFonts w:cs="Georgia"/>
                      <w:color w:val="000000"/>
                      <w:spacing w:val="-1"/>
                    </w:rPr>
                    <w:t xml:space="preserve"> </w:t>
                  </w:r>
                  <w:r>
                    <w:rPr>
                      <w:rFonts w:cs="Georgia"/>
                      <w:color w:val="000000"/>
                      <w:spacing w:val="1"/>
                    </w:rPr>
                    <w:t>po</w:t>
                  </w:r>
                  <w:r>
                    <w:rPr>
                      <w:rFonts w:cs="Georgia"/>
                      <w:color w:val="000000"/>
                      <w:spacing w:val="-2"/>
                    </w:rPr>
                    <w:t>u</w:t>
                  </w:r>
                  <w:r>
                    <w:rPr>
                      <w:rFonts w:cs="Georgia"/>
                      <w:color w:val="000000"/>
                    </w:rPr>
                    <w:t xml:space="preserve">r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c</w:t>
                  </w:r>
                  <w:r>
                    <w:rPr>
                      <w:rFonts w:cs="Georgia"/>
                      <w:color w:val="000000"/>
                      <w:spacing w:val="-1"/>
                    </w:rPr>
                    <w:t>al</w:t>
                  </w:r>
                  <w:r>
                    <w:rPr>
                      <w:rFonts w:cs="Georgia"/>
                      <w:color w:val="000000"/>
                      <w:spacing w:val="1"/>
                    </w:rPr>
                    <w:t>c</w:t>
                  </w:r>
                  <w:r>
                    <w:rPr>
                      <w:rFonts w:cs="Georgia"/>
                      <w:color w:val="000000"/>
                    </w:rPr>
                    <w:t>ul</w:t>
                  </w:r>
                  <w:r>
                    <w:rPr>
                      <w:rFonts w:cs="Georgia"/>
                      <w:color w:val="000000"/>
                      <w:spacing w:val="-1"/>
                    </w:rPr>
                    <w:t xml:space="preserve"> </w:t>
                  </w:r>
                  <w:r>
                    <w:rPr>
                      <w:rFonts w:cs="Georgia"/>
                      <w:color w:val="000000"/>
                    </w:rPr>
                    <w:t xml:space="preserve">du </w:t>
                  </w:r>
                  <w:r>
                    <w:rPr>
                      <w:rFonts w:cs="Georgia"/>
                      <w:color w:val="000000"/>
                      <w:spacing w:val="1"/>
                    </w:rPr>
                    <w:t>c</w:t>
                  </w:r>
                  <w:r>
                    <w:rPr>
                      <w:rFonts w:cs="Georgia"/>
                      <w:color w:val="000000"/>
                      <w:spacing w:val="-3"/>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al-</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1"/>
                    </w:rPr>
                    <w:t xml:space="preserve"> </w:t>
                  </w:r>
                  <w:r>
                    <w:rPr>
                      <w:rFonts w:cs="Georgia"/>
                      <w:color w:val="000000"/>
                    </w:rPr>
                    <w:t>:</w:t>
                  </w:r>
                </w:p>
                <w:p>
                  <w:pPr>
                    <w:widowControl w:val="0"/>
                    <w:autoSpaceDE w:val="0"/>
                    <w:autoSpaceDN w:val="0"/>
                    <w:adjustRightInd w:val="0"/>
                    <w:ind w:right="1415"/>
                    <w:jc w:val="both"/>
                    <w:rPr>
                      <w:rFonts w:cs="Georgia"/>
                      <w:color w:val="000000"/>
                    </w:rPr>
                  </w:pPr>
                  <w:r>
                    <w:rPr>
                      <w:rFonts w:cs="Georgia"/>
                      <w:color w:val="000000"/>
                      <w:spacing w:val="-1"/>
                    </w:rPr>
                    <w:t>a</w:t>
                  </w:r>
                  <w:r>
                    <w:rPr>
                      <w:rFonts w:cs="Georgia"/>
                      <w:color w:val="000000"/>
                    </w:rPr>
                    <w:t>)</w:t>
                  </w:r>
                  <w:r>
                    <w:rPr>
                      <w:rFonts w:cs="Georgia"/>
                      <w:color w:val="000000"/>
                      <w:spacing w:val="1"/>
                    </w:rPr>
                    <w:t xml:space="preserve"> </w:t>
                  </w:r>
                  <w:r>
                    <w:rPr>
                      <w:rFonts w:cs="Georgia"/>
                      <w:color w:val="000000"/>
                      <w:spacing w:val="-1"/>
                    </w:rPr>
                    <w:t>l</w:t>
                  </w:r>
                  <w:r>
                    <w:rPr>
                      <w:rFonts w:cs="Georgia"/>
                      <w:color w:val="000000"/>
                    </w:rPr>
                    <w:t>e</w:t>
                  </w:r>
                  <w:r>
                    <w:rPr>
                      <w:rFonts w:cs="Georgia"/>
                      <w:color w:val="000000"/>
                      <w:spacing w:val="-1"/>
                    </w:rPr>
                    <w:t xml:space="preserve"> n</w:t>
                  </w:r>
                  <w:r>
                    <w:rPr>
                      <w:rFonts w:cs="Georgia"/>
                      <w:color w:val="000000"/>
                      <w:spacing w:val="1"/>
                    </w:rPr>
                    <w:t>o</w:t>
                  </w:r>
                  <w:r>
                    <w:rPr>
                      <w:rFonts w:cs="Georgia"/>
                      <w:color w:val="000000"/>
                    </w:rPr>
                    <w:t>m</w:t>
                  </w:r>
                  <w:r>
                    <w:rPr>
                      <w:rFonts w:cs="Georgia"/>
                      <w:color w:val="000000"/>
                      <w:spacing w:val="1"/>
                    </w:rPr>
                    <w:t>br</w:t>
                  </w:r>
                  <w:r>
                    <w:rPr>
                      <w:rFonts w:cs="Georgia"/>
                      <w:color w:val="000000"/>
                    </w:rPr>
                    <w:t>e</w:t>
                  </w:r>
                  <w:r>
                    <w:rPr>
                      <w:rFonts w:cs="Georgia"/>
                      <w:color w:val="000000"/>
                      <w:spacing w:val="-1"/>
                    </w:rPr>
                    <w:t xml:space="preserve"> </w:t>
                  </w:r>
                  <w:r>
                    <w:rPr>
                      <w:rFonts w:cs="Georgia"/>
                      <w:color w:val="000000"/>
                      <w:spacing w:val="-2"/>
                    </w:rPr>
                    <w:t>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es ;</w:t>
                  </w:r>
                </w:p>
                <w:p>
                  <w:pPr>
                    <w:widowControl w:val="0"/>
                    <w:autoSpaceDE w:val="0"/>
                    <w:autoSpaceDN w:val="0"/>
                    <w:adjustRightInd w:val="0"/>
                    <w:spacing w:before="3" w:line="250" w:lineRule="exact"/>
                    <w:jc w:val="both"/>
                    <w:rPr>
                      <w:rFonts w:cs="Georgia"/>
                      <w:color w:val="000000"/>
                      <w:spacing w:val="-1"/>
                    </w:rPr>
                  </w:pPr>
                  <w:r>
                    <w:rPr>
                      <w:rFonts w:cs="Georgia"/>
                      <w:color w:val="000000"/>
                      <w:spacing w:val="1"/>
                    </w:rPr>
                    <w:t>b</w:t>
                  </w:r>
                  <w:r>
                    <w:rPr>
                      <w:rFonts w:cs="Georgia"/>
                      <w:color w:val="000000"/>
                    </w:rPr>
                    <w:t>)</w:t>
                  </w:r>
                  <w:r>
                    <w:rPr>
                      <w:rFonts w:cs="Georgia"/>
                      <w:color w:val="000000"/>
                      <w:spacing w:val="1"/>
                    </w:rPr>
                    <w:t xml:space="preserve"> </w:t>
                  </w:r>
                  <w:r>
                    <w:rPr>
                      <w:rFonts w:cs="Georgia"/>
                      <w:color w:val="000000"/>
                      <w:spacing w:val="-1"/>
                    </w:rPr>
                    <w:t>l</w:t>
                  </w:r>
                  <w:r>
                    <w:rPr>
                      <w:rFonts w:cs="Georgia"/>
                      <w:color w:val="000000"/>
                    </w:rPr>
                    <w:t>e</w:t>
                  </w:r>
                  <w:r>
                    <w:rPr>
                      <w:rFonts w:cs="Georgia"/>
                      <w:color w:val="000000"/>
                      <w:spacing w:val="-1"/>
                    </w:rPr>
                    <w:t xml:space="preserve"> n</w:t>
                  </w:r>
                  <w:r>
                    <w:rPr>
                      <w:rFonts w:cs="Georgia"/>
                      <w:color w:val="000000"/>
                      <w:spacing w:val="1"/>
                    </w:rPr>
                    <w:t>o</w:t>
                  </w:r>
                  <w:r>
                    <w:rPr>
                      <w:rFonts w:cs="Georgia"/>
                      <w:color w:val="000000"/>
                      <w:spacing w:val="-3"/>
                    </w:rPr>
                    <w:t>m</w:t>
                  </w:r>
                  <w:r>
                    <w:rPr>
                      <w:rFonts w:cs="Georgia"/>
                      <w:color w:val="000000"/>
                      <w:spacing w:val="1"/>
                    </w:rPr>
                    <w:t>br</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p</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h</w:t>
                  </w:r>
                  <w:r>
                    <w:rPr>
                      <w:rFonts w:cs="Georgia"/>
                      <w:color w:val="000000"/>
                      <w:spacing w:val="-1"/>
                    </w:rPr>
                    <w:t>e</w:t>
                  </w:r>
                  <w:r>
                    <w:rPr>
                      <w:rFonts w:cs="Georgia"/>
                      <w:color w:val="000000"/>
                      <w:spacing w:val="1"/>
                    </w:rPr>
                    <w:t>b</w:t>
                  </w:r>
                  <w:r>
                    <w:rPr>
                      <w:rFonts w:cs="Georgia"/>
                      <w:color w:val="000000"/>
                      <w:spacing w:val="-2"/>
                    </w:rPr>
                    <w:t>d</w:t>
                  </w:r>
                  <w:r>
                    <w:rPr>
                      <w:rFonts w:cs="Georgia"/>
                      <w:color w:val="000000"/>
                      <w:spacing w:val="1"/>
                    </w:rPr>
                    <w:t>o</w:t>
                  </w:r>
                  <w:r>
                    <w:rPr>
                      <w:rFonts w:cs="Georgia"/>
                      <w:color w:val="000000"/>
                    </w:rPr>
                    <w:t>m</w:t>
                  </w:r>
                  <w:r>
                    <w:rPr>
                      <w:rFonts w:cs="Georgia"/>
                      <w:color w:val="000000"/>
                      <w:spacing w:val="-1"/>
                    </w:rPr>
                    <w:t>a</w:t>
                  </w:r>
                  <w:r>
                    <w:rPr>
                      <w:rFonts w:cs="Georgia"/>
                      <w:color w:val="000000"/>
                    </w:rPr>
                    <w:t>d</w:t>
                  </w:r>
                  <w:r>
                    <w:rPr>
                      <w:rFonts w:cs="Georgia"/>
                      <w:color w:val="000000"/>
                      <w:spacing w:val="-1"/>
                    </w:rPr>
                    <w:t>a</w:t>
                  </w:r>
                  <w:r>
                    <w:rPr>
                      <w:rFonts w:cs="Georgia"/>
                      <w:color w:val="000000"/>
                      <w:spacing w:val="-2"/>
                    </w:rPr>
                    <w:t>i</w:t>
                  </w:r>
                  <w:r>
                    <w:rPr>
                      <w:rFonts w:cs="Georgia"/>
                      <w:color w:val="000000"/>
                      <w:spacing w:val="1"/>
                    </w:rPr>
                    <w:t>r</w:t>
                  </w:r>
                  <w:r>
                    <w:rPr>
                      <w:rFonts w:cs="Georgia"/>
                      <w:color w:val="000000"/>
                      <w:spacing w:val="-1"/>
                    </w:rPr>
                    <w:t>e</w:t>
                  </w:r>
                  <w:r>
                    <w:rPr>
                      <w:rFonts w:cs="Georgia"/>
                      <w:color w:val="000000"/>
                    </w:rPr>
                    <w:t xml:space="preserve">s </w:t>
                  </w:r>
                  <w:r>
                    <w:rPr>
                      <w:rFonts w:cs="Georgia"/>
                      <w:color w:val="000000"/>
                      <w:spacing w:val="-1"/>
                    </w:rPr>
                    <w:t>o</w:t>
                  </w:r>
                  <w:r>
                    <w:rPr>
                      <w:rFonts w:cs="Georgia"/>
                      <w:color w:val="000000"/>
                      <w:spacing w:val="1"/>
                    </w:rPr>
                    <w:t>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3"/>
                    </w:rPr>
                    <w:t>é</w:t>
                  </w:r>
                  <w:r>
                    <w:rPr>
                      <w:rFonts w:cs="Georgia"/>
                      <w:color w:val="000000"/>
                      <w:spacing w:val="-1"/>
                    </w:rPr>
                    <w:t xml:space="preserve">es ; </w:t>
                  </w:r>
                </w:p>
                <w:p>
                  <w:pPr>
                    <w:widowControl w:val="0"/>
                    <w:autoSpaceDE w:val="0"/>
                    <w:autoSpaceDN w:val="0"/>
                    <w:adjustRightInd w:val="0"/>
                    <w:spacing w:before="3" w:line="250" w:lineRule="exact"/>
                    <w:ind w:right="4001"/>
                    <w:jc w:val="both"/>
                    <w:rPr>
                      <w:rFonts w:cs="Georgia"/>
                      <w:color w:val="000000"/>
                    </w:rPr>
                  </w:pPr>
                  <w:r>
                    <w:rPr>
                      <w:rFonts w:cs="Georgia"/>
                      <w:color w:val="000000"/>
                      <w:spacing w:val="1"/>
                    </w:rPr>
                    <w:t>c</w:t>
                  </w:r>
                  <w:r>
                    <w:rPr>
                      <w:rFonts w:cs="Georgia"/>
                      <w:color w:val="000000"/>
                    </w:rPr>
                    <w:t>)</w:t>
                  </w:r>
                  <w:r>
                    <w:rPr>
                      <w:rFonts w:cs="Georgia"/>
                      <w:color w:val="000000"/>
                      <w:spacing w:val="1"/>
                    </w:rPr>
                    <w:t xml:space="preserve"> </w:t>
                  </w:r>
                  <w:r>
                    <w:rPr>
                      <w:rFonts w:cs="Georgia"/>
                      <w:color w:val="000000"/>
                    </w:rPr>
                    <w:t>un</w:t>
                  </w:r>
                  <w:r>
                    <w:rPr>
                      <w:rFonts w:cs="Georgia"/>
                      <w:color w:val="000000"/>
                      <w:spacing w:val="-1"/>
                    </w:rPr>
                    <w:t xml:space="preserve"> no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guid</w:t>
                  </w:r>
                  <w:r>
                    <w:rPr>
                      <w:rFonts w:cs="Georgia"/>
                      <w:color w:val="000000"/>
                      <w:spacing w:val="-1"/>
                    </w:rPr>
                    <w:t>e</w:t>
                  </w:r>
                  <w:r>
                    <w:rPr>
                      <w:rFonts w:cs="Georgia"/>
                      <w:color w:val="000000"/>
                    </w:rPr>
                    <w:t>.</w:t>
                  </w:r>
                </w:p>
                <w:p>
                  <w:pPr>
                    <w:widowControl w:val="0"/>
                    <w:autoSpaceDE w:val="0"/>
                    <w:autoSpaceDN w:val="0"/>
                    <w:adjustRightInd w:val="0"/>
                    <w:spacing w:before="3" w:line="260" w:lineRule="exact"/>
                    <w:jc w:val="both"/>
                    <w:rPr>
                      <w:rFonts w:cs="Georgia"/>
                      <w:color w:val="000000"/>
                    </w:rPr>
                  </w:pPr>
                </w:p>
                <w:p>
                  <w:pPr>
                    <w:widowControl w:val="0"/>
                    <w:numPr>
                      <w:ilvl w:val="0"/>
                      <w:numId w:val="52"/>
                    </w:numPr>
                    <w:autoSpaceDE w:val="0"/>
                    <w:autoSpaceDN w:val="0"/>
                    <w:adjustRightInd w:val="0"/>
                    <w:spacing w:before="1" w:line="220" w:lineRule="exact"/>
                    <w:ind w:left="360"/>
                    <w:jc w:val="both"/>
                    <w:rPr>
                      <w:rFonts w:cs="Georgia"/>
                      <w:b/>
                      <w:bCs/>
                      <w:color w:val="000000"/>
                      <w:position w:val="-1"/>
                      <w:u w:val="single"/>
                    </w:rPr>
                  </w:pPr>
                  <w:r>
                    <w:rPr>
                      <w:rFonts w:cs="Georgia"/>
                      <w:b/>
                      <w:bCs/>
                      <w:color w:val="000000"/>
                      <w:position w:val="-1"/>
                      <w:u w:val="single"/>
                    </w:rPr>
                    <w:t>Le nombre d’élèves</w:t>
                  </w:r>
                </w:p>
                <w:p>
                  <w:pPr>
                    <w:widowControl w:val="0"/>
                    <w:autoSpaceDE w:val="0"/>
                    <w:autoSpaceDN w:val="0"/>
                    <w:adjustRightInd w:val="0"/>
                    <w:spacing w:before="1" w:line="220" w:lineRule="exact"/>
                    <w:jc w:val="both"/>
                    <w:rPr>
                      <w:rFonts w:cs="Georgia"/>
                      <w:b/>
                      <w:bCs/>
                      <w:color w:val="000000"/>
                      <w:position w:val="-1"/>
                      <w:u w:val="single"/>
                    </w:rPr>
                  </w:pPr>
                </w:p>
                <w:p>
                  <w:pPr>
                    <w:widowControl w:val="0"/>
                    <w:autoSpaceDE w:val="0"/>
                    <w:autoSpaceDN w:val="0"/>
                    <w:adjustRightInd w:val="0"/>
                    <w:spacing w:before="36"/>
                    <w:jc w:val="both"/>
                    <w:rPr>
                      <w:rFonts w:cs="Georgia"/>
                      <w:bCs/>
                      <w:color w:val="000000"/>
                    </w:rPr>
                  </w:pPr>
                  <w:r>
                    <w:rPr>
                      <w:rFonts w:cs="Georgia"/>
                      <w:bCs/>
                      <w:color w:val="000000"/>
                    </w:rPr>
                    <w:t>L</w:t>
                  </w:r>
                  <w:r>
                    <w:rPr>
                      <w:rFonts w:cs="Georgia"/>
                      <w:bCs/>
                      <w:color w:val="000000"/>
                      <w:spacing w:val="1"/>
                    </w:rPr>
                    <w:t>es</w:t>
                  </w:r>
                  <w:r>
                    <w:rPr>
                      <w:rFonts w:cs="Georgia"/>
                      <w:bCs/>
                      <w:color w:val="000000"/>
                      <w:spacing w:val="-2"/>
                    </w:rPr>
                    <w:t xml:space="preserve"> </w:t>
                  </w:r>
                  <w:r>
                    <w:rPr>
                      <w:rFonts w:cs="Georgia"/>
                      <w:bCs/>
                      <w:color w:val="000000"/>
                      <w:spacing w:val="1"/>
                    </w:rPr>
                    <w:t>é</w:t>
                  </w:r>
                  <w:r>
                    <w:rPr>
                      <w:rFonts w:cs="Georgia"/>
                      <w:bCs/>
                      <w:color w:val="000000"/>
                      <w:spacing w:val="-2"/>
                    </w:rPr>
                    <w:t>l</w:t>
                  </w:r>
                  <w:r>
                    <w:rPr>
                      <w:rFonts w:cs="Georgia"/>
                      <w:bCs/>
                      <w:color w:val="000000"/>
                      <w:spacing w:val="1"/>
                    </w:rPr>
                    <w:t>è</w:t>
                  </w:r>
                  <w:r>
                    <w:rPr>
                      <w:rFonts w:cs="Georgia"/>
                      <w:bCs/>
                      <w:color w:val="000000"/>
                      <w:spacing w:val="-3"/>
                    </w:rPr>
                    <w:t>v</w:t>
                  </w:r>
                  <w:r>
                    <w:rPr>
                      <w:rFonts w:cs="Georgia"/>
                      <w:bCs/>
                      <w:color w:val="000000"/>
                      <w:spacing w:val="1"/>
                    </w:rPr>
                    <w:t>es</w:t>
                  </w:r>
                  <w:r>
                    <w:rPr>
                      <w:rFonts w:cs="Georgia"/>
                      <w:bCs/>
                      <w:color w:val="000000"/>
                      <w:spacing w:val="-2"/>
                    </w:rPr>
                    <w:t xml:space="preserve"> </w:t>
                  </w:r>
                  <w:r>
                    <w:rPr>
                      <w:rFonts w:cs="Georgia"/>
                      <w:bCs/>
                      <w:color w:val="000000"/>
                    </w:rPr>
                    <w:t xml:space="preserve">à </w:t>
                  </w:r>
                  <w:r>
                    <w:rPr>
                      <w:rFonts w:cs="Georgia"/>
                      <w:bCs/>
                      <w:color w:val="000000"/>
                      <w:spacing w:val="-1"/>
                    </w:rPr>
                    <w:t>p</w:t>
                  </w:r>
                  <w:r>
                    <w:rPr>
                      <w:rFonts w:cs="Georgia"/>
                      <w:bCs/>
                      <w:color w:val="000000"/>
                    </w:rPr>
                    <w:t>r</w:t>
                  </w:r>
                  <w:r>
                    <w:rPr>
                      <w:rFonts w:cs="Georgia"/>
                      <w:bCs/>
                      <w:color w:val="000000"/>
                      <w:spacing w:val="1"/>
                    </w:rPr>
                    <w:t>e</w:t>
                  </w:r>
                  <w:r>
                    <w:rPr>
                      <w:rFonts w:cs="Georgia"/>
                      <w:bCs/>
                      <w:color w:val="000000"/>
                      <w:spacing w:val="-1"/>
                    </w:rPr>
                    <w:t>n</w:t>
                  </w:r>
                  <w:r>
                    <w:rPr>
                      <w:rFonts w:cs="Georgia"/>
                      <w:bCs/>
                      <w:color w:val="000000"/>
                    </w:rPr>
                    <w:t>d</w:t>
                  </w:r>
                  <w:r>
                    <w:rPr>
                      <w:rFonts w:cs="Georgia"/>
                      <w:bCs/>
                      <w:color w:val="000000"/>
                      <w:spacing w:val="-2"/>
                    </w:rPr>
                    <w:t>r</w:t>
                  </w:r>
                  <w:r>
                    <w:rPr>
                      <w:rFonts w:cs="Georgia"/>
                      <w:bCs/>
                      <w:color w:val="000000"/>
                    </w:rPr>
                    <w:t>e</w:t>
                  </w:r>
                  <w:r>
                    <w:rPr>
                      <w:rFonts w:cs="Georgia"/>
                      <w:bCs/>
                      <w:color w:val="000000"/>
                      <w:spacing w:val="-2"/>
                    </w:rPr>
                    <w:t xml:space="preserve"> </w:t>
                  </w:r>
                  <w:r>
                    <w:rPr>
                      <w:rFonts w:cs="Georgia"/>
                      <w:bCs/>
                      <w:color w:val="000000"/>
                      <w:spacing w:val="1"/>
                    </w:rPr>
                    <w:t>en</w:t>
                  </w:r>
                  <w:r>
                    <w:rPr>
                      <w:rFonts w:cs="Georgia"/>
                      <w:bCs/>
                      <w:color w:val="000000"/>
                      <w:spacing w:val="-3"/>
                    </w:rPr>
                    <w:t xml:space="preserve"> </w:t>
                  </w:r>
                  <w:r>
                    <w:rPr>
                      <w:rFonts w:cs="Georgia"/>
                      <w:bCs/>
                      <w:color w:val="000000"/>
                    </w:rPr>
                    <w:t>c</w:t>
                  </w:r>
                  <w:r>
                    <w:rPr>
                      <w:rFonts w:cs="Georgia"/>
                      <w:bCs/>
                      <w:color w:val="000000"/>
                      <w:spacing w:val="-1"/>
                    </w:rPr>
                    <w:t>on</w:t>
                  </w:r>
                  <w:r>
                    <w:rPr>
                      <w:rFonts w:cs="Georgia"/>
                      <w:bCs/>
                      <w:color w:val="000000"/>
                    </w:rPr>
                    <w:t>s</w:t>
                  </w:r>
                  <w:r>
                    <w:rPr>
                      <w:rFonts w:cs="Georgia"/>
                      <w:bCs/>
                      <w:color w:val="000000"/>
                      <w:spacing w:val="1"/>
                    </w:rPr>
                    <w:t>i</w:t>
                  </w:r>
                  <w:r>
                    <w:rPr>
                      <w:rFonts w:cs="Georgia"/>
                      <w:bCs/>
                      <w:color w:val="000000"/>
                    </w:rPr>
                    <w:t>d</w:t>
                  </w:r>
                  <w:r>
                    <w:rPr>
                      <w:rFonts w:cs="Georgia"/>
                      <w:bCs/>
                      <w:color w:val="000000"/>
                      <w:spacing w:val="-2"/>
                    </w:rPr>
                    <w:t>é</w:t>
                  </w:r>
                  <w:r>
                    <w:rPr>
                      <w:rFonts w:cs="Georgia"/>
                      <w:bCs/>
                      <w:color w:val="000000"/>
                    </w:rPr>
                    <w:t>ra</w:t>
                  </w:r>
                  <w:r>
                    <w:rPr>
                      <w:rFonts w:cs="Georgia"/>
                      <w:bCs/>
                      <w:color w:val="000000"/>
                      <w:spacing w:val="-1"/>
                    </w:rPr>
                    <w:t>t</w:t>
                  </w:r>
                  <w:r>
                    <w:rPr>
                      <w:rFonts w:cs="Georgia"/>
                      <w:bCs/>
                      <w:color w:val="000000"/>
                      <w:spacing w:val="1"/>
                    </w:rPr>
                    <w:t>i</w:t>
                  </w:r>
                  <w:r>
                    <w:rPr>
                      <w:rFonts w:cs="Georgia"/>
                      <w:bCs/>
                      <w:color w:val="000000"/>
                      <w:spacing w:val="-1"/>
                    </w:rPr>
                    <w:t>o</w:t>
                  </w:r>
                  <w:r>
                    <w:rPr>
                      <w:rFonts w:cs="Georgia"/>
                      <w:bCs/>
                      <w:color w:val="000000"/>
                    </w:rPr>
                    <w:t>n</w:t>
                  </w:r>
                  <w:r>
                    <w:rPr>
                      <w:rFonts w:cs="Georgia"/>
                      <w:bCs/>
                      <w:color w:val="000000"/>
                      <w:spacing w:val="-2"/>
                    </w:rPr>
                    <w:t xml:space="preserve"> </w:t>
                  </w:r>
                  <w:r>
                    <w:rPr>
                      <w:rFonts w:cs="Georgia"/>
                      <w:bCs/>
                      <w:color w:val="000000"/>
                    </w:rPr>
                    <w:t>s</w:t>
                  </w:r>
                  <w:r>
                    <w:rPr>
                      <w:rFonts w:cs="Georgia"/>
                      <w:bCs/>
                      <w:color w:val="000000"/>
                      <w:spacing w:val="-1"/>
                    </w:rPr>
                    <w:t>ont</w:t>
                  </w:r>
                  <w:r>
                    <w:rPr>
                      <w:rFonts w:cs="Georgia"/>
                      <w:bCs/>
                      <w:color w:val="000000"/>
                      <w:spacing w:val="1"/>
                    </w:rPr>
                    <w:t xml:space="preserve"> </w:t>
                  </w:r>
                  <w:r>
                    <w:rPr>
                      <w:rFonts w:cs="Georgia"/>
                      <w:bCs/>
                      <w:color w:val="000000"/>
                    </w:rPr>
                    <w:t>:</w:t>
                  </w:r>
                </w:p>
                <w:p>
                  <w:pPr>
                    <w:widowControl w:val="0"/>
                    <w:autoSpaceDE w:val="0"/>
                    <w:autoSpaceDN w:val="0"/>
                    <w:adjustRightInd w:val="0"/>
                    <w:spacing w:before="36"/>
                    <w:ind w:right="4645"/>
                    <w:jc w:val="both"/>
                    <w:rPr>
                      <w:rFonts w:cs="Georgia"/>
                      <w:color w:val="000000"/>
                    </w:rPr>
                  </w:pPr>
                </w:p>
                <w:p>
                  <w:pPr>
                    <w:widowControl w:val="0"/>
                    <w:numPr>
                      <w:ilvl w:val="1"/>
                      <w:numId w:val="52"/>
                    </w:numPr>
                    <w:tabs>
                      <w:tab w:val="clear" w:pos="1440"/>
                      <w:tab w:val="num" w:pos="142"/>
                    </w:tabs>
                    <w:autoSpaceDE w:val="0"/>
                    <w:autoSpaceDN w:val="0"/>
                    <w:adjustRightInd w:val="0"/>
                    <w:spacing w:before="1" w:line="250" w:lineRule="exact"/>
                    <w:ind w:left="0" w:right="48" w:hanging="16"/>
                    <w:jc w:val="both"/>
                    <w:rPr>
                      <w:rFonts w:cs="Georgia"/>
                      <w:color w:val="000000"/>
                    </w:rPr>
                  </w:pPr>
                  <w:r>
                    <w:rPr>
                      <w:rFonts w:cs="Georgia"/>
                      <w:b/>
                      <w:color w:val="000000"/>
                      <w:spacing w:val="1"/>
                    </w:rPr>
                    <w:t>c</w:t>
                  </w:r>
                  <w:r>
                    <w:rPr>
                      <w:rFonts w:cs="Georgia"/>
                      <w:b/>
                      <w:color w:val="000000"/>
                      <w:spacing w:val="-1"/>
                    </w:rPr>
                    <w:t>e</w:t>
                  </w:r>
                  <w:r>
                    <w:rPr>
                      <w:rFonts w:cs="Georgia"/>
                      <w:b/>
                      <w:color w:val="000000"/>
                    </w:rPr>
                    <w:t>ux</w:t>
                  </w:r>
                  <w:r>
                    <w:rPr>
                      <w:rFonts w:cs="Georgia"/>
                      <w:b/>
                      <w:color w:val="000000"/>
                      <w:spacing w:val="2"/>
                    </w:rPr>
                    <w:t xml:space="preserve"> </w:t>
                  </w:r>
                  <w:r>
                    <w:rPr>
                      <w:rFonts w:cs="Georgia"/>
                      <w:b/>
                      <w:color w:val="000000"/>
                      <w:spacing w:val="-1"/>
                    </w:rPr>
                    <w:t>q</w:t>
                  </w:r>
                  <w:r>
                    <w:rPr>
                      <w:rFonts w:cs="Georgia"/>
                      <w:b/>
                      <w:color w:val="000000"/>
                    </w:rPr>
                    <w:t>ui</w:t>
                  </w:r>
                  <w:r>
                    <w:rPr>
                      <w:rFonts w:cs="Georgia"/>
                      <w:b/>
                      <w:color w:val="000000"/>
                      <w:spacing w:val="4"/>
                    </w:rPr>
                    <w:t xml:space="preserve"> </w:t>
                  </w:r>
                  <w:r>
                    <w:rPr>
                      <w:rFonts w:cs="Georgia"/>
                      <w:b/>
                      <w:color w:val="000000"/>
                      <w:spacing w:val="-2"/>
                    </w:rPr>
                    <w:t>d</w:t>
                  </w:r>
                  <w:r>
                    <w:rPr>
                      <w:rFonts w:cs="Georgia"/>
                      <w:b/>
                      <w:color w:val="000000"/>
                      <w:spacing w:val="1"/>
                    </w:rPr>
                    <w:t>o</w:t>
                  </w:r>
                  <w:r>
                    <w:rPr>
                      <w:rFonts w:cs="Georgia"/>
                      <w:b/>
                      <w:color w:val="000000"/>
                      <w:spacing w:val="-2"/>
                    </w:rPr>
                    <w:t>i</w:t>
                  </w:r>
                  <w:r>
                    <w:rPr>
                      <w:rFonts w:cs="Georgia"/>
                      <w:b/>
                      <w:color w:val="000000"/>
                      <w:spacing w:val="1"/>
                    </w:rPr>
                    <w:t>v</w:t>
                  </w:r>
                  <w:r>
                    <w:rPr>
                      <w:rFonts w:cs="Georgia"/>
                      <w:b/>
                      <w:color w:val="000000"/>
                      <w:spacing w:val="-1"/>
                    </w:rPr>
                    <w:t>en</w:t>
                  </w:r>
                  <w:r>
                    <w:rPr>
                      <w:rFonts w:cs="Georgia"/>
                      <w:b/>
                      <w:color w:val="000000"/>
                    </w:rPr>
                    <w:t>t</w:t>
                  </w:r>
                  <w:r>
                    <w:rPr>
                      <w:rFonts w:cs="Georgia"/>
                      <w:b/>
                      <w:color w:val="000000"/>
                      <w:spacing w:val="4"/>
                    </w:rPr>
                    <w:t xml:space="preserve"> </w:t>
                  </w:r>
                  <w:r>
                    <w:rPr>
                      <w:rFonts w:cs="Georgia"/>
                      <w:b/>
                      <w:color w:val="000000"/>
                      <w:spacing w:val="-1"/>
                    </w:rPr>
                    <w:t>ê</w:t>
                  </w:r>
                  <w:r>
                    <w:rPr>
                      <w:rFonts w:cs="Georgia"/>
                      <w:b/>
                      <w:color w:val="000000"/>
                      <w:spacing w:val="1"/>
                    </w:rPr>
                    <w:t>tr</w:t>
                  </w:r>
                  <w:r>
                    <w:rPr>
                      <w:rFonts w:cs="Georgia"/>
                      <w:b/>
                      <w:color w:val="000000"/>
                    </w:rPr>
                    <w:t xml:space="preserve">e </w:t>
                  </w:r>
                  <w:r>
                    <w:rPr>
                      <w:rFonts w:cs="Georgia"/>
                      <w:b/>
                      <w:color w:val="000000"/>
                      <w:spacing w:val="1"/>
                    </w:rPr>
                    <w:t>co</w:t>
                  </w:r>
                  <w:r>
                    <w:rPr>
                      <w:rFonts w:cs="Georgia"/>
                      <w:b/>
                      <w:color w:val="000000"/>
                      <w:spacing w:val="-1"/>
                    </w:rPr>
                    <w:t>n</w:t>
                  </w:r>
                  <w:r>
                    <w:rPr>
                      <w:rFonts w:cs="Georgia"/>
                      <w:b/>
                      <w:color w:val="000000"/>
                      <w:spacing w:val="1"/>
                    </w:rPr>
                    <w:t>s</w:t>
                  </w:r>
                  <w:r>
                    <w:rPr>
                      <w:rFonts w:cs="Georgia"/>
                      <w:b/>
                      <w:color w:val="000000"/>
                      <w:spacing w:val="-2"/>
                    </w:rPr>
                    <w:t>i</w:t>
                  </w:r>
                  <w:r>
                    <w:rPr>
                      <w:rFonts w:cs="Georgia"/>
                      <w:b/>
                      <w:color w:val="000000"/>
                    </w:rPr>
                    <w:t>d</w:t>
                  </w:r>
                  <w:r>
                    <w:rPr>
                      <w:rFonts w:cs="Georgia"/>
                      <w:b/>
                      <w:color w:val="000000"/>
                      <w:spacing w:val="-1"/>
                    </w:rPr>
                    <w:t>é</w:t>
                  </w:r>
                  <w:r>
                    <w:rPr>
                      <w:rFonts w:cs="Georgia"/>
                      <w:b/>
                      <w:color w:val="000000"/>
                      <w:spacing w:val="1"/>
                    </w:rPr>
                    <w:t>r</w:t>
                  </w:r>
                  <w:r>
                    <w:rPr>
                      <w:rFonts w:cs="Georgia"/>
                      <w:b/>
                      <w:color w:val="000000"/>
                      <w:spacing w:val="-1"/>
                    </w:rPr>
                    <w:t>é</w:t>
                  </w:r>
                  <w:r>
                    <w:rPr>
                      <w:rFonts w:cs="Georgia"/>
                      <w:b/>
                      <w:color w:val="000000"/>
                    </w:rPr>
                    <w:t>s</w:t>
                  </w:r>
                  <w:r>
                    <w:rPr>
                      <w:rFonts w:cs="Georgia"/>
                      <w:b/>
                      <w:color w:val="000000"/>
                      <w:spacing w:val="4"/>
                    </w:rPr>
                    <w:t xml:space="preserve"> </w:t>
                  </w:r>
                  <w:r>
                    <w:rPr>
                      <w:rFonts w:cs="Georgia"/>
                      <w:b/>
                      <w:color w:val="000000"/>
                      <w:spacing w:val="-2"/>
                    </w:rPr>
                    <w:t>c</w:t>
                  </w:r>
                  <w:r>
                    <w:rPr>
                      <w:rFonts w:cs="Georgia"/>
                      <w:b/>
                      <w:color w:val="000000"/>
                      <w:spacing w:val="1"/>
                    </w:rPr>
                    <w:t>o</w:t>
                  </w:r>
                  <w:r>
                    <w:rPr>
                      <w:rFonts w:cs="Georgia"/>
                      <w:b/>
                      <w:color w:val="000000"/>
                    </w:rPr>
                    <w:t>mme</w:t>
                  </w:r>
                  <w:r>
                    <w:rPr>
                      <w:rFonts w:cs="Georgia"/>
                      <w:b/>
                      <w:color w:val="000000"/>
                      <w:spacing w:val="2"/>
                    </w:rPr>
                    <w:t xml:space="preserve"> </w:t>
                  </w:r>
                  <w:r>
                    <w:rPr>
                      <w:rFonts w:cs="Georgia"/>
                      <w:b/>
                      <w:color w:val="000000"/>
                      <w:spacing w:val="-1"/>
                    </w:rPr>
                    <w:t>élè</w:t>
                  </w:r>
                  <w:r>
                    <w:rPr>
                      <w:rFonts w:cs="Georgia"/>
                      <w:b/>
                      <w:color w:val="000000"/>
                      <w:spacing w:val="1"/>
                    </w:rPr>
                    <w:t>v</w:t>
                  </w:r>
                  <w:r>
                    <w:rPr>
                      <w:rFonts w:cs="Georgia"/>
                      <w:b/>
                      <w:color w:val="000000"/>
                      <w:spacing w:val="-3"/>
                    </w:rPr>
                    <w:t>e</w:t>
                  </w:r>
                  <w:r>
                    <w:rPr>
                      <w:rFonts w:cs="Georgia"/>
                      <w:b/>
                      <w:color w:val="000000"/>
                    </w:rPr>
                    <w:t>s</w:t>
                  </w:r>
                  <w:r>
                    <w:rPr>
                      <w:rFonts w:cs="Georgia"/>
                      <w:b/>
                      <w:color w:val="000000"/>
                      <w:spacing w:val="4"/>
                    </w:rPr>
                    <w:t xml:space="preserve"> </w:t>
                  </w:r>
                  <w:r>
                    <w:rPr>
                      <w:rFonts w:cs="Georgia"/>
                      <w:b/>
                      <w:color w:val="000000"/>
                      <w:spacing w:val="1"/>
                    </w:rPr>
                    <w:t>r</w:t>
                  </w:r>
                  <w:r>
                    <w:rPr>
                      <w:rFonts w:cs="Georgia"/>
                      <w:b/>
                      <w:color w:val="000000"/>
                      <w:spacing w:val="-1"/>
                    </w:rPr>
                    <w:t>é</w:t>
                  </w:r>
                  <w:r>
                    <w:rPr>
                      <w:rFonts w:cs="Georgia"/>
                      <w:b/>
                      <w:color w:val="000000"/>
                    </w:rPr>
                    <w:t>gu</w:t>
                  </w:r>
                  <w:r>
                    <w:rPr>
                      <w:rFonts w:cs="Georgia"/>
                      <w:b/>
                      <w:color w:val="000000"/>
                      <w:spacing w:val="-1"/>
                    </w:rPr>
                    <w:t>l</w:t>
                  </w:r>
                  <w:r>
                    <w:rPr>
                      <w:rFonts w:cs="Georgia"/>
                      <w:b/>
                      <w:color w:val="000000"/>
                    </w:rPr>
                    <w:t>i</w:t>
                  </w:r>
                  <w:r>
                    <w:rPr>
                      <w:rFonts w:cs="Georgia"/>
                      <w:b/>
                      <w:color w:val="000000"/>
                      <w:spacing w:val="-1"/>
                    </w:rPr>
                    <w:t>e</w:t>
                  </w:r>
                  <w:r>
                    <w:rPr>
                      <w:rFonts w:cs="Georgia"/>
                      <w:b/>
                      <w:color w:val="000000"/>
                      <w:spacing w:val="-2"/>
                    </w:rPr>
                    <w:t>r</w:t>
                  </w:r>
                  <w:r>
                    <w:rPr>
                      <w:rFonts w:cs="Georgia"/>
                      <w:b/>
                      <w:color w:val="000000"/>
                    </w:rPr>
                    <w:t>s</w:t>
                  </w:r>
                  <w:r>
                    <w:rPr>
                      <w:rFonts w:cs="Georgia"/>
                      <w:color w:val="000000"/>
                      <w:spacing w:val="4"/>
                    </w:rPr>
                    <w:t xml:space="preserve"> </w:t>
                  </w:r>
                  <w:r>
                    <w:rPr>
                      <w:rFonts w:cs="Georgia"/>
                      <w:color w:val="000000"/>
                      <w:spacing w:val="-2"/>
                    </w:rPr>
                    <w:t>c</w:t>
                  </w:r>
                  <w:r>
                    <w:rPr>
                      <w:rFonts w:cs="Georgia"/>
                      <w:color w:val="000000"/>
                      <w:spacing w:val="1"/>
                    </w:rPr>
                    <w:t>o</w:t>
                  </w:r>
                  <w:r>
                    <w:rPr>
                      <w:rFonts w:cs="Georgia"/>
                      <w:color w:val="000000"/>
                      <w:spacing w:val="-1"/>
                    </w:rPr>
                    <w:t>n</w:t>
                  </w:r>
                  <w:r>
                    <w:rPr>
                      <w:rFonts w:cs="Georgia"/>
                      <w:color w:val="000000"/>
                    </w:rPr>
                    <w:t>f</w:t>
                  </w:r>
                  <w:r>
                    <w:rPr>
                      <w:rFonts w:cs="Georgia"/>
                      <w:color w:val="000000"/>
                      <w:spacing w:val="-1"/>
                    </w:rPr>
                    <w:t>o</w:t>
                  </w:r>
                  <w:r>
                    <w:rPr>
                      <w:rFonts w:cs="Georgia"/>
                      <w:color w:val="000000"/>
                      <w:spacing w:val="1"/>
                    </w:rPr>
                    <w:t>r</w:t>
                  </w:r>
                  <w:r>
                    <w:rPr>
                      <w:rFonts w:cs="Georgia"/>
                      <w:color w:val="000000"/>
                    </w:rPr>
                    <w:t>m</w:t>
                  </w:r>
                  <w:r>
                    <w:rPr>
                      <w:rFonts w:cs="Georgia"/>
                      <w:color w:val="000000"/>
                      <w:spacing w:val="-1"/>
                    </w:rPr>
                    <w:t>é</w:t>
                  </w:r>
                  <w:r>
                    <w:rPr>
                      <w:rFonts w:cs="Georgia"/>
                      <w:color w:val="000000"/>
                    </w:rPr>
                    <w:t>m</w:t>
                  </w:r>
                  <w:r>
                    <w:rPr>
                      <w:rFonts w:cs="Georgia"/>
                      <w:color w:val="000000"/>
                      <w:spacing w:val="-1"/>
                    </w:rPr>
                    <w:t>e</w:t>
                  </w:r>
                  <w:r>
                    <w:rPr>
                      <w:rFonts w:cs="Georgia"/>
                      <w:color w:val="000000"/>
                      <w:spacing w:val="-3"/>
                    </w:rPr>
                    <w:t>n</w:t>
                  </w:r>
                  <w:r>
                    <w:rPr>
                      <w:rFonts w:cs="Georgia"/>
                      <w:color w:val="000000"/>
                    </w:rPr>
                    <w:t>t</w:t>
                  </w:r>
                  <w:r>
                    <w:rPr>
                      <w:rFonts w:cs="Georgia"/>
                      <w:color w:val="000000"/>
                      <w:spacing w:val="4"/>
                    </w:rPr>
                    <w:t xml:space="preserve"> </w:t>
                  </w:r>
                  <w:r>
                    <w:rPr>
                      <w:rFonts w:cs="Georgia"/>
                      <w:color w:val="000000"/>
                      <w:spacing w:val="-1"/>
                    </w:rPr>
                    <w:t>a</w:t>
                  </w:r>
                  <w:r>
                    <w:rPr>
                      <w:rFonts w:cs="Georgia"/>
                      <w:color w:val="000000"/>
                    </w:rPr>
                    <w:t>ux</w:t>
                  </w:r>
                  <w:r>
                    <w:rPr>
                      <w:rFonts w:cs="Georgia"/>
                      <w:color w:val="000000"/>
                      <w:spacing w:val="2"/>
                    </w:rPr>
                    <w:t xml:space="preserve"> </w:t>
                  </w:r>
                  <w:r>
                    <w:rPr>
                      <w:rFonts w:cs="Georgia"/>
                      <w:color w:val="000000"/>
                    </w:rPr>
                    <w:t>di</w:t>
                  </w:r>
                  <w:r>
                    <w:rPr>
                      <w:rFonts w:cs="Georgia"/>
                      <w:color w:val="000000"/>
                      <w:spacing w:val="-2"/>
                    </w:rPr>
                    <w:t>s</w:t>
                  </w:r>
                  <w:r>
                    <w:rPr>
                      <w:rFonts w:cs="Georgia"/>
                      <w:color w:val="000000"/>
                      <w:spacing w:val="-1"/>
                    </w:rPr>
                    <w:t>p</w:t>
                  </w:r>
                  <w:r>
                    <w:rPr>
                      <w:rFonts w:cs="Georgia"/>
                      <w:color w:val="000000"/>
                      <w:spacing w:val="1"/>
                    </w:rPr>
                    <w:t>os</w:t>
                  </w:r>
                  <w:r>
                    <w:rPr>
                      <w:rFonts w:cs="Georgia"/>
                      <w:color w:val="000000"/>
                    </w:rPr>
                    <w:t>i</w:t>
                  </w:r>
                  <w:r>
                    <w:rPr>
                      <w:rFonts w:cs="Georgia"/>
                      <w:color w:val="000000"/>
                      <w:spacing w:val="-2"/>
                    </w:rPr>
                    <w:t>t</w:t>
                  </w:r>
                  <w:r>
                    <w:rPr>
                      <w:rFonts w:cs="Georgia"/>
                      <w:color w:val="000000"/>
                    </w:rPr>
                    <w:t>i</w:t>
                  </w:r>
                  <w:r>
                    <w:rPr>
                      <w:rFonts w:cs="Georgia"/>
                      <w:color w:val="000000"/>
                      <w:spacing w:val="1"/>
                    </w:rPr>
                    <w:t>o</w:t>
                  </w:r>
                  <w:r>
                    <w:rPr>
                      <w:rFonts w:cs="Georgia"/>
                      <w:color w:val="000000"/>
                      <w:spacing w:val="-1"/>
                    </w:rPr>
                    <w:t>n</w:t>
                  </w:r>
                  <w:r>
                    <w:rPr>
                      <w:rFonts w:cs="Georgia"/>
                      <w:color w:val="000000"/>
                    </w:rPr>
                    <w:t xml:space="preserve">s du </w:t>
                  </w:r>
                  <w:r>
                    <w:rPr>
                      <w:rFonts w:cs="Georgia"/>
                      <w:color w:val="000000"/>
                      <w:spacing w:val="-2"/>
                    </w:rPr>
                    <w:t>c</w:t>
                  </w:r>
                  <w:r>
                    <w:rPr>
                      <w:rFonts w:cs="Georgia"/>
                      <w:color w:val="000000"/>
                      <w:spacing w:val="1"/>
                    </w:rPr>
                    <w:t>h</w:t>
                  </w:r>
                  <w:r>
                    <w:rPr>
                      <w:rFonts w:cs="Georgia"/>
                      <w:color w:val="000000"/>
                      <w:spacing w:val="-1"/>
                    </w:rPr>
                    <w:t>a</w:t>
                  </w:r>
                  <w:r>
                    <w:rPr>
                      <w:rFonts w:cs="Georgia"/>
                      <w:color w:val="000000"/>
                      <w:spacing w:val="1"/>
                    </w:rPr>
                    <w:t>p</w:t>
                  </w:r>
                  <w:r>
                    <w:rPr>
                      <w:rFonts w:cs="Georgia"/>
                      <w:color w:val="000000"/>
                    </w:rPr>
                    <w:t>i</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III</w:t>
                  </w:r>
                  <w:r>
                    <w:rPr>
                      <w:rFonts w:cs="Georgia"/>
                      <w:color w:val="000000"/>
                      <w:spacing w:val="-2"/>
                    </w:rPr>
                    <w:t xml:space="preserve"> </w:t>
                  </w:r>
                  <w:r>
                    <w:rPr>
                      <w:rFonts w:cs="Georgia"/>
                      <w:color w:val="000000"/>
                    </w:rPr>
                    <w:t>du D</w:t>
                  </w:r>
                  <w:r>
                    <w:rPr>
                      <w:rFonts w:cs="Georgia"/>
                      <w:color w:val="000000"/>
                      <w:spacing w:val="-1"/>
                    </w:rPr>
                    <w:t>é</w:t>
                  </w:r>
                  <w:r>
                    <w:rPr>
                      <w:rFonts w:cs="Georgia"/>
                      <w:color w:val="000000"/>
                      <w:spacing w:val="-2"/>
                    </w:rPr>
                    <w:t>c</w:t>
                  </w:r>
                  <w:r>
                    <w:rPr>
                      <w:rFonts w:cs="Georgia"/>
                      <w:color w:val="000000"/>
                      <w:spacing w:val="1"/>
                    </w:rPr>
                    <w:t>r</w:t>
                  </w:r>
                  <w:r>
                    <w:rPr>
                      <w:rFonts w:cs="Georgia"/>
                      <w:color w:val="000000"/>
                      <w:spacing w:val="-1"/>
                    </w:rPr>
                    <w:t>e</w:t>
                  </w:r>
                  <w:r>
                    <w:rPr>
                      <w:rFonts w:cs="Georgia"/>
                      <w:color w:val="000000"/>
                    </w:rPr>
                    <w:t>t</w:t>
                  </w:r>
                  <w:r>
                    <w:rPr>
                      <w:rFonts w:cs="Georgia"/>
                      <w:color w:val="000000"/>
                      <w:spacing w:val="-2"/>
                    </w:rPr>
                    <w:t xml:space="preserve"> </w:t>
                  </w:r>
                  <w:r>
                    <w:rPr>
                      <w:rFonts w:cs="Georgia"/>
                      <w:color w:val="000000"/>
                    </w:rPr>
                    <w:t>du 3 m</w:t>
                  </w:r>
                  <w:r>
                    <w:rPr>
                      <w:rFonts w:cs="Georgia"/>
                      <w:color w:val="000000"/>
                      <w:spacing w:val="-1"/>
                    </w:rPr>
                    <w:t>a</w:t>
                  </w:r>
                  <w:r>
                    <w:rPr>
                      <w:rFonts w:cs="Georgia"/>
                      <w:color w:val="000000"/>
                      <w:spacing w:val="-2"/>
                    </w:rPr>
                    <w:t>r</w:t>
                  </w:r>
                  <w:r>
                    <w:rPr>
                      <w:rFonts w:cs="Georgia"/>
                      <w:color w:val="000000"/>
                    </w:rPr>
                    <w:t xml:space="preserve">s </w:t>
                  </w:r>
                  <w:r>
                    <w:rPr>
                      <w:rFonts w:cs="Georgia"/>
                      <w:color w:val="000000"/>
                      <w:spacing w:val="-1"/>
                    </w:rPr>
                    <w:t>200</w:t>
                  </w:r>
                  <w:r>
                    <w:rPr>
                      <w:rFonts w:cs="Georgia"/>
                      <w:color w:val="000000"/>
                    </w:rPr>
                    <w:t xml:space="preserve">4 </w:t>
                  </w:r>
                  <w:r>
                    <w:rPr>
                      <w:rFonts w:cs="Georgia"/>
                      <w:color w:val="000000"/>
                      <w:spacing w:val="1"/>
                    </w:rPr>
                    <w:t>or</w:t>
                  </w:r>
                  <w:r>
                    <w:rPr>
                      <w:rFonts w:cs="Georgia"/>
                      <w:color w:val="000000"/>
                    </w:rPr>
                    <w:t>g</w:t>
                  </w:r>
                  <w:r>
                    <w:rPr>
                      <w:rFonts w:cs="Georgia"/>
                      <w:color w:val="000000"/>
                      <w:spacing w:val="-1"/>
                    </w:rPr>
                    <w:t>an</w:t>
                  </w:r>
                  <w:r>
                    <w:rPr>
                      <w:rFonts w:cs="Georgia"/>
                      <w:color w:val="000000"/>
                    </w:rPr>
                    <w:t>i</w:t>
                  </w:r>
                  <w:r>
                    <w:rPr>
                      <w:rFonts w:cs="Georgia"/>
                      <w:color w:val="000000"/>
                      <w:spacing w:val="-2"/>
                    </w:rPr>
                    <w:t>s</w:t>
                  </w:r>
                  <w:r>
                    <w:rPr>
                      <w:rFonts w:cs="Georgia"/>
                      <w:color w:val="000000"/>
                      <w:spacing w:val="-1"/>
                    </w:rPr>
                    <w:t>an</w:t>
                  </w:r>
                  <w:r>
                    <w:rPr>
                      <w:rFonts w:cs="Georgia"/>
                      <w:color w:val="000000"/>
                    </w:rPr>
                    <w:t xml:space="preserve">t </w:t>
                  </w:r>
                  <w:r>
                    <w:rPr>
                      <w:rFonts w:cs="Georgia"/>
                      <w:color w:val="000000"/>
                      <w:spacing w:val="-1"/>
                    </w:rPr>
                    <w:t>l</w:t>
                  </w:r>
                  <w:r>
                    <w:rPr>
                      <w:rFonts w:cs="Georgia"/>
                      <w:color w:val="000000"/>
                      <w:spacing w:val="1"/>
                    </w:rPr>
                    <w:t>'</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spacing w:val="-2"/>
                    </w:rPr>
                    <w:t>i</w:t>
                  </w:r>
                  <w:r>
                    <w:rPr>
                      <w:rFonts w:cs="Georgia"/>
                      <w:color w:val="000000"/>
                      <w:spacing w:val="-1"/>
                    </w:rPr>
                    <w:t>al</w:t>
                  </w:r>
                  <w:r>
                    <w:rPr>
                      <w:rFonts w:cs="Georgia"/>
                      <w:color w:val="000000"/>
                    </w:rPr>
                    <w:t>i</w:t>
                  </w:r>
                  <w:r>
                    <w:rPr>
                      <w:rFonts w:cs="Georgia"/>
                      <w:color w:val="000000"/>
                      <w:spacing w:val="1"/>
                    </w:rPr>
                    <w:t>s</w:t>
                  </w:r>
                  <w:r>
                    <w:rPr>
                      <w:rFonts w:cs="Georgia"/>
                      <w:color w:val="000000"/>
                      <w:spacing w:val="-1"/>
                    </w:rPr>
                    <w:t>é</w:t>
                  </w:r>
                  <w:r>
                    <w:rPr>
                      <w:rFonts w:cs="Georgia"/>
                      <w:color w:val="000000"/>
                    </w:rPr>
                    <w:t xml:space="preserve">. </w:t>
                  </w:r>
                  <w:r>
                    <w:rPr>
                      <w:rFonts w:cs="Georgia"/>
                      <w:color w:val="000000"/>
                      <w:spacing w:val="1"/>
                    </w:rPr>
                    <w:t>L</w:t>
                  </w:r>
                  <w:r>
                    <w:rPr>
                      <w:rFonts w:cs="Georgia"/>
                      <w:color w:val="000000"/>
                    </w:rPr>
                    <w:t>a</w:t>
                  </w:r>
                  <w:r>
                    <w:rPr>
                      <w:rFonts w:cs="Georgia"/>
                      <w:color w:val="000000"/>
                      <w:spacing w:val="1"/>
                    </w:rPr>
                    <w:t xml:space="preserve"> </w:t>
                  </w:r>
                  <w:r>
                    <w:rPr>
                      <w:rFonts w:cs="Georgia"/>
                      <w:color w:val="000000"/>
                      <w:spacing w:val="-1"/>
                    </w:rPr>
                    <w:t>n</w:t>
                  </w:r>
                  <w:r>
                    <w:rPr>
                      <w:rFonts w:cs="Georgia"/>
                      <w:color w:val="000000"/>
                      <w:spacing w:val="1"/>
                    </w:rPr>
                    <w:t>ot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r</w:t>
                  </w:r>
                  <w:r>
                    <w:rPr>
                      <w:rFonts w:cs="Georgia"/>
                      <w:color w:val="000000"/>
                      <w:spacing w:val="-1"/>
                    </w:rPr>
                    <w:t>é</w:t>
                  </w:r>
                  <w:r>
                    <w:rPr>
                      <w:rFonts w:cs="Georgia"/>
                      <w:color w:val="000000"/>
                    </w:rPr>
                    <w:t>gu</w:t>
                  </w:r>
                  <w:r>
                    <w:rPr>
                      <w:rFonts w:cs="Georgia"/>
                      <w:color w:val="000000"/>
                      <w:spacing w:val="-1"/>
                    </w:rPr>
                    <w:t>la</w:t>
                  </w:r>
                  <w:r>
                    <w:rPr>
                      <w:rFonts w:cs="Georgia"/>
                      <w:color w:val="000000"/>
                      <w:spacing w:val="1"/>
                    </w:rPr>
                    <w:t>r</w:t>
                  </w:r>
                  <w:r>
                    <w:rPr>
                      <w:rFonts w:cs="Georgia"/>
                      <w:color w:val="000000"/>
                    </w:rPr>
                    <w:t>i</w:t>
                  </w:r>
                  <w:r>
                    <w:rPr>
                      <w:rFonts w:cs="Georgia"/>
                      <w:color w:val="000000"/>
                      <w:spacing w:val="1"/>
                    </w:rPr>
                    <w:t>t</w:t>
                  </w:r>
                  <w:r>
                    <w:rPr>
                      <w:rFonts w:cs="Georgia"/>
                      <w:color w:val="000000"/>
                    </w:rPr>
                    <w:t>é</w:t>
                  </w:r>
                  <w:r>
                    <w:rPr>
                      <w:rFonts w:cs="Georgia"/>
                      <w:color w:val="000000"/>
                      <w:spacing w:val="1"/>
                    </w:rPr>
                    <w:t xml:space="preserve"> </w:t>
                  </w:r>
                  <w:r>
                    <w:rPr>
                      <w:rFonts w:cs="Georgia"/>
                      <w:color w:val="000000"/>
                      <w:spacing w:val="-2"/>
                    </w:rPr>
                    <w:t>d</w:t>
                  </w:r>
                  <w:r>
                    <w:rPr>
                      <w:rFonts w:cs="Georgia"/>
                      <w:color w:val="000000"/>
                    </w:rPr>
                    <w:t>e</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é</w:t>
                  </w:r>
                  <w:r>
                    <w:rPr>
                      <w:rFonts w:cs="Georgia"/>
                      <w:color w:val="000000"/>
                      <w:spacing w:val="2"/>
                    </w:rPr>
                    <w:t>l</w:t>
                  </w:r>
                  <w:r>
                    <w:rPr>
                      <w:rFonts w:cs="Georgia"/>
                      <w:color w:val="000000"/>
                      <w:spacing w:val="-1"/>
                    </w:rPr>
                    <w:t>è</w:t>
                  </w:r>
                  <w:r>
                    <w:rPr>
                      <w:rFonts w:cs="Georgia"/>
                      <w:color w:val="000000"/>
                      <w:spacing w:val="1"/>
                    </w:rPr>
                    <w:t>v</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o</w:t>
                  </w:r>
                  <w:r>
                    <w:rPr>
                      <w:rFonts w:cs="Georgia"/>
                      <w:color w:val="000000"/>
                    </w:rPr>
                    <w:t>it</w:t>
                  </w:r>
                  <w:r>
                    <w:rPr>
                      <w:rFonts w:cs="Georgia"/>
                      <w:color w:val="000000"/>
                      <w:spacing w:val="3"/>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co</w:t>
                  </w:r>
                  <w:r>
                    <w:rPr>
                      <w:rFonts w:cs="Georgia"/>
                      <w:color w:val="000000"/>
                      <w:spacing w:val="-3"/>
                    </w:rPr>
                    <w:t>m</w:t>
                  </w:r>
                  <w:r>
                    <w:rPr>
                      <w:rFonts w:cs="Georgia"/>
                      <w:color w:val="000000"/>
                      <w:spacing w:val="1"/>
                    </w:rPr>
                    <w:t>pr</w:t>
                  </w:r>
                  <w:r>
                    <w:rPr>
                      <w:rFonts w:cs="Georgia"/>
                      <w:color w:val="000000"/>
                      <w:spacing w:val="-2"/>
                    </w:rPr>
                    <w:t>i</w:t>
                  </w:r>
                  <w:r>
                    <w:rPr>
                      <w:rFonts w:cs="Georgia"/>
                      <w:color w:val="000000"/>
                      <w:spacing w:val="1"/>
                    </w:rPr>
                    <w:t>s</w:t>
                  </w:r>
                  <w:r>
                    <w:rPr>
                      <w:rFonts w:cs="Georgia"/>
                      <w:color w:val="000000"/>
                    </w:rPr>
                    <w:t>e</w:t>
                  </w:r>
                  <w:r>
                    <w:rPr>
                      <w:rFonts w:cs="Georgia"/>
                      <w:color w:val="000000"/>
                      <w:spacing w:val="1"/>
                    </w:rPr>
                    <w:t xml:space="preserve"> </w:t>
                  </w:r>
                  <w:r>
                    <w:rPr>
                      <w:rFonts w:cs="Georgia"/>
                      <w:color w:val="000000"/>
                      <w:spacing w:val="-1"/>
                    </w:rPr>
                    <w:t>a</w:t>
                  </w:r>
                  <w:r>
                    <w:rPr>
                      <w:rFonts w:cs="Georgia"/>
                      <w:color w:val="000000"/>
                    </w:rPr>
                    <w:t>u</w:t>
                  </w:r>
                  <w:r>
                    <w:rPr>
                      <w:rFonts w:cs="Georgia"/>
                      <w:color w:val="000000"/>
                      <w:spacing w:val="2"/>
                    </w:rPr>
                    <w:t xml:space="preserve"> </w:t>
                  </w:r>
                  <w:r>
                    <w:rPr>
                      <w:rFonts w:cs="Georgia"/>
                      <w:color w:val="000000"/>
                      <w:spacing w:val="1"/>
                    </w:rPr>
                    <w:t>s</w:t>
                  </w:r>
                  <w:r>
                    <w:rPr>
                      <w:rFonts w:cs="Georgia"/>
                      <w:color w:val="000000"/>
                      <w:spacing w:val="-1"/>
                    </w:rPr>
                    <w:t>en</w:t>
                  </w:r>
                  <w:r>
                    <w:rPr>
                      <w:rFonts w:cs="Georgia"/>
                      <w:color w:val="000000"/>
                    </w:rPr>
                    <w:t>s</w:t>
                  </w:r>
                  <w:r>
                    <w:rPr>
                      <w:rFonts w:cs="Georgia"/>
                      <w:color w:val="000000"/>
                      <w:spacing w:val="3"/>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pr</w:t>
                  </w:r>
                  <w:r>
                    <w:rPr>
                      <w:rFonts w:cs="Georgia"/>
                      <w:color w:val="000000"/>
                      <w:spacing w:val="-1"/>
                    </w:rPr>
                    <w:t>e</w:t>
                  </w:r>
                  <w:r>
                    <w:rPr>
                      <w:rFonts w:cs="Georgia"/>
                      <w:color w:val="000000"/>
                      <w:spacing w:val="1"/>
                    </w:rPr>
                    <w:t>scr</w:t>
                  </w:r>
                  <w:r>
                    <w:rPr>
                      <w:rFonts w:cs="Georgia"/>
                      <w:color w:val="000000"/>
                      <w:spacing w:val="-2"/>
                    </w:rPr>
                    <w:t>i</w:t>
                  </w:r>
                  <w:r>
                    <w:rPr>
                      <w:rFonts w:cs="Georgia"/>
                      <w:color w:val="000000"/>
                      <w:spacing w:val="1"/>
                    </w:rPr>
                    <w:t>t</w:t>
                  </w:r>
                  <w:r>
                    <w:rPr>
                      <w:rFonts w:cs="Georgia"/>
                      <w:color w:val="000000"/>
                    </w:rPr>
                    <w:t>s 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a</w:t>
                  </w:r>
                  <w:r>
                    <w:rPr>
                      <w:rFonts w:cs="Georgia"/>
                      <w:color w:val="000000"/>
                      <w:spacing w:val="1"/>
                    </w:rPr>
                    <w:t>rt</w:t>
                  </w:r>
                  <w:r>
                    <w:rPr>
                      <w:rFonts w:cs="Georgia"/>
                      <w:color w:val="000000"/>
                    </w:rPr>
                    <w:t>i</w:t>
                  </w:r>
                  <w:r>
                    <w:rPr>
                      <w:rFonts w:cs="Georgia"/>
                      <w:color w:val="000000"/>
                      <w:spacing w:val="1"/>
                    </w:rPr>
                    <w:t>c</w:t>
                  </w:r>
                  <w:r>
                    <w:rPr>
                      <w:rFonts w:cs="Georgia"/>
                      <w:color w:val="000000"/>
                      <w:spacing w:val="-1"/>
                    </w:rPr>
                    <w:t>le</w:t>
                  </w:r>
                  <w:r>
                    <w:rPr>
                      <w:rFonts w:cs="Georgia"/>
                      <w:color w:val="000000"/>
                    </w:rPr>
                    <w:t>s</w:t>
                  </w:r>
                  <w:r>
                    <w:rPr>
                      <w:rFonts w:cs="Georgia"/>
                      <w:color w:val="000000"/>
                      <w:spacing w:val="3"/>
                    </w:rPr>
                    <w:t xml:space="preserve"> </w:t>
                  </w:r>
                  <w:r>
                    <w:rPr>
                      <w:rFonts w:cs="Georgia"/>
                      <w:color w:val="000000"/>
                    </w:rPr>
                    <w:t>6</w:t>
                  </w:r>
                  <w:r>
                    <w:rPr>
                      <w:rFonts w:cs="Georgia"/>
                      <w:color w:val="000000"/>
                      <w:spacing w:val="2"/>
                    </w:rPr>
                    <w:t xml:space="preserve"> </w:t>
                  </w:r>
                  <w:r>
                    <w:rPr>
                      <w:rFonts w:cs="Georgia"/>
                      <w:color w:val="000000"/>
                      <w:spacing w:val="-1"/>
                    </w:rPr>
                    <w:t>e</w:t>
                  </w:r>
                  <w:r>
                    <w:rPr>
                      <w:rFonts w:cs="Georgia"/>
                      <w:color w:val="000000"/>
                    </w:rPr>
                    <w:t>t</w:t>
                  </w:r>
                  <w:r>
                    <w:rPr>
                      <w:rFonts w:cs="Georgia"/>
                      <w:color w:val="000000"/>
                      <w:spacing w:val="3"/>
                    </w:rPr>
                    <w:t xml:space="preserve"> </w:t>
                  </w:r>
                  <w:r>
                    <w:rPr>
                      <w:rFonts w:cs="Georgia"/>
                      <w:color w:val="000000"/>
                      <w:spacing w:val="-1"/>
                    </w:rPr>
                    <w:t>2</w:t>
                  </w:r>
                  <w:r>
                    <w:rPr>
                      <w:rFonts w:cs="Georgia"/>
                      <w:color w:val="000000"/>
                    </w:rPr>
                    <w:t>4</w:t>
                  </w:r>
                  <w:r>
                    <w:rPr>
                      <w:rFonts w:cs="Georgia"/>
                      <w:color w:val="000000"/>
                      <w:spacing w:val="2"/>
                    </w:rPr>
                    <w:t xml:space="preserve"> </w:t>
                  </w:r>
                  <w:r>
                    <w:rPr>
                      <w:rFonts w:cs="Georgia"/>
                      <w:color w:val="000000"/>
                    </w:rPr>
                    <w:t>de</w:t>
                  </w:r>
                  <w:r>
                    <w:rPr>
                      <w:rFonts w:cs="Georgia"/>
                      <w:color w:val="000000"/>
                      <w:spacing w:val="1"/>
                    </w:rPr>
                    <w:t xml:space="preserve"> </w:t>
                  </w:r>
                  <w:r>
                    <w:rPr>
                      <w:rFonts w:cs="Georgia"/>
                      <w:color w:val="000000"/>
                      <w:spacing w:val="-1"/>
                    </w:rPr>
                    <w:t>l</w:t>
                  </w:r>
                  <w:r>
                    <w:rPr>
                      <w:rFonts w:cs="Georgia"/>
                      <w:color w:val="000000"/>
                    </w:rPr>
                    <w:t xml:space="preserve">a </w:t>
                  </w:r>
                  <w:r>
                    <w:rPr>
                      <w:rFonts w:cs="Georgia"/>
                      <w:color w:val="000000"/>
                      <w:spacing w:val="-1"/>
                    </w:rPr>
                    <w:t>l</w:t>
                  </w:r>
                  <w:r>
                    <w:rPr>
                      <w:rFonts w:cs="Georgia"/>
                      <w:color w:val="000000"/>
                      <w:spacing w:val="1"/>
                    </w:rPr>
                    <w:t>o</w:t>
                  </w:r>
                  <w:r>
                    <w:rPr>
                      <w:rFonts w:cs="Georgia"/>
                      <w:color w:val="000000"/>
                    </w:rPr>
                    <w:t xml:space="preserve">i </w:t>
                  </w:r>
                  <w:r>
                    <w:rPr>
                      <w:rFonts w:cs="Georgia"/>
                      <w:color w:val="000000"/>
                      <w:spacing w:val="-2"/>
                    </w:rPr>
                    <w:t>d</w:t>
                  </w:r>
                  <w:r>
                    <w:rPr>
                      <w:rFonts w:cs="Georgia"/>
                      <w:color w:val="000000"/>
                    </w:rPr>
                    <w:t xml:space="preserve">u </w:t>
                  </w:r>
                  <w:r>
                    <w:rPr>
                      <w:rFonts w:cs="Georgia"/>
                      <w:color w:val="000000"/>
                      <w:spacing w:val="-1"/>
                    </w:rPr>
                    <w:t>2</w:t>
                  </w:r>
                  <w:r>
                    <w:rPr>
                      <w:rFonts w:cs="Georgia"/>
                      <w:color w:val="000000"/>
                    </w:rPr>
                    <w:t>9</w:t>
                  </w:r>
                  <w:r>
                    <w:rPr>
                      <w:rFonts w:cs="Georgia"/>
                      <w:color w:val="000000"/>
                      <w:spacing w:val="31"/>
                    </w:rPr>
                    <w:t xml:space="preserve"> </w:t>
                  </w:r>
                  <w:r>
                    <w:rPr>
                      <w:rFonts w:cs="Georgia"/>
                      <w:color w:val="000000"/>
                    </w:rPr>
                    <w:t>m</w:t>
                  </w:r>
                  <w:r>
                    <w:rPr>
                      <w:rFonts w:cs="Georgia"/>
                      <w:color w:val="000000"/>
                      <w:spacing w:val="-1"/>
                    </w:rPr>
                    <w:t>a</w:t>
                  </w:r>
                  <w:r>
                    <w:rPr>
                      <w:rFonts w:cs="Georgia"/>
                      <w:color w:val="000000"/>
                    </w:rPr>
                    <w:t xml:space="preserve">i </w:t>
                  </w:r>
                  <w:r>
                    <w:rPr>
                      <w:rFonts w:cs="Georgia"/>
                      <w:color w:val="000000"/>
                      <w:spacing w:val="1"/>
                    </w:rPr>
                    <w:t>1</w:t>
                  </w:r>
                  <w:r>
                    <w:rPr>
                      <w:rFonts w:cs="Georgia"/>
                      <w:color w:val="000000"/>
                      <w:spacing w:val="-3"/>
                    </w:rPr>
                    <w:t>9</w:t>
                  </w:r>
                  <w:r>
                    <w:rPr>
                      <w:rFonts w:cs="Georgia"/>
                      <w:color w:val="000000"/>
                      <w:spacing w:val="1"/>
                    </w:rPr>
                    <w:t>5</w:t>
                  </w:r>
                  <w:r>
                    <w:rPr>
                      <w:rFonts w:cs="Georgia"/>
                      <w:color w:val="000000"/>
                    </w:rPr>
                    <w:t xml:space="preserve">9 </w:t>
                  </w:r>
                  <w:r>
                    <w:rPr>
                      <w:rFonts w:cs="Georgia"/>
                      <w:color w:val="000000"/>
                      <w:spacing w:val="-1"/>
                    </w:rPr>
                    <w:t>q</w:t>
                  </w:r>
                  <w:r>
                    <w:rPr>
                      <w:rFonts w:cs="Georgia"/>
                      <w:color w:val="000000"/>
                    </w:rPr>
                    <w:t xml:space="preserve">ui </w:t>
                  </w:r>
                  <w:r>
                    <w:rPr>
                      <w:rFonts w:cs="Georgia"/>
                      <w:color w:val="000000"/>
                      <w:spacing w:val="-2"/>
                    </w:rPr>
                    <w:t>c</w:t>
                  </w:r>
                  <w:r>
                    <w:rPr>
                      <w:rFonts w:cs="Georgia"/>
                      <w:color w:val="000000"/>
                      <w:spacing w:val="1"/>
                    </w:rPr>
                    <w:t>o</w:t>
                  </w:r>
                  <w:r>
                    <w:rPr>
                      <w:rFonts w:cs="Georgia"/>
                      <w:color w:val="000000"/>
                      <w:spacing w:val="-1"/>
                    </w:rPr>
                    <w:t>n</w:t>
                  </w:r>
                  <w:r>
                    <w:rPr>
                      <w:rFonts w:cs="Georgia"/>
                      <w:color w:val="000000"/>
                      <w:spacing w:val="1"/>
                    </w:rPr>
                    <w:t>st</w:t>
                  </w:r>
                  <w:r>
                    <w:rPr>
                      <w:rFonts w:cs="Georgia"/>
                      <w:color w:val="000000"/>
                      <w:spacing w:val="-2"/>
                    </w:rPr>
                    <w:t>i</w:t>
                  </w:r>
                  <w:r>
                    <w:rPr>
                      <w:rFonts w:cs="Georgia"/>
                      <w:color w:val="000000"/>
                      <w:spacing w:val="1"/>
                    </w:rPr>
                    <w:t>t</w:t>
                  </w:r>
                  <w:r>
                    <w:rPr>
                      <w:rFonts w:cs="Georgia"/>
                      <w:color w:val="000000"/>
                    </w:rPr>
                    <w:t>u</w:t>
                  </w:r>
                  <w:r>
                    <w:rPr>
                      <w:rFonts w:cs="Georgia"/>
                      <w:color w:val="000000"/>
                      <w:spacing w:val="-1"/>
                    </w:rPr>
                    <w:t>en</w:t>
                  </w:r>
                  <w:r>
                    <w:rPr>
                      <w:rFonts w:cs="Georgia"/>
                      <w:color w:val="000000"/>
                    </w:rPr>
                    <w:t>t</w:t>
                  </w:r>
                  <w:r>
                    <w:rPr>
                      <w:rFonts w:cs="Georgia"/>
                      <w:color w:val="000000"/>
                      <w:spacing w:val="29"/>
                    </w:rPr>
                    <w:t xml:space="preserve"> </w:t>
                  </w:r>
                  <w:r>
                    <w:rPr>
                      <w:rFonts w:cs="Georgia"/>
                      <w:color w:val="000000"/>
                    </w:rPr>
                    <w:t>u</w:t>
                  </w:r>
                  <w:r>
                    <w:rPr>
                      <w:rFonts w:cs="Georgia"/>
                      <w:color w:val="000000"/>
                      <w:spacing w:val="-1"/>
                    </w:rPr>
                    <w:t>n</w:t>
                  </w:r>
                  <w:r>
                    <w:rPr>
                      <w:rFonts w:cs="Georgia"/>
                      <w:color w:val="000000"/>
                    </w:rPr>
                    <w:t xml:space="preserve">e </w:t>
                  </w:r>
                  <w:r>
                    <w:rPr>
                      <w:rFonts w:cs="Georgia"/>
                      <w:color w:val="000000"/>
                      <w:spacing w:val="1"/>
                    </w:rPr>
                    <w:t>co</w:t>
                  </w:r>
                  <w:r>
                    <w:rPr>
                      <w:rFonts w:cs="Georgia"/>
                      <w:color w:val="000000"/>
                      <w:spacing w:val="-3"/>
                    </w:rPr>
                    <w:t>n</w:t>
                  </w:r>
                  <w:r>
                    <w:rPr>
                      <w:rFonts w:cs="Georgia"/>
                      <w:color w:val="000000"/>
                    </w:rPr>
                    <w:t>di</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30"/>
                    </w:rPr>
                    <w:t xml:space="preserve"> </w:t>
                  </w:r>
                  <w:r>
                    <w:rPr>
                      <w:rFonts w:cs="Georgia"/>
                      <w:color w:val="000000"/>
                      <w:spacing w:val="-1"/>
                    </w:rPr>
                    <w:t>lé</w:t>
                  </w:r>
                  <w:r>
                    <w:rPr>
                      <w:rFonts w:cs="Georgia"/>
                      <w:color w:val="000000"/>
                    </w:rPr>
                    <w:t>g</w:t>
                  </w:r>
                  <w:r>
                    <w:rPr>
                      <w:rFonts w:cs="Georgia"/>
                      <w:color w:val="000000"/>
                      <w:spacing w:val="-1"/>
                    </w:rPr>
                    <w:t>al</w:t>
                  </w:r>
                  <w:r>
                    <w:rPr>
                      <w:rFonts w:cs="Georgia"/>
                      <w:color w:val="000000"/>
                    </w:rPr>
                    <w:t>e</w:t>
                  </w:r>
                  <w:r>
                    <w:rPr>
                      <w:rFonts w:cs="Georgia"/>
                      <w:color w:val="000000"/>
                      <w:spacing w:val="30"/>
                    </w:rPr>
                    <w:t xml:space="preserve"> </w:t>
                  </w:r>
                  <w:r>
                    <w:rPr>
                      <w:rFonts w:cs="Georgia"/>
                      <w:color w:val="000000"/>
                    </w:rPr>
                    <w:t xml:space="preserve">de </w:t>
                  </w:r>
                  <w:r>
                    <w:rPr>
                      <w:rFonts w:cs="Georgia"/>
                      <w:color w:val="000000"/>
                      <w:spacing w:val="1"/>
                    </w:rPr>
                    <w:t>cr</w:t>
                  </w:r>
                  <w:r>
                    <w:rPr>
                      <w:rFonts w:cs="Georgia"/>
                      <w:color w:val="000000"/>
                      <w:spacing w:val="-1"/>
                    </w:rPr>
                    <w:t>éa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 xml:space="preserve">n </w:t>
                  </w:r>
                  <w:r>
                    <w:rPr>
                      <w:rFonts w:cs="Georgia"/>
                      <w:color w:val="000000"/>
                      <w:spacing w:val="1"/>
                    </w:rPr>
                    <w:t>o</w:t>
                  </w:r>
                  <w:r>
                    <w:rPr>
                      <w:rFonts w:cs="Georgia"/>
                      <w:color w:val="000000"/>
                    </w:rPr>
                    <w:t>u</w:t>
                  </w:r>
                  <w:r>
                    <w:rPr>
                      <w:rFonts w:cs="Georgia"/>
                      <w:color w:val="000000"/>
                      <w:spacing w:val="29"/>
                    </w:rPr>
                    <w:t xml:space="preserve"> </w:t>
                  </w:r>
                  <w:r>
                    <w:rPr>
                      <w:rFonts w:cs="Georgia"/>
                      <w:color w:val="000000"/>
                    </w:rPr>
                    <w:t>d’</w:t>
                  </w:r>
                  <w:r>
                    <w:rPr>
                      <w:rFonts w:cs="Georgia"/>
                      <w:color w:val="000000"/>
                      <w:spacing w:val="-1"/>
                    </w:rPr>
                    <w:t>a</w:t>
                  </w:r>
                  <w:r>
                    <w:rPr>
                      <w:rFonts w:cs="Georgia"/>
                      <w:color w:val="000000"/>
                    </w:rPr>
                    <w:t>d</w:t>
                  </w:r>
                  <w:r>
                    <w:rPr>
                      <w:rFonts w:cs="Georgia"/>
                      <w:color w:val="000000"/>
                      <w:spacing w:val="-3"/>
                    </w:rPr>
                    <w:t>m</w:t>
                  </w:r>
                  <w:r>
                    <w:rPr>
                      <w:rFonts w:cs="Georgia"/>
                      <w:color w:val="000000"/>
                    </w:rPr>
                    <w:t>i</w:t>
                  </w:r>
                  <w:r>
                    <w:rPr>
                      <w:rFonts w:cs="Georgia"/>
                      <w:color w:val="000000"/>
                      <w:spacing w:val="1"/>
                    </w:rPr>
                    <w:t>s</w:t>
                  </w:r>
                  <w:r>
                    <w:rPr>
                      <w:rFonts w:cs="Georgia"/>
                      <w:color w:val="000000"/>
                      <w:spacing w:val="-2"/>
                    </w:rPr>
                    <w:t>s</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a</w:t>
                  </w:r>
                  <w:r>
                    <w:rPr>
                      <w:rFonts w:cs="Georgia"/>
                      <w:color w:val="000000"/>
                      <w:spacing w:val="-2"/>
                    </w:rPr>
                    <w:t>u</w:t>
                  </w:r>
                  <w:r>
                    <w:rPr>
                      <w:rFonts w:cs="Georgia"/>
                      <w:color w:val="000000"/>
                    </w:rPr>
                    <w:t xml:space="preserve">x </w:t>
                  </w:r>
                  <w:r>
                    <w:rPr>
                      <w:rFonts w:cs="Georgia"/>
                      <w:color w:val="000000"/>
                      <w:spacing w:val="1"/>
                    </w:rPr>
                    <w:t>s</w:t>
                  </w:r>
                  <w:r>
                    <w:rPr>
                      <w:rFonts w:cs="Georgia"/>
                      <w:color w:val="000000"/>
                    </w:rPr>
                    <w:t>u</w:t>
                  </w:r>
                  <w:r>
                    <w:rPr>
                      <w:rFonts w:cs="Georgia"/>
                      <w:color w:val="000000"/>
                      <w:spacing w:val="-1"/>
                    </w:rPr>
                    <w:t>b</w:t>
                  </w:r>
                  <w:r>
                    <w:rPr>
                      <w:rFonts w:cs="Georgia"/>
                      <w:color w:val="000000"/>
                      <w:spacing w:val="1"/>
                    </w:rPr>
                    <w:t>v</w:t>
                  </w:r>
                  <w:r>
                    <w:rPr>
                      <w:rFonts w:cs="Georgia"/>
                      <w:color w:val="000000"/>
                      <w:spacing w:val="-1"/>
                    </w:rPr>
                    <w:t>en</w:t>
                  </w:r>
                  <w:r>
                    <w:rPr>
                      <w:rFonts w:cs="Georgia"/>
                      <w:color w:val="000000"/>
                      <w:spacing w:val="1"/>
                    </w:rPr>
                    <w:t>t</w:t>
                  </w:r>
                  <w:r>
                    <w:rPr>
                      <w:rFonts w:cs="Georgia"/>
                      <w:color w:val="000000"/>
                    </w:rPr>
                    <w:t>i</w:t>
                  </w:r>
                  <w:r>
                    <w:rPr>
                      <w:rFonts w:cs="Georgia"/>
                      <w:color w:val="000000"/>
                      <w:spacing w:val="1"/>
                    </w:rPr>
                    <w:t>o</w:t>
                  </w:r>
                  <w:r>
                    <w:rPr>
                      <w:rFonts w:cs="Georgia"/>
                      <w:color w:val="000000"/>
                      <w:spacing w:val="-3"/>
                    </w:rPr>
                    <w:t>n</w:t>
                  </w:r>
                  <w:r>
                    <w:rPr>
                      <w:rFonts w:cs="Georgia"/>
                      <w:color w:val="000000"/>
                    </w:rPr>
                    <w:t>s</w:t>
                  </w:r>
                  <w:r>
                    <w:rPr>
                      <w:rFonts w:cs="Georgia"/>
                      <w:color w:val="000000"/>
                      <w:spacing w:val="4"/>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spacing w:val="-2"/>
                    </w:rPr>
                    <w:t>i</w:t>
                  </w:r>
                  <w:r>
                    <w:rPr>
                      <w:rFonts w:cs="Georgia"/>
                      <w:color w:val="000000"/>
                      <w:spacing w:val="1"/>
                    </w:rPr>
                    <w:t>s</w:t>
                  </w:r>
                  <w:r>
                    <w:rPr>
                      <w:rFonts w:cs="Georgia"/>
                      <w:color w:val="000000"/>
                      <w:spacing w:val="-2"/>
                    </w:rPr>
                    <w:t>s</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w:t>
                  </w:r>
                  <w:r>
                    <w:rPr>
                      <w:rFonts w:cs="Georgia"/>
                      <w:color w:val="000000"/>
                    </w:rPr>
                    <w:t>s</w:t>
                  </w:r>
                  <w:r>
                    <w:rPr>
                      <w:rFonts w:cs="Georgia"/>
                      <w:color w:val="000000"/>
                      <w:spacing w:val="4"/>
                    </w:rPr>
                    <w:t xml:space="preserve"> </w:t>
                  </w:r>
                  <w:r>
                    <w:rPr>
                      <w:rFonts w:cs="Georgia"/>
                      <w:color w:val="000000"/>
                    </w:rPr>
                    <w:t>d’</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spacing w:val="1"/>
                    </w:rPr>
                    <w:t>t</w:t>
                  </w:r>
                  <w:r>
                    <w:rPr>
                      <w:rFonts w:cs="Georgia"/>
                      <w:color w:val="000000"/>
                    </w:rPr>
                    <w:t>.</w:t>
                  </w:r>
                  <w:r>
                    <w:rPr>
                      <w:rFonts w:cs="Georgia"/>
                      <w:color w:val="000000"/>
                      <w:spacing w:val="2"/>
                    </w:rPr>
                    <w:t xml:space="preserve"> </w:t>
                  </w:r>
                  <w:r>
                    <w:rPr>
                      <w:rFonts w:cs="Georgia"/>
                      <w:color w:val="000000"/>
                    </w:rPr>
                    <w:t>C’</w:t>
                  </w:r>
                  <w:r>
                    <w:rPr>
                      <w:rFonts w:cs="Georgia"/>
                      <w:color w:val="000000"/>
                      <w:spacing w:val="-1"/>
                    </w:rPr>
                    <w:t>e</w:t>
                  </w:r>
                  <w:r>
                    <w:rPr>
                      <w:rFonts w:cs="Georgia"/>
                      <w:color w:val="000000"/>
                      <w:spacing w:val="1"/>
                    </w:rPr>
                    <w:t>st</w:t>
                  </w:r>
                  <w:r>
                    <w:rPr>
                      <w:rFonts w:cs="Georgia"/>
                      <w:color w:val="000000"/>
                      <w:spacing w:val="-1"/>
                    </w:rPr>
                    <w:t>-à-</w:t>
                  </w:r>
                  <w:r>
                    <w:rPr>
                      <w:rFonts w:cs="Georgia"/>
                      <w:color w:val="000000"/>
                    </w:rPr>
                    <w:t>di</w:t>
                  </w:r>
                  <w:r>
                    <w:rPr>
                      <w:rFonts w:cs="Georgia"/>
                      <w:color w:val="000000"/>
                      <w:spacing w:val="1"/>
                    </w:rPr>
                    <w:t>r</w:t>
                  </w:r>
                  <w:r>
                    <w:rPr>
                      <w:rFonts w:cs="Georgia"/>
                      <w:color w:val="000000"/>
                    </w:rPr>
                    <w:t>e</w:t>
                  </w:r>
                  <w:r>
                    <w:rPr>
                      <w:rFonts w:cs="Georgia"/>
                      <w:color w:val="000000"/>
                      <w:spacing w:val="3"/>
                    </w:rPr>
                    <w:t xml:space="preserve"> </w:t>
                  </w:r>
                  <w:r>
                    <w:rPr>
                      <w:rFonts w:cs="Georgia"/>
                      <w:color w:val="000000"/>
                      <w:spacing w:val="-1"/>
                    </w:rPr>
                    <w:t>q</w:t>
                  </w:r>
                  <w:r>
                    <w:rPr>
                      <w:rFonts w:cs="Georgia"/>
                      <w:color w:val="000000"/>
                      <w:spacing w:val="-2"/>
                    </w:rPr>
                    <w:t>u</w:t>
                  </w:r>
                  <w:r>
                    <w:rPr>
                      <w:rFonts w:cs="Georgia"/>
                      <w:color w:val="000000"/>
                    </w:rPr>
                    <w:t>’il</w:t>
                  </w:r>
                  <w:r>
                    <w:rPr>
                      <w:rFonts w:cs="Georgia"/>
                      <w:color w:val="000000"/>
                      <w:spacing w:val="3"/>
                    </w:rPr>
                    <w:t xml:space="preserve"> </w:t>
                  </w:r>
                  <w:r>
                    <w:rPr>
                      <w:rFonts w:cs="Georgia"/>
                      <w:color w:val="000000"/>
                    </w:rPr>
                    <w:t>f</w:t>
                  </w:r>
                  <w:r>
                    <w:rPr>
                      <w:rFonts w:cs="Georgia"/>
                      <w:color w:val="000000"/>
                      <w:spacing w:val="-1"/>
                    </w:rPr>
                    <w:t>a</w:t>
                  </w:r>
                  <w:r>
                    <w:rPr>
                      <w:rFonts w:cs="Georgia"/>
                      <w:color w:val="000000"/>
                    </w:rPr>
                    <w:t>ut</w:t>
                  </w:r>
                  <w:r>
                    <w:rPr>
                      <w:rFonts w:cs="Georgia"/>
                      <w:color w:val="000000"/>
                      <w:spacing w:val="2"/>
                    </w:rPr>
                    <w:t xml:space="preserve"> </w:t>
                  </w:r>
                  <w:r>
                    <w:rPr>
                      <w:rFonts w:cs="Georgia"/>
                      <w:color w:val="000000"/>
                      <w:spacing w:val="-2"/>
                    </w:rPr>
                    <w:t>u</w:t>
                  </w:r>
                  <w:r>
                    <w:rPr>
                      <w:rFonts w:cs="Georgia"/>
                      <w:color w:val="000000"/>
                      <w:spacing w:val="-1"/>
                    </w:rPr>
                    <w:t>n</w:t>
                  </w:r>
                  <w:r>
                    <w:rPr>
                      <w:rFonts w:cs="Georgia"/>
                      <w:color w:val="000000"/>
                    </w:rPr>
                    <w:t>e</w:t>
                  </w:r>
                  <w:r>
                    <w:rPr>
                      <w:rFonts w:cs="Georgia"/>
                      <w:color w:val="000000"/>
                      <w:spacing w:val="3"/>
                    </w:rPr>
                    <w:t xml:space="preserve">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c</w:t>
                  </w:r>
                  <w:r>
                    <w:rPr>
                      <w:rFonts w:cs="Georgia"/>
                      <w:color w:val="000000"/>
                    </w:rPr>
                    <w:t xml:space="preserve">e </w:t>
                  </w:r>
                  <w:r>
                    <w:rPr>
                      <w:rFonts w:cs="Georgia"/>
                      <w:color w:val="000000"/>
                      <w:spacing w:val="1"/>
                    </w:rPr>
                    <w:t>ob</w:t>
                  </w:r>
                  <w:r>
                    <w:rPr>
                      <w:rFonts w:cs="Georgia"/>
                      <w:color w:val="000000"/>
                      <w:spacing w:val="-1"/>
                    </w:rPr>
                    <w:t>l</w:t>
                  </w:r>
                  <w:r>
                    <w:rPr>
                      <w:rFonts w:cs="Georgia"/>
                      <w:color w:val="000000"/>
                    </w:rPr>
                    <w:t>ig</w:t>
                  </w:r>
                  <w:r>
                    <w:rPr>
                      <w:rFonts w:cs="Georgia"/>
                      <w:color w:val="000000"/>
                      <w:spacing w:val="-3"/>
                    </w:rPr>
                    <w:t>a</w:t>
                  </w:r>
                  <w:r>
                    <w:rPr>
                      <w:rFonts w:cs="Georgia"/>
                      <w:color w:val="000000"/>
                      <w:spacing w:val="1"/>
                    </w:rPr>
                    <w:t>to</w:t>
                  </w:r>
                  <w:r>
                    <w:rPr>
                      <w:rFonts w:cs="Georgia"/>
                      <w:color w:val="000000"/>
                      <w:spacing w:val="-2"/>
                    </w:rPr>
                    <w:t>i</w:t>
                  </w:r>
                  <w:r>
                    <w:rPr>
                      <w:rFonts w:cs="Georgia"/>
                      <w:color w:val="000000"/>
                      <w:spacing w:val="1"/>
                    </w:rPr>
                    <w:t>r</w:t>
                  </w:r>
                  <w:r>
                    <w:rPr>
                      <w:rFonts w:cs="Georgia"/>
                      <w:color w:val="000000"/>
                    </w:rPr>
                    <w:t>e mi</w:t>
                  </w:r>
                  <w:r>
                    <w:rPr>
                      <w:rFonts w:cs="Georgia"/>
                      <w:color w:val="000000"/>
                      <w:spacing w:val="-1"/>
                    </w:rPr>
                    <w:t>n</w:t>
                  </w:r>
                  <w:r>
                    <w:rPr>
                      <w:rFonts w:cs="Georgia"/>
                      <w:color w:val="000000"/>
                    </w:rPr>
                    <w:t>imum</w:t>
                  </w:r>
                  <w:r>
                    <w:rPr>
                      <w:rFonts w:cs="Georgia"/>
                      <w:color w:val="000000"/>
                      <w:spacing w:val="14"/>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17"/>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17"/>
                    </w:rPr>
                    <w:t xml:space="preserve"> </w:t>
                  </w:r>
                  <w:r>
                    <w:rPr>
                      <w:rFonts w:cs="Georgia"/>
                      <w:color w:val="000000"/>
                    </w:rPr>
                    <w:t>à</w:t>
                  </w:r>
                  <w:r>
                    <w:rPr>
                      <w:rFonts w:cs="Georgia"/>
                      <w:color w:val="000000"/>
                      <w:spacing w:val="16"/>
                    </w:rPr>
                    <w:t xml:space="preserve"> </w:t>
                  </w:r>
                  <w:r>
                    <w:rPr>
                      <w:rFonts w:cs="Georgia"/>
                      <w:color w:val="000000"/>
                      <w:spacing w:val="-1"/>
                    </w:rPr>
                    <w:t>l</w:t>
                  </w:r>
                  <w:r>
                    <w:rPr>
                      <w:rFonts w:cs="Georgia"/>
                      <w:color w:val="000000"/>
                      <w:spacing w:val="-2"/>
                    </w:rPr>
                    <w:t>’</w:t>
                  </w:r>
                  <w:r>
                    <w:rPr>
                      <w:rFonts w:cs="Georgia"/>
                      <w:color w:val="000000"/>
                      <w:spacing w:val="-1"/>
                    </w:rPr>
                    <w:t>é</w:t>
                  </w:r>
                  <w:r>
                    <w:rPr>
                      <w:rFonts w:cs="Georgia"/>
                      <w:color w:val="000000"/>
                      <w:spacing w:val="1"/>
                    </w:rPr>
                    <w:t>co</w:t>
                  </w:r>
                  <w:r>
                    <w:rPr>
                      <w:rFonts w:cs="Georgia"/>
                      <w:color w:val="000000"/>
                      <w:spacing w:val="-1"/>
                    </w:rPr>
                    <w:t>l</w:t>
                  </w:r>
                  <w:r>
                    <w:rPr>
                      <w:rFonts w:cs="Georgia"/>
                      <w:color w:val="000000"/>
                    </w:rPr>
                    <w:t>e</w:t>
                  </w:r>
                  <w:r>
                    <w:rPr>
                      <w:rFonts w:cs="Georgia"/>
                      <w:color w:val="000000"/>
                      <w:spacing w:val="15"/>
                    </w:rPr>
                    <w:t xml:space="preserve"> </w:t>
                  </w:r>
                  <w:r>
                    <w:rPr>
                      <w:rFonts w:cs="Georgia"/>
                      <w:color w:val="000000"/>
                      <w:spacing w:val="-1"/>
                    </w:rPr>
                    <w:t>a</w:t>
                  </w:r>
                  <w:r>
                    <w:rPr>
                      <w:rFonts w:cs="Georgia"/>
                      <w:color w:val="000000"/>
                    </w:rPr>
                    <w:t>fin</w:t>
                  </w:r>
                  <w:r>
                    <w:rPr>
                      <w:rFonts w:cs="Georgia"/>
                      <w:color w:val="000000"/>
                      <w:spacing w:val="16"/>
                    </w:rPr>
                    <w:t xml:space="preserve"> </w:t>
                  </w:r>
                  <w:r>
                    <w:rPr>
                      <w:rFonts w:cs="Georgia"/>
                      <w:color w:val="000000"/>
                    </w:rPr>
                    <w:t>de</w:t>
                  </w:r>
                  <w:r>
                    <w:rPr>
                      <w:rFonts w:cs="Georgia"/>
                      <w:color w:val="000000"/>
                      <w:spacing w:val="16"/>
                    </w:rPr>
                    <w:t xml:space="preserve"> </w:t>
                  </w:r>
                  <w:r>
                    <w:rPr>
                      <w:rFonts w:cs="Georgia"/>
                      <w:color w:val="000000"/>
                      <w:spacing w:val="1"/>
                    </w:rPr>
                    <w:t>r</w:t>
                  </w:r>
                  <w:r>
                    <w:rPr>
                      <w:rFonts w:cs="Georgia"/>
                      <w:color w:val="000000"/>
                      <w:spacing w:val="-1"/>
                    </w:rPr>
                    <w:t>e</w:t>
                  </w:r>
                  <w:r>
                    <w:rPr>
                      <w:rFonts w:cs="Georgia"/>
                      <w:color w:val="000000"/>
                      <w:spacing w:val="-2"/>
                    </w:rPr>
                    <w:t>s</w:t>
                  </w:r>
                  <w:r>
                    <w:rPr>
                      <w:rFonts w:cs="Georgia"/>
                      <w:color w:val="000000"/>
                      <w:spacing w:val="1"/>
                    </w:rPr>
                    <w:t>p</w:t>
                  </w:r>
                  <w:r>
                    <w:rPr>
                      <w:rFonts w:cs="Georgia"/>
                      <w:color w:val="000000"/>
                      <w:spacing w:val="-1"/>
                    </w:rPr>
                    <w:t>e</w:t>
                  </w:r>
                  <w:r>
                    <w:rPr>
                      <w:rFonts w:cs="Georgia"/>
                      <w:color w:val="000000"/>
                      <w:spacing w:val="1"/>
                    </w:rPr>
                    <w:t>ct</w:t>
                  </w:r>
                  <w:r>
                    <w:rPr>
                      <w:rFonts w:cs="Georgia"/>
                      <w:color w:val="000000"/>
                      <w:spacing w:val="-3"/>
                    </w:rPr>
                    <w:t>e</w:t>
                  </w:r>
                  <w:r>
                    <w:rPr>
                      <w:rFonts w:cs="Georgia"/>
                      <w:color w:val="000000"/>
                    </w:rPr>
                    <w:t>r</w:t>
                  </w:r>
                  <w:r>
                    <w:rPr>
                      <w:rFonts w:cs="Georgia"/>
                      <w:color w:val="000000"/>
                      <w:spacing w:val="17"/>
                    </w:rPr>
                    <w:t xml:space="preserve"> </w:t>
                  </w:r>
                  <w:r>
                    <w:rPr>
                      <w:rFonts w:cs="Georgia"/>
                      <w:color w:val="000000"/>
                      <w:spacing w:val="-1"/>
                    </w:rPr>
                    <w:t>le</w:t>
                  </w:r>
                  <w:r>
                    <w:rPr>
                      <w:rFonts w:cs="Georgia"/>
                      <w:color w:val="000000"/>
                    </w:rPr>
                    <w:t>s</w:t>
                  </w:r>
                  <w:r>
                    <w:rPr>
                      <w:rFonts w:cs="Georgia"/>
                      <w:color w:val="000000"/>
                      <w:spacing w:val="17"/>
                    </w:rPr>
                    <w:t xml:space="preserve"> </w:t>
                  </w:r>
                  <w:r>
                    <w:rPr>
                      <w:rFonts w:cs="Georgia"/>
                      <w:color w:val="000000"/>
                      <w:spacing w:val="-1"/>
                    </w:rPr>
                    <w:t>p</w:t>
                  </w:r>
                  <w:r>
                    <w:rPr>
                      <w:rFonts w:cs="Georgia"/>
                      <w:color w:val="000000"/>
                      <w:spacing w:val="1"/>
                    </w:rPr>
                    <w:t>r</w:t>
                  </w:r>
                  <w:r>
                    <w:rPr>
                      <w:rFonts w:cs="Georgia"/>
                      <w:color w:val="000000"/>
                      <w:spacing w:val="-1"/>
                    </w:rPr>
                    <w:t>o</w:t>
                  </w:r>
                  <w:r>
                    <w:rPr>
                      <w:rFonts w:cs="Georgia"/>
                      <w:color w:val="000000"/>
                    </w:rPr>
                    <w:t>g</w:t>
                  </w:r>
                  <w:r>
                    <w:rPr>
                      <w:rFonts w:cs="Georgia"/>
                      <w:color w:val="000000"/>
                      <w:spacing w:val="1"/>
                    </w:rPr>
                    <w:t>r</w:t>
                  </w:r>
                  <w:r>
                    <w:rPr>
                      <w:rFonts w:cs="Georgia"/>
                      <w:color w:val="000000"/>
                      <w:spacing w:val="-1"/>
                    </w:rPr>
                    <w:t>a</w:t>
                  </w:r>
                  <w:r>
                    <w:rPr>
                      <w:rFonts w:cs="Georgia"/>
                      <w:color w:val="000000"/>
                    </w:rPr>
                    <w:t>mm</w:t>
                  </w:r>
                  <w:r>
                    <w:rPr>
                      <w:rFonts w:cs="Georgia"/>
                      <w:color w:val="000000"/>
                      <w:spacing w:val="-1"/>
                    </w:rPr>
                    <w:t>e</w:t>
                  </w:r>
                  <w:r>
                    <w:rPr>
                      <w:rFonts w:cs="Georgia"/>
                      <w:color w:val="000000"/>
                    </w:rPr>
                    <w:t>s</w:t>
                  </w:r>
                  <w:r>
                    <w:rPr>
                      <w:rFonts w:cs="Georgia"/>
                      <w:color w:val="000000"/>
                      <w:spacing w:val="15"/>
                    </w:rPr>
                    <w:t xml:space="preserve"> </w:t>
                  </w:r>
                  <w:r>
                    <w:rPr>
                      <w:rFonts w:cs="Georgia"/>
                      <w:color w:val="000000"/>
                      <w:spacing w:val="-1"/>
                    </w:rPr>
                    <w:t>e</w:t>
                  </w:r>
                  <w:r>
                    <w:rPr>
                      <w:rFonts w:cs="Georgia"/>
                      <w:color w:val="000000"/>
                    </w:rPr>
                    <w:t>t</w:t>
                  </w:r>
                  <w:r>
                    <w:rPr>
                      <w:rFonts w:cs="Georgia"/>
                      <w:color w:val="000000"/>
                      <w:spacing w:val="17"/>
                    </w:rPr>
                    <w:t xml:space="preserve"> </w:t>
                  </w:r>
                  <w:r>
                    <w:rPr>
                      <w:rFonts w:cs="Georgia"/>
                      <w:color w:val="000000"/>
                      <w:spacing w:val="-1"/>
                    </w:rPr>
                    <w:t>l</w:t>
                  </w:r>
                  <w:r>
                    <w:rPr>
                      <w:rFonts w:cs="Georgia"/>
                      <w:color w:val="000000"/>
                      <w:spacing w:val="-2"/>
                    </w:rPr>
                    <w:t>’</w:t>
                  </w:r>
                  <w:r>
                    <w:rPr>
                      <w:rFonts w:cs="Georgia"/>
                      <w:color w:val="000000"/>
                      <w:spacing w:val="1"/>
                    </w:rPr>
                    <w:t>h</w:t>
                  </w:r>
                  <w:r>
                    <w:rPr>
                      <w:rFonts w:cs="Georgia"/>
                      <w:color w:val="000000"/>
                      <w:spacing w:val="-1"/>
                    </w:rPr>
                    <w:t>o</w:t>
                  </w:r>
                  <w:r>
                    <w:rPr>
                      <w:rFonts w:cs="Georgia"/>
                      <w:color w:val="000000"/>
                      <w:spacing w:val="1"/>
                    </w:rPr>
                    <w:t>r</w:t>
                  </w:r>
                  <w:r>
                    <w:rPr>
                      <w:rFonts w:cs="Georgia"/>
                      <w:color w:val="000000"/>
                      <w:spacing w:val="-1"/>
                    </w:rPr>
                    <w:t>a</w:t>
                  </w:r>
                  <w:r>
                    <w:rPr>
                      <w:rFonts w:cs="Georgia"/>
                      <w:color w:val="000000"/>
                    </w:rPr>
                    <w:t>i</w:t>
                  </w:r>
                  <w:r>
                    <w:rPr>
                      <w:rFonts w:cs="Georgia"/>
                      <w:color w:val="000000"/>
                      <w:spacing w:val="-2"/>
                    </w:rPr>
                    <w:t>r</w:t>
                  </w:r>
                  <w:r>
                    <w:rPr>
                      <w:rFonts w:cs="Georgia"/>
                      <w:color w:val="000000"/>
                    </w:rPr>
                    <w:t>e</w:t>
                  </w:r>
                  <w:r>
                    <w:rPr>
                      <w:rFonts w:cs="Georgia"/>
                      <w:color w:val="000000"/>
                      <w:spacing w:val="15"/>
                    </w:rPr>
                    <w:t xml:space="preserve"> </w:t>
                  </w:r>
                  <w:r>
                    <w:rPr>
                      <w:rFonts w:cs="Georgia"/>
                      <w:color w:val="000000"/>
                    </w:rPr>
                    <w:t>mi</w:t>
                  </w:r>
                  <w:r>
                    <w:rPr>
                      <w:rFonts w:cs="Georgia"/>
                      <w:color w:val="000000"/>
                      <w:spacing w:val="-1"/>
                    </w:rPr>
                    <w:t>n</w:t>
                  </w:r>
                  <w:r>
                    <w:rPr>
                      <w:rFonts w:cs="Georgia"/>
                      <w:color w:val="000000"/>
                    </w:rPr>
                    <w:t>imum</w:t>
                  </w:r>
                  <w:r>
                    <w:rPr>
                      <w:rFonts w:cs="Georgia"/>
                      <w:color w:val="000000"/>
                      <w:spacing w:val="16"/>
                    </w:rPr>
                    <w:t xml:space="preserve"> </w:t>
                  </w:r>
                  <w:r>
                    <w:rPr>
                      <w:rFonts w:cs="Georgia"/>
                      <w:color w:val="000000"/>
                      <w:spacing w:val="-1"/>
                    </w:rPr>
                    <w:t>lé</w:t>
                  </w:r>
                  <w:r>
                    <w:rPr>
                      <w:rFonts w:cs="Georgia"/>
                      <w:color w:val="000000"/>
                    </w:rPr>
                    <w:t>g</w:t>
                  </w:r>
                  <w:r>
                    <w:rPr>
                      <w:rFonts w:cs="Georgia"/>
                      <w:color w:val="000000"/>
                      <w:spacing w:val="-1"/>
                    </w:rPr>
                    <w:t>ale</w:t>
                  </w:r>
                  <w:r>
                    <w:rPr>
                      <w:rFonts w:cs="Georgia"/>
                      <w:color w:val="000000"/>
                    </w:rPr>
                    <w:t>m</w:t>
                  </w:r>
                  <w:r>
                    <w:rPr>
                      <w:rFonts w:cs="Georgia"/>
                      <w:color w:val="000000"/>
                      <w:spacing w:val="-1"/>
                    </w:rPr>
                    <w:t>en</w:t>
                  </w:r>
                  <w:r>
                    <w:rPr>
                      <w:rFonts w:cs="Georgia"/>
                      <w:color w:val="000000"/>
                    </w:rPr>
                    <w:t>t fi</w:t>
                  </w:r>
                  <w:r>
                    <w:rPr>
                      <w:rFonts w:cs="Georgia"/>
                      <w:color w:val="000000"/>
                      <w:spacing w:val="-1"/>
                    </w:rPr>
                    <w:t>x</w:t>
                  </w:r>
                  <w:r>
                    <w:rPr>
                      <w:rFonts w:cs="Georgia"/>
                      <w:color w:val="000000"/>
                    </w:rPr>
                    <w:t>é</w:t>
                  </w:r>
                  <w:r>
                    <w:rPr>
                      <w:rFonts w:cs="Georgia"/>
                      <w:color w:val="000000"/>
                      <w:spacing w:val="-1"/>
                    </w:rPr>
                    <w:t xml:space="preserve"> e</w:t>
                  </w:r>
                  <w:r>
                    <w:rPr>
                      <w:rFonts w:cs="Georgia"/>
                      <w:color w:val="000000"/>
                    </w:rPr>
                    <w:t>n</w:t>
                  </w:r>
                  <w:r>
                    <w:rPr>
                      <w:rFonts w:cs="Georgia"/>
                      <w:color w:val="000000"/>
                      <w:spacing w:val="-1"/>
                    </w:rPr>
                    <w:t xml:space="preserve"> </w:t>
                  </w:r>
                  <w:r>
                    <w:rPr>
                      <w:rFonts w:cs="Georgia"/>
                      <w:color w:val="000000"/>
                      <w:spacing w:val="1"/>
                    </w:rPr>
                    <w:t>v</w:t>
                  </w:r>
                  <w:r>
                    <w:rPr>
                      <w:rFonts w:cs="Georgia"/>
                      <w:color w:val="000000"/>
                    </w:rPr>
                    <w:t>ue</w:t>
                  </w:r>
                  <w:r>
                    <w:rPr>
                      <w:rFonts w:cs="Georgia"/>
                      <w:color w:val="000000"/>
                      <w:spacing w:val="-1"/>
                    </w:rPr>
                    <w:t xml:space="preserve"> </w:t>
                  </w:r>
                  <w:r>
                    <w:rPr>
                      <w:rFonts w:cs="Georgia"/>
                      <w:color w:val="000000"/>
                    </w:rPr>
                    <w:t>d’</w:t>
                  </w:r>
                  <w:r>
                    <w:rPr>
                      <w:rFonts w:cs="Georgia"/>
                      <w:color w:val="000000"/>
                      <w:spacing w:val="-1"/>
                    </w:rPr>
                    <w:t>a</w:t>
                  </w:r>
                  <w:r>
                    <w:rPr>
                      <w:rFonts w:cs="Georgia"/>
                      <w:color w:val="000000"/>
                      <w:spacing w:val="1"/>
                    </w:rPr>
                    <w:t>ss</w:t>
                  </w:r>
                  <w:r>
                    <w:rPr>
                      <w:rFonts w:cs="Georgia"/>
                      <w:color w:val="000000"/>
                    </w:rPr>
                    <w:t>u</w:t>
                  </w:r>
                  <w:r>
                    <w:rPr>
                      <w:rFonts w:cs="Georgia"/>
                      <w:color w:val="000000"/>
                      <w:spacing w:val="1"/>
                    </w:rPr>
                    <w:t>r</w:t>
                  </w:r>
                  <w:r>
                    <w:rPr>
                      <w:rFonts w:cs="Georgia"/>
                      <w:color w:val="000000"/>
                      <w:spacing w:val="-1"/>
                    </w:rPr>
                    <w:t>e</w:t>
                  </w:r>
                  <w:r>
                    <w:rPr>
                      <w:rFonts w:cs="Georgia"/>
                      <w:color w:val="000000"/>
                    </w:rPr>
                    <w:t xml:space="preserve">r </w:t>
                  </w:r>
                  <w:r>
                    <w:rPr>
                      <w:rFonts w:cs="Georgia"/>
                      <w:color w:val="000000"/>
                      <w:spacing w:val="-1"/>
                    </w:rPr>
                    <w:t>l</w:t>
                  </w:r>
                  <w:r>
                    <w:rPr>
                      <w:rFonts w:cs="Georgia"/>
                      <w:color w:val="000000"/>
                    </w:rPr>
                    <w:t>e</w:t>
                  </w:r>
                  <w:r>
                    <w:rPr>
                      <w:rFonts w:cs="Georgia"/>
                      <w:color w:val="000000"/>
                      <w:spacing w:val="-1"/>
                    </w:rPr>
                    <w:t xml:space="preserve"> n</w:t>
                  </w:r>
                  <w:r>
                    <w:rPr>
                      <w:rFonts w:cs="Georgia"/>
                      <w:color w:val="000000"/>
                      <w:spacing w:val="-2"/>
                    </w:rPr>
                    <w:t>i</w:t>
                  </w:r>
                  <w:r>
                    <w:rPr>
                      <w:rFonts w:cs="Georgia"/>
                      <w:color w:val="000000"/>
                      <w:spacing w:val="1"/>
                    </w:rPr>
                    <w:t>v</w:t>
                  </w:r>
                  <w:r>
                    <w:rPr>
                      <w:rFonts w:cs="Georgia"/>
                      <w:color w:val="000000"/>
                      <w:spacing w:val="-1"/>
                    </w:rPr>
                    <w:t>ea</w:t>
                  </w:r>
                  <w:r>
                    <w:rPr>
                      <w:rFonts w:cs="Georgia"/>
                      <w:color w:val="000000"/>
                    </w:rPr>
                    <w:t>u d</w:t>
                  </w:r>
                  <w:r>
                    <w:rPr>
                      <w:rFonts w:cs="Georgia"/>
                      <w:color w:val="000000"/>
                      <w:spacing w:val="-1"/>
                    </w:rPr>
                    <w:t>e</w:t>
                  </w:r>
                  <w:r>
                    <w:rPr>
                      <w:rFonts w:cs="Georgia"/>
                      <w:color w:val="000000"/>
                    </w:rPr>
                    <w:t xml:space="preserve">s </w:t>
                  </w:r>
                  <w:r>
                    <w:rPr>
                      <w:rFonts w:cs="Georgia"/>
                      <w:color w:val="000000"/>
                      <w:spacing w:val="-1"/>
                    </w:rPr>
                    <w:t>é</w:t>
                  </w:r>
                  <w:r>
                    <w:rPr>
                      <w:rFonts w:cs="Georgia"/>
                      <w:color w:val="000000"/>
                      <w:spacing w:val="1"/>
                    </w:rPr>
                    <w:t>t</w:t>
                  </w:r>
                  <w:r>
                    <w:rPr>
                      <w:rFonts w:cs="Georgia"/>
                      <w:color w:val="000000"/>
                    </w:rPr>
                    <w:t>ud</w:t>
                  </w:r>
                  <w:r>
                    <w:rPr>
                      <w:rFonts w:cs="Georgia"/>
                      <w:color w:val="000000"/>
                      <w:spacing w:val="-1"/>
                    </w:rPr>
                    <w:t>e</w:t>
                  </w:r>
                  <w:r>
                    <w:rPr>
                      <w:rFonts w:cs="Georgia"/>
                      <w:color w:val="000000"/>
                      <w:spacing w:val="1"/>
                    </w:rPr>
                    <w:t>s</w:t>
                  </w:r>
                  <w:r>
                    <w:rPr>
                      <w:rFonts w:cs="Georgia"/>
                      <w:color w:val="000000"/>
                    </w:rPr>
                    <w:t>.</w:t>
                  </w:r>
                </w:p>
                <w:p>
                  <w:pPr>
                    <w:widowControl w:val="0"/>
                    <w:autoSpaceDE w:val="0"/>
                    <w:autoSpaceDN w:val="0"/>
                    <w:adjustRightInd w:val="0"/>
                    <w:ind w:right="5557"/>
                    <w:jc w:val="both"/>
                    <w:rPr>
                      <w:rFonts w:cs="Georgia"/>
                      <w:color w:val="000000"/>
                    </w:rPr>
                  </w:pPr>
                </w:p>
                <w:p>
                  <w:pPr>
                    <w:widowControl w:val="0"/>
                    <w:numPr>
                      <w:ilvl w:val="1"/>
                      <w:numId w:val="52"/>
                    </w:numPr>
                    <w:tabs>
                      <w:tab w:val="clear" w:pos="1440"/>
                      <w:tab w:val="num" w:pos="142"/>
                    </w:tabs>
                    <w:autoSpaceDE w:val="0"/>
                    <w:autoSpaceDN w:val="0"/>
                    <w:adjustRightInd w:val="0"/>
                    <w:spacing w:before="1" w:line="250" w:lineRule="exact"/>
                    <w:ind w:left="0" w:right="48" w:hanging="16"/>
                    <w:jc w:val="both"/>
                    <w:rPr>
                      <w:rFonts w:cs="Georgia"/>
                      <w:color w:val="000000"/>
                    </w:rPr>
                  </w:pPr>
                  <w:r>
                    <w:rPr>
                      <w:rFonts w:cs="Georgia"/>
                      <w:b/>
                      <w:color w:val="000000"/>
                      <w:spacing w:val="1"/>
                    </w:rPr>
                    <w:t>c</w:t>
                  </w:r>
                  <w:r>
                    <w:rPr>
                      <w:rFonts w:cs="Georgia"/>
                      <w:b/>
                      <w:color w:val="000000"/>
                      <w:spacing w:val="-1"/>
                    </w:rPr>
                    <w:t>e</w:t>
                  </w:r>
                  <w:r>
                    <w:rPr>
                      <w:rFonts w:cs="Georgia"/>
                      <w:b/>
                      <w:color w:val="000000"/>
                    </w:rPr>
                    <w:t>ux</w:t>
                  </w:r>
                  <w:r>
                    <w:rPr>
                      <w:rFonts w:cs="Georgia"/>
                      <w:b/>
                      <w:color w:val="000000"/>
                      <w:spacing w:val="2"/>
                    </w:rPr>
                    <w:t xml:space="preserve"> </w:t>
                  </w:r>
                  <w:r>
                    <w:rPr>
                      <w:rFonts w:cs="Georgia"/>
                      <w:b/>
                      <w:color w:val="000000"/>
                      <w:spacing w:val="-1"/>
                    </w:rPr>
                    <w:t>q</w:t>
                  </w:r>
                  <w:r>
                    <w:rPr>
                      <w:rFonts w:cs="Georgia"/>
                      <w:b/>
                      <w:color w:val="000000"/>
                    </w:rPr>
                    <w:t>ui</w:t>
                  </w:r>
                  <w:r>
                    <w:rPr>
                      <w:rFonts w:cs="Georgia"/>
                      <w:b/>
                      <w:color w:val="000000"/>
                      <w:spacing w:val="3"/>
                    </w:rPr>
                    <w:t xml:space="preserve"> </w:t>
                  </w:r>
                  <w:r>
                    <w:rPr>
                      <w:rFonts w:cs="Georgia"/>
                      <w:b/>
                      <w:color w:val="000000"/>
                      <w:spacing w:val="1"/>
                    </w:rPr>
                    <w:t>b</w:t>
                  </w:r>
                  <w:r>
                    <w:rPr>
                      <w:rFonts w:cs="Georgia"/>
                      <w:b/>
                      <w:color w:val="000000"/>
                      <w:spacing w:val="-1"/>
                    </w:rPr>
                    <w:t>éné</w:t>
                  </w:r>
                  <w:r>
                    <w:rPr>
                      <w:rFonts w:cs="Georgia"/>
                      <w:b/>
                      <w:color w:val="000000"/>
                    </w:rPr>
                    <w:t>fi</w:t>
                  </w:r>
                  <w:r>
                    <w:rPr>
                      <w:rFonts w:cs="Georgia"/>
                      <w:b/>
                      <w:color w:val="000000"/>
                      <w:spacing w:val="1"/>
                    </w:rPr>
                    <w:t>c</w:t>
                  </w:r>
                  <w:r>
                    <w:rPr>
                      <w:rFonts w:cs="Georgia"/>
                      <w:b/>
                      <w:color w:val="000000"/>
                    </w:rPr>
                    <w:t>i</w:t>
                  </w:r>
                  <w:r>
                    <w:rPr>
                      <w:rFonts w:cs="Georgia"/>
                      <w:b/>
                      <w:color w:val="000000"/>
                      <w:spacing w:val="-1"/>
                    </w:rPr>
                    <w:t>e</w:t>
                  </w:r>
                  <w:r>
                    <w:rPr>
                      <w:rFonts w:cs="Georgia"/>
                      <w:b/>
                      <w:color w:val="000000"/>
                      <w:spacing w:val="2"/>
                    </w:rPr>
                    <w:t>n</w:t>
                  </w:r>
                  <w:r>
                    <w:rPr>
                      <w:rFonts w:cs="Georgia"/>
                      <w:b/>
                      <w:color w:val="000000"/>
                    </w:rPr>
                    <w:t>t</w:t>
                  </w:r>
                  <w:r>
                    <w:rPr>
                      <w:rFonts w:cs="Georgia"/>
                      <w:b/>
                      <w:color w:val="000000"/>
                      <w:spacing w:val="4"/>
                    </w:rPr>
                    <w:t xml:space="preserve"> </w:t>
                  </w:r>
                  <w:r>
                    <w:rPr>
                      <w:rFonts w:cs="Georgia"/>
                      <w:b/>
                      <w:color w:val="000000"/>
                    </w:rPr>
                    <w:t>d</w:t>
                  </w:r>
                  <w:r>
                    <w:rPr>
                      <w:rFonts w:cs="Georgia"/>
                      <w:b/>
                      <w:color w:val="000000"/>
                      <w:spacing w:val="1"/>
                    </w:rPr>
                    <w:t>'</w:t>
                  </w:r>
                  <w:r>
                    <w:rPr>
                      <w:rFonts w:cs="Georgia"/>
                      <w:b/>
                      <w:color w:val="000000"/>
                    </w:rPr>
                    <w:t>un</w:t>
                  </w:r>
                  <w:r>
                    <w:rPr>
                      <w:rFonts w:cs="Georgia"/>
                      <w:b/>
                      <w:color w:val="000000"/>
                      <w:spacing w:val="2"/>
                    </w:rPr>
                    <w:t xml:space="preserve"> </w:t>
                  </w:r>
                  <w:r>
                    <w:rPr>
                      <w:rFonts w:cs="Georgia"/>
                      <w:b/>
                      <w:color w:val="000000"/>
                      <w:spacing w:val="-1"/>
                    </w:rPr>
                    <w:t>en</w:t>
                  </w:r>
                  <w:r>
                    <w:rPr>
                      <w:rFonts w:cs="Georgia"/>
                      <w:b/>
                      <w:color w:val="000000"/>
                      <w:spacing w:val="1"/>
                    </w:rPr>
                    <w:t>s</w:t>
                  </w:r>
                  <w:r>
                    <w:rPr>
                      <w:rFonts w:cs="Georgia"/>
                      <w:b/>
                      <w:color w:val="000000"/>
                      <w:spacing w:val="-1"/>
                    </w:rPr>
                    <w:t>e</w:t>
                  </w:r>
                  <w:r>
                    <w:rPr>
                      <w:rFonts w:cs="Georgia"/>
                      <w:b/>
                      <w:color w:val="000000"/>
                    </w:rPr>
                    <w:t>ig</w:t>
                  </w:r>
                  <w:r>
                    <w:rPr>
                      <w:rFonts w:cs="Georgia"/>
                      <w:b/>
                      <w:color w:val="000000"/>
                      <w:spacing w:val="-1"/>
                    </w:rPr>
                    <w:t>ne</w:t>
                  </w:r>
                  <w:r>
                    <w:rPr>
                      <w:rFonts w:cs="Georgia"/>
                      <w:b/>
                      <w:color w:val="000000"/>
                    </w:rPr>
                    <w:t>m</w:t>
                  </w:r>
                  <w:r>
                    <w:rPr>
                      <w:rFonts w:cs="Georgia"/>
                      <w:b/>
                      <w:color w:val="000000"/>
                      <w:spacing w:val="-1"/>
                    </w:rPr>
                    <w:t>en</w:t>
                  </w:r>
                  <w:r>
                    <w:rPr>
                      <w:rFonts w:cs="Georgia"/>
                      <w:b/>
                      <w:color w:val="000000"/>
                    </w:rPr>
                    <w:t>t</w:t>
                  </w:r>
                  <w:r>
                    <w:rPr>
                      <w:rFonts w:cs="Georgia"/>
                      <w:b/>
                      <w:color w:val="000000"/>
                      <w:spacing w:val="4"/>
                    </w:rPr>
                    <w:t xml:space="preserve"> </w:t>
                  </w:r>
                  <w:r>
                    <w:rPr>
                      <w:rFonts w:cs="Georgia"/>
                      <w:b/>
                      <w:color w:val="000000"/>
                    </w:rPr>
                    <w:t>di</w:t>
                  </w:r>
                  <w:r>
                    <w:rPr>
                      <w:rFonts w:cs="Georgia"/>
                      <w:b/>
                      <w:color w:val="000000"/>
                      <w:spacing w:val="1"/>
                    </w:rPr>
                    <w:t>sp</w:t>
                  </w:r>
                  <w:r>
                    <w:rPr>
                      <w:rFonts w:cs="Georgia"/>
                      <w:b/>
                      <w:color w:val="000000"/>
                      <w:spacing w:val="-1"/>
                    </w:rPr>
                    <w:t>en</w:t>
                  </w:r>
                  <w:r>
                    <w:rPr>
                      <w:rFonts w:cs="Georgia"/>
                      <w:b/>
                      <w:color w:val="000000"/>
                      <w:spacing w:val="1"/>
                    </w:rPr>
                    <w:t>s</w:t>
                  </w:r>
                  <w:r>
                    <w:rPr>
                      <w:rFonts w:cs="Georgia"/>
                      <w:b/>
                      <w:color w:val="000000"/>
                    </w:rPr>
                    <w:t>é</w:t>
                  </w:r>
                  <w:r>
                    <w:rPr>
                      <w:rFonts w:cs="Georgia"/>
                      <w:b/>
                      <w:color w:val="000000"/>
                      <w:spacing w:val="2"/>
                    </w:rPr>
                    <w:t xml:space="preserve"> </w:t>
                  </w:r>
                  <w:r>
                    <w:rPr>
                      <w:rFonts w:cs="Georgia"/>
                      <w:b/>
                      <w:color w:val="000000"/>
                    </w:rPr>
                    <w:t>à</w:t>
                  </w:r>
                  <w:r>
                    <w:rPr>
                      <w:rFonts w:cs="Georgia"/>
                      <w:b/>
                      <w:color w:val="000000"/>
                      <w:spacing w:val="2"/>
                    </w:rPr>
                    <w:t xml:space="preserve"> </w:t>
                  </w:r>
                  <w:r>
                    <w:rPr>
                      <w:rFonts w:cs="Georgia"/>
                      <w:b/>
                      <w:color w:val="000000"/>
                    </w:rPr>
                    <w:t>d</w:t>
                  </w:r>
                  <w:r>
                    <w:rPr>
                      <w:rFonts w:cs="Georgia"/>
                      <w:b/>
                      <w:color w:val="000000"/>
                      <w:spacing w:val="1"/>
                    </w:rPr>
                    <w:t>o</w:t>
                  </w:r>
                  <w:r>
                    <w:rPr>
                      <w:rFonts w:cs="Georgia"/>
                      <w:b/>
                      <w:color w:val="000000"/>
                    </w:rPr>
                    <w:t>mi</w:t>
                  </w:r>
                  <w:r>
                    <w:rPr>
                      <w:rFonts w:cs="Georgia"/>
                      <w:b/>
                      <w:color w:val="000000"/>
                      <w:spacing w:val="1"/>
                    </w:rPr>
                    <w:t>c</w:t>
                  </w:r>
                  <w:r>
                    <w:rPr>
                      <w:rFonts w:cs="Georgia"/>
                      <w:b/>
                      <w:color w:val="000000"/>
                    </w:rPr>
                    <w:t>i</w:t>
                  </w:r>
                  <w:r>
                    <w:rPr>
                      <w:rFonts w:cs="Georgia"/>
                      <w:b/>
                      <w:color w:val="000000"/>
                      <w:spacing w:val="-1"/>
                    </w:rPr>
                    <w:t>l</w:t>
                  </w:r>
                  <w:r>
                    <w:rPr>
                      <w:rFonts w:cs="Georgia"/>
                      <w:b/>
                      <w:color w:val="000000"/>
                    </w:rPr>
                    <w:t>e</w:t>
                  </w:r>
                  <w:r>
                    <w:rPr>
                      <w:rFonts w:cs="Georgia"/>
                      <w:b/>
                      <w:color w:val="000000"/>
                      <w:spacing w:val="2"/>
                    </w:rPr>
                    <w:t xml:space="preserve"> </w:t>
                  </w:r>
                  <w:r>
                    <w:rPr>
                      <w:rFonts w:cs="Georgia"/>
                      <w:b/>
                      <w:color w:val="000000"/>
                      <w:spacing w:val="1"/>
                    </w:rPr>
                    <w:t>p</w:t>
                  </w:r>
                  <w:r>
                    <w:rPr>
                      <w:rFonts w:cs="Georgia"/>
                      <w:b/>
                      <w:color w:val="000000"/>
                      <w:spacing w:val="-1"/>
                    </w:rPr>
                    <w:t>a</w:t>
                  </w:r>
                  <w:r>
                    <w:rPr>
                      <w:rFonts w:cs="Georgia"/>
                      <w:b/>
                      <w:color w:val="000000"/>
                    </w:rPr>
                    <w:t>r</w:t>
                  </w:r>
                  <w:r>
                    <w:rPr>
                      <w:rFonts w:cs="Georgia"/>
                      <w:b/>
                      <w:color w:val="000000"/>
                      <w:spacing w:val="1"/>
                    </w:rPr>
                    <w:t xml:space="preserve"> </w:t>
                  </w:r>
                  <w:r>
                    <w:rPr>
                      <w:rFonts w:cs="Georgia"/>
                      <w:b/>
                      <w:color w:val="000000"/>
                    </w:rPr>
                    <w:t>un</w:t>
                  </w:r>
                  <w:r>
                    <w:rPr>
                      <w:rFonts w:cs="Georgia"/>
                      <w:b/>
                      <w:color w:val="000000"/>
                      <w:spacing w:val="2"/>
                    </w:rPr>
                    <w:t xml:space="preserve"> </w:t>
                  </w:r>
                  <w:r>
                    <w:rPr>
                      <w:rFonts w:cs="Georgia"/>
                      <w:b/>
                      <w:color w:val="000000"/>
                      <w:spacing w:val="-1"/>
                    </w:rPr>
                    <w:t>é</w:t>
                  </w:r>
                  <w:r>
                    <w:rPr>
                      <w:rFonts w:cs="Georgia"/>
                      <w:b/>
                      <w:color w:val="000000"/>
                      <w:spacing w:val="1"/>
                    </w:rPr>
                    <w:t>t</w:t>
                  </w:r>
                  <w:r>
                    <w:rPr>
                      <w:rFonts w:cs="Georgia"/>
                      <w:b/>
                      <w:color w:val="000000"/>
                      <w:spacing w:val="-1"/>
                    </w:rPr>
                    <w:t>a</w:t>
                  </w:r>
                  <w:r>
                    <w:rPr>
                      <w:rFonts w:cs="Georgia"/>
                      <w:b/>
                      <w:color w:val="000000"/>
                      <w:spacing w:val="1"/>
                    </w:rPr>
                    <w:t>b</w:t>
                  </w:r>
                  <w:r>
                    <w:rPr>
                      <w:rFonts w:cs="Georgia"/>
                      <w:b/>
                      <w:color w:val="000000"/>
                      <w:spacing w:val="-1"/>
                    </w:rPr>
                    <w:t>l</w:t>
                  </w:r>
                  <w:r>
                    <w:rPr>
                      <w:rFonts w:cs="Georgia"/>
                      <w:b/>
                      <w:color w:val="000000"/>
                    </w:rPr>
                    <w:t>i</w:t>
                  </w:r>
                  <w:r>
                    <w:rPr>
                      <w:rFonts w:cs="Georgia"/>
                      <w:b/>
                      <w:color w:val="000000"/>
                      <w:spacing w:val="1"/>
                    </w:rPr>
                    <w:t>ss</w:t>
                  </w:r>
                  <w:r>
                    <w:rPr>
                      <w:rFonts w:cs="Georgia"/>
                      <w:b/>
                      <w:color w:val="000000"/>
                      <w:spacing w:val="-1"/>
                    </w:rPr>
                    <w:t>e</w:t>
                  </w:r>
                  <w:r>
                    <w:rPr>
                      <w:rFonts w:cs="Georgia"/>
                      <w:b/>
                      <w:color w:val="000000"/>
                    </w:rPr>
                    <w:t>m</w:t>
                  </w:r>
                  <w:r>
                    <w:rPr>
                      <w:rFonts w:cs="Georgia"/>
                      <w:b/>
                      <w:color w:val="000000"/>
                      <w:spacing w:val="-1"/>
                    </w:rPr>
                    <w:t>en</w:t>
                  </w:r>
                  <w:r>
                    <w:rPr>
                      <w:rFonts w:cs="Georgia"/>
                      <w:b/>
                      <w:color w:val="000000"/>
                    </w:rPr>
                    <w:t>t d’</w:t>
                  </w:r>
                  <w:r>
                    <w:rPr>
                      <w:rFonts w:cs="Georgia"/>
                      <w:b/>
                      <w:color w:val="000000"/>
                      <w:spacing w:val="-1"/>
                    </w:rPr>
                    <w:t>en</w:t>
                  </w:r>
                  <w:r>
                    <w:rPr>
                      <w:rFonts w:cs="Georgia"/>
                      <w:b/>
                      <w:color w:val="000000"/>
                      <w:spacing w:val="1"/>
                    </w:rPr>
                    <w:t>s</w:t>
                  </w:r>
                  <w:r>
                    <w:rPr>
                      <w:rFonts w:cs="Georgia"/>
                      <w:b/>
                      <w:color w:val="000000"/>
                      <w:spacing w:val="-1"/>
                    </w:rPr>
                    <w:t>e</w:t>
                  </w:r>
                  <w:r>
                    <w:rPr>
                      <w:rFonts w:cs="Georgia"/>
                      <w:b/>
                      <w:color w:val="000000"/>
                    </w:rPr>
                    <w:t>ig</w:t>
                  </w:r>
                  <w:r>
                    <w:rPr>
                      <w:rFonts w:cs="Georgia"/>
                      <w:b/>
                      <w:color w:val="000000"/>
                      <w:spacing w:val="-1"/>
                    </w:rPr>
                    <w:t>ne</w:t>
                  </w:r>
                  <w:r>
                    <w:rPr>
                      <w:rFonts w:cs="Georgia"/>
                      <w:b/>
                      <w:color w:val="000000"/>
                    </w:rPr>
                    <w:t>m</w:t>
                  </w:r>
                  <w:r>
                    <w:rPr>
                      <w:rFonts w:cs="Georgia"/>
                      <w:b/>
                      <w:color w:val="000000"/>
                      <w:spacing w:val="-1"/>
                    </w:rPr>
                    <w:t>en</w:t>
                  </w:r>
                  <w:r>
                    <w:rPr>
                      <w:rFonts w:cs="Georgia"/>
                      <w:b/>
                      <w:color w:val="000000"/>
                    </w:rPr>
                    <w:t>t</w:t>
                  </w:r>
                  <w:r>
                    <w:rPr>
                      <w:rFonts w:cs="Georgia"/>
                      <w:b/>
                      <w:color w:val="000000"/>
                      <w:spacing w:val="27"/>
                    </w:rPr>
                    <w:t xml:space="preserve"> </w:t>
                  </w:r>
                  <w:r>
                    <w:rPr>
                      <w:rFonts w:cs="Georgia"/>
                      <w:b/>
                      <w:color w:val="000000"/>
                      <w:spacing w:val="1"/>
                    </w:rPr>
                    <w:t>sp</w:t>
                  </w:r>
                  <w:r>
                    <w:rPr>
                      <w:rFonts w:cs="Georgia"/>
                      <w:b/>
                      <w:color w:val="000000"/>
                      <w:spacing w:val="-1"/>
                    </w:rPr>
                    <w:t>é</w:t>
                  </w:r>
                  <w:r>
                    <w:rPr>
                      <w:rFonts w:cs="Georgia"/>
                      <w:b/>
                      <w:color w:val="000000"/>
                      <w:spacing w:val="-2"/>
                    </w:rPr>
                    <w:t>c</w:t>
                  </w:r>
                  <w:r>
                    <w:rPr>
                      <w:rFonts w:cs="Georgia"/>
                      <w:b/>
                      <w:color w:val="000000"/>
                    </w:rPr>
                    <w:t>i</w:t>
                  </w:r>
                  <w:r>
                    <w:rPr>
                      <w:rFonts w:cs="Georgia"/>
                      <w:b/>
                      <w:color w:val="000000"/>
                      <w:spacing w:val="-1"/>
                    </w:rPr>
                    <w:t>al</w:t>
                  </w:r>
                  <w:r>
                    <w:rPr>
                      <w:rFonts w:cs="Georgia"/>
                      <w:b/>
                      <w:color w:val="000000"/>
                    </w:rPr>
                    <w:t>i</w:t>
                  </w:r>
                  <w:r>
                    <w:rPr>
                      <w:rFonts w:cs="Georgia"/>
                      <w:b/>
                      <w:color w:val="000000"/>
                      <w:spacing w:val="-2"/>
                    </w:rPr>
                    <w:t>s</w:t>
                  </w:r>
                  <w:r>
                    <w:rPr>
                      <w:rFonts w:cs="Georgia"/>
                      <w:b/>
                      <w:color w:val="000000"/>
                    </w:rPr>
                    <w:t>é</w:t>
                  </w:r>
                  <w:r>
                    <w:rPr>
                      <w:rFonts w:cs="Georgia"/>
                      <w:color w:val="000000"/>
                      <w:spacing w:val="25"/>
                    </w:rPr>
                    <w:t xml:space="preserve"> </w:t>
                  </w:r>
                  <w:r>
                    <w:rPr>
                      <w:rFonts w:cs="Georgia"/>
                      <w:color w:val="000000"/>
                      <w:spacing w:val="1"/>
                    </w:rPr>
                    <w:t>co</w:t>
                  </w:r>
                  <w:r>
                    <w:rPr>
                      <w:rFonts w:cs="Georgia"/>
                      <w:color w:val="000000"/>
                      <w:spacing w:val="-1"/>
                    </w:rPr>
                    <w:t>n</w:t>
                  </w:r>
                  <w:r>
                    <w:rPr>
                      <w:rFonts w:cs="Georgia"/>
                      <w:color w:val="000000"/>
                    </w:rPr>
                    <w:t>f</w:t>
                  </w:r>
                  <w:r>
                    <w:rPr>
                      <w:rFonts w:cs="Georgia"/>
                      <w:color w:val="000000"/>
                      <w:spacing w:val="-1"/>
                    </w:rPr>
                    <w:t>o</w:t>
                  </w:r>
                  <w:r>
                    <w:rPr>
                      <w:rFonts w:cs="Georgia"/>
                      <w:color w:val="000000"/>
                      <w:spacing w:val="1"/>
                    </w:rPr>
                    <w:t>r</w:t>
                  </w:r>
                  <w:r>
                    <w:rPr>
                      <w:rFonts w:cs="Georgia"/>
                      <w:color w:val="000000"/>
                    </w:rPr>
                    <w:t>m</w:t>
                  </w:r>
                  <w:r>
                    <w:rPr>
                      <w:rFonts w:cs="Georgia"/>
                      <w:color w:val="000000"/>
                      <w:spacing w:val="-1"/>
                    </w:rPr>
                    <w:t>é</w:t>
                  </w:r>
                  <w:r>
                    <w:rPr>
                      <w:rFonts w:cs="Georgia"/>
                      <w:color w:val="000000"/>
                    </w:rPr>
                    <w:t>m</w:t>
                  </w:r>
                  <w:r>
                    <w:rPr>
                      <w:rFonts w:cs="Georgia"/>
                      <w:color w:val="000000"/>
                      <w:spacing w:val="-1"/>
                    </w:rPr>
                    <w:t>en</w:t>
                  </w:r>
                  <w:r>
                    <w:rPr>
                      <w:rFonts w:cs="Georgia"/>
                      <w:color w:val="000000"/>
                    </w:rPr>
                    <w:t>t</w:t>
                  </w:r>
                  <w:r>
                    <w:rPr>
                      <w:rFonts w:cs="Georgia"/>
                      <w:color w:val="000000"/>
                      <w:spacing w:val="27"/>
                    </w:rPr>
                    <w:t xml:space="preserve"> </w:t>
                  </w:r>
                  <w:r>
                    <w:rPr>
                      <w:rFonts w:cs="Georgia"/>
                      <w:color w:val="000000"/>
                      <w:spacing w:val="-1"/>
                    </w:rPr>
                    <w:t>a</w:t>
                  </w:r>
                  <w:r>
                    <w:rPr>
                      <w:rFonts w:cs="Georgia"/>
                      <w:color w:val="000000"/>
                    </w:rPr>
                    <w:t>ux</w:t>
                  </w:r>
                  <w:r>
                    <w:rPr>
                      <w:rFonts w:cs="Georgia"/>
                      <w:color w:val="000000"/>
                      <w:spacing w:val="25"/>
                    </w:rPr>
                    <w:t xml:space="preserve"> </w:t>
                  </w:r>
                  <w:r>
                    <w:rPr>
                      <w:rFonts w:cs="Georgia"/>
                      <w:color w:val="000000"/>
                    </w:rPr>
                    <w:t>d</w:t>
                  </w:r>
                  <w:r>
                    <w:rPr>
                      <w:rFonts w:cs="Georgia"/>
                      <w:color w:val="000000"/>
                      <w:spacing w:val="-2"/>
                    </w:rPr>
                    <w:t>is</w:t>
                  </w:r>
                  <w:r>
                    <w:rPr>
                      <w:rFonts w:cs="Georgia"/>
                      <w:color w:val="000000"/>
                      <w:spacing w:val="1"/>
                    </w:rPr>
                    <w:t>p</w:t>
                  </w:r>
                  <w:r>
                    <w:rPr>
                      <w:rFonts w:cs="Georgia"/>
                      <w:color w:val="000000"/>
                      <w:spacing w:val="-1"/>
                    </w:rPr>
                    <w:t>o</w:t>
                  </w:r>
                  <w:r>
                    <w:rPr>
                      <w:rFonts w:cs="Georgia"/>
                      <w:color w:val="000000"/>
                      <w:spacing w:val="1"/>
                    </w:rPr>
                    <w:t>s</w:t>
                  </w:r>
                  <w:r>
                    <w:rPr>
                      <w:rFonts w:cs="Georgia"/>
                      <w:color w:val="000000"/>
                    </w:rPr>
                    <w:t>i</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s</w:t>
                  </w:r>
                  <w:r>
                    <w:rPr>
                      <w:rFonts w:cs="Georgia"/>
                      <w:color w:val="000000"/>
                      <w:spacing w:val="27"/>
                    </w:rPr>
                    <w:t xml:space="preserve"> </w:t>
                  </w:r>
                  <w:r>
                    <w:rPr>
                      <w:rFonts w:cs="Georgia"/>
                      <w:color w:val="000000"/>
                    </w:rPr>
                    <w:t>d</w:t>
                  </w:r>
                  <w:r>
                    <w:rPr>
                      <w:rFonts w:cs="Georgia"/>
                      <w:color w:val="000000"/>
                      <w:spacing w:val="-3"/>
                    </w:rPr>
                    <w:t>e</w:t>
                  </w:r>
                  <w:r>
                    <w:rPr>
                      <w:rFonts w:cs="Georgia"/>
                      <w:color w:val="000000"/>
                    </w:rPr>
                    <w:t>s</w:t>
                  </w:r>
                  <w:r>
                    <w:rPr>
                      <w:rFonts w:cs="Georgia"/>
                      <w:color w:val="000000"/>
                      <w:spacing w:val="27"/>
                    </w:rPr>
                    <w:t xml:space="preserve"> </w:t>
                  </w:r>
                  <w:r>
                    <w:rPr>
                      <w:rFonts w:cs="Georgia"/>
                      <w:color w:val="000000"/>
                      <w:spacing w:val="-1"/>
                    </w:rPr>
                    <w:t>a</w:t>
                  </w:r>
                  <w:r>
                    <w:rPr>
                      <w:rFonts w:cs="Georgia"/>
                      <w:color w:val="000000"/>
                      <w:spacing w:val="1"/>
                    </w:rPr>
                    <w:t>rt</w:t>
                  </w:r>
                  <w:r>
                    <w:rPr>
                      <w:rFonts w:cs="Georgia"/>
                      <w:color w:val="000000"/>
                      <w:spacing w:val="-2"/>
                    </w:rPr>
                    <w:t>i</w:t>
                  </w:r>
                  <w:r>
                    <w:rPr>
                      <w:rFonts w:cs="Georgia"/>
                      <w:color w:val="000000"/>
                      <w:spacing w:val="1"/>
                    </w:rPr>
                    <w:t>c</w:t>
                  </w:r>
                  <w:r>
                    <w:rPr>
                      <w:rFonts w:cs="Georgia"/>
                      <w:color w:val="000000"/>
                      <w:spacing w:val="-1"/>
                    </w:rPr>
                    <w:t>le</w:t>
                  </w:r>
                  <w:r>
                    <w:rPr>
                      <w:rFonts w:cs="Georgia"/>
                      <w:color w:val="000000"/>
                    </w:rPr>
                    <w:t>s</w:t>
                  </w:r>
                  <w:r>
                    <w:rPr>
                      <w:rFonts w:cs="Georgia"/>
                      <w:color w:val="000000"/>
                      <w:spacing w:val="27"/>
                    </w:rPr>
                    <w:t xml:space="preserve"> </w:t>
                  </w:r>
                  <w:r>
                    <w:rPr>
                      <w:rFonts w:cs="Georgia"/>
                      <w:color w:val="000000"/>
                      <w:spacing w:val="-1"/>
                    </w:rPr>
                    <w:t>1</w:t>
                  </w:r>
                  <w:r>
                    <w:rPr>
                      <w:rFonts w:cs="Georgia"/>
                      <w:color w:val="000000"/>
                      <w:spacing w:val="-2"/>
                    </w:rPr>
                    <w:t>5</w:t>
                  </w:r>
                  <w:r>
                    <w:rPr>
                      <w:rFonts w:cs="Georgia"/>
                      <w:color w:val="000000"/>
                    </w:rPr>
                    <w:t>9</w:t>
                  </w:r>
                  <w:r>
                    <w:rPr>
                      <w:rFonts w:cs="Georgia"/>
                      <w:color w:val="000000"/>
                      <w:spacing w:val="26"/>
                    </w:rPr>
                    <w:t xml:space="preserve"> </w:t>
                  </w:r>
                  <w:r>
                    <w:rPr>
                      <w:rFonts w:cs="Georgia"/>
                      <w:color w:val="000000"/>
                    </w:rPr>
                    <w:t>à</w:t>
                  </w:r>
                  <w:r>
                    <w:rPr>
                      <w:rFonts w:cs="Georgia"/>
                      <w:color w:val="000000"/>
                      <w:spacing w:val="25"/>
                    </w:rPr>
                    <w:t xml:space="preserve"> </w:t>
                  </w:r>
                  <w:r>
                    <w:rPr>
                      <w:rFonts w:cs="Georgia"/>
                      <w:color w:val="000000"/>
                      <w:spacing w:val="1"/>
                    </w:rPr>
                    <w:t>1</w:t>
                  </w:r>
                  <w:r>
                    <w:rPr>
                      <w:rFonts w:cs="Georgia"/>
                      <w:color w:val="000000"/>
                    </w:rPr>
                    <w:t>63</w:t>
                  </w:r>
                  <w:r>
                    <w:rPr>
                      <w:rFonts w:cs="Georgia"/>
                      <w:color w:val="000000"/>
                      <w:spacing w:val="24"/>
                    </w:rPr>
                    <w:t xml:space="preserve"> </w:t>
                  </w:r>
                  <w:r>
                    <w:rPr>
                      <w:rFonts w:cs="Georgia"/>
                      <w:color w:val="000000"/>
                    </w:rPr>
                    <w:t>du</w:t>
                  </w:r>
                  <w:r>
                    <w:rPr>
                      <w:rFonts w:cs="Georgia"/>
                      <w:color w:val="000000"/>
                      <w:spacing w:val="26"/>
                    </w:rPr>
                    <w:t xml:space="preserve"> </w:t>
                  </w:r>
                  <w:r>
                    <w:rPr>
                      <w:rFonts w:cs="Georgia"/>
                      <w:color w:val="000000"/>
                    </w:rPr>
                    <w:t>D</w:t>
                  </w:r>
                  <w:r>
                    <w:rPr>
                      <w:rFonts w:cs="Georgia"/>
                      <w:color w:val="000000"/>
                      <w:spacing w:val="-1"/>
                    </w:rPr>
                    <w:t>é</w:t>
                  </w:r>
                  <w:r>
                    <w:rPr>
                      <w:rFonts w:cs="Georgia"/>
                      <w:color w:val="000000"/>
                      <w:spacing w:val="-2"/>
                    </w:rPr>
                    <w:t>c</w:t>
                  </w:r>
                  <w:r>
                    <w:rPr>
                      <w:rFonts w:cs="Georgia"/>
                      <w:color w:val="000000"/>
                      <w:spacing w:val="1"/>
                    </w:rPr>
                    <w:t>r</w:t>
                  </w:r>
                  <w:r>
                    <w:rPr>
                      <w:rFonts w:cs="Georgia"/>
                      <w:color w:val="000000"/>
                      <w:spacing w:val="-1"/>
                    </w:rPr>
                    <w:t>e</w:t>
                  </w:r>
                  <w:r>
                    <w:rPr>
                      <w:rFonts w:cs="Georgia"/>
                      <w:color w:val="000000"/>
                    </w:rPr>
                    <w:t>t</w:t>
                  </w:r>
                  <w:r>
                    <w:rPr>
                      <w:rFonts w:cs="Georgia"/>
                      <w:color w:val="000000"/>
                      <w:spacing w:val="27"/>
                    </w:rPr>
                    <w:t xml:space="preserve"> </w:t>
                  </w:r>
                  <w:r>
                    <w:rPr>
                      <w:rFonts w:cs="Georgia"/>
                      <w:color w:val="000000"/>
                    </w:rPr>
                    <w:t>du</w:t>
                  </w:r>
                  <w:r>
                    <w:rPr>
                      <w:rFonts w:cs="Georgia"/>
                      <w:color w:val="000000"/>
                      <w:spacing w:val="24"/>
                    </w:rPr>
                    <w:t xml:space="preserve"> </w:t>
                  </w:r>
                  <w:r>
                    <w:rPr>
                      <w:rFonts w:cs="Georgia"/>
                      <w:color w:val="000000"/>
                    </w:rPr>
                    <w:t>3 m</w:t>
                  </w:r>
                  <w:r>
                    <w:rPr>
                      <w:rFonts w:cs="Georgia"/>
                      <w:color w:val="000000"/>
                      <w:spacing w:val="-1"/>
                    </w:rPr>
                    <w:t>a</w:t>
                  </w:r>
                  <w:r>
                    <w:rPr>
                      <w:rFonts w:cs="Georgia"/>
                      <w:color w:val="000000"/>
                      <w:spacing w:val="1"/>
                    </w:rPr>
                    <w:t>r</w:t>
                  </w:r>
                  <w:r>
                    <w:rPr>
                      <w:rFonts w:cs="Georgia"/>
                      <w:color w:val="000000"/>
                    </w:rPr>
                    <w:t xml:space="preserve">s </w:t>
                  </w:r>
                  <w:r>
                    <w:rPr>
                      <w:rFonts w:cs="Georgia"/>
                      <w:color w:val="000000"/>
                      <w:spacing w:val="-1"/>
                    </w:rPr>
                    <w:t>200</w:t>
                  </w:r>
                  <w:r>
                    <w:rPr>
                      <w:rFonts w:cs="Georgia"/>
                      <w:color w:val="000000"/>
                    </w:rPr>
                    <w:t xml:space="preserve">4 </w:t>
                  </w:r>
                  <w:r>
                    <w:rPr>
                      <w:rFonts w:cs="Georgia"/>
                      <w:color w:val="000000"/>
                      <w:spacing w:val="1"/>
                    </w:rPr>
                    <w:t>or</w:t>
                  </w:r>
                  <w:r>
                    <w:rPr>
                      <w:rFonts w:cs="Georgia"/>
                      <w:color w:val="000000"/>
                    </w:rPr>
                    <w:t>g</w:t>
                  </w:r>
                  <w:r>
                    <w:rPr>
                      <w:rFonts w:cs="Georgia"/>
                      <w:color w:val="000000"/>
                      <w:spacing w:val="-1"/>
                    </w:rPr>
                    <w:t>an</w:t>
                  </w:r>
                  <w:r>
                    <w:rPr>
                      <w:rFonts w:cs="Georgia"/>
                      <w:color w:val="000000"/>
                      <w:spacing w:val="-2"/>
                    </w:rPr>
                    <w:t>i</w:t>
                  </w:r>
                  <w:r>
                    <w:rPr>
                      <w:rFonts w:cs="Georgia"/>
                      <w:color w:val="000000"/>
                      <w:spacing w:val="1"/>
                    </w:rPr>
                    <w:t>s</w:t>
                  </w:r>
                  <w:r>
                    <w:rPr>
                      <w:rFonts w:cs="Georgia"/>
                      <w:color w:val="000000"/>
                      <w:spacing w:val="-1"/>
                    </w:rPr>
                    <w:t>an</w:t>
                  </w:r>
                  <w:r>
                    <w:rPr>
                      <w:rFonts w:cs="Georgia"/>
                      <w:color w:val="000000"/>
                    </w:rPr>
                    <w:t xml:space="preserve">t </w:t>
                  </w:r>
                  <w:r>
                    <w:rPr>
                      <w:rFonts w:cs="Georgia"/>
                      <w:color w:val="000000"/>
                      <w:spacing w:val="-1"/>
                    </w:rPr>
                    <w:t>l</w:t>
                  </w:r>
                  <w:r>
                    <w:rPr>
                      <w:rFonts w:cs="Georgia"/>
                      <w:color w:val="000000"/>
                      <w:spacing w:val="-2"/>
                    </w:rPr>
                    <w:t>'</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rPr>
                    <w:t>é</w:t>
                  </w:r>
                </w:p>
                <w:p>
                  <w:pPr>
                    <w:widowControl w:val="0"/>
                    <w:autoSpaceDE w:val="0"/>
                    <w:autoSpaceDN w:val="0"/>
                    <w:adjustRightInd w:val="0"/>
                    <w:spacing w:before="1" w:line="250" w:lineRule="exact"/>
                    <w:ind w:right="48"/>
                    <w:jc w:val="both"/>
                    <w:rPr>
                      <w:rFonts w:cs="Georgia"/>
                      <w:color w:val="000000"/>
                    </w:rPr>
                  </w:pPr>
                </w:p>
                <w:p>
                  <w:pPr>
                    <w:widowControl w:val="0"/>
                    <w:autoSpaceDE w:val="0"/>
                    <w:autoSpaceDN w:val="0"/>
                    <w:adjustRightInd w:val="0"/>
                    <w:spacing w:before="36"/>
                    <w:ind w:right="-20"/>
                    <w:jc w:val="both"/>
                    <w:rPr>
                      <w:rFonts w:cs="Georgia"/>
                      <w:bCs/>
                      <w:color w:val="000000"/>
                    </w:rPr>
                  </w:pPr>
                  <w:r>
                    <w:rPr>
                      <w:rFonts w:cs="Georgia"/>
                      <w:bCs/>
                      <w:color w:val="000000"/>
                    </w:rPr>
                    <w:t xml:space="preserve">Le </w:t>
                  </w:r>
                  <w:r>
                    <w:rPr>
                      <w:rFonts w:cs="Georgia"/>
                      <w:bCs/>
                      <w:color w:val="000000"/>
                      <w:spacing w:val="-1"/>
                    </w:rPr>
                    <w:t>nomb</w:t>
                  </w:r>
                  <w:r>
                    <w:rPr>
                      <w:rFonts w:cs="Georgia"/>
                      <w:bCs/>
                      <w:color w:val="000000"/>
                    </w:rPr>
                    <w:t>re d</w:t>
                  </w:r>
                  <w:r>
                    <w:rPr>
                      <w:rFonts w:cs="Georgia"/>
                      <w:bCs/>
                      <w:color w:val="000000"/>
                      <w:spacing w:val="1"/>
                    </w:rPr>
                    <w:t>'</w:t>
                  </w:r>
                  <w:r>
                    <w:rPr>
                      <w:rFonts w:cs="Georgia"/>
                      <w:bCs/>
                      <w:color w:val="000000"/>
                      <w:spacing w:val="-2"/>
                    </w:rPr>
                    <w:t>é</w:t>
                  </w:r>
                  <w:r>
                    <w:rPr>
                      <w:rFonts w:cs="Georgia"/>
                      <w:bCs/>
                      <w:color w:val="000000"/>
                      <w:spacing w:val="1"/>
                    </w:rPr>
                    <w:t>lè</w:t>
                  </w:r>
                  <w:r>
                    <w:rPr>
                      <w:rFonts w:cs="Georgia"/>
                      <w:bCs/>
                      <w:color w:val="000000"/>
                      <w:spacing w:val="-3"/>
                    </w:rPr>
                    <w:t>v</w:t>
                  </w:r>
                  <w:r>
                    <w:rPr>
                      <w:rFonts w:cs="Georgia"/>
                      <w:bCs/>
                      <w:color w:val="000000"/>
                      <w:spacing w:val="1"/>
                    </w:rPr>
                    <w:t>es</w:t>
                  </w:r>
                  <w:r>
                    <w:rPr>
                      <w:rFonts w:cs="Georgia"/>
                      <w:bCs/>
                      <w:color w:val="000000"/>
                      <w:spacing w:val="-2"/>
                    </w:rPr>
                    <w:t xml:space="preserve"> </w:t>
                  </w:r>
                  <w:r>
                    <w:rPr>
                      <w:rFonts w:cs="Georgia"/>
                      <w:bCs/>
                      <w:color w:val="000000"/>
                    </w:rPr>
                    <w:t>v</w:t>
                  </w:r>
                  <w:r>
                    <w:rPr>
                      <w:rFonts w:cs="Georgia"/>
                      <w:bCs/>
                      <w:color w:val="000000"/>
                      <w:spacing w:val="-1"/>
                    </w:rPr>
                    <w:t>i</w:t>
                  </w:r>
                  <w:r>
                    <w:rPr>
                      <w:rFonts w:cs="Georgia"/>
                      <w:bCs/>
                      <w:color w:val="000000"/>
                    </w:rPr>
                    <w:t>s</w:t>
                  </w:r>
                  <w:r>
                    <w:rPr>
                      <w:rFonts w:cs="Georgia"/>
                      <w:bCs/>
                      <w:color w:val="000000"/>
                      <w:spacing w:val="1"/>
                    </w:rPr>
                    <w:t>és</w:t>
                  </w:r>
                  <w:r>
                    <w:rPr>
                      <w:rFonts w:cs="Georgia"/>
                      <w:bCs/>
                      <w:color w:val="000000"/>
                      <w:spacing w:val="-2"/>
                    </w:rPr>
                    <w:t xml:space="preserve"> </w:t>
                  </w:r>
                  <w:r>
                    <w:rPr>
                      <w:rFonts w:cs="Georgia"/>
                      <w:bCs/>
                      <w:color w:val="000000"/>
                    </w:rPr>
                    <w:t>aux</w:t>
                  </w:r>
                  <w:r>
                    <w:rPr>
                      <w:rFonts w:cs="Georgia"/>
                      <w:bCs/>
                      <w:color w:val="000000"/>
                      <w:spacing w:val="-2"/>
                    </w:rPr>
                    <w:t xml:space="preserve"> </w:t>
                  </w:r>
                  <w:r>
                    <w:rPr>
                      <w:rFonts w:cs="Georgia"/>
                      <w:bCs/>
                      <w:color w:val="000000"/>
                      <w:spacing w:val="1"/>
                    </w:rPr>
                    <w:t>p</w:t>
                  </w:r>
                  <w:r>
                    <w:rPr>
                      <w:rFonts w:cs="Georgia"/>
                      <w:bCs/>
                      <w:color w:val="000000"/>
                      <w:spacing w:val="-1"/>
                    </w:rPr>
                    <w:t>o</w:t>
                  </w:r>
                  <w:r>
                    <w:rPr>
                      <w:rFonts w:cs="Georgia"/>
                      <w:bCs/>
                      <w:color w:val="000000"/>
                      <w:spacing w:val="1"/>
                    </w:rPr>
                    <w:t>i</w:t>
                  </w:r>
                  <w:r>
                    <w:rPr>
                      <w:rFonts w:cs="Georgia"/>
                      <w:bCs/>
                      <w:color w:val="000000"/>
                      <w:spacing w:val="-4"/>
                    </w:rPr>
                    <w:t>n</w:t>
                  </w:r>
                  <w:r>
                    <w:rPr>
                      <w:rFonts w:cs="Georgia"/>
                      <w:bCs/>
                      <w:color w:val="000000"/>
                    </w:rPr>
                    <w:t>ts c</w:t>
                  </w:r>
                  <w:r>
                    <w:rPr>
                      <w:rFonts w:cs="Georgia"/>
                      <w:bCs/>
                      <w:color w:val="000000"/>
                      <w:spacing w:val="-1"/>
                    </w:rPr>
                    <w:t>i</w:t>
                  </w:r>
                  <w:r>
                    <w:rPr>
                      <w:rFonts w:cs="Georgia"/>
                      <w:bCs/>
                      <w:color w:val="000000"/>
                    </w:rPr>
                    <w:t>-d</w:t>
                  </w:r>
                  <w:r>
                    <w:rPr>
                      <w:rFonts w:cs="Georgia"/>
                      <w:bCs/>
                      <w:color w:val="000000"/>
                      <w:spacing w:val="1"/>
                    </w:rPr>
                    <w:t>e</w:t>
                  </w:r>
                  <w:r>
                    <w:rPr>
                      <w:rFonts w:cs="Georgia"/>
                      <w:bCs/>
                      <w:color w:val="000000"/>
                    </w:rPr>
                    <w:t>ss</w:t>
                  </w:r>
                  <w:r>
                    <w:rPr>
                      <w:rFonts w:cs="Georgia"/>
                      <w:bCs/>
                      <w:color w:val="000000"/>
                      <w:spacing w:val="-1"/>
                    </w:rPr>
                    <w:t>u</w:t>
                  </w:r>
                  <w:r>
                    <w:rPr>
                      <w:rFonts w:cs="Georgia"/>
                      <w:bCs/>
                      <w:color w:val="000000"/>
                    </w:rPr>
                    <w:t>s</w:t>
                  </w:r>
                  <w:r>
                    <w:rPr>
                      <w:rFonts w:cs="Georgia"/>
                      <w:bCs/>
                      <w:color w:val="000000"/>
                      <w:spacing w:val="-4"/>
                    </w:rPr>
                    <w:t xml:space="preserve"> </w:t>
                  </w:r>
                  <w:r>
                    <w:rPr>
                      <w:rFonts w:cs="Georgia"/>
                      <w:bCs/>
                      <w:color w:val="000000"/>
                    </w:rPr>
                    <w:t xml:space="preserve">à </w:t>
                  </w:r>
                  <w:r>
                    <w:rPr>
                      <w:rFonts w:cs="Georgia"/>
                      <w:bCs/>
                      <w:color w:val="000000"/>
                      <w:spacing w:val="1"/>
                    </w:rPr>
                    <w:t>p</w:t>
                  </w:r>
                  <w:r>
                    <w:rPr>
                      <w:rFonts w:cs="Georgia"/>
                      <w:bCs/>
                      <w:color w:val="000000"/>
                    </w:rPr>
                    <w:t>r</w:t>
                  </w:r>
                  <w:r>
                    <w:rPr>
                      <w:rFonts w:cs="Georgia"/>
                      <w:bCs/>
                      <w:color w:val="000000"/>
                      <w:spacing w:val="1"/>
                    </w:rPr>
                    <w:t>e</w:t>
                  </w:r>
                  <w:r>
                    <w:rPr>
                      <w:rFonts w:cs="Georgia"/>
                      <w:bCs/>
                      <w:color w:val="000000"/>
                      <w:spacing w:val="-1"/>
                    </w:rPr>
                    <w:t>n</w:t>
                  </w:r>
                  <w:r>
                    <w:rPr>
                      <w:rFonts w:cs="Georgia"/>
                      <w:bCs/>
                      <w:color w:val="000000"/>
                      <w:spacing w:val="-2"/>
                    </w:rPr>
                    <w:t>d</w:t>
                  </w:r>
                  <w:r>
                    <w:rPr>
                      <w:rFonts w:cs="Georgia"/>
                      <w:bCs/>
                      <w:color w:val="000000"/>
                    </w:rPr>
                    <w:t>re</w:t>
                  </w:r>
                  <w:r>
                    <w:rPr>
                      <w:rFonts w:cs="Georgia"/>
                      <w:bCs/>
                      <w:color w:val="000000"/>
                      <w:spacing w:val="-2"/>
                    </w:rPr>
                    <w:t xml:space="preserve"> </w:t>
                  </w:r>
                  <w:r>
                    <w:rPr>
                      <w:rFonts w:cs="Georgia"/>
                      <w:bCs/>
                      <w:color w:val="000000"/>
                      <w:spacing w:val="1"/>
                    </w:rPr>
                    <w:t>e</w:t>
                  </w:r>
                  <w:r>
                    <w:rPr>
                      <w:rFonts w:cs="Georgia"/>
                      <w:bCs/>
                      <w:color w:val="000000"/>
                    </w:rPr>
                    <w:t>n</w:t>
                  </w:r>
                  <w:r>
                    <w:rPr>
                      <w:rFonts w:cs="Georgia"/>
                      <w:bCs/>
                      <w:color w:val="000000"/>
                      <w:spacing w:val="-2"/>
                    </w:rPr>
                    <w:t xml:space="preserve"> </w:t>
                  </w:r>
                  <w:r>
                    <w:rPr>
                      <w:rFonts w:cs="Georgia"/>
                      <w:bCs/>
                      <w:color w:val="000000"/>
                    </w:rPr>
                    <w:t>c</w:t>
                  </w:r>
                  <w:r>
                    <w:rPr>
                      <w:rFonts w:cs="Georgia"/>
                      <w:bCs/>
                      <w:color w:val="000000"/>
                      <w:spacing w:val="-1"/>
                    </w:rPr>
                    <w:t>on</w:t>
                  </w:r>
                  <w:r>
                    <w:rPr>
                      <w:rFonts w:cs="Georgia"/>
                      <w:bCs/>
                      <w:color w:val="000000"/>
                    </w:rPr>
                    <w:t>s</w:t>
                  </w:r>
                  <w:r>
                    <w:rPr>
                      <w:rFonts w:cs="Georgia"/>
                      <w:bCs/>
                      <w:color w:val="000000"/>
                      <w:spacing w:val="1"/>
                    </w:rPr>
                    <w:t>i</w:t>
                  </w:r>
                  <w:r>
                    <w:rPr>
                      <w:rFonts w:cs="Georgia"/>
                      <w:bCs/>
                      <w:color w:val="000000"/>
                    </w:rPr>
                    <w:t>d</w:t>
                  </w:r>
                  <w:r>
                    <w:rPr>
                      <w:rFonts w:cs="Georgia"/>
                      <w:bCs/>
                      <w:color w:val="000000"/>
                      <w:spacing w:val="-2"/>
                    </w:rPr>
                    <w:t>é</w:t>
                  </w:r>
                  <w:r>
                    <w:rPr>
                      <w:rFonts w:cs="Georgia"/>
                      <w:bCs/>
                      <w:color w:val="000000"/>
                    </w:rPr>
                    <w:t>ra</w:t>
                  </w:r>
                  <w:r>
                    <w:rPr>
                      <w:rFonts w:cs="Georgia"/>
                      <w:bCs/>
                      <w:color w:val="000000"/>
                      <w:spacing w:val="-1"/>
                    </w:rPr>
                    <w:t>t</w:t>
                  </w:r>
                  <w:r>
                    <w:rPr>
                      <w:rFonts w:cs="Georgia"/>
                      <w:bCs/>
                      <w:color w:val="000000"/>
                      <w:spacing w:val="1"/>
                    </w:rPr>
                    <w:t>i</w:t>
                  </w:r>
                  <w:r>
                    <w:rPr>
                      <w:rFonts w:cs="Georgia"/>
                      <w:bCs/>
                      <w:color w:val="000000"/>
                      <w:spacing w:val="-1"/>
                    </w:rPr>
                    <w:t>o</w:t>
                  </w:r>
                  <w:r>
                    <w:rPr>
                      <w:rFonts w:cs="Georgia"/>
                      <w:bCs/>
                      <w:color w:val="000000"/>
                    </w:rPr>
                    <w:t>n</w:t>
                  </w:r>
                  <w:r>
                    <w:rPr>
                      <w:rFonts w:cs="Georgia"/>
                      <w:bCs/>
                      <w:color w:val="000000"/>
                      <w:spacing w:val="-2"/>
                    </w:rPr>
                    <w:t xml:space="preserve"> </w:t>
                  </w:r>
                  <w:r>
                    <w:rPr>
                      <w:rFonts w:cs="Georgia"/>
                      <w:bCs/>
                      <w:color w:val="000000"/>
                      <w:spacing w:val="1"/>
                    </w:rPr>
                    <w:t>e</w:t>
                  </w:r>
                  <w:r>
                    <w:rPr>
                      <w:rFonts w:cs="Georgia"/>
                      <w:bCs/>
                      <w:color w:val="000000"/>
                    </w:rPr>
                    <w:t>st :</w:t>
                  </w:r>
                </w:p>
                <w:p>
                  <w:pPr>
                    <w:widowControl w:val="0"/>
                    <w:autoSpaceDE w:val="0"/>
                    <w:autoSpaceDN w:val="0"/>
                    <w:adjustRightInd w:val="0"/>
                    <w:spacing w:before="36"/>
                    <w:ind w:right="-20"/>
                    <w:jc w:val="both"/>
                    <w:rPr>
                      <w:rFonts w:cs="Georgia"/>
                      <w:bCs/>
                      <w:color w:val="000000"/>
                    </w:rPr>
                  </w:pPr>
                </w:p>
                <w:p>
                  <w:pPr>
                    <w:widowControl w:val="0"/>
                    <w:numPr>
                      <w:ilvl w:val="0"/>
                      <w:numId w:val="53"/>
                    </w:numPr>
                    <w:tabs>
                      <w:tab w:val="clear" w:pos="1800"/>
                      <w:tab w:val="num" w:pos="142"/>
                    </w:tabs>
                    <w:autoSpaceDE w:val="0"/>
                    <w:autoSpaceDN w:val="0"/>
                    <w:adjustRightInd w:val="0"/>
                    <w:spacing w:before="1" w:line="250" w:lineRule="exact"/>
                    <w:ind w:left="851" w:right="48" w:hanging="284"/>
                    <w:jc w:val="both"/>
                    <w:rPr>
                      <w:rFonts w:cs="Georgia"/>
                      <w:color w:val="000000"/>
                      <w:spacing w:val="1"/>
                    </w:rPr>
                  </w:pPr>
                  <w:r>
                    <w:rPr>
                      <w:rFonts w:cs="Georgia"/>
                      <w:color w:val="000000"/>
                      <w:spacing w:val="1"/>
                    </w:rPr>
                    <w:t>pour les types d'enseignement 1, 2, 3, 4, 6, 7 et 8 : le nombre d'élèves inscrits le 15 janvier précédant l’année scolaire. Si à la date du 30 septembre la population scolaire a varié de minimum 5% par rapport à celle du 15 janvier précédent, un nouveau calcul de l’encadrement est établi à partir du 1er octobre.</w:t>
                  </w:r>
                </w:p>
                <w:p>
                  <w:pPr>
                    <w:widowControl w:val="0"/>
                    <w:autoSpaceDE w:val="0"/>
                    <w:autoSpaceDN w:val="0"/>
                    <w:adjustRightInd w:val="0"/>
                    <w:spacing w:before="1" w:line="250" w:lineRule="exact"/>
                    <w:ind w:right="48" w:hanging="284"/>
                    <w:jc w:val="both"/>
                    <w:rPr>
                      <w:rFonts w:cs="Georgia"/>
                      <w:color w:val="000000"/>
                      <w:spacing w:val="1"/>
                    </w:rPr>
                  </w:pPr>
                </w:p>
                <w:p>
                  <w:pPr>
                    <w:widowControl w:val="0"/>
                    <w:numPr>
                      <w:ilvl w:val="0"/>
                      <w:numId w:val="53"/>
                    </w:numPr>
                    <w:tabs>
                      <w:tab w:val="clear" w:pos="1800"/>
                    </w:tabs>
                    <w:autoSpaceDE w:val="0"/>
                    <w:autoSpaceDN w:val="0"/>
                    <w:adjustRightInd w:val="0"/>
                    <w:spacing w:line="250" w:lineRule="exact"/>
                    <w:ind w:left="851" w:right="-20" w:hanging="284"/>
                    <w:jc w:val="both"/>
                    <w:rPr>
                      <w:rFonts w:cs="Georgia"/>
                      <w:color w:val="000000"/>
                    </w:rPr>
                  </w:pPr>
                  <w:r>
                    <w:rPr>
                      <w:rFonts w:cs="Georgia"/>
                      <w:color w:val="000000"/>
                      <w:spacing w:val="1"/>
                    </w:rPr>
                    <w:t>po</w:t>
                  </w:r>
                  <w:r>
                    <w:rPr>
                      <w:rFonts w:cs="Georgia"/>
                      <w:color w:val="000000"/>
                      <w:spacing w:val="-2"/>
                    </w:rPr>
                    <w:t>u</w:t>
                  </w:r>
                  <w:r>
                    <w:rPr>
                      <w:rFonts w:cs="Georgia"/>
                      <w:color w:val="000000"/>
                    </w:rPr>
                    <w:t xml:space="preserve">r </w:t>
                  </w:r>
                  <w:r>
                    <w:rPr>
                      <w:rFonts w:cs="Georgia"/>
                      <w:color w:val="000000"/>
                      <w:spacing w:val="-1"/>
                    </w:rPr>
                    <w:t>le</w:t>
                  </w:r>
                  <w:r>
                    <w:rPr>
                      <w:rFonts w:cs="Georgia"/>
                      <w:color w:val="000000"/>
                    </w:rPr>
                    <w:t xml:space="preserve">s </w:t>
                  </w:r>
                  <w:r>
                    <w:rPr>
                      <w:rFonts w:cs="Georgia"/>
                      <w:color w:val="000000"/>
                      <w:spacing w:val="1"/>
                    </w:rPr>
                    <w:t>t</w:t>
                  </w:r>
                  <w:r>
                    <w:rPr>
                      <w:rFonts w:cs="Georgia"/>
                      <w:color w:val="000000"/>
                      <w:spacing w:val="-1"/>
                    </w:rPr>
                    <w:t>y</w:t>
                  </w:r>
                  <w:r>
                    <w:rPr>
                      <w:rFonts w:cs="Georgia"/>
                      <w:color w:val="000000"/>
                      <w:spacing w:val="1"/>
                    </w:rPr>
                    <w:t>p</w:t>
                  </w:r>
                  <w:r>
                    <w:rPr>
                      <w:rFonts w:cs="Georgia"/>
                      <w:color w:val="000000"/>
                      <w:spacing w:val="-1"/>
                    </w:rPr>
                    <w:t>e</w:t>
                  </w:r>
                  <w:r>
                    <w:rPr>
                      <w:rFonts w:cs="Georgia"/>
                      <w:color w:val="000000"/>
                    </w:rPr>
                    <w:t xml:space="preserve">s </w:t>
                  </w:r>
                  <w:r>
                    <w:rPr>
                      <w:rFonts w:cs="Georgia"/>
                      <w:color w:val="000000"/>
                      <w:spacing w:val="-2"/>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1"/>
                    </w:rPr>
                    <w:t xml:space="preserve"> </w:t>
                  </w:r>
                  <w:r>
                    <w:rPr>
                      <w:rFonts w:cs="Georgia"/>
                      <w:color w:val="000000"/>
                    </w:rPr>
                    <w:t>5</w:t>
                  </w:r>
                  <w:r>
                    <w:rPr>
                      <w:rFonts w:cs="Georgia"/>
                      <w:color w:val="000000"/>
                      <w:spacing w:val="1"/>
                    </w:rPr>
                    <w:t xml:space="preserve"> </w:t>
                  </w:r>
                  <w:r>
                    <w:rPr>
                      <w:rFonts w:cs="Georgia"/>
                      <w:color w:val="000000"/>
                    </w:rPr>
                    <w:t xml:space="preserve">A </w:t>
                  </w:r>
                  <w:r>
                    <w:rPr>
                      <w:rFonts w:cs="Georgia"/>
                      <w:color w:val="000000"/>
                      <w:spacing w:val="-1"/>
                    </w:rPr>
                    <w:t>e</w:t>
                  </w:r>
                  <w:r>
                    <w:rPr>
                      <w:rFonts w:cs="Georgia"/>
                      <w:color w:val="000000"/>
                    </w:rPr>
                    <w:t>t 5</w:t>
                  </w:r>
                  <w:r>
                    <w:rPr>
                      <w:rFonts w:cs="Georgia"/>
                      <w:color w:val="000000"/>
                      <w:spacing w:val="1"/>
                    </w:rPr>
                    <w:t xml:space="preserve"> </w:t>
                  </w:r>
                  <w:r>
                    <w:rPr>
                      <w:rFonts w:cs="Georgia"/>
                      <w:color w:val="000000"/>
                    </w:rPr>
                    <w:t xml:space="preserve">B: </w:t>
                  </w:r>
                  <w:r>
                    <w:rPr>
                      <w:rFonts w:cs="Georgia"/>
                      <w:color w:val="000000"/>
                      <w:spacing w:val="-1"/>
                    </w:rPr>
                    <w:t>l</w:t>
                  </w:r>
                  <w:r>
                    <w:rPr>
                      <w:rFonts w:cs="Georgia"/>
                      <w:color w:val="000000"/>
                    </w:rPr>
                    <w:t>a</w:t>
                  </w:r>
                  <w:r>
                    <w:rPr>
                      <w:rFonts w:cs="Georgia"/>
                      <w:color w:val="000000"/>
                      <w:spacing w:val="-1"/>
                    </w:rPr>
                    <w:t xml:space="preserve"> </w:t>
                  </w:r>
                  <w:r>
                    <w:rPr>
                      <w:rFonts w:cs="Georgia"/>
                      <w:color w:val="000000"/>
                      <w:spacing w:val="-3"/>
                    </w:rPr>
                    <w:t>m</w:t>
                  </w:r>
                  <w:r>
                    <w:rPr>
                      <w:rFonts w:cs="Georgia"/>
                      <w:color w:val="000000"/>
                      <w:spacing w:val="1"/>
                    </w:rPr>
                    <w:t>o</w:t>
                  </w:r>
                  <w:r>
                    <w:rPr>
                      <w:rFonts w:cs="Georgia"/>
                      <w:color w:val="000000"/>
                      <w:spacing w:val="-1"/>
                    </w:rPr>
                    <w:t>yenn</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c</w:t>
                  </w:r>
                  <w:r>
                    <w:rPr>
                      <w:rFonts w:cs="Georgia"/>
                      <w:color w:val="000000"/>
                      <w:spacing w:val="-1"/>
                    </w:rPr>
                    <w:t>e</w:t>
                  </w:r>
                  <w:r>
                    <w:rPr>
                      <w:rFonts w:cs="Georgia"/>
                      <w:color w:val="000000"/>
                    </w:rPr>
                    <w:t xml:space="preserve">s </w:t>
                  </w:r>
                  <w:r>
                    <w:rPr>
                      <w:rFonts w:cs="Georgia"/>
                      <w:color w:val="000000"/>
                      <w:spacing w:val="-1"/>
                    </w:rPr>
                    <w:t>en</w:t>
                  </w:r>
                  <w:r>
                    <w:rPr>
                      <w:rFonts w:cs="Georgia"/>
                      <w:color w:val="000000"/>
                      <w:spacing w:val="1"/>
                    </w:rPr>
                    <w:t>r</w:t>
                  </w:r>
                  <w:r>
                    <w:rPr>
                      <w:rFonts w:cs="Georgia"/>
                      <w:color w:val="000000"/>
                      <w:spacing w:val="-1"/>
                    </w:rPr>
                    <w:t>e</w:t>
                  </w:r>
                  <w:r>
                    <w:rPr>
                      <w:rFonts w:cs="Georgia"/>
                      <w:color w:val="000000"/>
                    </w:rPr>
                    <w:t>gi</w:t>
                  </w:r>
                  <w:r>
                    <w:rPr>
                      <w:rFonts w:cs="Georgia"/>
                      <w:color w:val="000000"/>
                      <w:spacing w:val="1"/>
                    </w:rPr>
                    <w:t>s</w:t>
                  </w:r>
                  <w:r>
                    <w:rPr>
                      <w:rFonts w:cs="Georgia"/>
                      <w:color w:val="000000"/>
                      <w:spacing w:val="-2"/>
                    </w:rPr>
                    <w:t>t</w:t>
                  </w:r>
                  <w:r>
                    <w:rPr>
                      <w:rFonts w:cs="Georgia"/>
                      <w:color w:val="000000"/>
                      <w:spacing w:val="1"/>
                    </w:rPr>
                    <w:t>r</w:t>
                  </w:r>
                  <w:r>
                    <w:rPr>
                      <w:rFonts w:cs="Georgia"/>
                      <w:color w:val="000000"/>
                      <w:spacing w:val="-1"/>
                    </w:rPr>
                    <w:t>ée</w:t>
                  </w:r>
                  <w:r>
                    <w:rPr>
                      <w:rFonts w:cs="Georgia"/>
                      <w:color w:val="000000"/>
                    </w:rPr>
                    <w:t>s</w:t>
                  </w:r>
                  <w:r>
                    <w:rPr>
                      <w:rFonts w:cs="Georgia"/>
                      <w:color w:val="000000"/>
                      <w:spacing w:val="1"/>
                    </w:rPr>
                    <w:t xml:space="preserve"> </w:t>
                  </w:r>
                  <w:r>
                    <w:rPr>
                      <w:rFonts w:cs="Georgia"/>
                      <w:color w:val="000000"/>
                    </w:rPr>
                    <w:t>:</w:t>
                  </w:r>
                </w:p>
                <w:p>
                  <w:pPr>
                    <w:widowControl w:val="0"/>
                    <w:autoSpaceDE w:val="0"/>
                    <w:autoSpaceDN w:val="0"/>
                    <w:adjustRightInd w:val="0"/>
                    <w:spacing w:line="250" w:lineRule="exact"/>
                    <w:ind w:right="-20"/>
                    <w:jc w:val="both"/>
                    <w:rPr>
                      <w:rFonts w:cs="Georgia"/>
                      <w:color w:val="000000"/>
                    </w:rPr>
                  </w:pPr>
                </w:p>
                <w:p>
                  <w:pPr>
                    <w:widowControl w:val="0"/>
                    <w:numPr>
                      <w:ilvl w:val="0"/>
                      <w:numId w:val="63"/>
                    </w:numPr>
                    <w:tabs>
                      <w:tab w:val="left" w:pos="709"/>
                    </w:tabs>
                    <w:suppressAutoHyphens/>
                    <w:autoSpaceDE w:val="0"/>
                    <w:autoSpaceDN w:val="0"/>
                    <w:adjustRightInd w:val="0"/>
                    <w:spacing w:line="250" w:lineRule="exact"/>
                    <w:ind w:left="1701" w:right="-20" w:hanging="425"/>
                    <w:jc w:val="both"/>
                    <w:rPr>
                      <w:rFonts w:cs="Georgia"/>
                      <w:color w:val="000000"/>
                    </w:rPr>
                  </w:pPr>
                  <w:r>
                    <w:rPr>
                      <w:rFonts w:cs="Georgia"/>
                      <w:color w:val="000000"/>
                    </w:rPr>
                    <w:t>du</w:t>
                  </w:r>
                  <w:r>
                    <w:rPr>
                      <w:rFonts w:cs="Georgia"/>
                      <w:color w:val="000000"/>
                      <w:spacing w:val="1"/>
                    </w:rPr>
                    <w:t>r</w:t>
                  </w:r>
                  <w:r>
                    <w:rPr>
                      <w:rFonts w:cs="Georgia"/>
                      <w:color w:val="000000"/>
                      <w:spacing w:val="-1"/>
                    </w:rPr>
                    <w:t>an</w:t>
                  </w:r>
                  <w:r>
                    <w:rPr>
                      <w:rFonts w:cs="Georgia"/>
                      <w:color w:val="000000"/>
                    </w:rPr>
                    <w:t xml:space="preserve">t </w:t>
                  </w:r>
                  <w:r>
                    <w:rPr>
                      <w:rFonts w:cs="Georgia"/>
                      <w:color w:val="000000"/>
                      <w:spacing w:val="-1"/>
                    </w:rPr>
                    <w:t>l</w:t>
                  </w:r>
                  <w:r>
                    <w:rPr>
                      <w:rFonts w:cs="Georgia"/>
                      <w:color w:val="000000"/>
                      <w:spacing w:val="1"/>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p</w:t>
                  </w:r>
                  <w:r>
                    <w:rPr>
                      <w:rFonts w:cs="Georgia"/>
                      <w:color w:val="000000"/>
                      <w:spacing w:val="1"/>
                    </w:rPr>
                    <w:t>r</w:t>
                  </w:r>
                  <w:r>
                    <w:rPr>
                      <w:rFonts w:cs="Georgia"/>
                      <w:color w:val="000000"/>
                      <w:spacing w:val="-1"/>
                    </w:rPr>
                    <w:t>é</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en</w:t>
                  </w:r>
                  <w:r>
                    <w:rPr>
                      <w:rFonts w:cs="Georgia"/>
                      <w:color w:val="000000"/>
                      <w:spacing w:val="1"/>
                    </w:rPr>
                    <w:t>t</w:t>
                  </w:r>
                  <w:r>
                    <w:rPr>
                      <w:rFonts w:cs="Georgia"/>
                      <w:color w:val="000000"/>
                      <w:spacing w:val="-1"/>
                    </w:rPr>
                    <w:t>e</w:t>
                  </w:r>
                  <w:r>
                    <w:rPr>
                      <w:rFonts w:cs="Georgia"/>
                      <w:color w:val="000000"/>
                    </w:rPr>
                    <w:t xml:space="preserve">, </w:t>
                  </w:r>
                  <w:r>
                    <w:rPr>
                      <w:rFonts w:cs="Georgia"/>
                      <w:color w:val="000000"/>
                      <w:spacing w:val="1"/>
                    </w:rPr>
                    <w:t>s</w:t>
                  </w:r>
                  <w:r>
                    <w:rPr>
                      <w:rFonts w:cs="Georgia"/>
                      <w:color w:val="000000"/>
                    </w:rPr>
                    <w:t xml:space="preserve">i </w:t>
                  </w:r>
                  <w:r>
                    <w:rPr>
                      <w:rFonts w:cs="Georgia"/>
                      <w:color w:val="000000"/>
                      <w:spacing w:val="1"/>
                    </w:rPr>
                    <w:t>c</w:t>
                  </w:r>
                  <w:r>
                    <w:rPr>
                      <w:rFonts w:cs="Georgia"/>
                      <w:color w:val="000000"/>
                    </w:rPr>
                    <w:t>e</w:t>
                  </w:r>
                  <w:r>
                    <w:rPr>
                      <w:rFonts w:cs="Georgia"/>
                      <w:color w:val="000000"/>
                      <w:spacing w:val="-1"/>
                    </w:rPr>
                    <w:t xml:space="preserve"> </w:t>
                  </w:r>
                  <w:r>
                    <w:rPr>
                      <w:rFonts w:cs="Georgia"/>
                      <w:color w:val="000000"/>
                      <w:spacing w:val="1"/>
                    </w:rPr>
                    <w:t>t</w:t>
                  </w:r>
                  <w:r>
                    <w:rPr>
                      <w:rFonts w:cs="Georgia"/>
                      <w:color w:val="000000"/>
                      <w:spacing w:val="-3"/>
                    </w:rPr>
                    <w:t>y</w:t>
                  </w:r>
                  <w:r>
                    <w:rPr>
                      <w:rFonts w:cs="Georgia"/>
                      <w:color w:val="000000"/>
                      <w:spacing w:val="1"/>
                    </w:rPr>
                    <w:t>p</w:t>
                  </w:r>
                  <w:r>
                    <w:rPr>
                      <w:rFonts w:cs="Georgia"/>
                      <w:color w:val="000000"/>
                    </w:rPr>
                    <w:t>e</w:t>
                  </w:r>
                  <w:r>
                    <w:rPr>
                      <w:rFonts w:cs="Georgia"/>
                      <w:color w:val="000000"/>
                      <w:spacing w:val="-1"/>
                    </w:rPr>
                    <w:t xml:space="preserve"> é</w:t>
                  </w:r>
                  <w:r>
                    <w:rPr>
                      <w:rFonts w:cs="Georgia"/>
                      <w:color w:val="000000"/>
                      <w:spacing w:val="1"/>
                    </w:rPr>
                    <w:t>t</w:t>
                  </w:r>
                  <w:r>
                    <w:rPr>
                      <w:rFonts w:cs="Georgia"/>
                      <w:color w:val="000000"/>
                      <w:spacing w:val="-1"/>
                    </w:rPr>
                    <w:t>a</w:t>
                  </w:r>
                  <w:r>
                    <w:rPr>
                      <w:rFonts w:cs="Georgia"/>
                      <w:color w:val="000000"/>
                    </w:rPr>
                    <w:t>it d</w:t>
                  </w:r>
                  <w:r>
                    <w:rPr>
                      <w:rFonts w:cs="Georgia"/>
                      <w:color w:val="000000"/>
                      <w:spacing w:val="-1"/>
                    </w:rPr>
                    <w:t>é</w:t>
                  </w:r>
                  <w:r>
                    <w:rPr>
                      <w:rFonts w:cs="Georgia"/>
                      <w:color w:val="000000"/>
                    </w:rPr>
                    <w:t>jà</w:t>
                  </w:r>
                  <w:r>
                    <w:rPr>
                      <w:rFonts w:cs="Georgia"/>
                      <w:color w:val="000000"/>
                      <w:spacing w:val="-1"/>
                    </w:rPr>
                    <w:t xml:space="preserve"> </w:t>
                  </w:r>
                  <w:r>
                    <w:rPr>
                      <w:rFonts w:cs="Georgia"/>
                      <w:color w:val="000000"/>
                      <w:spacing w:val="1"/>
                    </w:rPr>
                    <w:t>or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rPr>
                    <w:t>é</w:t>
                  </w:r>
                  <w:r>
                    <w:rPr>
                      <w:rFonts w:cs="Georgia"/>
                      <w:color w:val="000000"/>
                      <w:spacing w:val="-1"/>
                    </w:rPr>
                    <w:t xml:space="preserve"> </w:t>
                  </w:r>
                  <w:r>
                    <w:rPr>
                      <w:rFonts w:cs="Georgia"/>
                      <w:color w:val="000000"/>
                    </w:rPr>
                    <w:t>;</w:t>
                  </w:r>
                </w:p>
                <w:p>
                  <w:pPr>
                    <w:widowControl w:val="0"/>
                    <w:numPr>
                      <w:ilvl w:val="0"/>
                      <w:numId w:val="63"/>
                    </w:numPr>
                    <w:tabs>
                      <w:tab w:val="left" w:pos="709"/>
                    </w:tabs>
                    <w:autoSpaceDE w:val="0"/>
                    <w:autoSpaceDN w:val="0"/>
                    <w:adjustRightInd w:val="0"/>
                    <w:spacing w:line="250" w:lineRule="exact"/>
                    <w:ind w:left="1701" w:right="-20" w:hanging="425"/>
                    <w:jc w:val="both"/>
                    <w:rPr>
                      <w:rFonts w:cs="Georgia"/>
                      <w:color w:val="000000"/>
                    </w:rPr>
                  </w:pPr>
                  <w:r>
                    <w:rPr>
                      <w:rFonts w:cs="Georgia"/>
                      <w:color w:val="000000"/>
                    </w:rPr>
                    <w:t>du</w:t>
                  </w:r>
                  <w:r>
                    <w:rPr>
                      <w:rFonts w:cs="Georgia"/>
                      <w:color w:val="000000"/>
                      <w:spacing w:val="1"/>
                    </w:rPr>
                    <w:t>r</w:t>
                  </w:r>
                  <w:r>
                    <w:rPr>
                      <w:rFonts w:cs="Georgia"/>
                      <w:color w:val="000000"/>
                      <w:spacing w:val="-1"/>
                    </w:rPr>
                    <w:t>an</w:t>
                  </w:r>
                  <w:r>
                    <w:rPr>
                      <w:rFonts w:cs="Georgia"/>
                      <w:color w:val="000000"/>
                    </w:rPr>
                    <w:t>t</w:t>
                  </w:r>
                  <w:r>
                    <w:rPr>
                      <w:rFonts w:cs="Georgia"/>
                      <w:color w:val="000000"/>
                      <w:spacing w:val="17"/>
                    </w:rPr>
                    <w:t xml:space="preserve"> </w:t>
                  </w:r>
                  <w:r>
                    <w:rPr>
                      <w:rFonts w:cs="Georgia"/>
                      <w:color w:val="000000"/>
                      <w:spacing w:val="-1"/>
                    </w:rPr>
                    <w:t>l</w:t>
                  </w:r>
                  <w:r>
                    <w:rPr>
                      <w:rFonts w:cs="Georgia"/>
                      <w:color w:val="000000"/>
                    </w:rPr>
                    <w:t>e</w:t>
                  </w:r>
                  <w:r>
                    <w:rPr>
                      <w:rFonts w:cs="Georgia"/>
                      <w:color w:val="000000"/>
                      <w:spacing w:val="15"/>
                    </w:rPr>
                    <w:t xml:space="preserve"> </w:t>
                  </w:r>
                  <w:r>
                    <w:rPr>
                      <w:rFonts w:cs="Georgia"/>
                      <w:color w:val="000000"/>
                    </w:rPr>
                    <w:t>m</w:t>
                  </w:r>
                  <w:r>
                    <w:rPr>
                      <w:rFonts w:cs="Georgia"/>
                      <w:color w:val="000000"/>
                      <w:spacing w:val="1"/>
                    </w:rPr>
                    <w:t>o</w:t>
                  </w:r>
                  <w:r>
                    <w:rPr>
                      <w:rFonts w:cs="Georgia"/>
                      <w:color w:val="000000"/>
                      <w:spacing w:val="-2"/>
                    </w:rPr>
                    <w:t>i</w:t>
                  </w:r>
                  <w:r>
                    <w:rPr>
                      <w:rFonts w:cs="Georgia"/>
                      <w:color w:val="000000"/>
                    </w:rPr>
                    <w:t>s</w:t>
                  </w:r>
                  <w:r>
                    <w:rPr>
                      <w:rFonts w:cs="Georgia"/>
                      <w:color w:val="000000"/>
                      <w:spacing w:val="17"/>
                    </w:rPr>
                    <w:t xml:space="preserve"> </w:t>
                  </w:r>
                  <w:r>
                    <w:rPr>
                      <w:rFonts w:cs="Georgia"/>
                      <w:color w:val="000000"/>
                    </w:rPr>
                    <w:t>de</w:t>
                  </w:r>
                  <w:r>
                    <w:rPr>
                      <w:rFonts w:cs="Georgia"/>
                      <w:color w:val="000000"/>
                      <w:spacing w:val="15"/>
                    </w:rPr>
                    <w:t xml:space="preserve"> </w:t>
                  </w:r>
                  <w:r>
                    <w:rPr>
                      <w:rFonts w:cs="Georgia"/>
                      <w:color w:val="000000"/>
                      <w:spacing w:val="1"/>
                    </w:rPr>
                    <w:t>s</w:t>
                  </w:r>
                  <w:r>
                    <w:rPr>
                      <w:rFonts w:cs="Georgia"/>
                      <w:color w:val="000000"/>
                      <w:spacing w:val="-1"/>
                    </w:rPr>
                    <w:t>ep</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br</w:t>
                  </w:r>
                  <w:r>
                    <w:rPr>
                      <w:rFonts w:cs="Georgia"/>
                      <w:color w:val="000000"/>
                    </w:rPr>
                    <w:t>e</w:t>
                  </w:r>
                  <w:r>
                    <w:rPr>
                      <w:rFonts w:cs="Georgia"/>
                      <w:color w:val="000000"/>
                      <w:spacing w:val="13"/>
                    </w:rPr>
                    <w:t xml:space="preserve"> </w:t>
                  </w:r>
                  <w:r>
                    <w:rPr>
                      <w:rFonts w:cs="Georgia"/>
                      <w:color w:val="000000"/>
                      <w:spacing w:val="1"/>
                    </w:rPr>
                    <w:t>o</w:t>
                  </w:r>
                  <w:r>
                    <w:rPr>
                      <w:rFonts w:cs="Georgia"/>
                      <w:color w:val="000000"/>
                    </w:rPr>
                    <w:t>u</w:t>
                  </w:r>
                  <w:r>
                    <w:rPr>
                      <w:rFonts w:cs="Georgia"/>
                      <w:color w:val="000000"/>
                      <w:spacing w:val="17"/>
                    </w:rPr>
                    <w:t xml:space="preserve"> </w:t>
                  </w:r>
                  <w:r>
                    <w:rPr>
                      <w:rFonts w:cs="Georgia"/>
                      <w:color w:val="000000"/>
                    </w:rPr>
                    <w:t>à</w:t>
                  </w:r>
                  <w:r>
                    <w:rPr>
                      <w:rFonts w:cs="Georgia"/>
                      <w:color w:val="000000"/>
                      <w:spacing w:val="16"/>
                    </w:rPr>
                    <w:t xml:space="preserve"> </w:t>
                  </w:r>
                  <w:r>
                    <w:rPr>
                      <w:rFonts w:cs="Georgia"/>
                      <w:color w:val="000000"/>
                      <w:spacing w:val="1"/>
                    </w:rPr>
                    <w:t>p</w:t>
                  </w:r>
                  <w:r>
                    <w:rPr>
                      <w:rFonts w:cs="Georgia"/>
                      <w:color w:val="000000"/>
                      <w:spacing w:val="-1"/>
                    </w:rPr>
                    <w:t>a</w:t>
                  </w:r>
                  <w:r>
                    <w:rPr>
                      <w:rFonts w:cs="Georgia"/>
                      <w:color w:val="000000"/>
                      <w:spacing w:val="-2"/>
                    </w:rPr>
                    <w:t>r</w:t>
                  </w:r>
                  <w:r>
                    <w:rPr>
                      <w:rFonts w:cs="Georgia"/>
                      <w:color w:val="000000"/>
                      <w:spacing w:val="1"/>
                    </w:rPr>
                    <w:t>t</w:t>
                  </w:r>
                  <w:r>
                    <w:rPr>
                      <w:rFonts w:cs="Georgia"/>
                      <w:color w:val="000000"/>
                    </w:rPr>
                    <w:t>ir</w:t>
                  </w:r>
                  <w:r>
                    <w:rPr>
                      <w:rFonts w:cs="Georgia"/>
                      <w:color w:val="000000"/>
                      <w:spacing w:val="15"/>
                    </w:rPr>
                    <w:t xml:space="preserve"> </w:t>
                  </w:r>
                  <w:r>
                    <w:rPr>
                      <w:rFonts w:cs="Georgia"/>
                      <w:color w:val="000000"/>
                    </w:rPr>
                    <w:t>de</w:t>
                  </w:r>
                  <w:r>
                    <w:rPr>
                      <w:rFonts w:cs="Georgia"/>
                      <w:color w:val="000000"/>
                      <w:spacing w:val="15"/>
                    </w:rPr>
                    <w:t xml:space="preserve"> </w:t>
                  </w:r>
                  <w:r>
                    <w:rPr>
                      <w:rFonts w:cs="Georgia"/>
                      <w:color w:val="000000"/>
                      <w:spacing w:val="-1"/>
                    </w:rPr>
                    <w:t>l</w:t>
                  </w:r>
                  <w:r>
                    <w:rPr>
                      <w:rFonts w:cs="Georgia"/>
                      <w:color w:val="000000"/>
                    </w:rPr>
                    <w:t>a</w:t>
                  </w:r>
                  <w:r>
                    <w:rPr>
                      <w:rFonts w:cs="Georgia"/>
                      <w:color w:val="000000"/>
                      <w:spacing w:val="16"/>
                    </w:rPr>
                    <w:t xml:space="preserve"> </w:t>
                  </w:r>
                  <w:r>
                    <w:rPr>
                      <w:rFonts w:cs="Georgia"/>
                      <w:color w:val="000000"/>
                    </w:rPr>
                    <w:t>mi</w:t>
                  </w:r>
                  <w:r>
                    <w:rPr>
                      <w:rFonts w:cs="Georgia"/>
                      <w:color w:val="000000"/>
                      <w:spacing w:val="1"/>
                    </w:rPr>
                    <w:t>s</w:t>
                  </w:r>
                  <w:r>
                    <w:rPr>
                      <w:rFonts w:cs="Georgia"/>
                      <w:color w:val="000000"/>
                    </w:rPr>
                    <w:t>e</w:t>
                  </w:r>
                  <w:r>
                    <w:rPr>
                      <w:rFonts w:cs="Georgia"/>
                      <w:color w:val="000000"/>
                      <w:spacing w:val="15"/>
                    </w:rPr>
                    <w:t xml:space="preserve"> </w:t>
                  </w:r>
                  <w:r>
                    <w:rPr>
                      <w:rFonts w:cs="Georgia"/>
                      <w:color w:val="000000"/>
                      <w:spacing w:val="-1"/>
                    </w:rPr>
                    <w:t>e</w:t>
                  </w:r>
                  <w:r>
                    <w:rPr>
                      <w:rFonts w:cs="Georgia"/>
                      <w:color w:val="000000"/>
                    </w:rPr>
                    <w:t>n</w:t>
                  </w:r>
                  <w:r>
                    <w:rPr>
                      <w:rFonts w:cs="Georgia"/>
                      <w:color w:val="000000"/>
                      <w:spacing w:val="16"/>
                    </w:rPr>
                    <w:t xml:space="preserve"> </w:t>
                  </w:r>
                  <w:r>
                    <w:rPr>
                      <w:rFonts w:cs="Georgia"/>
                      <w:color w:val="000000"/>
                      <w:spacing w:val="1"/>
                    </w:rPr>
                    <w:t>p</w:t>
                  </w:r>
                  <w:r>
                    <w:rPr>
                      <w:rFonts w:cs="Georgia"/>
                      <w:color w:val="000000"/>
                      <w:spacing w:val="-1"/>
                    </w:rPr>
                    <w:t>la</w:t>
                  </w:r>
                  <w:r>
                    <w:rPr>
                      <w:rFonts w:cs="Georgia"/>
                      <w:color w:val="000000"/>
                      <w:spacing w:val="1"/>
                    </w:rPr>
                    <w:t>c</w:t>
                  </w:r>
                  <w:r>
                    <w:rPr>
                      <w:rFonts w:cs="Georgia"/>
                      <w:color w:val="000000"/>
                    </w:rPr>
                    <w:t>e</w:t>
                  </w:r>
                  <w:r>
                    <w:rPr>
                      <w:rFonts w:cs="Georgia"/>
                      <w:color w:val="000000"/>
                      <w:spacing w:val="15"/>
                    </w:rPr>
                    <w:t xml:space="preserve"> </w:t>
                  </w:r>
                  <w:r>
                    <w:rPr>
                      <w:rFonts w:cs="Georgia"/>
                      <w:color w:val="000000"/>
                    </w:rPr>
                    <w:t>de</w:t>
                  </w:r>
                  <w:r>
                    <w:rPr>
                      <w:rFonts w:cs="Georgia"/>
                      <w:color w:val="000000"/>
                      <w:spacing w:val="15"/>
                    </w:rPr>
                    <w:t xml:space="preserve"> </w:t>
                  </w:r>
                  <w:r>
                    <w:rPr>
                      <w:rFonts w:cs="Georgia"/>
                      <w:color w:val="000000"/>
                      <w:spacing w:val="1"/>
                    </w:rPr>
                    <w:t>c</w:t>
                  </w:r>
                  <w:r>
                    <w:rPr>
                      <w:rFonts w:cs="Georgia"/>
                      <w:color w:val="000000"/>
                    </w:rPr>
                    <w:t>e</w:t>
                  </w:r>
                  <w:r>
                    <w:rPr>
                      <w:rFonts w:cs="Georgia"/>
                      <w:color w:val="000000"/>
                      <w:spacing w:val="15"/>
                    </w:rPr>
                    <w:t xml:space="preserve"> </w:t>
                  </w:r>
                  <w:r>
                    <w:rPr>
                      <w:rFonts w:cs="Georgia"/>
                      <w:color w:val="000000"/>
                      <w:spacing w:val="1"/>
                    </w:rPr>
                    <w:t>t</w:t>
                  </w:r>
                  <w:r>
                    <w:rPr>
                      <w:rFonts w:cs="Georgia"/>
                      <w:color w:val="000000"/>
                      <w:spacing w:val="-1"/>
                    </w:rPr>
                    <w:t>y</w:t>
                  </w:r>
                  <w:r>
                    <w:rPr>
                      <w:rFonts w:cs="Georgia"/>
                      <w:color w:val="000000"/>
                      <w:spacing w:val="1"/>
                    </w:rPr>
                    <w:t>p</w:t>
                  </w:r>
                  <w:r>
                    <w:rPr>
                      <w:rFonts w:cs="Georgia"/>
                      <w:color w:val="000000"/>
                      <w:spacing w:val="-1"/>
                    </w:rPr>
                    <w:t>e</w:t>
                  </w:r>
                  <w:r>
                    <w:rPr>
                      <w:rFonts w:cs="Georgia"/>
                      <w:color w:val="000000"/>
                    </w:rPr>
                    <w:t>,</w:t>
                  </w:r>
                  <w:r>
                    <w:rPr>
                      <w:rFonts w:cs="Georgia"/>
                      <w:color w:val="000000"/>
                      <w:spacing w:val="17"/>
                    </w:rPr>
                    <w:t xml:space="preserve"> </w:t>
                  </w:r>
                  <w:r>
                    <w:rPr>
                      <w:rFonts w:cs="Georgia"/>
                      <w:color w:val="000000"/>
                      <w:spacing w:val="-2"/>
                    </w:rPr>
                    <w:t>s</w:t>
                  </w:r>
                  <w:r>
                    <w:rPr>
                      <w:rFonts w:cs="Georgia"/>
                      <w:color w:val="000000"/>
                      <w:spacing w:val="1"/>
                    </w:rPr>
                    <w:t>'</w:t>
                  </w:r>
                  <w:r>
                    <w:rPr>
                      <w:rFonts w:cs="Georgia"/>
                      <w:color w:val="000000"/>
                    </w:rPr>
                    <w:t>il</w:t>
                  </w:r>
                  <w:r>
                    <w:rPr>
                      <w:rFonts w:cs="Georgia"/>
                      <w:color w:val="000000"/>
                      <w:spacing w:val="16"/>
                    </w:rPr>
                    <w:t xml:space="preserve"> </w:t>
                  </w:r>
                  <w:r>
                    <w:rPr>
                      <w:rFonts w:cs="Georgia"/>
                      <w:color w:val="000000"/>
                      <w:spacing w:val="-1"/>
                    </w:rPr>
                    <w:t>n</w:t>
                  </w:r>
                  <w:r>
                    <w:rPr>
                      <w:rFonts w:cs="Georgia"/>
                      <w:color w:val="000000"/>
                      <w:spacing w:val="1"/>
                    </w:rPr>
                    <w:t>'</w:t>
                  </w:r>
                  <w:r>
                    <w:rPr>
                      <w:rFonts w:cs="Georgia"/>
                      <w:color w:val="000000"/>
                      <w:spacing w:val="-1"/>
                    </w:rPr>
                    <w:t>é</w:t>
                  </w:r>
                  <w:r>
                    <w:rPr>
                      <w:rFonts w:cs="Georgia"/>
                      <w:color w:val="000000"/>
                      <w:spacing w:val="1"/>
                    </w:rPr>
                    <w:t>t</w:t>
                  </w:r>
                  <w:r>
                    <w:rPr>
                      <w:rFonts w:cs="Georgia"/>
                      <w:color w:val="000000"/>
                      <w:spacing w:val="-1"/>
                    </w:rPr>
                    <w:t>a</w:t>
                  </w:r>
                  <w:r>
                    <w:rPr>
                      <w:rFonts w:cs="Georgia"/>
                      <w:color w:val="000000"/>
                    </w:rPr>
                    <w:t>it</w:t>
                  </w:r>
                  <w:r>
                    <w:rPr>
                      <w:rFonts w:cs="Georgia"/>
                      <w:color w:val="000000"/>
                      <w:spacing w:val="17"/>
                    </w:rPr>
                    <w:t xml:space="preserve"> </w:t>
                  </w:r>
                  <w:r>
                    <w:rPr>
                      <w:rFonts w:cs="Georgia"/>
                      <w:color w:val="000000"/>
                      <w:spacing w:val="1"/>
                    </w:rPr>
                    <w:t>p</w:t>
                  </w:r>
                  <w:r>
                    <w:rPr>
                      <w:rFonts w:cs="Georgia"/>
                      <w:color w:val="000000"/>
                      <w:spacing w:val="-3"/>
                    </w:rPr>
                    <w:t>a</w:t>
                  </w:r>
                  <w:r>
                    <w:rPr>
                      <w:rFonts w:cs="Georgia"/>
                      <w:color w:val="000000"/>
                    </w:rPr>
                    <w:t xml:space="preserve">s </w:t>
                  </w:r>
                  <w:r>
                    <w:rPr>
                      <w:rFonts w:cs="Georgia"/>
                      <w:color w:val="000000"/>
                      <w:spacing w:val="1"/>
                    </w:rPr>
                    <w:t>pr</w:t>
                  </w:r>
                  <w:r>
                    <w:rPr>
                      <w:rFonts w:cs="Georgia"/>
                      <w:color w:val="000000"/>
                      <w:spacing w:val="-1"/>
                    </w:rPr>
                    <w:t>é</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w:t>
                  </w:r>
                  <w:r>
                    <w:rPr>
                      <w:rFonts w:cs="Georgia"/>
                      <w:color w:val="000000"/>
                    </w:rPr>
                    <w:t>mm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or</w:t>
                  </w:r>
                  <w:r>
                    <w:rPr>
                      <w:rFonts w:cs="Georgia"/>
                      <w:color w:val="000000"/>
                    </w:rPr>
                    <w:t>g</w:t>
                  </w:r>
                  <w:r>
                    <w:rPr>
                      <w:rFonts w:cs="Georgia"/>
                      <w:color w:val="000000"/>
                      <w:spacing w:val="-1"/>
                    </w:rPr>
                    <w:t>an</w:t>
                  </w:r>
                  <w:r>
                    <w:rPr>
                      <w:rFonts w:cs="Georgia"/>
                      <w:color w:val="000000"/>
                      <w:spacing w:val="-2"/>
                    </w:rPr>
                    <w:t>i</w:t>
                  </w:r>
                  <w:r>
                    <w:rPr>
                      <w:rFonts w:cs="Georgia"/>
                      <w:color w:val="000000"/>
                      <w:spacing w:val="1"/>
                    </w:rPr>
                    <w:t>s</w:t>
                  </w:r>
                  <w:r>
                    <w:rPr>
                      <w:rFonts w:cs="Georgia"/>
                      <w:color w:val="000000"/>
                      <w:spacing w:val="-1"/>
                    </w:rPr>
                    <w:t>é.</w:t>
                  </w:r>
                </w:p>
                <w:p>
                  <w:pPr>
                    <w:widowControl w:val="0"/>
                    <w:tabs>
                      <w:tab w:val="left" w:pos="709"/>
                    </w:tabs>
                    <w:autoSpaceDE w:val="0"/>
                    <w:autoSpaceDN w:val="0"/>
                    <w:adjustRightInd w:val="0"/>
                    <w:spacing w:line="250" w:lineRule="exact"/>
                    <w:ind w:left="1985" w:right="-20"/>
                    <w:jc w:val="both"/>
                    <w:rPr>
                      <w:rFonts w:cs="Georgia"/>
                      <w:color w:val="000000"/>
                    </w:rPr>
                  </w:pPr>
                </w:p>
                <w:p>
                  <w:pPr>
                    <w:widowControl w:val="0"/>
                    <w:tabs>
                      <w:tab w:val="left" w:pos="709"/>
                      <w:tab w:val="left" w:pos="8820"/>
                    </w:tabs>
                    <w:autoSpaceDE w:val="0"/>
                    <w:autoSpaceDN w:val="0"/>
                    <w:adjustRightInd w:val="0"/>
                    <w:spacing w:line="252" w:lineRule="exact"/>
                    <w:ind w:right="45"/>
                    <w:jc w:val="both"/>
                    <w:rPr>
                      <w:rFonts w:cs="Georgia"/>
                      <w:color w:val="000000"/>
                    </w:rPr>
                  </w:pPr>
                  <w:r>
                    <w:rPr>
                      <w:rFonts w:cs="Georgia"/>
                      <w:color w:val="000000"/>
                    </w:rPr>
                    <w:t>Du</w:t>
                  </w:r>
                  <w:r>
                    <w:rPr>
                      <w:rFonts w:cs="Georgia"/>
                      <w:color w:val="000000"/>
                      <w:spacing w:val="1"/>
                    </w:rPr>
                    <w:t>r</w:t>
                  </w:r>
                  <w:r>
                    <w:rPr>
                      <w:rFonts w:cs="Georgia"/>
                      <w:color w:val="000000"/>
                      <w:spacing w:val="-1"/>
                    </w:rPr>
                    <w:t>an</w:t>
                  </w:r>
                  <w:r>
                    <w:rPr>
                      <w:rFonts w:cs="Georgia"/>
                      <w:color w:val="000000"/>
                    </w:rPr>
                    <w:t xml:space="preserve">t </w:t>
                  </w:r>
                  <w:r>
                    <w:rPr>
                      <w:rFonts w:cs="Georgia"/>
                      <w:color w:val="000000"/>
                      <w:spacing w:val="-1"/>
                    </w:rPr>
                    <w:t>l</w:t>
                  </w:r>
                  <w:r>
                    <w:rPr>
                      <w:rFonts w:cs="Georgia"/>
                      <w:color w:val="000000"/>
                    </w:rPr>
                    <w:t>a</w:t>
                  </w:r>
                  <w:r>
                    <w:rPr>
                      <w:rFonts w:cs="Georgia"/>
                      <w:color w:val="000000"/>
                      <w:spacing w:val="-1"/>
                    </w:rPr>
                    <w:t xml:space="preserve"> </w:t>
                  </w:r>
                  <w:r>
                    <w:rPr>
                      <w:rFonts w:cs="Georgia"/>
                      <w:color w:val="000000"/>
                      <w:spacing w:val="1"/>
                    </w:rPr>
                    <w:t>pr</w:t>
                  </w:r>
                  <w:r>
                    <w:rPr>
                      <w:rFonts w:cs="Georgia"/>
                      <w:color w:val="000000"/>
                      <w:spacing w:val="-1"/>
                    </w:rPr>
                    <w:t>e</w:t>
                  </w:r>
                  <w:r>
                    <w:rPr>
                      <w:rFonts w:cs="Georgia"/>
                      <w:color w:val="000000"/>
                      <w:spacing w:val="-3"/>
                    </w:rPr>
                    <w:t>m</w:t>
                  </w:r>
                  <w:r>
                    <w:rPr>
                      <w:rFonts w:cs="Georgia"/>
                      <w:color w:val="000000"/>
                    </w:rPr>
                    <w:t>i</w:t>
                  </w:r>
                  <w:r>
                    <w:rPr>
                      <w:rFonts w:cs="Georgia"/>
                      <w:color w:val="000000"/>
                      <w:spacing w:val="-1"/>
                    </w:rPr>
                    <w:t>è</w:t>
                  </w:r>
                  <w:r>
                    <w:rPr>
                      <w:rFonts w:cs="Georgia"/>
                      <w:color w:val="000000"/>
                      <w:spacing w:val="1"/>
                    </w:rPr>
                    <w:t>r</w:t>
                  </w:r>
                  <w:r>
                    <w:rPr>
                      <w:rFonts w:cs="Georgia"/>
                      <w:color w:val="000000"/>
                    </w:rPr>
                    <w:t>e</w:t>
                  </w:r>
                  <w:r>
                    <w:rPr>
                      <w:rFonts w:cs="Georgia"/>
                      <w:color w:val="000000"/>
                      <w:spacing w:val="-1"/>
                    </w:rPr>
                    <w:t xml:space="preserve"> ann</w:t>
                  </w:r>
                  <w:r>
                    <w:rPr>
                      <w:rFonts w:cs="Georgia"/>
                      <w:color w:val="000000"/>
                      <w:spacing w:val="1"/>
                    </w:rPr>
                    <w:t>é</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pro</w:t>
                  </w:r>
                  <w:r>
                    <w:rPr>
                      <w:rFonts w:cs="Georgia"/>
                      <w:color w:val="000000"/>
                      <w:spacing w:val="-2"/>
                    </w:rPr>
                    <w:t>g</w:t>
                  </w:r>
                  <w:r>
                    <w:rPr>
                      <w:rFonts w:cs="Georgia"/>
                      <w:color w:val="000000"/>
                      <w:spacing w:val="1"/>
                    </w:rPr>
                    <w:t>r</w:t>
                  </w:r>
                  <w:r>
                    <w:rPr>
                      <w:rFonts w:cs="Georgia"/>
                      <w:color w:val="000000"/>
                      <w:spacing w:val="-1"/>
                    </w:rPr>
                    <w:t>a</w:t>
                  </w:r>
                  <w:r>
                    <w:rPr>
                      <w:rFonts w:cs="Georgia"/>
                      <w:color w:val="000000"/>
                    </w:rPr>
                    <w:t>mm</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le</w:t>
                  </w:r>
                  <w:r>
                    <w:rPr>
                      <w:rFonts w:cs="Georgia"/>
                      <w:color w:val="000000"/>
                    </w:rPr>
                    <w:t xml:space="preserve">s </w:t>
                  </w:r>
                  <w:r>
                    <w:rPr>
                      <w:rFonts w:cs="Georgia"/>
                      <w:color w:val="000000"/>
                      <w:spacing w:val="-2"/>
                    </w:rPr>
                    <w:t>r</w:t>
                  </w:r>
                  <w:r>
                    <w:rPr>
                      <w:rFonts w:cs="Georgia"/>
                      <w:color w:val="000000"/>
                      <w:spacing w:val="-1"/>
                    </w:rPr>
                    <w:t>è</w:t>
                  </w:r>
                  <w:r>
                    <w:rPr>
                      <w:rFonts w:cs="Georgia"/>
                      <w:color w:val="000000"/>
                    </w:rPr>
                    <w:t>g</w:t>
                  </w:r>
                  <w:r>
                    <w:rPr>
                      <w:rFonts w:cs="Georgia"/>
                      <w:color w:val="000000"/>
                      <w:spacing w:val="-1"/>
                    </w:rPr>
                    <w:t>le</w:t>
                  </w:r>
                  <w:r>
                    <w:rPr>
                      <w:rFonts w:cs="Georgia"/>
                      <w:color w:val="000000"/>
                    </w:rPr>
                    <w:t>s de</w:t>
                  </w:r>
                  <w:r>
                    <w:rPr>
                      <w:rFonts w:cs="Georgia"/>
                      <w:color w:val="000000"/>
                      <w:spacing w:val="-1"/>
                    </w:rPr>
                    <w:t xml:space="preserve"> </w:t>
                  </w:r>
                  <w:r>
                    <w:rPr>
                      <w:rFonts w:cs="Georgia"/>
                      <w:color w:val="000000"/>
                      <w:spacing w:val="1"/>
                    </w:rPr>
                    <w:t>c</w:t>
                  </w:r>
                  <w:r>
                    <w:rPr>
                      <w:rFonts w:cs="Georgia"/>
                      <w:color w:val="000000"/>
                      <w:spacing w:val="-1"/>
                    </w:rPr>
                    <w:t>al</w:t>
                  </w:r>
                  <w:r>
                    <w:rPr>
                      <w:rFonts w:cs="Georgia"/>
                      <w:color w:val="000000"/>
                      <w:spacing w:val="1"/>
                    </w:rPr>
                    <w:t>c</w:t>
                  </w:r>
                  <w:r>
                    <w:rPr>
                      <w:rFonts w:cs="Georgia"/>
                      <w:color w:val="000000"/>
                    </w:rPr>
                    <w:t>ul</w:t>
                  </w:r>
                  <w:r>
                    <w:rPr>
                      <w:rFonts w:cs="Georgia"/>
                      <w:color w:val="000000"/>
                      <w:spacing w:val="-1"/>
                    </w:rPr>
                    <w:t xml:space="preserve"> </w:t>
                  </w:r>
                  <w:r>
                    <w:rPr>
                      <w:rFonts w:cs="Georgia"/>
                      <w:color w:val="000000"/>
                      <w:spacing w:val="1"/>
                    </w:rPr>
                    <w:t>so</w:t>
                  </w:r>
                  <w:r>
                    <w:rPr>
                      <w:rFonts w:cs="Georgia"/>
                      <w:color w:val="000000"/>
                      <w:spacing w:val="-1"/>
                    </w:rPr>
                    <w:t>n</w:t>
                  </w:r>
                  <w:r>
                    <w:rPr>
                      <w:rFonts w:cs="Georgia"/>
                      <w:color w:val="000000"/>
                    </w:rPr>
                    <w:t>t d</w:t>
                  </w:r>
                  <w:r>
                    <w:rPr>
                      <w:rFonts w:cs="Georgia"/>
                      <w:color w:val="000000"/>
                      <w:spacing w:val="-2"/>
                    </w:rPr>
                    <w:t>i</w:t>
                  </w:r>
                  <w:r>
                    <w:rPr>
                      <w:rFonts w:cs="Georgia"/>
                      <w:color w:val="000000"/>
                    </w:rPr>
                    <w:t>ff</w:t>
                  </w:r>
                  <w:r>
                    <w:rPr>
                      <w:rFonts w:cs="Georgia"/>
                      <w:color w:val="000000"/>
                      <w:spacing w:val="-1"/>
                    </w:rPr>
                    <w:t>é</w:t>
                  </w:r>
                  <w:r>
                    <w:rPr>
                      <w:rFonts w:cs="Georgia"/>
                      <w:color w:val="000000"/>
                      <w:spacing w:val="-2"/>
                    </w:rPr>
                    <w:t>r</w:t>
                  </w:r>
                  <w:r>
                    <w:rPr>
                      <w:rFonts w:cs="Georgia"/>
                      <w:color w:val="000000"/>
                      <w:spacing w:val="-1"/>
                    </w:rPr>
                    <w:t>en</w:t>
                  </w:r>
                  <w:r>
                    <w:rPr>
                      <w:rFonts w:cs="Georgia"/>
                      <w:color w:val="000000"/>
                      <w:spacing w:val="1"/>
                    </w:rPr>
                    <w:t>t</w:t>
                  </w:r>
                  <w:r>
                    <w:rPr>
                      <w:rFonts w:cs="Georgia"/>
                      <w:color w:val="000000"/>
                      <w:spacing w:val="-1"/>
                    </w:rPr>
                    <w:t>e</w:t>
                  </w:r>
                  <w:r>
                    <w:rPr>
                      <w:rFonts w:cs="Georgia"/>
                      <w:color w:val="000000"/>
                    </w:rPr>
                    <w:t xml:space="preserve">s </w:t>
                  </w:r>
                  <w:r>
                    <w:rPr>
                      <w:rFonts w:cs="Georgia"/>
                      <w:color w:val="000000"/>
                      <w:spacing w:val="1"/>
                    </w:rPr>
                    <w:t>(</w:t>
                  </w:r>
                  <w:hyperlink w:anchor="_Chapitre_2_:" w:history="1">
                    <w:r>
                      <w:rPr>
                        <w:rStyle w:val="Lienhypertexte"/>
                        <w:rFonts w:cs="Georgia"/>
                      </w:rPr>
                      <w:t>c</w:t>
                    </w:r>
                    <w:r>
                      <w:rPr>
                        <w:rStyle w:val="Lienhypertexte"/>
                        <w:rFonts w:cs="Georgia"/>
                        <w:spacing w:val="1"/>
                      </w:rPr>
                      <w:t>h</w:t>
                    </w:r>
                    <w:r>
                      <w:rPr>
                        <w:rStyle w:val="Lienhypertexte"/>
                        <w:rFonts w:cs="Georgia"/>
                        <w:spacing w:val="-3"/>
                      </w:rPr>
                      <w:t>a</w:t>
                    </w:r>
                    <w:r>
                      <w:rPr>
                        <w:rStyle w:val="Lienhypertexte"/>
                        <w:rFonts w:cs="Georgia"/>
                        <w:spacing w:val="1"/>
                      </w:rPr>
                      <w:t>p</w:t>
                    </w:r>
                    <w:r>
                      <w:rPr>
                        <w:rStyle w:val="Lienhypertexte"/>
                        <w:rFonts w:cs="Georgia"/>
                      </w:rPr>
                      <w:t>i</w:t>
                    </w:r>
                    <w:r>
                      <w:rPr>
                        <w:rStyle w:val="Lienhypertexte"/>
                        <w:rFonts w:cs="Georgia"/>
                        <w:spacing w:val="-2"/>
                      </w:rPr>
                      <w:t>t</w:t>
                    </w:r>
                    <w:r>
                      <w:rPr>
                        <w:rStyle w:val="Lienhypertexte"/>
                        <w:rFonts w:cs="Georgia"/>
                        <w:spacing w:val="1"/>
                      </w:rPr>
                      <w:t>r</w:t>
                    </w:r>
                    <w:r>
                      <w:rPr>
                        <w:rStyle w:val="Lienhypertexte"/>
                        <w:rFonts w:cs="Georgia"/>
                      </w:rPr>
                      <w:t>e</w:t>
                    </w:r>
                    <w:r>
                      <w:rPr>
                        <w:rStyle w:val="Lienhypertexte"/>
                        <w:rFonts w:cs="Georgia"/>
                        <w:spacing w:val="-1"/>
                      </w:rPr>
                      <w:t xml:space="preserve"> </w:t>
                    </w:r>
                    <w:r>
                      <w:rPr>
                        <w:rStyle w:val="Lienhypertexte"/>
                        <w:rFonts w:cs="Georgia"/>
                        <w:spacing w:val="1"/>
                      </w:rPr>
                      <w:t>2</w:t>
                    </w:r>
                  </w:hyperlink>
                  <w:r>
                    <w:rPr>
                      <w:rFonts w:cs="Georgia"/>
                      <w:spacing w:val="1"/>
                    </w:rPr>
                    <w:t>,</w:t>
                  </w:r>
                  <w:r>
                    <w:rPr>
                      <w:rFonts w:cs="Georgia"/>
                      <w:spacing w:val="-4"/>
                    </w:rPr>
                    <w:t xml:space="preserve"> </w:t>
                  </w:r>
                  <w:hyperlink w:anchor="_6._Calcul_des" w:history="1">
                    <w:r>
                      <w:rPr>
                        <w:rStyle w:val="Lienhypertexte"/>
                        <w:rFonts w:cs="Georgia"/>
                        <w:spacing w:val="1"/>
                      </w:rPr>
                      <w:t>point 6</w:t>
                    </w:r>
                  </w:hyperlink>
                  <w:r>
                    <w:rPr>
                      <w:rStyle w:val="Lienhypertexte"/>
                      <w:rFonts w:cs="Georgia"/>
                      <w:spacing w:val="1"/>
                    </w:rPr>
                    <w:t xml:space="preserve"> </w:t>
                  </w:r>
                  <w:r>
                    <w:rPr>
                      <w:rFonts w:cs="Georgia"/>
                      <w:color w:val="000000"/>
                      <w:position w:val="-1"/>
                    </w:rPr>
                    <w:t>de</w:t>
                  </w:r>
                  <w:r>
                    <w:rPr>
                      <w:rFonts w:cs="Georgia"/>
                      <w:color w:val="000000"/>
                      <w:spacing w:val="-1"/>
                      <w:position w:val="-1"/>
                    </w:rPr>
                    <w:t xml:space="preserve"> l</w:t>
                  </w:r>
                  <w:r>
                    <w:rPr>
                      <w:rFonts w:cs="Georgia"/>
                      <w:color w:val="000000"/>
                      <w:position w:val="-1"/>
                    </w:rPr>
                    <w:t>a</w:t>
                  </w:r>
                  <w:r>
                    <w:rPr>
                      <w:rFonts w:cs="Georgia"/>
                      <w:color w:val="000000"/>
                      <w:spacing w:val="-1"/>
                      <w:position w:val="-1"/>
                    </w:rPr>
                    <w:t xml:space="preserve"> </w:t>
                  </w:r>
                  <w:r>
                    <w:rPr>
                      <w:rFonts w:cs="Georgia"/>
                      <w:color w:val="000000"/>
                      <w:spacing w:val="1"/>
                      <w:position w:val="-1"/>
                    </w:rPr>
                    <w:t>pr</w:t>
                  </w:r>
                  <w:r>
                    <w:rPr>
                      <w:rFonts w:cs="Georgia"/>
                      <w:color w:val="000000"/>
                      <w:spacing w:val="-1"/>
                      <w:position w:val="-1"/>
                    </w:rPr>
                    <w:t>é</w:t>
                  </w:r>
                  <w:r>
                    <w:rPr>
                      <w:rFonts w:cs="Georgia"/>
                      <w:color w:val="000000"/>
                      <w:spacing w:val="1"/>
                      <w:position w:val="-1"/>
                    </w:rPr>
                    <w:t>s</w:t>
                  </w:r>
                  <w:r>
                    <w:rPr>
                      <w:rFonts w:cs="Georgia"/>
                      <w:color w:val="000000"/>
                      <w:spacing w:val="-1"/>
                      <w:position w:val="-1"/>
                    </w:rPr>
                    <w:t>en</w:t>
                  </w:r>
                  <w:r>
                    <w:rPr>
                      <w:rFonts w:cs="Georgia"/>
                      <w:color w:val="000000"/>
                      <w:spacing w:val="1"/>
                      <w:position w:val="-1"/>
                    </w:rPr>
                    <w:t>t</w:t>
                  </w:r>
                  <w:r>
                    <w:rPr>
                      <w:rFonts w:cs="Georgia"/>
                      <w:color w:val="000000"/>
                      <w:position w:val="-1"/>
                    </w:rPr>
                    <w:t>e</w:t>
                  </w:r>
                  <w:r>
                    <w:rPr>
                      <w:rFonts w:cs="Georgia"/>
                      <w:color w:val="000000"/>
                      <w:spacing w:val="-1"/>
                      <w:position w:val="-1"/>
                    </w:rPr>
                    <w:t xml:space="preserve"> </w:t>
                  </w:r>
                  <w:r>
                    <w:rPr>
                      <w:rFonts w:cs="Georgia"/>
                      <w:color w:val="000000"/>
                      <w:spacing w:val="1"/>
                      <w:position w:val="-1"/>
                    </w:rPr>
                    <w:t>c</w:t>
                  </w:r>
                  <w:r>
                    <w:rPr>
                      <w:rFonts w:cs="Georgia"/>
                      <w:color w:val="000000"/>
                      <w:position w:val="-1"/>
                    </w:rPr>
                    <w:t>i</w:t>
                  </w:r>
                  <w:r>
                    <w:rPr>
                      <w:rFonts w:cs="Georgia"/>
                      <w:color w:val="000000"/>
                      <w:spacing w:val="-2"/>
                      <w:position w:val="-1"/>
                    </w:rPr>
                    <w:t>r</w:t>
                  </w:r>
                  <w:r>
                    <w:rPr>
                      <w:rFonts w:cs="Georgia"/>
                      <w:color w:val="000000"/>
                      <w:spacing w:val="1"/>
                      <w:position w:val="-1"/>
                    </w:rPr>
                    <w:t>c</w:t>
                  </w:r>
                  <w:r>
                    <w:rPr>
                      <w:rFonts w:cs="Georgia"/>
                      <w:color w:val="000000"/>
                      <w:position w:val="-1"/>
                    </w:rPr>
                    <w:t>u</w:t>
                  </w:r>
                  <w:r>
                    <w:rPr>
                      <w:rFonts w:cs="Georgia"/>
                      <w:color w:val="000000"/>
                      <w:spacing w:val="-1"/>
                      <w:position w:val="-1"/>
                    </w:rPr>
                    <w:t>la</w:t>
                  </w:r>
                  <w:r>
                    <w:rPr>
                      <w:rFonts w:cs="Georgia"/>
                      <w:color w:val="000000"/>
                      <w:position w:val="-1"/>
                    </w:rPr>
                    <w:t>i</w:t>
                  </w:r>
                  <w:r>
                    <w:rPr>
                      <w:rFonts w:cs="Georgia"/>
                      <w:color w:val="000000"/>
                      <w:spacing w:val="-2"/>
                      <w:position w:val="-1"/>
                    </w:rPr>
                    <w:t>r</w:t>
                  </w:r>
                  <w:r>
                    <w:rPr>
                      <w:rFonts w:cs="Georgia"/>
                      <w:color w:val="000000"/>
                      <w:spacing w:val="-1"/>
                      <w:position w:val="-1"/>
                    </w:rPr>
                    <w:t>e).</w:t>
                  </w:r>
                </w:p>
                <w:p>
                  <w:pPr>
                    <w:widowControl w:val="0"/>
                    <w:autoSpaceDE w:val="0"/>
                    <w:autoSpaceDN w:val="0"/>
                    <w:adjustRightInd w:val="0"/>
                    <w:spacing w:before="18" w:line="200" w:lineRule="exact"/>
                    <w:jc w:val="both"/>
                    <w:rPr>
                      <w:rFonts w:cs="Georgia"/>
                      <w:color w:val="000000"/>
                    </w:rPr>
                  </w:pPr>
                </w:p>
                <w:p>
                  <w:pPr>
                    <w:widowControl w:val="0"/>
                    <w:autoSpaceDE w:val="0"/>
                    <w:autoSpaceDN w:val="0"/>
                    <w:adjustRightInd w:val="0"/>
                    <w:spacing w:before="38" w:line="250" w:lineRule="exact"/>
                    <w:ind w:right="46"/>
                    <w:jc w:val="both"/>
                    <w:rPr>
                      <w:rFonts w:cs="Georgia"/>
                      <w:color w:val="000000"/>
                    </w:rPr>
                  </w:pPr>
                  <w:r>
                    <w:rPr>
                      <w:rFonts w:cs="Georgia"/>
                      <w:color w:val="000000"/>
                    </w:rPr>
                    <w:t>En</w:t>
                  </w:r>
                  <w:r>
                    <w:rPr>
                      <w:rFonts w:cs="Georgia"/>
                      <w:color w:val="000000"/>
                      <w:spacing w:val="1"/>
                    </w:rPr>
                    <w:t xml:space="preserve"> c</w:t>
                  </w:r>
                  <w:r>
                    <w:rPr>
                      <w:rFonts w:cs="Georgia"/>
                      <w:color w:val="000000"/>
                    </w:rPr>
                    <w:t>e</w:t>
                  </w:r>
                  <w:r>
                    <w:rPr>
                      <w:rFonts w:cs="Georgia"/>
                      <w:color w:val="000000"/>
                      <w:spacing w:val="1"/>
                    </w:rPr>
                    <w:t xml:space="preserve"> </w:t>
                  </w:r>
                  <w:r>
                    <w:rPr>
                      <w:rFonts w:cs="Georgia"/>
                      <w:color w:val="000000"/>
                      <w:spacing w:val="-1"/>
                    </w:rPr>
                    <w:t>q</w:t>
                  </w:r>
                  <w:r>
                    <w:rPr>
                      <w:rFonts w:cs="Georgia"/>
                      <w:color w:val="000000"/>
                    </w:rPr>
                    <w:t>ui</w:t>
                  </w:r>
                  <w:r>
                    <w:rPr>
                      <w:rFonts w:cs="Georgia"/>
                      <w:color w:val="000000"/>
                      <w:spacing w:val="2"/>
                    </w:rPr>
                    <w:t xml:space="preserve"> </w:t>
                  </w:r>
                  <w:r>
                    <w:rPr>
                      <w:rFonts w:cs="Georgia"/>
                      <w:color w:val="000000"/>
                      <w:spacing w:val="1"/>
                    </w:rPr>
                    <w:t>co</w:t>
                  </w:r>
                  <w:r>
                    <w:rPr>
                      <w:rFonts w:cs="Georgia"/>
                      <w:color w:val="000000"/>
                      <w:spacing w:val="-1"/>
                    </w:rPr>
                    <w:t>n</w:t>
                  </w:r>
                  <w:r>
                    <w:rPr>
                      <w:rFonts w:cs="Georgia"/>
                      <w:color w:val="000000"/>
                      <w:spacing w:val="1"/>
                    </w:rPr>
                    <w:t>c</w:t>
                  </w:r>
                  <w:r>
                    <w:rPr>
                      <w:rFonts w:cs="Georgia"/>
                      <w:color w:val="000000"/>
                      <w:spacing w:val="-1"/>
                    </w:rPr>
                    <w:t>e</w:t>
                  </w:r>
                  <w:r>
                    <w:rPr>
                      <w:rFonts w:cs="Georgia"/>
                      <w:color w:val="000000"/>
                      <w:spacing w:val="1"/>
                    </w:rPr>
                    <w:t>r</w:t>
                  </w:r>
                  <w:r>
                    <w:rPr>
                      <w:rFonts w:cs="Georgia"/>
                      <w:color w:val="000000"/>
                      <w:spacing w:val="-1"/>
                    </w:rPr>
                    <w:t>n</w:t>
                  </w:r>
                  <w:r>
                    <w:rPr>
                      <w:rFonts w:cs="Georgia"/>
                      <w:color w:val="000000"/>
                    </w:rPr>
                    <w:t>e</w:t>
                  </w:r>
                  <w:r>
                    <w:rPr>
                      <w:rFonts w:cs="Georgia"/>
                      <w:color w:val="000000"/>
                      <w:spacing w:val="1"/>
                    </w:rPr>
                    <w:t xml:space="preserve"> </w:t>
                  </w:r>
                  <w:r>
                    <w:rPr>
                      <w:rFonts w:cs="Georgia"/>
                      <w:color w:val="000000"/>
                      <w:spacing w:val="-1"/>
                    </w:rPr>
                    <w:t>l</w:t>
                  </w:r>
                  <w:r>
                    <w:rPr>
                      <w:rFonts w:cs="Georgia"/>
                      <w:color w:val="000000"/>
                      <w:spacing w:val="1"/>
                    </w:rPr>
                    <w:t>'</w:t>
                  </w:r>
                  <w:r>
                    <w:rPr>
                      <w:rFonts w:cs="Georgia"/>
                      <w:color w:val="000000"/>
                      <w:spacing w:val="-1"/>
                    </w:rPr>
                    <w:t>o</w:t>
                  </w:r>
                  <w:r>
                    <w:rPr>
                      <w:rFonts w:cs="Georgia"/>
                      <w:color w:val="000000"/>
                      <w:spacing w:val="-2"/>
                    </w:rPr>
                    <w:t>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w:t>
                  </w:r>
                  <w:r>
                    <w:rPr>
                      <w:rFonts w:cs="Georgia"/>
                      <w:color w:val="000000"/>
                      <w:spacing w:val="-3"/>
                    </w:rPr>
                    <w:t>e</w:t>
                  </w:r>
                  <w:r>
                    <w:rPr>
                      <w:rFonts w:cs="Georgia"/>
                      <w:color w:val="000000"/>
                    </w:rPr>
                    <w:t>s</w:t>
                  </w:r>
                  <w:r>
                    <w:rPr>
                      <w:rFonts w:cs="Georgia"/>
                      <w:color w:val="000000"/>
                      <w:spacing w:val="3"/>
                    </w:rPr>
                    <w:t xml:space="preserve"> </w:t>
                  </w:r>
                  <w:r>
                    <w:rPr>
                      <w:rFonts w:cs="Georgia"/>
                      <w:color w:val="000000"/>
                    </w:rPr>
                    <w:t>g</w:t>
                  </w:r>
                  <w:r>
                    <w:rPr>
                      <w:rFonts w:cs="Georgia"/>
                      <w:color w:val="000000"/>
                      <w:spacing w:val="-2"/>
                    </w:rPr>
                    <w:t>r</w:t>
                  </w:r>
                  <w:r>
                    <w:rPr>
                      <w:rFonts w:cs="Georgia"/>
                      <w:color w:val="000000"/>
                      <w:spacing w:val="1"/>
                    </w:rPr>
                    <w:t>o</w:t>
                  </w:r>
                  <w:r>
                    <w:rPr>
                      <w:rFonts w:cs="Georgia"/>
                      <w:color w:val="000000"/>
                      <w:spacing w:val="-2"/>
                    </w:rPr>
                    <w:t>u</w:t>
                  </w:r>
                  <w:r>
                    <w:rPr>
                      <w:rFonts w:cs="Georgia"/>
                      <w:color w:val="000000"/>
                      <w:spacing w:val="1"/>
                    </w:rPr>
                    <w:t>p</w:t>
                  </w:r>
                  <w:r>
                    <w:rPr>
                      <w:rFonts w:cs="Georgia"/>
                      <w:color w:val="000000"/>
                      <w:spacing w:val="-1"/>
                    </w:rPr>
                    <w:t>e</w:t>
                  </w:r>
                  <w:r>
                    <w:rPr>
                      <w:rFonts w:cs="Georgia"/>
                      <w:color w:val="000000"/>
                    </w:rPr>
                    <w:t xml:space="preserve">s </w:t>
                  </w:r>
                  <w:r>
                    <w:rPr>
                      <w:rFonts w:cs="Georgia"/>
                      <w:color w:val="000000"/>
                      <w:spacing w:val="1"/>
                    </w:rPr>
                    <w:t>(</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2"/>
                    </w:rPr>
                    <w:t>c</w:t>
                  </w:r>
                  <w:r>
                    <w:rPr>
                      <w:rFonts w:cs="Georgia"/>
                      <w:color w:val="000000"/>
                      <w:spacing w:val="1"/>
                    </w:rPr>
                    <w:t>o</w:t>
                  </w:r>
                  <w:r>
                    <w:rPr>
                      <w:rFonts w:cs="Georgia"/>
                      <w:color w:val="000000"/>
                      <w:spacing w:val="-2"/>
                    </w:rPr>
                    <w:t>u</w:t>
                  </w:r>
                  <w:r>
                    <w:rPr>
                      <w:rFonts w:cs="Georgia"/>
                      <w:color w:val="000000"/>
                      <w:spacing w:val="1"/>
                    </w:rPr>
                    <w:t>r</w:t>
                  </w:r>
                  <w:r>
                    <w:rPr>
                      <w:rFonts w:cs="Georgia"/>
                      <w:color w:val="000000"/>
                    </w:rPr>
                    <w:t xml:space="preserve">s </w:t>
                  </w:r>
                  <w:r>
                    <w:rPr>
                      <w:rFonts w:cs="Georgia"/>
                      <w:color w:val="000000"/>
                      <w:spacing w:val="1"/>
                    </w:rPr>
                    <w:t>ph</w:t>
                  </w:r>
                  <w:r>
                    <w:rPr>
                      <w:rFonts w:cs="Georgia"/>
                      <w:color w:val="000000"/>
                    </w:rPr>
                    <w:t>i</w:t>
                  </w:r>
                  <w:r>
                    <w:rPr>
                      <w:rFonts w:cs="Georgia"/>
                      <w:color w:val="000000"/>
                      <w:spacing w:val="-3"/>
                    </w:rPr>
                    <w:t>l</w:t>
                  </w:r>
                  <w:r>
                    <w:rPr>
                      <w:rFonts w:cs="Georgia"/>
                      <w:color w:val="000000"/>
                      <w:spacing w:val="1"/>
                    </w:rPr>
                    <w:t>o</w:t>
                  </w:r>
                  <w:r>
                    <w:rPr>
                      <w:rFonts w:cs="Georgia"/>
                      <w:color w:val="000000"/>
                      <w:spacing w:val="-2"/>
                    </w:rPr>
                    <w:t>s</w:t>
                  </w:r>
                  <w:r>
                    <w:rPr>
                      <w:rFonts w:cs="Georgia"/>
                      <w:color w:val="000000"/>
                      <w:spacing w:val="1"/>
                    </w:rPr>
                    <w:t>o</w:t>
                  </w:r>
                  <w:r>
                    <w:rPr>
                      <w:rFonts w:cs="Georgia"/>
                      <w:color w:val="000000"/>
                      <w:spacing w:val="-1"/>
                    </w:rPr>
                    <w:t>p</w:t>
                  </w:r>
                  <w:r>
                    <w:rPr>
                      <w:rFonts w:cs="Georgia"/>
                      <w:color w:val="000000"/>
                      <w:spacing w:val="1"/>
                    </w:rPr>
                    <w:t>h</w:t>
                  </w:r>
                  <w:r>
                    <w:rPr>
                      <w:rFonts w:cs="Georgia"/>
                      <w:color w:val="000000"/>
                    </w:rPr>
                    <w:t>i</w:t>
                  </w:r>
                  <w:r>
                    <w:rPr>
                      <w:rFonts w:cs="Georgia"/>
                      <w:color w:val="000000"/>
                      <w:spacing w:val="-1"/>
                    </w:rPr>
                    <w:t>q</w:t>
                  </w:r>
                  <w:r>
                    <w:rPr>
                      <w:rFonts w:cs="Georgia"/>
                      <w:color w:val="000000"/>
                      <w:spacing w:val="-2"/>
                    </w:rPr>
                    <w:t>u</w:t>
                  </w:r>
                  <w:r>
                    <w:rPr>
                      <w:rFonts w:cs="Georgia"/>
                      <w:color w:val="000000"/>
                      <w:spacing w:val="-1"/>
                    </w:rPr>
                    <w:t>e</w:t>
                  </w:r>
                  <w:r>
                    <w:rPr>
                      <w:rFonts w:cs="Georgia"/>
                      <w:color w:val="000000"/>
                      <w:spacing w:val="1"/>
                    </w:rPr>
                    <w:t>s</w:t>
                  </w:r>
                  <w:r>
                    <w:rPr>
                      <w:rFonts w:cs="Georgia"/>
                      <w:color w:val="000000"/>
                    </w:rPr>
                    <w:t>,</w:t>
                  </w:r>
                  <w:r>
                    <w:rPr>
                      <w:rFonts w:cs="Georgia"/>
                      <w:color w:val="000000"/>
                      <w:spacing w:val="3"/>
                    </w:rPr>
                    <w:t xml:space="preserve"> </w:t>
                  </w:r>
                  <w:r>
                    <w:rPr>
                      <w:rFonts w:cs="Georgia"/>
                      <w:color w:val="000000"/>
                    </w:rPr>
                    <w:t>de</w:t>
                  </w:r>
                  <w:r>
                    <w:rPr>
                      <w:rFonts w:cs="Georgia"/>
                      <w:color w:val="000000"/>
                      <w:spacing w:val="1"/>
                    </w:rPr>
                    <w:t xml:space="preserve"> tr</w:t>
                  </w:r>
                  <w:r>
                    <w:rPr>
                      <w:rFonts w:cs="Georgia"/>
                      <w:color w:val="000000"/>
                      <w:spacing w:val="-1"/>
                    </w:rPr>
                    <w:t>a</w:t>
                  </w:r>
                  <w:r>
                    <w:rPr>
                      <w:rFonts w:cs="Georgia"/>
                      <w:color w:val="000000"/>
                      <w:spacing w:val="1"/>
                    </w:rPr>
                    <w:t>v</w:t>
                  </w:r>
                  <w:r>
                    <w:rPr>
                      <w:rFonts w:cs="Georgia"/>
                      <w:color w:val="000000"/>
                      <w:spacing w:val="-1"/>
                    </w:rPr>
                    <w:t>a</w:t>
                  </w:r>
                  <w:r>
                    <w:rPr>
                      <w:rFonts w:cs="Georgia"/>
                      <w:color w:val="000000"/>
                    </w:rPr>
                    <w:t>ux</w:t>
                  </w:r>
                  <w:r>
                    <w:rPr>
                      <w:rFonts w:cs="Georgia"/>
                      <w:color w:val="000000"/>
                      <w:spacing w:val="1"/>
                    </w:rPr>
                    <w:t xml:space="preserve"> </w:t>
                  </w:r>
                  <w:r>
                    <w:rPr>
                      <w:rFonts w:cs="Georgia"/>
                      <w:color w:val="000000"/>
                    </w:rPr>
                    <w:t>m</w:t>
                  </w:r>
                  <w:r>
                    <w:rPr>
                      <w:rFonts w:cs="Georgia"/>
                      <w:color w:val="000000"/>
                      <w:spacing w:val="-1"/>
                    </w:rPr>
                    <w:t>an</w:t>
                  </w:r>
                  <w:r>
                    <w:rPr>
                      <w:rFonts w:cs="Georgia"/>
                      <w:color w:val="000000"/>
                    </w:rPr>
                    <w:t>u</w:t>
                  </w:r>
                  <w:r>
                    <w:rPr>
                      <w:rFonts w:cs="Georgia"/>
                      <w:color w:val="000000"/>
                      <w:spacing w:val="-1"/>
                    </w:rPr>
                    <w:t>el</w:t>
                  </w:r>
                  <w:r>
                    <w:rPr>
                      <w:rFonts w:cs="Georgia"/>
                      <w:color w:val="000000"/>
                      <w:spacing w:val="1"/>
                    </w:rPr>
                    <w:t xml:space="preserve">s, </w:t>
                  </w:r>
                  <w:r>
                    <w:rPr>
                      <w:rFonts w:cs="Georgia"/>
                      <w:color w:val="000000"/>
                    </w:rPr>
                    <w:t>d’</w:t>
                  </w:r>
                  <w:r>
                    <w:rPr>
                      <w:rFonts w:cs="Georgia"/>
                      <w:color w:val="000000"/>
                      <w:spacing w:val="-1"/>
                    </w:rPr>
                    <w:t>é</w:t>
                  </w:r>
                  <w:r>
                    <w:rPr>
                      <w:rFonts w:cs="Georgia"/>
                      <w:color w:val="000000"/>
                    </w:rPr>
                    <w:t>du</w:t>
                  </w:r>
                  <w:r>
                    <w:rPr>
                      <w:rFonts w:cs="Georgia"/>
                      <w:color w:val="000000"/>
                      <w:spacing w:val="1"/>
                    </w:rPr>
                    <w:t>c</w:t>
                  </w:r>
                  <w:r>
                    <w:rPr>
                      <w:rFonts w:cs="Georgia"/>
                      <w:color w:val="000000"/>
                      <w:spacing w:val="-1"/>
                    </w:rPr>
                    <w:t>a</w:t>
                  </w:r>
                  <w:r>
                    <w:rPr>
                      <w:rFonts w:cs="Georgia"/>
                      <w:color w:val="000000"/>
                      <w:spacing w:val="-2"/>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ph</w:t>
                  </w:r>
                  <w:r>
                    <w:rPr>
                      <w:rFonts w:cs="Georgia"/>
                      <w:color w:val="000000"/>
                      <w:spacing w:val="-3"/>
                    </w:rPr>
                    <w:t>y</w:t>
                  </w:r>
                  <w:r>
                    <w:rPr>
                      <w:rFonts w:cs="Georgia"/>
                      <w:color w:val="000000"/>
                      <w:spacing w:val="1"/>
                    </w:rPr>
                    <w:t>s</w:t>
                  </w:r>
                  <w:r>
                    <w:rPr>
                      <w:rFonts w:cs="Georgia"/>
                      <w:color w:val="000000"/>
                    </w:rPr>
                    <w:t>i</w:t>
                  </w:r>
                  <w:r>
                    <w:rPr>
                      <w:rFonts w:cs="Georgia"/>
                      <w:color w:val="000000"/>
                      <w:spacing w:val="-1"/>
                    </w:rPr>
                    <w:t>q</w:t>
                  </w:r>
                  <w:r>
                    <w:rPr>
                      <w:rFonts w:cs="Georgia"/>
                      <w:color w:val="000000"/>
                    </w:rPr>
                    <w:t>u</w:t>
                  </w:r>
                  <w:r>
                    <w:rPr>
                      <w:rFonts w:cs="Georgia"/>
                      <w:color w:val="000000"/>
                      <w:spacing w:val="-1"/>
                    </w:rPr>
                    <w:t>e</w:t>
                  </w:r>
                  <w:r>
                    <w:rPr>
                      <w:rFonts w:cs="Georgia"/>
                      <w:color w:val="000000"/>
                    </w:rPr>
                    <w:t>,</w:t>
                  </w:r>
                  <w:r>
                    <w:rPr>
                      <w:rFonts w:cs="Georgia"/>
                      <w:color w:val="000000"/>
                      <w:spacing w:val="4"/>
                    </w:rPr>
                    <w:t xml:space="preserve"> </w:t>
                  </w:r>
                  <w:r>
                    <w:rPr>
                      <w:rFonts w:cs="Georgia"/>
                      <w:color w:val="000000"/>
                      <w:spacing w:val="-1"/>
                    </w:rPr>
                    <w:t>e</w:t>
                  </w:r>
                  <w:r>
                    <w:rPr>
                      <w:rFonts w:cs="Georgia"/>
                      <w:color w:val="000000"/>
                      <w:spacing w:val="-2"/>
                    </w:rPr>
                    <w:t>t</w:t>
                  </w:r>
                  <w:r>
                    <w:rPr>
                      <w:rFonts w:cs="Georgia"/>
                      <w:color w:val="000000"/>
                      <w:spacing w:val="1"/>
                    </w:rPr>
                    <w:t>c</w:t>
                  </w:r>
                  <w:r>
                    <w:rPr>
                      <w:rFonts w:cs="Georgia"/>
                      <w:color w:val="000000"/>
                    </w:rPr>
                    <w:t>.</w:t>
                  </w:r>
                  <w:r>
                    <w:rPr>
                      <w:rFonts w:cs="Georgia"/>
                      <w:color w:val="000000"/>
                      <w:spacing w:val="-1"/>
                    </w:rPr>
                    <w:t>) </w:t>
                  </w:r>
                  <w:r>
                    <w:rPr>
                      <w:rFonts w:cs="Georgia"/>
                      <w:b/>
                      <w:color w:val="000000"/>
                      <w:spacing w:val="-1"/>
                      <w:u w:val="single"/>
                    </w:rPr>
                    <w:t>un</w:t>
                  </w:r>
                  <w:r>
                    <w:rPr>
                      <w:rFonts w:cs="Georgia"/>
                      <w:b/>
                      <w:color w:val="000000"/>
                      <w:spacing w:val="2"/>
                      <w:u w:val="single"/>
                    </w:rPr>
                    <w:t xml:space="preserve"> </w:t>
                  </w:r>
                  <w:r>
                    <w:rPr>
                      <w:rFonts w:cs="Georgia"/>
                      <w:b/>
                      <w:color w:val="000000"/>
                      <w:spacing w:val="1"/>
                      <w:u w:val="single"/>
                    </w:rPr>
                    <w:t>c</w:t>
                  </w:r>
                  <w:r>
                    <w:rPr>
                      <w:rFonts w:cs="Georgia"/>
                      <w:b/>
                      <w:color w:val="000000"/>
                      <w:spacing w:val="-1"/>
                      <w:u w:val="single"/>
                    </w:rPr>
                    <w:t>al</w:t>
                  </w:r>
                  <w:r>
                    <w:rPr>
                      <w:rFonts w:cs="Georgia"/>
                      <w:b/>
                      <w:color w:val="000000"/>
                      <w:spacing w:val="1"/>
                      <w:u w:val="single"/>
                    </w:rPr>
                    <w:t>c</w:t>
                  </w:r>
                  <w:r>
                    <w:rPr>
                      <w:rFonts w:cs="Georgia"/>
                      <w:b/>
                      <w:color w:val="000000"/>
                      <w:u w:val="single"/>
                    </w:rPr>
                    <w:t>ul</w:t>
                  </w:r>
                  <w:r>
                    <w:rPr>
                      <w:rFonts w:cs="Georgia"/>
                      <w:b/>
                      <w:color w:val="000000"/>
                      <w:spacing w:val="3"/>
                      <w:u w:val="single"/>
                    </w:rPr>
                    <w:t xml:space="preserve"> </w:t>
                  </w:r>
                  <w:r>
                    <w:rPr>
                      <w:rFonts w:cs="Georgia"/>
                      <w:b/>
                      <w:color w:val="000000"/>
                      <w:spacing w:val="1"/>
                      <w:u w:val="single"/>
                    </w:rPr>
                    <w:t>s</w:t>
                  </w:r>
                  <w:r>
                    <w:rPr>
                      <w:rFonts w:cs="Georgia"/>
                      <w:b/>
                      <w:color w:val="000000"/>
                      <w:spacing w:val="-1"/>
                      <w:u w:val="single"/>
                    </w:rPr>
                    <w:t>e</w:t>
                  </w:r>
                  <w:r>
                    <w:rPr>
                      <w:rFonts w:cs="Georgia"/>
                      <w:b/>
                      <w:color w:val="000000"/>
                      <w:spacing w:val="1"/>
                      <w:u w:val="single"/>
                    </w:rPr>
                    <w:t>r</w:t>
                  </w:r>
                  <w:r>
                    <w:rPr>
                      <w:rFonts w:cs="Georgia"/>
                      <w:b/>
                      <w:color w:val="000000"/>
                      <w:u w:val="single"/>
                    </w:rPr>
                    <w:t>a</w:t>
                  </w:r>
                  <w:r>
                    <w:rPr>
                      <w:rFonts w:cs="Georgia"/>
                      <w:b/>
                      <w:color w:val="000000"/>
                      <w:spacing w:val="2"/>
                      <w:u w:val="single"/>
                    </w:rPr>
                    <w:t xml:space="preserve"> aussi </w:t>
                  </w:r>
                  <w:r>
                    <w:rPr>
                      <w:rFonts w:cs="Georgia"/>
                      <w:b/>
                      <w:color w:val="000000"/>
                      <w:spacing w:val="-1"/>
                      <w:u w:val="single"/>
                    </w:rPr>
                    <w:t>e</w:t>
                  </w:r>
                  <w:r>
                    <w:rPr>
                      <w:rFonts w:cs="Georgia"/>
                      <w:b/>
                      <w:color w:val="000000"/>
                      <w:spacing w:val="-2"/>
                      <w:u w:val="single"/>
                    </w:rPr>
                    <w:t>f</w:t>
                  </w:r>
                  <w:r>
                    <w:rPr>
                      <w:rFonts w:cs="Georgia"/>
                      <w:b/>
                      <w:color w:val="000000"/>
                      <w:u w:val="single"/>
                    </w:rPr>
                    <w:t>f</w:t>
                  </w:r>
                  <w:r>
                    <w:rPr>
                      <w:rFonts w:cs="Georgia"/>
                      <w:b/>
                      <w:color w:val="000000"/>
                      <w:spacing w:val="-1"/>
                      <w:u w:val="single"/>
                    </w:rPr>
                    <w:t>e</w:t>
                  </w:r>
                  <w:r>
                    <w:rPr>
                      <w:rFonts w:cs="Georgia"/>
                      <w:b/>
                      <w:color w:val="000000"/>
                      <w:spacing w:val="1"/>
                      <w:u w:val="single"/>
                    </w:rPr>
                    <w:t>ct</w:t>
                  </w:r>
                  <w:r>
                    <w:rPr>
                      <w:rFonts w:cs="Georgia"/>
                      <w:b/>
                      <w:color w:val="000000"/>
                      <w:u w:val="single"/>
                    </w:rPr>
                    <w:t>ué obligatoirement</w:t>
                  </w:r>
                  <w:r>
                    <w:rPr>
                      <w:rFonts w:cs="Georgia"/>
                      <w:b/>
                      <w:color w:val="000000"/>
                      <w:spacing w:val="9"/>
                      <w:u w:val="single"/>
                    </w:rPr>
                    <w:t xml:space="preserve"> </w:t>
                  </w:r>
                  <w:r>
                    <w:rPr>
                      <w:rFonts w:cs="Georgia"/>
                      <w:b/>
                      <w:color w:val="000000"/>
                      <w:u w:val="single"/>
                    </w:rPr>
                    <w:t>à</w:t>
                  </w:r>
                  <w:r>
                    <w:rPr>
                      <w:rFonts w:cs="Georgia"/>
                      <w:b/>
                      <w:color w:val="000000"/>
                      <w:spacing w:val="2"/>
                      <w:u w:val="single"/>
                    </w:rPr>
                    <w:t xml:space="preserve"> </w:t>
                  </w:r>
                  <w:r>
                    <w:rPr>
                      <w:rFonts w:cs="Georgia"/>
                      <w:b/>
                      <w:color w:val="000000"/>
                      <w:spacing w:val="-1"/>
                      <w:u w:val="single"/>
                    </w:rPr>
                    <w:t>l</w:t>
                  </w:r>
                  <w:r>
                    <w:rPr>
                      <w:rFonts w:cs="Georgia"/>
                      <w:b/>
                      <w:color w:val="000000"/>
                      <w:u w:val="single"/>
                    </w:rPr>
                    <w:t>a</w:t>
                  </w:r>
                  <w:r>
                    <w:rPr>
                      <w:rFonts w:cs="Georgia"/>
                      <w:b/>
                      <w:color w:val="000000"/>
                      <w:spacing w:val="2"/>
                      <w:u w:val="single"/>
                    </w:rPr>
                    <w:t xml:space="preserve"> </w:t>
                  </w:r>
                  <w:r>
                    <w:rPr>
                      <w:rFonts w:cs="Georgia"/>
                      <w:b/>
                      <w:color w:val="000000"/>
                      <w:u w:val="single"/>
                    </w:rPr>
                    <w:t>d</w:t>
                  </w:r>
                  <w:r>
                    <w:rPr>
                      <w:rFonts w:cs="Georgia"/>
                      <w:b/>
                      <w:color w:val="000000"/>
                      <w:spacing w:val="-1"/>
                      <w:u w:val="single"/>
                    </w:rPr>
                    <w:t>a</w:t>
                  </w:r>
                  <w:r>
                    <w:rPr>
                      <w:rFonts w:cs="Georgia"/>
                      <w:b/>
                      <w:color w:val="000000"/>
                      <w:spacing w:val="1"/>
                      <w:u w:val="single"/>
                    </w:rPr>
                    <w:t>t</w:t>
                  </w:r>
                  <w:r>
                    <w:rPr>
                      <w:rFonts w:cs="Georgia"/>
                      <w:b/>
                      <w:color w:val="000000"/>
                      <w:u w:val="single"/>
                    </w:rPr>
                    <w:t>e</w:t>
                  </w:r>
                  <w:r>
                    <w:rPr>
                      <w:rFonts w:cs="Georgia"/>
                      <w:b/>
                      <w:color w:val="000000"/>
                      <w:spacing w:val="2"/>
                      <w:u w:val="single"/>
                    </w:rPr>
                    <w:t xml:space="preserve"> </w:t>
                  </w:r>
                  <w:r>
                    <w:rPr>
                      <w:rFonts w:cs="Georgia"/>
                      <w:b/>
                      <w:color w:val="000000"/>
                      <w:u w:val="single"/>
                    </w:rPr>
                    <w:t xml:space="preserve">du </w:t>
                  </w:r>
                  <w:r>
                    <w:rPr>
                      <w:rFonts w:cs="Georgia"/>
                      <w:b/>
                      <w:color w:val="000000"/>
                      <w:spacing w:val="1"/>
                      <w:u w:val="single"/>
                    </w:rPr>
                    <w:t>3</w:t>
                  </w:r>
                  <w:r>
                    <w:rPr>
                      <w:rFonts w:cs="Georgia"/>
                      <w:b/>
                      <w:color w:val="000000"/>
                      <w:u w:val="single"/>
                    </w:rPr>
                    <w:t>0</w:t>
                  </w:r>
                  <w:r>
                    <w:rPr>
                      <w:rFonts w:cs="Georgia"/>
                      <w:b/>
                      <w:color w:val="000000"/>
                      <w:spacing w:val="2"/>
                      <w:u w:val="single"/>
                    </w:rPr>
                    <w:t xml:space="preserve"> </w:t>
                  </w:r>
                  <w:r>
                    <w:rPr>
                      <w:rFonts w:cs="Georgia"/>
                      <w:b/>
                      <w:color w:val="000000"/>
                      <w:spacing w:val="1"/>
                      <w:u w:val="single"/>
                    </w:rPr>
                    <w:t>s</w:t>
                  </w:r>
                  <w:r>
                    <w:rPr>
                      <w:rFonts w:cs="Georgia"/>
                      <w:b/>
                      <w:color w:val="000000"/>
                      <w:spacing w:val="-1"/>
                      <w:u w:val="single"/>
                    </w:rPr>
                    <w:t>ep</w:t>
                  </w:r>
                  <w:r>
                    <w:rPr>
                      <w:rFonts w:cs="Georgia"/>
                      <w:b/>
                      <w:color w:val="000000"/>
                      <w:spacing w:val="1"/>
                      <w:u w:val="single"/>
                    </w:rPr>
                    <w:t>t</w:t>
                  </w:r>
                  <w:r>
                    <w:rPr>
                      <w:rFonts w:cs="Georgia"/>
                      <w:b/>
                      <w:color w:val="000000"/>
                      <w:spacing w:val="-1"/>
                      <w:u w:val="single"/>
                    </w:rPr>
                    <w:t>e</w:t>
                  </w:r>
                  <w:r>
                    <w:rPr>
                      <w:rFonts w:cs="Georgia"/>
                      <w:b/>
                      <w:color w:val="000000"/>
                      <w:spacing w:val="-3"/>
                      <w:u w:val="single"/>
                    </w:rPr>
                    <w:t>m</w:t>
                  </w:r>
                  <w:r>
                    <w:rPr>
                      <w:rFonts w:cs="Georgia"/>
                      <w:b/>
                      <w:color w:val="000000"/>
                      <w:spacing w:val="1"/>
                      <w:u w:val="single"/>
                    </w:rPr>
                    <w:t>br</w:t>
                  </w:r>
                  <w:r>
                    <w:rPr>
                      <w:rFonts w:cs="Georgia"/>
                      <w:b/>
                      <w:color w:val="000000"/>
                      <w:spacing w:val="-1"/>
                      <w:u w:val="single"/>
                    </w:rPr>
                    <w:t>e</w:t>
                  </w:r>
                  <w:r>
                    <w:rPr>
                      <w:rFonts w:cs="Georgia"/>
                      <w:color w:val="000000"/>
                    </w:rPr>
                    <w:t>.</w:t>
                  </w:r>
                </w:p>
                <w:p>
                  <w:pPr>
                    <w:tabs>
                      <w:tab w:val="left" w:pos="2895"/>
                    </w:tabs>
                  </w:pPr>
                </w:p>
                <w:p>
                  <w:pPr>
                    <w:pBdr>
                      <w:top w:val="single" w:sz="4" w:space="1" w:color="auto"/>
                      <w:left w:val="single" w:sz="4" w:space="4" w:color="auto"/>
                      <w:bottom w:val="single" w:sz="4" w:space="1" w:color="auto"/>
                      <w:right w:val="single" w:sz="4" w:space="4" w:color="auto"/>
                    </w:pBdr>
                    <w:tabs>
                      <w:tab w:val="left" w:pos="1134"/>
                    </w:tabs>
                    <w:rPr>
                      <w:b/>
                      <w:bCs/>
                    </w:rPr>
                  </w:pPr>
                  <w:r>
                    <w:rPr>
                      <w:b/>
                      <w:bCs/>
                      <w:u w:val="single"/>
                    </w:rPr>
                    <w:t>Remarque :</w:t>
                  </w:r>
                  <w:r>
                    <w:rPr>
                      <w:b/>
                      <w:bCs/>
                    </w:rPr>
                    <w:t xml:space="preserve"> </w:t>
                  </w:r>
                  <w:r>
                    <w:rPr>
                      <w:bCs/>
                    </w:rPr>
                    <w:t>lorsqu’un établissement organisé ou subventionné par la Fédération Wallonie-Bruxelles doit, pour des raisons d’insuffisance de locaux disponibles, limiter le nombre d’élèves qu’il accueille, il en informe immédiatement l’Administration en s’adressant à </w:t>
                  </w:r>
                  <w:r>
                    <w:rPr>
                      <w:b/>
                      <w:bCs/>
                    </w:rPr>
                    <w:t>:</w:t>
                  </w:r>
                </w:p>
                <w:p>
                  <w:pPr>
                    <w:pBdr>
                      <w:top w:val="single" w:sz="4" w:space="1" w:color="auto"/>
                      <w:left w:val="single" w:sz="4" w:space="4" w:color="auto"/>
                      <w:bottom w:val="single" w:sz="4" w:space="1" w:color="auto"/>
                      <w:right w:val="single" w:sz="4" w:space="4" w:color="auto"/>
                    </w:pBdr>
                    <w:tabs>
                      <w:tab w:val="left" w:pos="1134"/>
                      <w:tab w:val="left" w:pos="3544"/>
                      <w:tab w:val="left" w:pos="5954"/>
                    </w:tabs>
                    <w:rPr>
                      <w:lang w:val="es-ES_tradnl"/>
                    </w:rPr>
                  </w:pPr>
                  <w:r>
                    <w:rPr>
                      <w:bCs/>
                      <w:lang w:val="es-ES_tradnl"/>
                    </w:rPr>
                    <w:t>Madame Arlette RUSURA</w:t>
                  </w:r>
                  <w:r>
                    <w:rPr>
                      <w:bCs/>
                      <w:lang w:val="es-ES_tradnl"/>
                    </w:rPr>
                    <w:tab/>
                  </w:r>
                  <w:r>
                    <w:sym w:font="Wingdings" w:char="F028"/>
                  </w:r>
                  <w:r>
                    <w:rPr>
                      <w:lang w:val="es-ES_tradnl"/>
                    </w:rPr>
                    <w:t xml:space="preserve"> : 02/690.88.93 </w:t>
                  </w:r>
                  <w:r>
                    <w:rPr>
                      <w:lang w:val="es-ES_tradnl"/>
                    </w:rPr>
                    <w:tab/>
                    <w:t xml:space="preserve"> </w:t>
                  </w:r>
                  <w:r>
                    <w:rPr>
                      <w:bCs/>
                    </w:rPr>
                    <w:sym w:font="Wingdings" w:char="F03A"/>
                  </w:r>
                  <w:r>
                    <w:rPr>
                      <w:bCs/>
                      <w:lang w:val="es-ES_tradnl"/>
                    </w:rPr>
                    <w:t> :</w:t>
                  </w:r>
                  <w:r>
                    <w:rPr>
                      <w:lang w:val="es-ES_tradnl"/>
                    </w:rPr>
                    <w:t xml:space="preserve"> </w:t>
                  </w:r>
                  <w:hyperlink r:id="rId141" w:history="1">
                    <w:r>
                      <w:rPr>
                        <w:rStyle w:val="Lienhypertexte"/>
                        <w:rFonts w:cs="Arial"/>
                        <w:lang w:val="es-ES_tradnl"/>
                      </w:rPr>
                      <w:t>arlette.rusura@cfwb.be</w:t>
                    </w:r>
                  </w:hyperlink>
                </w:p>
                <w:p>
                  <w:pPr>
                    <w:pBdr>
                      <w:top w:val="single" w:sz="4" w:space="1" w:color="auto"/>
                      <w:left w:val="single" w:sz="4" w:space="4" w:color="auto"/>
                      <w:bottom w:val="single" w:sz="4" w:space="1" w:color="auto"/>
                      <w:right w:val="single" w:sz="4" w:space="4" w:color="auto"/>
                    </w:pBdr>
                    <w:tabs>
                      <w:tab w:val="left" w:pos="1134"/>
                      <w:tab w:val="left" w:pos="3544"/>
                      <w:tab w:val="left" w:pos="5954"/>
                    </w:tabs>
                    <w:rPr>
                      <w:b/>
                      <w:bCs/>
                      <w:lang w:val="es-ES_tradnl"/>
                    </w:rPr>
                  </w:pPr>
                  <w:r>
                    <w:rPr>
                      <w:lang w:val="es-ES_tradnl"/>
                    </w:rPr>
                    <w:t>Madame Sabrina MONTANTE</w:t>
                  </w:r>
                  <w:r>
                    <w:rPr>
                      <w:lang w:val="es-ES_tradnl"/>
                    </w:rPr>
                    <w:tab/>
                  </w:r>
                  <w:r>
                    <w:sym w:font="Wingdings" w:char="F028"/>
                  </w:r>
                  <w:r>
                    <w:rPr>
                      <w:lang w:val="es-ES_tradnl"/>
                    </w:rPr>
                    <w:t> : 02/690.84.97</w:t>
                  </w:r>
                  <w:r>
                    <w:rPr>
                      <w:lang w:val="es-ES_tradnl"/>
                    </w:rPr>
                    <w:tab/>
                    <w:t xml:space="preserve"> </w:t>
                  </w:r>
                  <w:r>
                    <w:rPr>
                      <w:bCs/>
                    </w:rPr>
                    <w:sym w:font="Wingdings" w:char="F03A"/>
                  </w:r>
                  <w:r>
                    <w:rPr>
                      <w:bCs/>
                      <w:lang w:val="es-ES_tradnl"/>
                    </w:rPr>
                    <w:t xml:space="preserve"> : </w:t>
                  </w:r>
                  <w:hyperlink r:id="rId142" w:history="1">
                    <w:r>
                      <w:rPr>
                        <w:rStyle w:val="Lienhypertexte"/>
                        <w:rFonts w:cs="Arial"/>
                        <w:bCs/>
                        <w:lang w:val="es-ES_tradnl"/>
                      </w:rPr>
                      <w:t>sabrina.montante@cfwb.be</w:t>
                    </w:r>
                  </w:hyperlink>
                  <w:r>
                    <w:rPr>
                      <w:bCs/>
                      <w:lang w:val="es-ES_tradnl"/>
                    </w:rPr>
                    <w:t xml:space="preserve"> </w:t>
                  </w:r>
                </w:p>
                <w:p>
                  <w:pPr>
                    <w:widowControl w:val="0"/>
                    <w:autoSpaceDE w:val="0"/>
                    <w:autoSpaceDN w:val="0"/>
                    <w:adjustRightInd w:val="0"/>
                    <w:spacing w:before="1" w:line="220" w:lineRule="exact"/>
                    <w:rPr>
                      <w:rFonts w:cs="Georgia"/>
                      <w:b/>
                      <w:bCs/>
                      <w:color w:val="000000"/>
                      <w:position w:val="-1"/>
                      <w:u w:val="single"/>
                      <w:lang w:val="es-ES_tradnl"/>
                    </w:rPr>
                  </w:pPr>
                </w:p>
                <w:p>
                  <w:pPr>
                    <w:widowControl w:val="0"/>
                    <w:autoSpaceDE w:val="0"/>
                    <w:autoSpaceDN w:val="0"/>
                    <w:adjustRightInd w:val="0"/>
                    <w:spacing w:before="1" w:line="220" w:lineRule="exact"/>
                    <w:rPr>
                      <w:rFonts w:cs="Georgia"/>
                      <w:b/>
                      <w:bCs/>
                      <w:color w:val="000000"/>
                      <w:position w:val="-1"/>
                      <w:u w:val="single"/>
                      <w:lang w:val="es-ES_tradnl"/>
                    </w:rPr>
                  </w:pPr>
                </w:p>
                <w:p>
                  <w:pPr>
                    <w:widowControl w:val="0"/>
                    <w:numPr>
                      <w:ilvl w:val="0"/>
                      <w:numId w:val="52"/>
                    </w:numPr>
                    <w:autoSpaceDE w:val="0"/>
                    <w:autoSpaceDN w:val="0"/>
                    <w:adjustRightInd w:val="0"/>
                    <w:spacing w:before="1" w:line="220" w:lineRule="exact"/>
                    <w:ind w:left="360"/>
                    <w:jc w:val="both"/>
                    <w:rPr>
                      <w:rFonts w:cs="Georgia"/>
                      <w:b/>
                      <w:color w:val="000000"/>
                      <w:spacing w:val="-1"/>
                      <w:u w:val="single"/>
                    </w:rPr>
                  </w:pPr>
                  <w:r>
                    <w:rPr>
                      <w:rFonts w:cs="Georgia"/>
                      <w:b/>
                      <w:color w:val="000000"/>
                      <w:spacing w:val="-1"/>
                      <w:u w:val="single"/>
                    </w:rPr>
                    <w:t>L</w:t>
                  </w:r>
                  <w:r>
                    <w:rPr>
                      <w:rFonts w:cs="Georgia"/>
                      <w:b/>
                      <w:color w:val="000000"/>
                      <w:u w:val="single"/>
                    </w:rPr>
                    <w:t>e</w:t>
                  </w:r>
                  <w:r>
                    <w:rPr>
                      <w:rFonts w:cs="Georgia"/>
                      <w:b/>
                      <w:color w:val="000000"/>
                      <w:spacing w:val="-1"/>
                      <w:u w:val="single"/>
                    </w:rPr>
                    <w:t xml:space="preserve"> n</w:t>
                  </w:r>
                  <w:r>
                    <w:rPr>
                      <w:rFonts w:cs="Georgia"/>
                      <w:b/>
                      <w:color w:val="000000"/>
                      <w:spacing w:val="1"/>
                      <w:u w:val="single"/>
                    </w:rPr>
                    <w:t>o</w:t>
                  </w:r>
                  <w:r>
                    <w:rPr>
                      <w:rFonts w:cs="Georgia"/>
                      <w:b/>
                      <w:color w:val="000000"/>
                      <w:spacing w:val="-3"/>
                      <w:u w:val="single"/>
                    </w:rPr>
                    <w:t>m</w:t>
                  </w:r>
                  <w:r>
                    <w:rPr>
                      <w:rFonts w:cs="Georgia"/>
                      <w:b/>
                      <w:color w:val="000000"/>
                      <w:spacing w:val="1"/>
                      <w:u w:val="single"/>
                    </w:rPr>
                    <w:t>br</w:t>
                  </w:r>
                  <w:r>
                    <w:rPr>
                      <w:rFonts w:cs="Georgia"/>
                      <w:b/>
                      <w:color w:val="000000"/>
                      <w:u w:val="single"/>
                    </w:rPr>
                    <w:t>e</w:t>
                  </w:r>
                  <w:r>
                    <w:rPr>
                      <w:rFonts w:cs="Georgia"/>
                      <w:b/>
                      <w:color w:val="000000"/>
                      <w:spacing w:val="-1"/>
                      <w:u w:val="single"/>
                    </w:rPr>
                    <w:t xml:space="preserve"> </w:t>
                  </w:r>
                  <w:r>
                    <w:rPr>
                      <w:rFonts w:cs="Georgia"/>
                      <w:b/>
                      <w:color w:val="000000"/>
                      <w:u w:val="single"/>
                    </w:rPr>
                    <w:t>de</w:t>
                  </w:r>
                  <w:r>
                    <w:rPr>
                      <w:rFonts w:cs="Georgia"/>
                      <w:b/>
                      <w:color w:val="000000"/>
                      <w:spacing w:val="-1"/>
                      <w:u w:val="single"/>
                    </w:rPr>
                    <w:t xml:space="preserve"> </w:t>
                  </w:r>
                  <w:r>
                    <w:rPr>
                      <w:rFonts w:cs="Georgia"/>
                      <w:b/>
                      <w:color w:val="000000"/>
                      <w:spacing w:val="1"/>
                      <w:u w:val="single"/>
                    </w:rPr>
                    <w:t>p</w:t>
                  </w:r>
                  <w:r>
                    <w:rPr>
                      <w:rFonts w:cs="Georgia"/>
                      <w:b/>
                      <w:color w:val="000000"/>
                      <w:spacing w:val="-3"/>
                      <w:u w:val="single"/>
                    </w:rPr>
                    <w:t>é</w:t>
                  </w:r>
                  <w:r>
                    <w:rPr>
                      <w:rFonts w:cs="Georgia"/>
                      <w:b/>
                      <w:color w:val="000000"/>
                      <w:spacing w:val="1"/>
                      <w:u w:val="single"/>
                    </w:rPr>
                    <w:t>r</w:t>
                  </w:r>
                  <w:r>
                    <w:rPr>
                      <w:rFonts w:cs="Georgia"/>
                      <w:b/>
                      <w:color w:val="000000"/>
                      <w:u w:val="single"/>
                    </w:rPr>
                    <w:t>i</w:t>
                  </w:r>
                  <w:r>
                    <w:rPr>
                      <w:rFonts w:cs="Georgia"/>
                      <w:b/>
                      <w:color w:val="000000"/>
                      <w:spacing w:val="-1"/>
                      <w:u w:val="single"/>
                    </w:rPr>
                    <w:t>o</w:t>
                  </w:r>
                  <w:r>
                    <w:rPr>
                      <w:rFonts w:cs="Georgia"/>
                      <w:b/>
                      <w:color w:val="000000"/>
                      <w:u w:val="single"/>
                    </w:rPr>
                    <w:t>d</w:t>
                  </w:r>
                  <w:r>
                    <w:rPr>
                      <w:rFonts w:cs="Georgia"/>
                      <w:b/>
                      <w:color w:val="000000"/>
                      <w:spacing w:val="-1"/>
                      <w:u w:val="single"/>
                    </w:rPr>
                    <w:t>e</w:t>
                  </w:r>
                  <w:r>
                    <w:rPr>
                      <w:rFonts w:cs="Georgia"/>
                      <w:b/>
                      <w:color w:val="000000"/>
                      <w:u w:val="single"/>
                    </w:rPr>
                    <w:t>s</w:t>
                  </w:r>
                  <w:r>
                    <w:rPr>
                      <w:rFonts w:cs="Georgia"/>
                      <w:b/>
                      <w:color w:val="000000"/>
                      <w:spacing w:val="-2"/>
                      <w:u w:val="single"/>
                    </w:rPr>
                    <w:t xml:space="preserve"> </w:t>
                  </w:r>
                  <w:r>
                    <w:rPr>
                      <w:rFonts w:cs="Georgia"/>
                      <w:b/>
                      <w:color w:val="000000"/>
                      <w:spacing w:val="1"/>
                      <w:u w:val="single"/>
                    </w:rPr>
                    <w:t>h</w:t>
                  </w:r>
                  <w:r>
                    <w:rPr>
                      <w:rFonts w:cs="Georgia"/>
                      <w:b/>
                      <w:color w:val="000000"/>
                      <w:spacing w:val="-1"/>
                      <w:u w:val="single"/>
                    </w:rPr>
                    <w:t>e</w:t>
                  </w:r>
                  <w:r>
                    <w:rPr>
                      <w:rFonts w:cs="Georgia"/>
                      <w:b/>
                      <w:color w:val="000000"/>
                      <w:spacing w:val="1"/>
                      <w:u w:val="single"/>
                    </w:rPr>
                    <w:t>b</w:t>
                  </w:r>
                  <w:r>
                    <w:rPr>
                      <w:rFonts w:cs="Georgia"/>
                      <w:b/>
                      <w:color w:val="000000"/>
                      <w:spacing w:val="-2"/>
                      <w:u w:val="single"/>
                    </w:rPr>
                    <w:t>d</w:t>
                  </w:r>
                  <w:r>
                    <w:rPr>
                      <w:rFonts w:cs="Georgia"/>
                      <w:b/>
                      <w:color w:val="000000"/>
                      <w:spacing w:val="1"/>
                      <w:u w:val="single"/>
                    </w:rPr>
                    <w:t>o</w:t>
                  </w:r>
                  <w:r>
                    <w:rPr>
                      <w:rFonts w:cs="Georgia"/>
                      <w:b/>
                      <w:color w:val="000000"/>
                      <w:u w:val="single"/>
                    </w:rPr>
                    <w:t>m</w:t>
                  </w:r>
                  <w:r>
                    <w:rPr>
                      <w:rFonts w:cs="Georgia"/>
                      <w:b/>
                      <w:color w:val="000000"/>
                      <w:spacing w:val="-1"/>
                      <w:u w:val="single"/>
                    </w:rPr>
                    <w:t>a</w:t>
                  </w:r>
                  <w:r>
                    <w:rPr>
                      <w:rFonts w:cs="Georgia"/>
                      <w:b/>
                      <w:color w:val="000000"/>
                      <w:u w:val="single"/>
                    </w:rPr>
                    <w:t>d</w:t>
                  </w:r>
                  <w:r>
                    <w:rPr>
                      <w:rFonts w:cs="Georgia"/>
                      <w:b/>
                      <w:color w:val="000000"/>
                      <w:spacing w:val="-1"/>
                      <w:u w:val="single"/>
                    </w:rPr>
                    <w:t>a</w:t>
                  </w:r>
                  <w:r>
                    <w:rPr>
                      <w:rFonts w:cs="Georgia"/>
                      <w:b/>
                      <w:color w:val="000000"/>
                      <w:spacing w:val="-2"/>
                      <w:u w:val="single"/>
                    </w:rPr>
                    <w:t>i</w:t>
                  </w:r>
                  <w:r>
                    <w:rPr>
                      <w:rFonts w:cs="Georgia"/>
                      <w:b/>
                      <w:color w:val="000000"/>
                      <w:spacing w:val="1"/>
                      <w:u w:val="single"/>
                    </w:rPr>
                    <w:t>r</w:t>
                  </w:r>
                  <w:r>
                    <w:rPr>
                      <w:rFonts w:cs="Georgia"/>
                      <w:b/>
                      <w:color w:val="000000"/>
                      <w:spacing w:val="-1"/>
                      <w:u w:val="single"/>
                    </w:rPr>
                    <w:t>e</w:t>
                  </w:r>
                  <w:r>
                    <w:rPr>
                      <w:rFonts w:cs="Georgia"/>
                      <w:b/>
                      <w:color w:val="000000"/>
                      <w:u w:val="single"/>
                    </w:rPr>
                    <w:t xml:space="preserve">s </w:t>
                  </w:r>
                  <w:r>
                    <w:rPr>
                      <w:rFonts w:cs="Georgia"/>
                      <w:b/>
                      <w:color w:val="000000"/>
                      <w:spacing w:val="-1"/>
                      <w:u w:val="single"/>
                    </w:rPr>
                    <w:t>o</w:t>
                  </w:r>
                  <w:r>
                    <w:rPr>
                      <w:rFonts w:cs="Georgia"/>
                      <w:b/>
                      <w:color w:val="000000"/>
                      <w:spacing w:val="1"/>
                      <w:u w:val="single"/>
                    </w:rPr>
                    <w:t>r</w:t>
                  </w:r>
                  <w:r>
                    <w:rPr>
                      <w:rFonts w:cs="Georgia"/>
                      <w:b/>
                      <w:color w:val="000000"/>
                      <w:u w:val="single"/>
                    </w:rPr>
                    <w:t>g</w:t>
                  </w:r>
                  <w:r>
                    <w:rPr>
                      <w:rFonts w:cs="Georgia"/>
                      <w:b/>
                      <w:color w:val="000000"/>
                      <w:spacing w:val="-1"/>
                      <w:u w:val="single"/>
                    </w:rPr>
                    <w:t>an</w:t>
                  </w:r>
                  <w:r>
                    <w:rPr>
                      <w:rFonts w:cs="Georgia"/>
                      <w:b/>
                      <w:color w:val="000000"/>
                      <w:u w:val="single"/>
                    </w:rPr>
                    <w:t>i</w:t>
                  </w:r>
                  <w:r>
                    <w:rPr>
                      <w:rFonts w:cs="Georgia"/>
                      <w:b/>
                      <w:color w:val="000000"/>
                      <w:spacing w:val="1"/>
                      <w:u w:val="single"/>
                    </w:rPr>
                    <w:t>s</w:t>
                  </w:r>
                  <w:r>
                    <w:rPr>
                      <w:rFonts w:cs="Georgia"/>
                      <w:b/>
                      <w:color w:val="000000"/>
                      <w:spacing w:val="-3"/>
                      <w:u w:val="single"/>
                    </w:rPr>
                    <w:t>é</w:t>
                  </w:r>
                  <w:r>
                    <w:rPr>
                      <w:rFonts w:cs="Georgia"/>
                      <w:b/>
                      <w:color w:val="000000"/>
                      <w:spacing w:val="-1"/>
                      <w:u w:val="single"/>
                    </w:rPr>
                    <w:t>es</w:t>
                  </w:r>
                </w:p>
                <w:p>
                  <w:pPr>
                    <w:widowControl w:val="0"/>
                    <w:autoSpaceDE w:val="0"/>
                    <w:autoSpaceDN w:val="0"/>
                    <w:adjustRightInd w:val="0"/>
                    <w:spacing w:before="1" w:line="220" w:lineRule="exact"/>
                    <w:jc w:val="both"/>
                    <w:rPr>
                      <w:rFonts w:cs="Georgia"/>
                      <w:b/>
                      <w:color w:val="000000"/>
                      <w:spacing w:val="-1"/>
                      <w:u w:val="single"/>
                    </w:rPr>
                  </w:pPr>
                </w:p>
                <w:p>
                  <w:pPr>
                    <w:widowControl w:val="0"/>
                    <w:autoSpaceDE w:val="0"/>
                    <w:autoSpaceDN w:val="0"/>
                    <w:adjustRightInd w:val="0"/>
                    <w:spacing w:before="1" w:line="250" w:lineRule="exact"/>
                    <w:ind w:right="47"/>
                    <w:jc w:val="both"/>
                    <w:rPr>
                      <w:rFonts w:cs="Georgia"/>
                    </w:rPr>
                  </w:pPr>
                  <w:r>
                    <w:rPr>
                      <w:rFonts w:cs="Georgia"/>
                      <w:spacing w:val="1"/>
                    </w:rPr>
                    <w:t>L</w:t>
                  </w:r>
                  <w:r>
                    <w:rPr>
                      <w:rFonts w:cs="Georgia"/>
                    </w:rPr>
                    <w:t>e</w:t>
                  </w:r>
                  <w:r>
                    <w:rPr>
                      <w:rFonts w:cs="Georgia"/>
                      <w:spacing w:val="42"/>
                    </w:rPr>
                    <w:t xml:space="preserve"> </w:t>
                  </w:r>
                  <w:r>
                    <w:rPr>
                      <w:rFonts w:cs="Georgia"/>
                      <w:spacing w:val="-1"/>
                    </w:rPr>
                    <w:t>n</w:t>
                  </w:r>
                  <w:r>
                    <w:rPr>
                      <w:rFonts w:cs="Georgia"/>
                      <w:spacing w:val="1"/>
                    </w:rPr>
                    <w:t>o</w:t>
                  </w:r>
                  <w:r>
                    <w:rPr>
                      <w:rFonts w:cs="Georgia"/>
                      <w:spacing w:val="-3"/>
                    </w:rPr>
                    <w:t>m</w:t>
                  </w:r>
                  <w:r>
                    <w:rPr>
                      <w:rFonts w:cs="Georgia"/>
                      <w:spacing w:val="1"/>
                    </w:rPr>
                    <w:t>br</w:t>
                  </w:r>
                  <w:r>
                    <w:rPr>
                      <w:rFonts w:cs="Georgia"/>
                    </w:rPr>
                    <w:t>e</w:t>
                  </w:r>
                  <w:r>
                    <w:rPr>
                      <w:rFonts w:cs="Georgia"/>
                      <w:spacing w:val="42"/>
                    </w:rPr>
                    <w:t xml:space="preserve"> </w:t>
                  </w:r>
                  <w:r>
                    <w:rPr>
                      <w:rFonts w:cs="Georgia"/>
                    </w:rPr>
                    <w:t>de</w:t>
                  </w:r>
                  <w:r>
                    <w:rPr>
                      <w:rFonts w:cs="Georgia"/>
                      <w:spacing w:val="39"/>
                    </w:rPr>
                    <w:t xml:space="preserve"> </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s</w:t>
                  </w:r>
                  <w:r>
                    <w:rPr>
                      <w:rFonts w:cs="Georgia"/>
                      <w:spacing w:val="41"/>
                    </w:rPr>
                    <w:t xml:space="preserve"> </w:t>
                  </w:r>
                  <w:r>
                    <w:rPr>
                      <w:rFonts w:cs="Georgia"/>
                    </w:rPr>
                    <w:t>à</w:t>
                  </w:r>
                  <w:r>
                    <w:rPr>
                      <w:rFonts w:cs="Georgia"/>
                      <w:spacing w:val="42"/>
                    </w:rPr>
                    <w:t xml:space="preserve"> </w:t>
                  </w:r>
                  <w:r>
                    <w:rPr>
                      <w:rFonts w:cs="Georgia"/>
                      <w:spacing w:val="1"/>
                    </w:rPr>
                    <w:t>pr</w:t>
                  </w:r>
                  <w:r>
                    <w:rPr>
                      <w:rFonts w:cs="Georgia"/>
                      <w:spacing w:val="-1"/>
                    </w:rPr>
                    <w:t>en</w:t>
                  </w:r>
                  <w:r>
                    <w:rPr>
                      <w:rFonts w:cs="Georgia"/>
                    </w:rPr>
                    <w:t>d</w:t>
                  </w:r>
                  <w:r>
                    <w:rPr>
                      <w:rFonts w:cs="Georgia"/>
                      <w:spacing w:val="1"/>
                    </w:rPr>
                    <w:t>r</w:t>
                  </w:r>
                  <w:r>
                    <w:rPr>
                      <w:rFonts w:cs="Georgia"/>
                    </w:rPr>
                    <w:t>e</w:t>
                  </w:r>
                  <w:r>
                    <w:rPr>
                      <w:rFonts w:cs="Georgia"/>
                      <w:spacing w:val="42"/>
                    </w:rPr>
                    <w:t xml:space="preserve"> </w:t>
                  </w:r>
                  <w:r>
                    <w:rPr>
                      <w:rFonts w:cs="Georgia"/>
                      <w:spacing w:val="-1"/>
                    </w:rPr>
                    <w:t>e</w:t>
                  </w:r>
                  <w:r>
                    <w:rPr>
                      <w:rFonts w:cs="Georgia"/>
                    </w:rPr>
                    <w:t>n</w:t>
                  </w:r>
                  <w:r>
                    <w:rPr>
                      <w:rFonts w:cs="Georgia"/>
                      <w:spacing w:val="42"/>
                    </w:rPr>
                    <w:t xml:space="preserve"> </w:t>
                  </w:r>
                  <w:r>
                    <w:rPr>
                      <w:rFonts w:cs="Georgia"/>
                      <w:spacing w:val="-2"/>
                    </w:rPr>
                    <w:t>c</w:t>
                  </w:r>
                  <w:r>
                    <w:rPr>
                      <w:rFonts w:cs="Georgia"/>
                      <w:spacing w:val="1"/>
                    </w:rPr>
                    <w:t>o</w:t>
                  </w:r>
                  <w:r>
                    <w:rPr>
                      <w:rFonts w:cs="Georgia"/>
                      <w:spacing w:val="-1"/>
                    </w:rPr>
                    <w:t>n</w:t>
                  </w:r>
                  <w:r>
                    <w:rPr>
                      <w:rFonts w:cs="Georgia"/>
                      <w:spacing w:val="1"/>
                    </w:rPr>
                    <w:t>s</w:t>
                  </w:r>
                  <w:r>
                    <w:rPr>
                      <w:rFonts w:cs="Georgia"/>
                    </w:rPr>
                    <w:t>id</w:t>
                  </w:r>
                  <w:r>
                    <w:rPr>
                      <w:rFonts w:cs="Georgia"/>
                      <w:spacing w:val="-1"/>
                    </w:rPr>
                    <w:t>é</w:t>
                  </w:r>
                  <w:r>
                    <w:rPr>
                      <w:rFonts w:cs="Georgia"/>
                      <w:spacing w:val="1"/>
                    </w:rPr>
                    <w:t>r</w:t>
                  </w:r>
                  <w:r>
                    <w:rPr>
                      <w:rFonts w:cs="Georgia"/>
                      <w:spacing w:val="-3"/>
                    </w:rPr>
                    <w:t>a</w:t>
                  </w:r>
                  <w:r>
                    <w:rPr>
                      <w:rFonts w:cs="Georgia"/>
                      <w:spacing w:val="-2"/>
                    </w:rPr>
                    <w:t>t</w:t>
                  </w:r>
                  <w:r>
                    <w:rPr>
                      <w:rFonts w:cs="Georgia"/>
                    </w:rPr>
                    <w:t>i</w:t>
                  </w:r>
                  <w:r>
                    <w:rPr>
                      <w:rFonts w:cs="Georgia"/>
                      <w:spacing w:val="1"/>
                    </w:rPr>
                    <w:t>o</w:t>
                  </w:r>
                  <w:r>
                    <w:rPr>
                      <w:rFonts w:cs="Georgia"/>
                    </w:rPr>
                    <w:t>n</w:t>
                  </w:r>
                  <w:r>
                    <w:rPr>
                      <w:rFonts w:cs="Georgia"/>
                      <w:spacing w:val="42"/>
                    </w:rPr>
                    <w:t xml:space="preserve"> </w:t>
                  </w:r>
                  <w:r>
                    <w:rPr>
                      <w:rFonts w:cs="Georgia"/>
                      <w:spacing w:val="-1"/>
                    </w:rPr>
                    <w:t>e</w:t>
                  </w:r>
                  <w:r>
                    <w:rPr>
                      <w:rFonts w:cs="Georgia"/>
                      <w:spacing w:val="1"/>
                    </w:rPr>
                    <w:t>s</w:t>
                  </w:r>
                  <w:r>
                    <w:rPr>
                      <w:rFonts w:cs="Georgia"/>
                    </w:rPr>
                    <w:t>t</w:t>
                  </w:r>
                  <w:r>
                    <w:rPr>
                      <w:rFonts w:cs="Georgia"/>
                      <w:spacing w:val="44"/>
                    </w:rPr>
                    <w:t xml:space="preserve"> </w:t>
                  </w:r>
                  <w:r>
                    <w:rPr>
                      <w:rFonts w:cs="Georgia"/>
                      <w:spacing w:val="-1"/>
                    </w:rPr>
                    <w:t>l</w:t>
                  </w:r>
                  <w:r>
                    <w:rPr>
                      <w:rFonts w:cs="Georgia"/>
                    </w:rPr>
                    <w:t>e</w:t>
                  </w:r>
                  <w:r>
                    <w:rPr>
                      <w:rFonts w:cs="Georgia"/>
                      <w:spacing w:val="42"/>
                    </w:rPr>
                    <w:t xml:space="preserve"> </w:t>
                  </w:r>
                  <w:r>
                    <w:rPr>
                      <w:rFonts w:cs="Georgia"/>
                      <w:spacing w:val="-1"/>
                    </w:rPr>
                    <w:t>n</w:t>
                  </w:r>
                  <w:r>
                    <w:rPr>
                      <w:rFonts w:cs="Georgia"/>
                      <w:spacing w:val="1"/>
                    </w:rPr>
                    <w:t>o</w:t>
                  </w:r>
                  <w:r>
                    <w:rPr>
                      <w:rFonts w:cs="Georgia"/>
                      <w:spacing w:val="-3"/>
                    </w:rPr>
                    <w:t>m</w:t>
                  </w:r>
                  <w:r>
                    <w:rPr>
                      <w:rFonts w:cs="Georgia"/>
                      <w:spacing w:val="1"/>
                    </w:rPr>
                    <w:t>br</w:t>
                  </w:r>
                  <w:r>
                    <w:rPr>
                      <w:rFonts w:cs="Georgia"/>
                    </w:rPr>
                    <w:t>e</w:t>
                  </w:r>
                  <w:r>
                    <w:rPr>
                      <w:rFonts w:cs="Georgia"/>
                      <w:spacing w:val="39"/>
                    </w:rPr>
                    <w:t xml:space="preserve"> </w:t>
                  </w:r>
                  <w:r>
                    <w:rPr>
                      <w:rFonts w:cs="Georgia"/>
                    </w:rPr>
                    <w:t>de</w:t>
                  </w:r>
                  <w:r>
                    <w:rPr>
                      <w:rFonts w:cs="Georgia"/>
                      <w:spacing w:val="42"/>
                    </w:rPr>
                    <w:t xml:space="preserve"> </w:t>
                  </w:r>
                  <w:r>
                    <w:rPr>
                      <w:rFonts w:cs="Georgia"/>
                      <w:spacing w:val="-1"/>
                    </w:rPr>
                    <w:t>pé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41"/>
                    </w:rPr>
                    <w:t xml:space="preserve"> </w:t>
                  </w:r>
                  <w:r>
                    <w:rPr>
                      <w:rFonts w:cs="Georgia"/>
                      <w:spacing w:val="1"/>
                    </w:rPr>
                    <w:t>h</w:t>
                  </w:r>
                  <w:r>
                    <w:rPr>
                      <w:rFonts w:cs="Georgia"/>
                      <w:spacing w:val="-1"/>
                    </w:rPr>
                    <w:t>eb</w:t>
                  </w:r>
                  <w:r>
                    <w:rPr>
                      <w:rFonts w:cs="Georgia"/>
                    </w:rPr>
                    <w:t>d</w:t>
                  </w:r>
                  <w:r>
                    <w:rPr>
                      <w:rFonts w:cs="Georgia"/>
                      <w:spacing w:val="-1"/>
                    </w:rPr>
                    <w:t>o</w:t>
                  </w:r>
                  <w:r>
                    <w:rPr>
                      <w:rFonts w:cs="Georgia"/>
                    </w:rPr>
                    <w:t>m</w:t>
                  </w:r>
                  <w:r>
                    <w:rPr>
                      <w:rFonts w:cs="Georgia"/>
                      <w:spacing w:val="-1"/>
                    </w:rPr>
                    <w:t>a</w:t>
                  </w:r>
                  <w:r>
                    <w:rPr>
                      <w:rFonts w:cs="Georgia"/>
                      <w:spacing w:val="1"/>
                    </w:rPr>
                    <w:t>d</w:t>
                  </w:r>
                  <w:r>
                    <w:rPr>
                      <w:rFonts w:cs="Georgia"/>
                      <w:spacing w:val="-1"/>
                    </w:rPr>
                    <w:t>a</w:t>
                  </w:r>
                  <w:r>
                    <w:rPr>
                      <w:rFonts w:cs="Georgia"/>
                    </w:rPr>
                    <w:t>i</w:t>
                  </w:r>
                  <w:r>
                    <w:rPr>
                      <w:rFonts w:cs="Georgia"/>
                      <w:spacing w:val="1"/>
                    </w:rPr>
                    <w:t>r</w:t>
                  </w:r>
                  <w:r>
                    <w:rPr>
                      <w:rFonts w:cs="Georgia"/>
                      <w:spacing w:val="-1"/>
                    </w:rPr>
                    <w:t>e</w:t>
                  </w:r>
                  <w:r>
                    <w:rPr>
                      <w:rFonts w:cs="Georgia"/>
                    </w:rPr>
                    <w:t xml:space="preserve">s </w:t>
                  </w:r>
                  <w:r>
                    <w:rPr>
                      <w:rFonts w:cs="Georgia"/>
                      <w:spacing w:val="1"/>
                    </w:rPr>
                    <w:t>or</w:t>
                  </w:r>
                  <w:r>
                    <w:rPr>
                      <w:rFonts w:cs="Georgia"/>
                    </w:rPr>
                    <w:t>g</w:t>
                  </w:r>
                  <w:r>
                    <w:rPr>
                      <w:rFonts w:cs="Georgia"/>
                      <w:spacing w:val="-1"/>
                    </w:rPr>
                    <w:t>an</w:t>
                  </w:r>
                  <w:r>
                    <w:rPr>
                      <w:rFonts w:cs="Georgia"/>
                      <w:spacing w:val="-2"/>
                    </w:rPr>
                    <w:t>i</w:t>
                  </w:r>
                  <w:r>
                    <w:rPr>
                      <w:rFonts w:cs="Georgia"/>
                      <w:spacing w:val="1"/>
                    </w:rPr>
                    <w:t>s</w:t>
                  </w:r>
                  <w:r>
                    <w:rPr>
                      <w:rFonts w:cs="Georgia"/>
                      <w:spacing w:val="-1"/>
                    </w:rPr>
                    <w:t>ée</w:t>
                  </w:r>
                  <w:r>
                    <w:rPr>
                      <w:rFonts w:cs="Georgia"/>
                    </w:rPr>
                    <w:t xml:space="preserve">s. </w:t>
                  </w:r>
                </w:p>
                <w:p>
                  <w:pPr>
                    <w:widowControl w:val="0"/>
                    <w:autoSpaceDE w:val="0"/>
                    <w:autoSpaceDN w:val="0"/>
                    <w:adjustRightInd w:val="0"/>
                    <w:spacing w:before="1" w:line="220" w:lineRule="exact"/>
                    <w:jc w:val="both"/>
                    <w:rPr>
                      <w:rFonts w:cs="Georgia"/>
                      <w:b/>
                      <w:color w:val="000000"/>
                      <w:spacing w:val="-1"/>
                      <w:u w:val="single"/>
                    </w:rPr>
                  </w:pPr>
                </w:p>
                <w:p>
                  <w:pPr>
                    <w:widowControl w:val="0"/>
                    <w:numPr>
                      <w:ilvl w:val="0"/>
                      <w:numId w:val="52"/>
                    </w:numPr>
                    <w:autoSpaceDE w:val="0"/>
                    <w:autoSpaceDN w:val="0"/>
                    <w:adjustRightInd w:val="0"/>
                    <w:spacing w:before="1" w:line="220" w:lineRule="exact"/>
                    <w:ind w:left="360"/>
                    <w:jc w:val="both"/>
                    <w:rPr>
                      <w:rFonts w:cs="Georgia"/>
                      <w:b/>
                      <w:color w:val="000000"/>
                      <w:spacing w:val="-1"/>
                      <w:u w:val="single"/>
                    </w:rPr>
                  </w:pPr>
                  <w:r>
                    <w:rPr>
                      <w:rFonts w:cs="Georgia"/>
                      <w:b/>
                      <w:color w:val="000000"/>
                      <w:u w:val="single"/>
                    </w:rPr>
                    <w:t>Un</w:t>
                  </w:r>
                  <w:r>
                    <w:rPr>
                      <w:rFonts w:cs="Georgia"/>
                      <w:b/>
                      <w:color w:val="000000"/>
                      <w:spacing w:val="-1"/>
                      <w:u w:val="single"/>
                    </w:rPr>
                    <w:t xml:space="preserve"> no</w:t>
                  </w:r>
                  <w:r>
                    <w:rPr>
                      <w:rFonts w:cs="Georgia"/>
                      <w:b/>
                      <w:color w:val="000000"/>
                      <w:u w:val="single"/>
                    </w:rPr>
                    <w:t>m</w:t>
                  </w:r>
                  <w:r>
                    <w:rPr>
                      <w:rFonts w:cs="Georgia"/>
                      <w:b/>
                      <w:color w:val="000000"/>
                      <w:spacing w:val="-1"/>
                      <w:u w:val="single"/>
                    </w:rPr>
                    <w:t>b</w:t>
                  </w:r>
                  <w:r>
                    <w:rPr>
                      <w:rFonts w:cs="Georgia"/>
                      <w:b/>
                      <w:color w:val="000000"/>
                      <w:spacing w:val="1"/>
                      <w:u w:val="single"/>
                    </w:rPr>
                    <w:t>r</w:t>
                  </w:r>
                  <w:r>
                    <w:rPr>
                      <w:rFonts w:cs="Georgia"/>
                      <w:b/>
                      <w:color w:val="000000"/>
                      <w:u w:val="single"/>
                    </w:rPr>
                    <w:t>e</w:t>
                  </w:r>
                  <w:r>
                    <w:rPr>
                      <w:rFonts w:cs="Georgia"/>
                      <w:b/>
                      <w:color w:val="000000"/>
                      <w:spacing w:val="-1"/>
                      <w:u w:val="single"/>
                    </w:rPr>
                    <w:t xml:space="preserve"> </w:t>
                  </w:r>
                  <w:r>
                    <w:rPr>
                      <w:rFonts w:cs="Georgia"/>
                      <w:b/>
                      <w:color w:val="000000"/>
                      <w:u w:val="single"/>
                    </w:rPr>
                    <w:t>guid</w:t>
                  </w:r>
                  <w:r>
                    <w:rPr>
                      <w:rFonts w:cs="Georgia"/>
                      <w:b/>
                      <w:color w:val="000000"/>
                      <w:spacing w:val="-1"/>
                      <w:u w:val="single"/>
                    </w:rPr>
                    <w:t>e</w:t>
                  </w:r>
                </w:p>
                <w:p>
                  <w:pPr>
                    <w:widowControl w:val="0"/>
                    <w:autoSpaceDE w:val="0"/>
                    <w:autoSpaceDN w:val="0"/>
                    <w:adjustRightInd w:val="0"/>
                    <w:spacing w:before="5" w:line="260" w:lineRule="exact"/>
                    <w:jc w:val="both"/>
                    <w:rPr>
                      <w:rFonts w:cs="Georgia"/>
                    </w:rPr>
                  </w:pPr>
                </w:p>
                <w:p>
                  <w:pPr>
                    <w:widowControl w:val="0"/>
                    <w:autoSpaceDE w:val="0"/>
                    <w:autoSpaceDN w:val="0"/>
                    <w:adjustRightInd w:val="0"/>
                    <w:ind w:right="-20"/>
                    <w:jc w:val="both"/>
                    <w:rPr>
                      <w:rFonts w:cs="Georgia"/>
                      <w:spacing w:val="1"/>
                    </w:rPr>
                  </w:pPr>
                  <w:r>
                    <w:rPr>
                      <w:rFonts w:cs="Georgia"/>
                      <w:spacing w:val="1"/>
                    </w:rPr>
                    <w:t>Le nombre guide est un nombre de référence intervenant dans le calcul du capital-périodes utilisable et du nombre de groupes.</w:t>
                  </w:r>
                </w:p>
                <w:p>
                  <w:pPr>
                    <w:widowControl w:val="0"/>
                    <w:autoSpaceDE w:val="0"/>
                    <w:autoSpaceDN w:val="0"/>
                    <w:adjustRightInd w:val="0"/>
                    <w:ind w:right="-20"/>
                    <w:jc w:val="both"/>
                    <w:rPr>
                      <w:rFonts w:cs="Georgia"/>
                      <w:spacing w:val="1"/>
                    </w:rPr>
                  </w:pPr>
                </w:p>
                <w:p>
                  <w:pPr>
                    <w:widowControl w:val="0"/>
                    <w:tabs>
                      <w:tab w:val="left" w:pos="820"/>
                    </w:tabs>
                    <w:autoSpaceDE w:val="0"/>
                    <w:autoSpaceDN w:val="0"/>
                    <w:adjustRightInd w:val="0"/>
                    <w:ind w:right="-20"/>
                    <w:jc w:val="both"/>
                    <w:rPr>
                      <w:rFonts w:cs="Georgia"/>
                    </w:rPr>
                  </w:pPr>
                  <w:r>
                    <w:rPr>
                      <w:rFonts w:cs="Georgia"/>
                      <w:spacing w:val="1"/>
                    </w:rPr>
                    <w:t>L</w:t>
                  </w:r>
                  <w:r>
                    <w:rPr>
                      <w:rFonts w:cs="Georgia"/>
                    </w:rPr>
                    <w:t>e</w:t>
                  </w:r>
                  <w:r>
                    <w:rPr>
                      <w:rFonts w:cs="Georgia"/>
                      <w:spacing w:val="-2"/>
                    </w:rPr>
                    <w:t xml:space="preserve"> </w:t>
                  </w:r>
                  <w:r>
                    <w:rPr>
                      <w:rFonts w:cs="Georgia"/>
                      <w:spacing w:val="-1"/>
                    </w:rPr>
                    <w:t>n</w:t>
                  </w:r>
                  <w:r>
                    <w:rPr>
                      <w:rFonts w:cs="Georgia"/>
                      <w:spacing w:val="1"/>
                    </w:rPr>
                    <w:t>o</w:t>
                  </w:r>
                  <w:r>
                    <w:rPr>
                      <w:rFonts w:cs="Georgia"/>
                      <w:spacing w:val="-3"/>
                    </w:rPr>
                    <w:t>m</w:t>
                  </w:r>
                  <w:r>
                    <w:rPr>
                      <w:rFonts w:cs="Georgia"/>
                      <w:spacing w:val="1"/>
                    </w:rPr>
                    <w:t>br</w:t>
                  </w:r>
                  <w:r>
                    <w:rPr>
                      <w:rFonts w:cs="Georgia"/>
                    </w:rPr>
                    <w:t>e</w:t>
                  </w:r>
                  <w:r>
                    <w:rPr>
                      <w:rFonts w:cs="Georgia"/>
                      <w:spacing w:val="-2"/>
                    </w:rPr>
                    <w:t xml:space="preserve"> </w:t>
                  </w:r>
                  <w:r>
                    <w:rPr>
                      <w:rFonts w:cs="Georgia"/>
                    </w:rPr>
                    <w:t>gu</w:t>
                  </w:r>
                  <w:r>
                    <w:rPr>
                      <w:rFonts w:cs="Georgia"/>
                      <w:spacing w:val="-2"/>
                    </w:rPr>
                    <w:t>i</w:t>
                  </w:r>
                  <w:r>
                    <w:rPr>
                      <w:rFonts w:cs="Georgia"/>
                    </w:rPr>
                    <w:t>de</w:t>
                  </w:r>
                  <w:r>
                    <w:rPr>
                      <w:rFonts w:cs="Georgia"/>
                      <w:spacing w:val="-2"/>
                    </w:rPr>
                    <w:t xml:space="preserve"> </w:t>
                  </w:r>
                  <w:r>
                    <w:rPr>
                      <w:rFonts w:cs="Georgia"/>
                      <w:spacing w:val="-1"/>
                    </w:rPr>
                    <w:t>e</w:t>
                  </w:r>
                  <w:r>
                    <w:rPr>
                      <w:rFonts w:cs="Georgia"/>
                      <w:spacing w:val="1"/>
                    </w:rPr>
                    <w:t>s</w:t>
                  </w:r>
                  <w:r>
                    <w:rPr>
                      <w:rFonts w:cs="Georgia"/>
                    </w:rPr>
                    <w:t>t fi</w:t>
                  </w:r>
                  <w:r>
                    <w:rPr>
                      <w:rFonts w:cs="Georgia"/>
                      <w:spacing w:val="-1"/>
                    </w:rPr>
                    <w:t>xé</w:t>
                  </w:r>
                  <w:r>
                    <w:rPr>
                      <w:rFonts w:cs="Georgia"/>
                    </w:rPr>
                    <w:t> :</w:t>
                  </w:r>
                </w:p>
                <w:p>
                  <w:pPr>
                    <w:widowControl w:val="0"/>
                    <w:tabs>
                      <w:tab w:val="left" w:pos="820"/>
                    </w:tabs>
                    <w:autoSpaceDE w:val="0"/>
                    <w:autoSpaceDN w:val="0"/>
                    <w:adjustRightInd w:val="0"/>
                    <w:ind w:right="-20"/>
                    <w:jc w:val="both"/>
                    <w:rPr>
                      <w:rFonts w:cs="Georgia"/>
                    </w:rPr>
                  </w:pPr>
                </w:p>
                <w:p>
                  <w:pPr>
                    <w:widowControl w:val="0"/>
                    <w:numPr>
                      <w:ilvl w:val="0"/>
                      <w:numId w:val="54"/>
                    </w:numPr>
                    <w:tabs>
                      <w:tab w:val="left" w:pos="820"/>
                    </w:tabs>
                    <w:autoSpaceDE w:val="0"/>
                    <w:autoSpaceDN w:val="0"/>
                    <w:adjustRightInd w:val="0"/>
                    <w:ind w:left="927" w:right="-20"/>
                    <w:jc w:val="both"/>
                    <w:rPr>
                      <w:rFonts w:cs="Georgia"/>
                    </w:rPr>
                  </w:pPr>
                  <w:r>
                    <w:rPr>
                      <w:rFonts w:cs="Georgia"/>
                      <w:spacing w:val="1"/>
                    </w:rPr>
                    <w:t>p</w:t>
                  </w:r>
                  <w:r>
                    <w:rPr>
                      <w:rFonts w:cs="Georgia"/>
                      <w:spacing w:val="-1"/>
                    </w:rPr>
                    <w:t>a</w:t>
                  </w:r>
                  <w:r>
                    <w:rPr>
                      <w:rFonts w:cs="Georgia"/>
                    </w:rPr>
                    <w:t xml:space="preserve">r </w:t>
                  </w:r>
                  <w:r>
                    <w:rPr>
                      <w:rFonts w:cs="Georgia"/>
                      <w:spacing w:val="1"/>
                    </w:rPr>
                    <w:t>t</w:t>
                  </w:r>
                  <w:r>
                    <w:rPr>
                      <w:rFonts w:cs="Georgia"/>
                      <w:spacing w:val="-3"/>
                    </w:rPr>
                    <w:t>y</w:t>
                  </w:r>
                  <w:r>
                    <w:rPr>
                      <w:rFonts w:cs="Georgia"/>
                      <w:spacing w:val="1"/>
                    </w:rPr>
                    <w:t>p</w:t>
                  </w:r>
                  <w:r>
                    <w:rPr>
                      <w:rFonts w:cs="Georgia"/>
                    </w:rPr>
                    <w:t>e</w:t>
                  </w:r>
                  <w:r>
                    <w:rPr>
                      <w:rFonts w:cs="Georgia"/>
                      <w:spacing w:val="-1"/>
                    </w:rPr>
                    <w:t xml:space="preserve"> </w:t>
                  </w:r>
                  <w:r>
                    <w:rPr>
                      <w:rFonts w:cs="Georgia"/>
                    </w:rPr>
                    <w:t>d</w:t>
                  </w:r>
                  <w:r>
                    <w:rPr>
                      <w:rFonts w:cs="Georgia"/>
                      <w:spacing w:val="1"/>
                    </w:rPr>
                    <w:t>'</w:t>
                  </w:r>
                  <w:r>
                    <w:rPr>
                      <w:rFonts w:cs="Georgia"/>
                      <w:spacing w:val="-1"/>
                    </w:rPr>
                    <w:t>en</w:t>
                  </w:r>
                  <w:r>
                    <w:rPr>
                      <w:rFonts w:cs="Georgia"/>
                      <w:spacing w:val="1"/>
                    </w:rPr>
                    <w:t>s</w:t>
                  </w:r>
                  <w:r>
                    <w:rPr>
                      <w:rFonts w:cs="Georgia"/>
                      <w:spacing w:val="-1"/>
                    </w:rPr>
                    <w:t>e</w:t>
                  </w:r>
                  <w:r>
                    <w:rPr>
                      <w:rFonts w:cs="Georgia"/>
                    </w:rPr>
                    <w:t>ig</w:t>
                  </w:r>
                  <w:r>
                    <w:rPr>
                      <w:rFonts w:cs="Georgia"/>
                      <w:spacing w:val="-1"/>
                    </w:rPr>
                    <w:t>ne</w:t>
                  </w:r>
                  <w:r>
                    <w:rPr>
                      <w:rFonts w:cs="Georgia"/>
                    </w:rPr>
                    <w:t>m</w:t>
                  </w:r>
                  <w:r>
                    <w:rPr>
                      <w:rFonts w:cs="Georgia"/>
                      <w:spacing w:val="-3"/>
                    </w:rPr>
                    <w:t>e</w:t>
                  </w:r>
                  <w:r>
                    <w:rPr>
                      <w:rFonts w:cs="Georgia"/>
                      <w:spacing w:val="-1"/>
                    </w:rPr>
                    <w:t>n</w:t>
                  </w:r>
                  <w:r>
                    <w:rPr>
                      <w:rFonts w:cs="Georgia"/>
                      <w:spacing w:val="1"/>
                    </w:rPr>
                    <w:t>t</w:t>
                  </w:r>
                </w:p>
                <w:p>
                  <w:pPr>
                    <w:widowControl w:val="0"/>
                    <w:autoSpaceDE w:val="0"/>
                    <w:autoSpaceDN w:val="0"/>
                    <w:adjustRightInd w:val="0"/>
                    <w:ind w:right="-20"/>
                    <w:jc w:val="center"/>
                    <w:rPr>
                      <w:rFonts w:cs="Georgia"/>
                      <w:spacing w:val="1"/>
                    </w:rPr>
                  </w:pPr>
                </w:p>
                <w:tbl>
                  <w:tblPr>
                    <w:tblW w:w="8992" w:type="dxa"/>
                    <w:jc w:val="center"/>
                    <w:tblLayout w:type="fixed"/>
                    <w:tblCellMar>
                      <w:left w:w="0" w:type="dxa"/>
                      <w:right w:w="0" w:type="dxa"/>
                    </w:tblCellMar>
                    <w:tblLook w:val="0000" w:firstRow="0" w:lastRow="0" w:firstColumn="0" w:lastColumn="0" w:noHBand="0" w:noVBand="0"/>
                  </w:tblPr>
                  <w:tblGrid>
                    <w:gridCol w:w="2075"/>
                    <w:gridCol w:w="5437"/>
                    <w:gridCol w:w="1480"/>
                  </w:tblGrid>
                  <w:tr>
                    <w:trPr>
                      <w:trHeight w:hRule="exact" w:val="601"/>
                      <w:jc w:val="center"/>
                    </w:trPr>
                    <w:tc>
                      <w:tcPr>
                        <w:tcW w:w="2075"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2223"/>
                          </w:tabs>
                          <w:autoSpaceDE w:val="0"/>
                          <w:autoSpaceDN w:val="0"/>
                          <w:adjustRightInd w:val="0"/>
                          <w:spacing w:line="249" w:lineRule="exact"/>
                          <w:jc w:val="center"/>
                          <w:rPr>
                            <w:rFonts w:cs="Georgia"/>
                          </w:rPr>
                        </w:pPr>
                        <w:r>
                          <w:rPr>
                            <w:rFonts w:cs="Georgia"/>
                            <w:b/>
                            <w:bCs/>
                          </w:rPr>
                          <w:t>T</w:t>
                        </w:r>
                        <w:r>
                          <w:rPr>
                            <w:rFonts w:cs="Georgia"/>
                            <w:b/>
                            <w:bCs/>
                            <w:spacing w:val="1"/>
                          </w:rPr>
                          <w:t>y</w:t>
                        </w:r>
                        <w:r>
                          <w:rPr>
                            <w:rFonts w:cs="Georgia"/>
                            <w:b/>
                            <w:bCs/>
                            <w:spacing w:val="-1"/>
                          </w:rPr>
                          <w:t>p</w:t>
                        </w:r>
                        <w:r>
                          <w:rPr>
                            <w:rFonts w:cs="Georgia"/>
                            <w:b/>
                            <w:bCs/>
                            <w:spacing w:val="1"/>
                          </w:rPr>
                          <w:t>e</w:t>
                        </w:r>
                        <w:r>
                          <w:rPr>
                            <w:rFonts w:cs="Georgia"/>
                            <w:b/>
                            <w:bCs/>
                          </w:rPr>
                          <w:t>s</w:t>
                        </w:r>
                      </w:p>
                      <w:p>
                        <w:pPr>
                          <w:widowControl w:val="0"/>
                          <w:tabs>
                            <w:tab w:val="left" w:pos="2223"/>
                          </w:tabs>
                          <w:autoSpaceDE w:val="0"/>
                          <w:autoSpaceDN w:val="0"/>
                          <w:adjustRightInd w:val="0"/>
                          <w:spacing w:before="2" w:line="249" w:lineRule="exact"/>
                          <w:jc w:val="center"/>
                        </w:pPr>
                        <w:r>
                          <w:rPr>
                            <w:rFonts w:cs="Georgia"/>
                            <w:b/>
                            <w:bCs/>
                          </w:rPr>
                          <w:t>d</w:t>
                        </w:r>
                        <w:r>
                          <w:rPr>
                            <w:rFonts w:cs="Georgia"/>
                            <w:b/>
                            <w:bCs/>
                            <w:spacing w:val="1"/>
                          </w:rPr>
                          <w:t>'e</w:t>
                        </w:r>
                        <w:r>
                          <w:rPr>
                            <w:rFonts w:cs="Georgia"/>
                            <w:b/>
                            <w:bCs/>
                            <w:spacing w:val="-1"/>
                          </w:rPr>
                          <w:t>n</w:t>
                        </w:r>
                        <w:r>
                          <w:rPr>
                            <w:rFonts w:cs="Georgia"/>
                            <w:b/>
                            <w:bCs/>
                          </w:rPr>
                          <w:t>s</w:t>
                        </w:r>
                        <w:r>
                          <w:rPr>
                            <w:rFonts w:cs="Georgia"/>
                            <w:b/>
                            <w:bCs/>
                            <w:spacing w:val="-1"/>
                          </w:rPr>
                          <w:t>e</w:t>
                        </w:r>
                        <w:r>
                          <w:rPr>
                            <w:rFonts w:cs="Georgia"/>
                            <w:b/>
                            <w:bCs/>
                            <w:spacing w:val="1"/>
                          </w:rPr>
                          <w:t>i</w:t>
                        </w:r>
                        <w:r>
                          <w:rPr>
                            <w:rFonts w:cs="Georgia"/>
                            <w:b/>
                            <w:bCs/>
                          </w:rPr>
                          <w:t>g</w:t>
                        </w:r>
                        <w:r>
                          <w:rPr>
                            <w:rFonts w:cs="Georgia"/>
                            <w:b/>
                            <w:bCs/>
                            <w:spacing w:val="-4"/>
                          </w:rPr>
                          <w:t>n</w:t>
                        </w:r>
                        <w:r>
                          <w:rPr>
                            <w:rFonts w:cs="Georgia"/>
                            <w:b/>
                            <w:bCs/>
                            <w:spacing w:val="1"/>
                          </w:rPr>
                          <w:t>e</w:t>
                        </w:r>
                        <w:r>
                          <w:rPr>
                            <w:rFonts w:cs="Georgia"/>
                            <w:b/>
                            <w:bCs/>
                            <w:spacing w:val="-1"/>
                          </w:rPr>
                          <w:t>m</w:t>
                        </w:r>
                        <w:r>
                          <w:rPr>
                            <w:rFonts w:cs="Georgia"/>
                            <w:b/>
                            <w:bCs/>
                            <w:spacing w:val="1"/>
                          </w:rPr>
                          <w:t>e</w:t>
                        </w:r>
                        <w:r>
                          <w:rPr>
                            <w:rFonts w:cs="Georgia"/>
                            <w:b/>
                            <w:bCs/>
                            <w:spacing w:val="-1"/>
                          </w:rPr>
                          <w:t>nt</w:t>
                        </w:r>
                      </w:p>
                    </w:tc>
                    <w:tc>
                      <w:tcPr>
                        <w:tcW w:w="5437" w:type="dxa"/>
                        <w:tcBorders>
                          <w:top w:val="single" w:sz="4" w:space="0" w:color="000000"/>
                          <w:left w:val="single" w:sz="4" w:space="0" w:color="000000"/>
                          <w:bottom w:val="single" w:sz="4" w:space="0" w:color="000000"/>
                          <w:right w:val="single" w:sz="4" w:space="0" w:color="000000"/>
                        </w:tcBorders>
                      </w:tcPr>
                      <w:p>
                        <w:pPr>
                          <w:widowControl w:val="0"/>
                          <w:tabs>
                            <w:tab w:val="left" w:pos="2223"/>
                          </w:tabs>
                          <w:autoSpaceDE w:val="0"/>
                          <w:autoSpaceDN w:val="0"/>
                          <w:adjustRightInd w:val="0"/>
                          <w:jc w:val="center"/>
                        </w:pPr>
                      </w:p>
                    </w:tc>
                    <w:tc>
                      <w:tcPr>
                        <w:tcW w:w="1480"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2223"/>
                          </w:tabs>
                          <w:autoSpaceDE w:val="0"/>
                          <w:autoSpaceDN w:val="0"/>
                          <w:adjustRightInd w:val="0"/>
                          <w:spacing w:line="249" w:lineRule="exact"/>
                          <w:ind w:right="39"/>
                          <w:jc w:val="center"/>
                          <w:rPr>
                            <w:rFonts w:cs="Georgia"/>
                          </w:rPr>
                        </w:pPr>
                        <w:r>
                          <w:rPr>
                            <w:rFonts w:cs="Georgia"/>
                            <w:b/>
                            <w:bCs/>
                          </w:rPr>
                          <w:t>N</w:t>
                        </w:r>
                        <w:r>
                          <w:rPr>
                            <w:rFonts w:cs="Georgia"/>
                            <w:b/>
                            <w:bCs/>
                            <w:spacing w:val="-1"/>
                          </w:rPr>
                          <w:t>omb</w:t>
                        </w:r>
                        <w:r>
                          <w:rPr>
                            <w:rFonts w:cs="Georgia"/>
                            <w:b/>
                            <w:bCs/>
                          </w:rPr>
                          <w:t>re</w:t>
                        </w:r>
                      </w:p>
                      <w:p>
                        <w:pPr>
                          <w:widowControl w:val="0"/>
                          <w:tabs>
                            <w:tab w:val="left" w:pos="2223"/>
                          </w:tabs>
                          <w:autoSpaceDE w:val="0"/>
                          <w:autoSpaceDN w:val="0"/>
                          <w:adjustRightInd w:val="0"/>
                          <w:spacing w:before="2" w:line="249" w:lineRule="exact"/>
                          <w:jc w:val="center"/>
                        </w:pPr>
                        <w:r>
                          <w:rPr>
                            <w:rFonts w:cs="Georgia"/>
                            <w:b/>
                            <w:bCs/>
                          </w:rPr>
                          <w:t>g</w:t>
                        </w:r>
                        <w:r>
                          <w:rPr>
                            <w:rFonts w:cs="Georgia"/>
                            <w:b/>
                            <w:bCs/>
                            <w:spacing w:val="-1"/>
                          </w:rPr>
                          <w:t>u</w:t>
                        </w:r>
                        <w:r>
                          <w:rPr>
                            <w:rFonts w:cs="Georgia"/>
                            <w:b/>
                            <w:bCs/>
                            <w:spacing w:val="1"/>
                          </w:rPr>
                          <w:t>i</w:t>
                        </w:r>
                        <w:r>
                          <w:rPr>
                            <w:rFonts w:cs="Georgia"/>
                            <w:b/>
                            <w:bCs/>
                          </w:rPr>
                          <w:t>de</w:t>
                        </w:r>
                      </w:p>
                    </w:tc>
                  </w:tr>
                  <w:tr>
                    <w:trPr>
                      <w:trHeight w:hRule="exact" w:val="512"/>
                      <w:jc w:val="center"/>
                    </w:trPr>
                    <w:tc>
                      <w:tcPr>
                        <w:tcW w:w="2075"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2223"/>
                          </w:tabs>
                          <w:autoSpaceDE w:val="0"/>
                          <w:autoSpaceDN w:val="0"/>
                          <w:adjustRightInd w:val="0"/>
                          <w:spacing w:line="249" w:lineRule="exact"/>
                          <w:jc w:val="center"/>
                        </w:pPr>
                        <w:r>
                          <w:rPr>
                            <w:rFonts w:cs="Georgia"/>
                            <w:b/>
                            <w:bCs/>
                          </w:rPr>
                          <w:t>1</w:t>
                        </w:r>
                        <w:r>
                          <w:rPr>
                            <w:rFonts w:cs="Georgia"/>
                            <w:b/>
                            <w:bCs/>
                            <w:spacing w:val="-1"/>
                          </w:rPr>
                          <w:t xml:space="preserve"> </w:t>
                        </w:r>
                        <w:r>
                          <w:rPr>
                            <w:rFonts w:cs="Georgia"/>
                            <w:b/>
                            <w:bCs/>
                            <w:spacing w:val="1"/>
                          </w:rPr>
                          <w:t>e</w:t>
                        </w:r>
                        <w:r>
                          <w:rPr>
                            <w:rFonts w:cs="Georgia"/>
                            <w:b/>
                            <w:bCs/>
                          </w:rPr>
                          <w:t>t 8</w:t>
                        </w:r>
                      </w:p>
                    </w:tc>
                    <w:tc>
                      <w:tcPr>
                        <w:tcW w:w="5437" w:type="dxa"/>
                        <w:tcBorders>
                          <w:top w:val="single" w:sz="4" w:space="0" w:color="000000"/>
                          <w:left w:val="single" w:sz="4" w:space="0" w:color="000000"/>
                          <w:bottom w:val="single" w:sz="4" w:space="0" w:color="000000"/>
                          <w:right w:val="single" w:sz="4" w:space="0" w:color="000000"/>
                        </w:tcBorders>
                      </w:tcPr>
                      <w:p>
                        <w:pPr>
                          <w:widowControl w:val="0"/>
                          <w:tabs>
                            <w:tab w:val="left" w:pos="2223"/>
                          </w:tabs>
                          <w:autoSpaceDE w:val="0"/>
                          <w:autoSpaceDN w:val="0"/>
                          <w:adjustRightInd w:val="0"/>
                          <w:spacing w:line="249" w:lineRule="exact"/>
                          <w:jc w:val="center"/>
                          <w:rPr>
                            <w:rFonts w:cs="Georgia"/>
                          </w:rPr>
                        </w:pPr>
                        <w:r>
                          <w:rPr>
                            <w:rFonts w:cs="Georgia"/>
                          </w:rPr>
                          <w:t>-</w:t>
                        </w:r>
                        <w:r>
                          <w:rPr>
                            <w:rFonts w:cs="Georgia"/>
                            <w:spacing w:val="-1"/>
                          </w:rPr>
                          <w:t xml:space="preserve"> </w:t>
                        </w:r>
                        <w:r>
                          <w:rPr>
                            <w:rFonts w:cs="Georgia"/>
                          </w:rPr>
                          <w:t xml:space="preserve">49 </w:t>
                        </w:r>
                        <w:r>
                          <w:rPr>
                            <w:rFonts w:cs="Georgia"/>
                            <w:spacing w:val="1"/>
                          </w:rPr>
                          <w:t>pr</w:t>
                        </w:r>
                        <w:r>
                          <w:rPr>
                            <w:rFonts w:cs="Georgia"/>
                            <w:spacing w:val="-1"/>
                          </w:rPr>
                          <w:t>e</w:t>
                        </w:r>
                        <w:r>
                          <w:rPr>
                            <w:rFonts w:cs="Georgia"/>
                          </w:rPr>
                          <w:t>mi</w:t>
                        </w:r>
                        <w:r>
                          <w:rPr>
                            <w:rFonts w:cs="Georgia"/>
                            <w:spacing w:val="-1"/>
                          </w:rPr>
                          <w:t>e</w:t>
                        </w:r>
                        <w:r>
                          <w:rPr>
                            <w:rFonts w:cs="Georgia"/>
                            <w:spacing w:val="1"/>
                          </w:rPr>
                          <w:t>r</w:t>
                        </w:r>
                        <w:r>
                          <w:rPr>
                            <w:rFonts w:cs="Georgia"/>
                          </w:rPr>
                          <w:t xml:space="preserve">s </w:t>
                        </w:r>
                        <w:r>
                          <w:rPr>
                            <w:rFonts w:cs="Georgia"/>
                            <w:spacing w:val="-1"/>
                          </w:rPr>
                          <w:t>élè</w:t>
                        </w:r>
                        <w:r>
                          <w:rPr>
                            <w:rFonts w:cs="Georgia"/>
                            <w:spacing w:val="1"/>
                          </w:rPr>
                          <w:t>v</w:t>
                        </w:r>
                        <w:r>
                          <w:rPr>
                            <w:rFonts w:cs="Georgia"/>
                            <w:spacing w:val="-1"/>
                          </w:rPr>
                          <w:t>es</w:t>
                        </w:r>
                      </w:p>
                      <w:p>
                        <w:pPr>
                          <w:widowControl w:val="0"/>
                          <w:tabs>
                            <w:tab w:val="left" w:pos="2223"/>
                          </w:tabs>
                          <w:autoSpaceDE w:val="0"/>
                          <w:autoSpaceDN w:val="0"/>
                          <w:adjustRightInd w:val="0"/>
                          <w:spacing w:line="248" w:lineRule="exact"/>
                          <w:jc w:val="center"/>
                        </w:pPr>
                        <w:r>
                          <w:rPr>
                            <w:rFonts w:cs="Georgia"/>
                          </w:rPr>
                          <w:t>-</w:t>
                        </w:r>
                        <w:r>
                          <w:rPr>
                            <w:rFonts w:cs="Georgia"/>
                            <w:spacing w:val="-1"/>
                          </w:rPr>
                          <w:t xml:space="preserve"> </w:t>
                        </w:r>
                        <w:r>
                          <w:rPr>
                            <w:rFonts w:cs="Georgia"/>
                          </w:rPr>
                          <w:t>à</w:t>
                        </w:r>
                        <w:r>
                          <w:rPr>
                            <w:rFonts w:cs="Georgia"/>
                            <w:spacing w:val="-1"/>
                          </w:rPr>
                          <w:t xml:space="preserve"> </w:t>
                        </w:r>
                        <w:r>
                          <w:rPr>
                            <w:rFonts w:cs="Georgia"/>
                            <w:spacing w:val="1"/>
                          </w:rPr>
                          <w:t>p</w:t>
                        </w:r>
                        <w:r>
                          <w:rPr>
                            <w:rFonts w:cs="Georgia"/>
                            <w:spacing w:val="-1"/>
                          </w:rPr>
                          <w:t>a</w:t>
                        </w:r>
                        <w:r>
                          <w:rPr>
                            <w:rFonts w:cs="Georgia"/>
                            <w:spacing w:val="1"/>
                          </w:rPr>
                          <w:t>rt</w:t>
                        </w:r>
                        <w:r>
                          <w:rPr>
                            <w:rFonts w:cs="Georgia"/>
                          </w:rPr>
                          <w:t xml:space="preserve">ir </w:t>
                        </w:r>
                        <w:r>
                          <w:rPr>
                            <w:rFonts w:cs="Georgia"/>
                            <w:spacing w:val="-2"/>
                          </w:rPr>
                          <w:t>d</w:t>
                        </w:r>
                        <w:r>
                          <w:rPr>
                            <w:rFonts w:cs="Georgia"/>
                          </w:rPr>
                          <w:t xml:space="preserve">u </w:t>
                        </w:r>
                        <w:r>
                          <w:rPr>
                            <w:rFonts w:cs="Georgia"/>
                            <w:spacing w:val="1"/>
                          </w:rPr>
                          <w:t>5</w:t>
                        </w:r>
                        <w:r>
                          <w:rPr>
                            <w:rFonts w:cs="Georgia"/>
                            <w:spacing w:val="-1"/>
                          </w:rPr>
                          <w:t>0è</w:t>
                        </w:r>
                        <w:r>
                          <w:rPr>
                            <w:rFonts w:cs="Georgia"/>
                          </w:rPr>
                          <w:t>me</w:t>
                        </w:r>
                        <w:r>
                          <w:rPr>
                            <w:rFonts w:cs="Georgia"/>
                            <w:spacing w:val="-1"/>
                          </w:rPr>
                          <w:t xml:space="preserve"> élè</w:t>
                        </w:r>
                        <w:r>
                          <w:rPr>
                            <w:rFonts w:cs="Georgia"/>
                            <w:spacing w:val="1"/>
                          </w:rPr>
                          <w:t>v</w:t>
                        </w:r>
                        <w:r>
                          <w:rPr>
                            <w:rFonts w:cs="Georgia"/>
                          </w:rPr>
                          <w:t>e</w:t>
                        </w:r>
                      </w:p>
                    </w:tc>
                    <w:tc>
                      <w:tcPr>
                        <w:tcW w:w="1480" w:type="dxa"/>
                        <w:tcBorders>
                          <w:top w:val="single" w:sz="4" w:space="0" w:color="000000"/>
                          <w:left w:val="single" w:sz="4" w:space="0" w:color="000000"/>
                          <w:bottom w:val="single" w:sz="4" w:space="0" w:color="000000"/>
                          <w:right w:val="single" w:sz="4" w:space="0" w:color="000000"/>
                        </w:tcBorders>
                      </w:tcPr>
                      <w:p>
                        <w:pPr>
                          <w:widowControl w:val="0"/>
                          <w:tabs>
                            <w:tab w:val="left" w:pos="2223"/>
                          </w:tabs>
                          <w:autoSpaceDE w:val="0"/>
                          <w:autoSpaceDN w:val="0"/>
                          <w:adjustRightInd w:val="0"/>
                          <w:spacing w:line="249" w:lineRule="exact"/>
                          <w:ind w:right="39"/>
                          <w:jc w:val="center"/>
                          <w:rPr>
                            <w:rFonts w:cs="Georgia"/>
                          </w:rPr>
                        </w:pPr>
                        <w:r>
                          <w:rPr>
                            <w:rFonts w:cs="Georgia"/>
                          </w:rPr>
                          <w:t>9</w:t>
                        </w:r>
                      </w:p>
                      <w:p>
                        <w:pPr>
                          <w:widowControl w:val="0"/>
                          <w:tabs>
                            <w:tab w:val="left" w:pos="2223"/>
                          </w:tabs>
                          <w:autoSpaceDE w:val="0"/>
                          <w:autoSpaceDN w:val="0"/>
                          <w:adjustRightInd w:val="0"/>
                          <w:spacing w:line="248" w:lineRule="exact"/>
                          <w:ind w:right="39"/>
                          <w:jc w:val="center"/>
                        </w:pPr>
                        <w:r>
                          <w:rPr>
                            <w:rFonts w:cs="Georgia"/>
                            <w:spacing w:val="1"/>
                          </w:rPr>
                          <w:t>10</w:t>
                        </w:r>
                      </w:p>
                    </w:tc>
                  </w:tr>
                  <w:tr>
                    <w:trPr>
                      <w:trHeight w:hRule="exact" w:val="523"/>
                      <w:jc w:val="center"/>
                    </w:trPr>
                    <w:tc>
                      <w:tcPr>
                        <w:tcW w:w="2075"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2223"/>
                          </w:tabs>
                          <w:autoSpaceDE w:val="0"/>
                          <w:autoSpaceDN w:val="0"/>
                          <w:adjustRightInd w:val="0"/>
                          <w:spacing w:line="249" w:lineRule="exact"/>
                          <w:jc w:val="center"/>
                        </w:pPr>
                        <w:r>
                          <w:rPr>
                            <w:rFonts w:cs="Georgia"/>
                            <w:b/>
                            <w:bCs/>
                            <w:spacing w:val="1"/>
                          </w:rPr>
                          <w:t>2</w:t>
                        </w:r>
                        <w:r>
                          <w:rPr>
                            <w:rFonts w:cs="Georgia"/>
                            <w:b/>
                            <w:bCs/>
                          </w:rPr>
                          <w:t>,</w:t>
                        </w:r>
                        <w:r>
                          <w:rPr>
                            <w:rFonts w:cs="Georgia"/>
                            <w:b/>
                            <w:bCs/>
                            <w:spacing w:val="-1"/>
                          </w:rPr>
                          <w:t xml:space="preserve"> </w:t>
                        </w:r>
                        <w:r>
                          <w:rPr>
                            <w:rFonts w:cs="Georgia"/>
                            <w:b/>
                            <w:bCs/>
                          </w:rPr>
                          <w:t>3</w:t>
                        </w:r>
                        <w:r>
                          <w:rPr>
                            <w:rFonts w:cs="Georgia"/>
                            <w:b/>
                            <w:bCs/>
                            <w:spacing w:val="-2"/>
                          </w:rPr>
                          <w:t xml:space="preserve"> </w:t>
                        </w:r>
                        <w:r>
                          <w:rPr>
                            <w:rFonts w:cs="Georgia"/>
                            <w:b/>
                            <w:bCs/>
                            <w:spacing w:val="1"/>
                          </w:rPr>
                          <w:t>e</w:t>
                        </w:r>
                        <w:r>
                          <w:rPr>
                            <w:rFonts w:cs="Georgia"/>
                            <w:b/>
                            <w:bCs/>
                          </w:rPr>
                          <w:t>t 4</w:t>
                        </w:r>
                      </w:p>
                    </w:tc>
                    <w:tc>
                      <w:tcPr>
                        <w:tcW w:w="5437" w:type="dxa"/>
                        <w:tcBorders>
                          <w:top w:val="single" w:sz="4" w:space="0" w:color="000000"/>
                          <w:left w:val="single" w:sz="4" w:space="0" w:color="000000"/>
                          <w:bottom w:val="single" w:sz="4" w:space="0" w:color="000000"/>
                          <w:right w:val="single" w:sz="4" w:space="0" w:color="000000"/>
                        </w:tcBorders>
                      </w:tcPr>
                      <w:p>
                        <w:pPr>
                          <w:widowControl w:val="0"/>
                          <w:tabs>
                            <w:tab w:val="left" w:pos="2223"/>
                          </w:tabs>
                          <w:autoSpaceDE w:val="0"/>
                          <w:autoSpaceDN w:val="0"/>
                          <w:adjustRightInd w:val="0"/>
                          <w:spacing w:line="249" w:lineRule="exact"/>
                          <w:jc w:val="center"/>
                          <w:rPr>
                            <w:rFonts w:cs="Georgia"/>
                          </w:rPr>
                        </w:pPr>
                        <w:r>
                          <w:rPr>
                            <w:rFonts w:cs="Georgia"/>
                          </w:rPr>
                          <w:t>-</w:t>
                        </w:r>
                        <w:r>
                          <w:rPr>
                            <w:rFonts w:cs="Georgia"/>
                            <w:spacing w:val="-1"/>
                          </w:rPr>
                          <w:t xml:space="preserve"> </w:t>
                        </w:r>
                        <w:r>
                          <w:rPr>
                            <w:rFonts w:cs="Georgia"/>
                            <w:spacing w:val="1"/>
                          </w:rPr>
                          <w:t>3</w:t>
                        </w:r>
                        <w:r>
                          <w:rPr>
                            <w:rFonts w:cs="Georgia"/>
                          </w:rPr>
                          <w:t xml:space="preserve">4 </w:t>
                        </w:r>
                        <w:r>
                          <w:rPr>
                            <w:rFonts w:cs="Georgia"/>
                            <w:spacing w:val="1"/>
                          </w:rPr>
                          <w:t>pr</w:t>
                        </w:r>
                        <w:r>
                          <w:rPr>
                            <w:rFonts w:cs="Georgia"/>
                            <w:spacing w:val="-1"/>
                          </w:rPr>
                          <w:t>e</w:t>
                        </w:r>
                        <w:r>
                          <w:rPr>
                            <w:rFonts w:cs="Georgia"/>
                          </w:rPr>
                          <w:t>mi</w:t>
                        </w:r>
                        <w:r>
                          <w:rPr>
                            <w:rFonts w:cs="Georgia"/>
                            <w:spacing w:val="-1"/>
                          </w:rPr>
                          <w:t>e</w:t>
                        </w:r>
                        <w:r>
                          <w:rPr>
                            <w:rFonts w:cs="Georgia"/>
                            <w:spacing w:val="-2"/>
                          </w:rPr>
                          <w:t>r</w:t>
                        </w:r>
                        <w:r>
                          <w:rPr>
                            <w:rFonts w:cs="Georgia"/>
                          </w:rPr>
                          <w:t xml:space="preserve">s </w:t>
                        </w:r>
                        <w:r>
                          <w:rPr>
                            <w:rFonts w:cs="Georgia"/>
                            <w:spacing w:val="-1"/>
                          </w:rPr>
                          <w:t>élè</w:t>
                        </w:r>
                        <w:r>
                          <w:rPr>
                            <w:rFonts w:cs="Georgia"/>
                            <w:spacing w:val="1"/>
                          </w:rPr>
                          <w:t>v</w:t>
                        </w:r>
                        <w:r>
                          <w:rPr>
                            <w:rFonts w:cs="Georgia"/>
                            <w:spacing w:val="-1"/>
                          </w:rPr>
                          <w:t>es</w:t>
                        </w:r>
                      </w:p>
                      <w:p>
                        <w:pPr>
                          <w:widowControl w:val="0"/>
                          <w:tabs>
                            <w:tab w:val="left" w:pos="2223"/>
                          </w:tabs>
                          <w:autoSpaceDE w:val="0"/>
                          <w:autoSpaceDN w:val="0"/>
                          <w:adjustRightInd w:val="0"/>
                          <w:spacing w:before="2" w:line="249" w:lineRule="exact"/>
                          <w:jc w:val="center"/>
                        </w:pPr>
                        <w:r>
                          <w:rPr>
                            <w:rFonts w:cs="Georgia"/>
                          </w:rPr>
                          <w:t>-</w:t>
                        </w:r>
                        <w:r>
                          <w:rPr>
                            <w:rFonts w:cs="Georgia"/>
                            <w:spacing w:val="-1"/>
                          </w:rPr>
                          <w:t xml:space="preserve"> </w:t>
                        </w:r>
                        <w:r>
                          <w:rPr>
                            <w:rFonts w:cs="Georgia"/>
                          </w:rPr>
                          <w:t>à</w:t>
                        </w:r>
                        <w:r>
                          <w:rPr>
                            <w:rFonts w:cs="Georgia"/>
                            <w:spacing w:val="-1"/>
                          </w:rPr>
                          <w:t xml:space="preserve"> </w:t>
                        </w:r>
                        <w:r>
                          <w:rPr>
                            <w:rFonts w:cs="Georgia"/>
                            <w:spacing w:val="1"/>
                          </w:rPr>
                          <w:t>p</w:t>
                        </w:r>
                        <w:r>
                          <w:rPr>
                            <w:rFonts w:cs="Georgia"/>
                            <w:spacing w:val="-1"/>
                          </w:rPr>
                          <w:t>a</w:t>
                        </w:r>
                        <w:r>
                          <w:rPr>
                            <w:rFonts w:cs="Georgia"/>
                            <w:spacing w:val="1"/>
                          </w:rPr>
                          <w:t>rt</w:t>
                        </w:r>
                        <w:r>
                          <w:rPr>
                            <w:rFonts w:cs="Georgia"/>
                          </w:rPr>
                          <w:t xml:space="preserve">ir </w:t>
                        </w:r>
                        <w:r>
                          <w:rPr>
                            <w:rFonts w:cs="Georgia"/>
                            <w:spacing w:val="-2"/>
                          </w:rPr>
                          <w:t>d</w:t>
                        </w:r>
                        <w:r>
                          <w:rPr>
                            <w:rFonts w:cs="Georgia"/>
                          </w:rPr>
                          <w:t xml:space="preserve">u </w:t>
                        </w:r>
                        <w:r>
                          <w:rPr>
                            <w:rFonts w:cs="Georgia"/>
                            <w:spacing w:val="1"/>
                          </w:rPr>
                          <w:t>35</w:t>
                        </w:r>
                        <w:r>
                          <w:rPr>
                            <w:rFonts w:cs="Georgia"/>
                            <w:spacing w:val="-1"/>
                          </w:rPr>
                          <w:t>è</w:t>
                        </w:r>
                        <w:r>
                          <w:rPr>
                            <w:rFonts w:cs="Georgia"/>
                          </w:rPr>
                          <w:t>me</w:t>
                        </w:r>
                        <w:r>
                          <w:rPr>
                            <w:rFonts w:cs="Georgia"/>
                            <w:spacing w:val="-1"/>
                          </w:rPr>
                          <w:t xml:space="preserve"> élè</w:t>
                        </w:r>
                        <w:r>
                          <w:rPr>
                            <w:rFonts w:cs="Georgia"/>
                            <w:spacing w:val="1"/>
                          </w:rPr>
                          <w:t>ve</w:t>
                        </w:r>
                      </w:p>
                    </w:tc>
                    <w:tc>
                      <w:tcPr>
                        <w:tcW w:w="1480" w:type="dxa"/>
                        <w:tcBorders>
                          <w:top w:val="single" w:sz="4" w:space="0" w:color="000000"/>
                          <w:left w:val="single" w:sz="4" w:space="0" w:color="000000"/>
                          <w:bottom w:val="single" w:sz="4" w:space="0" w:color="000000"/>
                          <w:right w:val="single" w:sz="4" w:space="0" w:color="000000"/>
                        </w:tcBorders>
                      </w:tcPr>
                      <w:p>
                        <w:pPr>
                          <w:widowControl w:val="0"/>
                          <w:tabs>
                            <w:tab w:val="left" w:pos="2223"/>
                          </w:tabs>
                          <w:autoSpaceDE w:val="0"/>
                          <w:autoSpaceDN w:val="0"/>
                          <w:adjustRightInd w:val="0"/>
                          <w:spacing w:line="249" w:lineRule="exact"/>
                          <w:ind w:right="39"/>
                          <w:jc w:val="center"/>
                          <w:rPr>
                            <w:rFonts w:cs="Georgia"/>
                          </w:rPr>
                        </w:pPr>
                        <w:r>
                          <w:rPr>
                            <w:rFonts w:cs="Georgia"/>
                          </w:rPr>
                          <w:t>6</w:t>
                        </w:r>
                      </w:p>
                      <w:p>
                        <w:pPr>
                          <w:widowControl w:val="0"/>
                          <w:tabs>
                            <w:tab w:val="left" w:pos="2223"/>
                          </w:tabs>
                          <w:autoSpaceDE w:val="0"/>
                          <w:autoSpaceDN w:val="0"/>
                          <w:adjustRightInd w:val="0"/>
                          <w:spacing w:before="2" w:line="249" w:lineRule="exact"/>
                          <w:ind w:right="39"/>
                          <w:jc w:val="center"/>
                        </w:pPr>
                        <w:r>
                          <w:rPr>
                            <w:rFonts w:cs="Georgia"/>
                          </w:rPr>
                          <w:t>7</w:t>
                        </w:r>
                      </w:p>
                    </w:tc>
                  </w:tr>
                  <w:tr>
                    <w:trPr>
                      <w:trHeight w:hRule="exact" w:val="1894"/>
                      <w:jc w:val="center"/>
                    </w:trPr>
                    <w:tc>
                      <w:tcPr>
                        <w:tcW w:w="2075"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2223"/>
                          </w:tabs>
                          <w:autoSpaceDE w:val="0"/>
                          <w:autoSpaceDN w:val="0"/>
                          <w:adjustRightInd w:val="0"/>
                          <w:spacing w:line="249" w:lineRule="exact"/>
                          <w:jc w:val="center"/>
                        </w:pPr>
                        <w:r>
                          <w:rPr>
                            <w:rFonts w:cs="Georgia"/>
                            <w:b/>
                            <w:bCs/>
                          </w:rPr>
                          <w:t>5</w:t>
                        </w:r>
                      </w:p>
                    </w:tc>
                    <w:tc>
                      <w:tcPr>
                        <w:tcW w:w="5437" w:type="dxa"/>
                        <w:tcBorders>
                          <w:top w:val="single" w:sz="4" w:space="0" w:color="000000"/>
                          <w:left w:val="single" w:sz="4" w:space="0" w:color="000000"/>
                          <w:bottom w:val="single" w:sz="4" w:space="0" w:color="000000"/>
                          <w:right w:val="single" w:sz="4" w:space="0" w:color="000000"/>
                        </w:tcBorders>
                      </w:tcPr>
                      <w:p>
                        <w:pPr>
                          <w:widowControl w:val="0"/>
                          <w:tabs>
                            <w:tab w:val="left" w:pos="2223"/>
                          </w:tabs>
                          <w:autoSpaceDE w:val="0"/>
                          <w:autoSpaceDN w:val="0"/>
                          <w:adjustRightInd w:val="0"/>
                          <w:spacing w:line="251" w:lineRule="exact"/>
                          <w:rPr>
                            <w:rFonts w:cs="Georgia"/>
                          </w:rPr>
                        </w:pPr>
                        <w:r>
                          <w:t xml:space="preserve">   a) </w:t>
                        </w:r>
                        <w:r>
                          <w:rPr>
                            <w:rFonts w:cs="Georgia"/>
                          </w:rPr>
                          <w:t>d</w:t>
                        </w:r>
                        <w:r>
                          <w:rPr>
                            <w:rFonts w:cs="Georgia"/>
                            <w:spacing w:val="-1"/>
                          </w:rPr>
                          <w:t>an</w:t>
                        </w:r>
                        <w:r>
                          <w:rPr>
                            <w:rFonts w:cs="Georgia"/>
                          </w:rPr>
                          <w:t>s u</w:t>
                        </w:r>
                        <w:r>
                          <w:rPr>
                            <w:rFonts w:cs="Georgia"/>
                            <w:spacing w:val="-1"/>
                          </w:rPr>
                          <w:t>n</w:t>
                        </w:r>
                        <w:r>
                          <w:rPr>
                            <w:rFonts w:cs="Georgia"/>
                          </w:rPr>
                          <w:t>e</w:t>
                        </w:r>
                        <w:r>
                          <w:rPr>
                            <w:rFonts w:cs="Georgia"/>
                            <w:spacing w:val="-1"/>
                          </w:rPr>
                          <w:t xml:space="preserve"> é</w:t>
                        </w:r>
                        <w:r>
                          <w:rPr>
                            <w:rFonts w:cs="Georgia"/>
                            <w:spacing w:val="1"/>
                          </w:rPr>
                          <w:t>co</w:t>
                        </w:r>
                        <w:r>
                          <w:rPr>
                            <w:rFonts w:cs="Georgia"/>
                            <w:spacing w:val="-1"/>
                          </w:rPr>
                          <w:t>l</w:t>
                        </w:r>
                        <w:r>
                          <w:rPr>
                            <w:rFonts w:cs="Georgia"/>
                          </w:rPr>
                          <w:t>e</w:t>
                        </w:r>
                        <w:r>
                          <w:rPr>
                            <w:rFonts w:cs="Georgia"/>
                            <w:spacing w:val="-1"/>
                          </w:rPr>
                          <w:t xml:space="preserve"> </w:t>
                        </w:r>
                        <w:r>
                          <w:rPr>
                            <w:rFonts w:cs="Georgia"/>
                          </w:rPr>
                          <w:t>:</w:t>
                        </w:r>
                      </w:p>
                      <w:p>
                        <w:pPr>
                          <w:widowControl w:val="0"/>
                          <w:tabs>
                            <w:tab w:val="left" w:pos="2223"/>
                          </w:tabs>
                          <w:autoSpaceDE w:val="0"/>
                          <w:autoSpaceDN w:val="0"/>
                          <w:adjustRightInd w:val="0"/>
                          <w:spacing w:before="2"/>
                          <w:jc w:val="center"/>
                          <w:rPr>
                            <w:rFonts w:cs="Georgia"/>
                          </w:rPr>
                        </w:pPr>
                        <w:r>
                          <w:rPr>
                            <w:rFonts w:cs="Georgia"/>
                          </w:rPr>
                          <w:t>-</w:t>
                        </w:r>
                        <w:r>
                          <w:rPr>
                            <w:rFonts w:cs="Georgia"/>
                            <w:spacing w:val="-1"/>
                          </w:rPr>
                          <w:t xml:space="preserve"> </w:t>
                        </w:r>
                        <w:r>
                          <w:rPr>
                            <w:rFonts w:cs="Georgia"/>
                          </w:rPr>
                          <w:t xml:space="preserve">49 </w:t>
                        </w:r>
                        <w:r>
                          <w:rPr>
                            <w:rFonts w:cs="Georgia"/>
                            <w:spacing w:val="1"/>
                          </w:rPr>
                          <w:t>pr</w:t>
                        </w:r>
                        <w:r>
                          <w:rPr>
                            <w:rFonts w:cs="Georgia"/>
                            <w:spacing w:val="-1"/>
                          </w:rPr>
                          <w:t>e</w:t>
                        </w:r>
                        <w:r>
                          <w:rPr>
                            <w:rFonts w:cs="Georgia"/>
                          </w:rPr>
                          <w:t>mi</w:t>
                        </w:r>
                        <w:r>
                          <w:rPr>
                            <w:rFonts w:cs="Georgia"/>
                            <w:spacing w:val="-1"/>
                          </w:rPr>
                          <w:t>e</w:t>
                        </w:r>
                        <w:r>
                          <w:rPr>
                            <w:rFonts w:cs="Georgia"/>
                            <w:spacing w:val="1"/>
                          </w:rPr>
                          <w:t>r</w:t>
                        </w:r>
                        <w:r>
                          <w:rPr>
                            <w:rFonts w:cs="Georgia"/>
                          </w:rPr>
                          <w:t xml:space="preserve">s </w:t>
                        </w:r>
                        <w:r>
                          <w:rPr>
                            <w:rFonts w:cs="Georgia"/>
                            <w:spacing w:val="-1"/>
                          </w:rPr>
                          <w:t>élè</w:t>
                        </w:r>
                        <w:r>
                          <w:rPr>
                            <w:rFonts w:cs="Georgia"/>
                            <w:spacing w:val="1"/>
                          </w:rPr>
                          <w:t>v</w:t>
                        </w:r>
                        <w:r>
                          <w:rPr>
                            <w:rFonts w:cs="Georgia"/>
                            <w:spacing w:val="-1"/>
                          </w:rPr>
                          <w:t>es</w:t>
                        </w:r>
                      </w:p>
                      <w:p>
                        <w:pPr>
                          <w:widowControl w:val="0"/>
                          <w:tabs>
                            <w:tab w:val="left" w:pos="2223"/>
                          </w:tabs>
                          <w:autoSpaceDE w:val="0"/>
                          <w:autoSpaceDN w:val="0"/>
                          <w:adjustRightInd w:val="0"/>
                          <w:spacing w:line="250" w:lineRule="exact"/>
                          <w:jc w:val="center"/>
                          <w:rPr>
                            <w:rFonts w:cs="Georgia"/>
                          </w:rPr>
                        </w:pPr>
                        <w:r>
                          <w:rPr>
                            <w:rFonts w:cs="Georgia"/>
                          </w:rPr>
                          <w:t>-</w:t>
                        </w:r>
                        <w:r>
                          <w:rPr>
                            <w:rFonts w:cs="Georgia"/>
                            <w:spacing w:val="-1"/>
                          </w:rPr>
                          <w:t xml:space="preserve"> </w:t>
                        </w:r>
                        <w:r>
                          <w:rPr>
                            <w:rFonts w:cs="Georgia"/>
                          </w:rPr>
                          <w:t>à</w:t>
                        </w:r>
                        <w:r>
                          <w:rPr>
                            <w:rFonts w:cs="Georgia"/>
                            <w:spacing w:val="-1"/>
                          </w:rPr>
                          <w:t xml:space="preserve"> </w:t>
                        </w:r>
                        <w:r>
                          <w:rPr>
                            <w:rFonts w:cs="Georgia"/>
                            <w:spacing w:val="1"/>
                          </w:rPr>
                          <w:t>p</w:t>
                        </w:r>
                        <w:r>
                          <w:rPr>
                            <w:rFonts w:cs="Georgia"/>
                            <w:spacing w:val="-1"/>
                          </w:rPr>
                          <w:t>a</w:t>
                        </w:r>
                        <w:r>
                          <w:rPr>
                            <w:rFonts w:cs="Georgia"/>
                            <w:spacing w:val="1"/>
                          </w:rPr>
                          <w:t>rt</w:t>
                        </w:r>
                        <w:r>
                          <w:rPr>
                            <w:rFonts w:cs="Georgia"/>
                          </w:rPr>
                          <w:t xml:space="preserve">ir </w:t>
                        </w:r>
                        <w:r>
                          <w:rPr>
                            <w:rFonts w:cs="Georgia"/>
                            <w:spacing w:val="-2"/>
                          </w:rPr>
                          <w:t>d</w:t>
                        </w:r>
                        <w:r>
                          <w:rPr>
                            <w:rFonts w:cs="Georgia"/>
                          </w:rPr>
                          <w:t xml:space="preserve">u </w:t>
                        </w:r>
                        <w:r>
                          <w:rPr>
                            <w:rFonts w:cs="Georgia"/>
                            <w:spacing w:val="1"/>
                          </w:rPr>
                          <w:t>5</w:t>
                        </w:r>
                        <w:r>
                          <w:rPr>
                            <w:rFonts w:cs="Georgia"/>
                            <w:spacing w:val="-1"/>
                          </w:rPr>
                          <w:t>0è</w:t>
                        </w:r>
                        <w:r>
                          <w:rPr>
                            <w:rFonts w:cs="Georgia"/>
                          </w:rPr>
                          <w:t>me</w:t>
                        </w:r>
                        <w:r>
                          <w:rPr>
                            <w:rFonts w:cs="Georgia"/>
                            <w:spacing w:val="-1"/>
                          </w:rPr>
                          <w:t xml:space="preserve"> élè</w:t>
                        </w:r>
                        <w:r>
                          <w:rPr>
                            <w:rFonts w:cs="Georgia"/>
                            <w:spacing w:val="1"/>
                          </w:rPr>
                          <w:t>v</w:t>
                        </w:r>
                        <w:r>
                          <w:rPr>
                            <w:rFonts w:cs="Georgia"/>
                          </w:rPr>
                          <w:t>e</w:t>
                        </w:r>
                      </w:p>
                      <w:p>
                        <w:pPr>
                          <w:widowControl w:val="0"/>
                          <w:tabs>
                            <w:tab w:val="left" w:pos="2223"/>
                          </w:tabs>
                          <w:autoSpaceDE w:val="0"/>
                          <w:autoSpaceDN w:val="0"/>
                          <w:adjustRightInd w:val="0"/>
                          <w:spacing w:line="250" w:lineRule="exact"/>
                          <w:rPr>
                            <w:rFonts w:cs="Georgia"/>
                          </w:rPr>
                        </w:pPr>
                        <w:r>
                          <w:rPr>
                            <w:rFonts w:cs="Georgia"/>
                            <w:spacing w:val="1"/>
                          </w:rPr>
                          <w:t xml:space="preserve">   b</w:t>
                        </w:r>
                        <w:r>
                          <w:rPr>
                            <w:rFonts w:cs="Georgia"/>
                          </w:rPr>
                          <w:t>)</w:t>
                        </w:r>
                        <w:r>
                          <w:rPr>
                            <w:rFonts w:cs="Georgia"/>
                            <w:spacing w:val="-1"/>
                          </w:rPr>
                          <w:t xml:space="preserve"> </w:t>
                        </w:r>
                        <w:r>
                          <w:rPr>
                            <w:rFonts w:cs="Georgia"/>
                          </w:rPr>
                          <w:t>d</w:t>
                        </w:r>
                        <w:r>
                          <w:rPr>
                            <w:rFonts w:cs="Georgia"/>
                            <w:spacing w:val="-1"/>
                          </w:rPr>
                          <w:t>an</w:t>
                        </w:r>
                        <w:r>
                          <w:rPr>
                            <w:rFonts w:cs="Georgia"/>
                          </w:rPr>
                          <w:t>s un</w:t>
                        </w:r>
                        <w:r>
                          <w:rPr>
                            <w:rFonts w:cs="Georgia"/>
                            <w:spacing w:val="-1"/>
                          </w:rPr>
                          <w:t xml:space="preserve"> h</w:t>
                        </w:r>
                        <w:r>
                          <w:rPr>
                            <w:rFonts w:cs="Georgia"/>
                            <w:spacing w:val="1"/>
                          </w:rPr>
                          <w:t>ôp</w:t>
                        </w:r>
                        <w:r>
                          <w:rPr>
                            <w:rFonts w:cs="Georgia"/>
                            <w:spacing w:val="-2"/>
                          </w:rPr>
                          <w:t>i</w:t>
                        </w:r>
                        <w:r>
                          <w:rPr>
                            <w:rFonts w:cs="Georgia"/>
                            <w:spacing w:val="1"/>
                          </w:rPr>
                          <w:t>t</w:t>
                        </w:r>
                        <w:r>
                          <w:rPr>
                            <w:rFonts w:cs="Georgia"/>
                            <w:spacing w:val="-1"/>
                          </w:rPr>
                          <w:t>a</w:t>
                        </w:r>
                        <w:r>
                          <w:rPr>
                            <w:rFonts w:cs="Georgia"/>
                          </w:rPr>
                          <w:t>l</w:t>
                        </w:r>
                        <w:r>
                          <w:rPr>
                            <w:rFonts w:cs="Georgia"/>
                            <w:spacing w:val="-1"/>
                          </w:rPr>
                          <w:t xml:space="preserve"> e</w:t>
                        </w:r>
                        <w:r>
                          <w:rPr>
                            <w:rFonts w:cs="Georgia"/>
                            <w:spacing w:val="1"/>
                          </w:rPr>
                          <w:t>t</w:t>
                        </w:r>
                        <w:r>
                          <w:rPr>
                            <w:rFonts w:cs="Georgia"/>
                          </w:rPr>
                          <w:t>/</w:t>
                        </w:r>
                        <w:r>
                          <w:rPr>
                            <w:rFonts w:cs="Georgia"/>
                            <w:spacing w:val="1"/>
                          </w:rPr>
                          <w:t>o</w:t>
                        </w:r>
                        <w:r>
                          <w:rPr>
                            <w:rFonts w:cs="Georgia"/>
                          </w:rPr>
                          <w:t>u</w:t>
                        </w:r>
                        <w:r>
                          <w:rPr>
                            <w:rFonts w:cs="Georgia"/>
                            <w:spacing w:val="-2"/>
                          </w:rPr>
                          <w:t xml:space="preserve"> </w:t>
                        </w:r>
                        <w:r>
                          <w:rPr>
                            <w:rFonts w:cs="Georgia"/>
                          </w:rPr>
                          <w:t>d</w:t>
                        </w:r>
                        <w:r>
                          <w:rPr>
                            <w:rFonts w:cs="Georgia"/>
                            <w:spacing w:val="-1"/>
                          </w:rPr>
                          <w:t>an</w:t>
                        </w:r>
                        <w:r>
                          <w:rPr>
                            <w:rFonts w:cs="Georgia"/>
                          </w:rPr>
                          <w:t>s u</w:t>
                        </w:r>
                        <w:r>
                          <w:rPr>
                            <w:rFonts w:cs="Georgia"/>
                            <w:spacing w:val="-1"/>
                          </w:rPr>
                          <w:t>n</w:t>
                        </w:r>
                        <w:r>
                          <w:rPr>
                            <w:rFonts w:cs="Georgia"/>
                          </w:rPr>
                          <w:t>e</w:t>
                        </w:r>
                        <w:r>
                          <w:rPr>
                            <w:rFonts w:cs="Georgia"/>
                            <w:spacing w:val="-1"/>
                          </w:rPr>
                          <w:t xml:space="preserve"> </w:t>
                        </w:r>
                        <w:r>
                          <w:rPr>
                            <w:rFonts w:cs="Georgia"/>
                          </w:rPr>
                          <w:t>i</w:t>
                        </w:r>
                        <w:r>
                          <w:rPr>
                            <w:rFonts w:cs="Georgia"/>
                            <w:spacing w:val="-1"/>
                          </w:rPr>
                          <w:t>n</w:t>
                        </w:r>
                        <w:r>
                          <w:rPr>
                            <w:rFonts w:cs="Georgia"/>
                            <w:spacing w:val="1"/>
                          </w:rPr>
                          <w:t>st</w:t>
                        </w:r>
                        <w:r>
                          <w:rPr>
                            <w:rFonts w:cs="Georgia"/>
                          </w:rPr>
                          <w:t>i</w:t>
                        </w:r>
                        <w:r>
                          <w:rPr>
                            <w:rFonts w:cs="Georgia"/>
                            <w:spacing w:val="1"/>
                          </w:rPr>
                          <w:t>t</w:t>
                        </w:r>
                        <w:r>
                          <w:rPr>
                            <w:rFonts w:cs="Georgia"/>
                            <w:spacing w:val="-2"/>
                          </w:rPr>
                          <w:t>u</w:t>
                        </w:r>
                        <w:r>
                          <w:rPr>
                            <w:rFonts w:cs="Georgia"/>
                            <w:spacing w:val="1"/>
                          </w:rPr>
                          <w:t>t</w:t>
                        </w:r>
                        <w:r>
                          <w:rPr>
                            <w:rFonts w:cs="Georgia"/>
                            <w:spacing w:val="-2"/>
                          </w:rPr>
                          <w:t>i</w:t>
                        </w:r>
                        <w:r>
                          <w:rPr>
                            <w:rFonts w:cs="Georgia"/>
                            <w:spacing w:val="1"/>
                          </w:rPr>
                          <w:t>o</w:t>
                        </w:r>
                        <w:r>
                          <w:rPr>
                            <w:rFonts w:cs="Georgia"/>
                          </w:rPr>
                          <w:t>n</w:t>
                        </w:r>
                        <w:r>
                          <w:rPr>
                            <w:rFonts w:cs="Georgia"/>
                            <w:spacing w:val="-1"/>
                          </w:rPr>
                          <w:t xml:space="preserve"> </w:t>
                        </w:r>
                        <w:r>
                          <w:rPr>
                            <w:rFonts w:cs="Georgia"/>
                            <w:spacing w:val="-1"/>
                          </w:rPr>
                          <w:br/>
                          <w:t xml:space="preserve">        </w:t>
                        </w:r>
                        <w:r>
                          <w:rPr>
                            <w:rFonts w:cs="Georgia"/>
                          </w:rPr>
                          <w:t>m</w:t>
                        </w:r>
                        <w:r>
                          <w:rPr>
                            <w:rFonts w:cs="Georgia"/>
                            <w:spacing w:val="-1"/>
                          </w:rPr>
                          <w:t>é</w:t>
                        </w:r>
                        <w:r>
                          <w:rPr>
                            <w:rFonts w:cs="Georgia"/>
                            <w:spacing w:val="-2"/>
                          </w:rPr>
                          <w:t>d</w:t>
                        </w:r>
                        <w:r>
                          <w:rPr>
                            <w:rFonts w:cs="Georgia"/>
                          </w:rPr>
                          <w:t>i</w:t>
                        </w:r>
                        <w:r>
                          <w:rPr>
                            <w:rFonts w:cs="Georgia"/>
                            <w:spacing w:val="1"/>
                          </w:rPr>
                          <w:t>c</w:t>
                        </w:r>
                        <w:r>
                          <w:rPr>
                            <w:rFonts w:cs="Georgia"/>
                            <w:spacing w:val="-1"/>
                          </w:rPr>
                          <w:t>al</w:t>
                        </w:r>
                        <w:r>
                          <w:rPr>
                            <w:rFonts w:cs="Georgia"/>
                          </w:rPr>
                          <w:t>e</w:t>
                        </w:r>
                        <w:r>
                          <w:rPr>
                            <w:rFonts w:cs="Georgia"/>
                            <w:spacing w:val="-1"/>
                          </w:rPr>
                          <w:t xml:space="preserve"> </w:t>
                        </w:r>
                        <w:r>
                          <w:rPr>
                            <w:rFonts w:cs="Georgia"/>
                            <w:spacing w:val="1"/>
                          </w:rPr>
                          <w:t>r</w:t>
                        </w:r>
                        <w:r>
                          <w:rPr>
                            <w:rFonts w:cs="Georgia"/>
                            <w:spacing w:val="-1"/>
                          </w:rPr>
                          <w:t>e</w:t>
                        </w:r>
                        <w:r>
                          <w:rPr>
                            <w:rFonts w:cs="Georgia"/>
                            <w:spacing w:val="1"/>
                          </w:rPr>
                          <w:t>co</w:t>
                        </w:r>
                        <w:r>
                          <w:rPr>
                            <w:rFonts w:cs="Georgia"/>
                            <w:spacing w:val="-1"/>
                          </w:rPr>
                          <w:t>nn</w:t>
                        </w:r>
                        <w:r>
                          <w:rPr>
                            <w:rFonts w:cs="Georgia"/>
                          </w:rPr>
                          <w:t>ue</w:t>
                        </w:r>
                        <w:r>
                          <w:rPr>
                            <w:rFonts w:cs="Georgia"/>
                            <w:spacing w:val="-1"/>
                          </w:rPr>
                          <w:t xml:space="preserve"> </w:t>
                        </w:r>
                        <w:r>
                          <w:rPr>
                            <w:rFonts w:cs="Georgia"/>
                          </w:rPr>
                          <w:t>:</w:t>
                        </w:r>
                      </w:p>
                      <w:p>
                        <w:pPr>
                          <w:widowControl w:val="0"/>
                          <w:tabs>
                            <w:tab w:val="left" w:pos="2223"/>
                          </w:tabs>
                          <w:autoSpaceDE w:val="0"/>
                          <w:autoSpaceDN w:val="0"/>
                          <w:adjustRightInd w:val="0"/>
                          <w:spacing w:line="250" w:lineRule="exact"/>
                          <w:jc w:val="center"/>
                          <w:rPr>
                            <w:rFonts w:cs="Georgia"/>
                          </w:rPr>
                        </w:pPr>
                        <w:r>
                          <w:rPr>
                            <w:rFonts w:cs="Georgia"/>
                          </w:rPr>
                          <w:t>-</w:t>
                        </w:r>
                        <w:r>
                          <w:rPr>
                            <w:rFonts w:cs="Georgia"/>
                            <w:spacing w:val="-1"/>
                          </w:rPr>
                          <w:t xml:space="preserve"> </w:t>
                        </w:r>
                        <w:r>
                          <w:rPr>
                            <w:rFonts w:cs="Georgia"/>
                            <w:spacing w:val="1"/>
                          </w:rPr>
                          <w:t>3</w:t>
                        </w:r>
                        <w:r>
                          <w:rPr>
                            <w:rFonts w:cs="Georgia"/>
                          </w:rPr>
                          <w:t xml:space="preserve">4 </w:t>
                        </w:r>
                        <w:r>
                          <w:rPr>
                            <w:rFonts w:cs="Georgia"/>
                            <w:spacing w:val="1"/>
                          </w:rPr>
                          <w:t>pr</w:t>
                        </w:r>
                        <w:r>
                          <w:rPr>
                            <w:rFonts w:cs="Georgia"/>
                            <w:spacing w:val="-1"/>
                          </w:rPr>
                          <w:t>e</w:t>
                        </w:r>
                        <w:r>
                          <w:rPr>
                            <w:rFonts w:cs="Georgia"/>
                          </w:rPr>
                          <w:t>mi</w:t>
                        </w:r>
                        <w:r>
                          <w:rPr>
                            <w:rFonts w:cs="Georgia"/>
                            <w:spacing w:val="-1"/>
                          </w:rPr>
                          <w:t>e</w:t>
                        </w:r>
                        <w:r>
                          <w:rPr>
                            <w:rFonts w:cs="Georgia"/>
                            <w:spacing w:val="-2"/>
                          </w:rPr>
                          <w:t>r</w:t>
                        </w:r>
                        <w:r>
                          <w:rPr>
                            <w:rFonts w:cs="Georgia"/>
                          </w:rPr>
                          <w:t xml:space="preserve">s </w:t>
                        </w:r>
                        <w:r>
                          <w:rPr>
                            <w:rFonts w:cs="Georgia"/>
                            <w:spacing w:val="-1"/>
                          </w:rPr>
                          <w:t>élè</w:t>
                        </w:r>
                        <w:r>
                          <w:rPr>
                            <w:rFonts w:cs="Georgia"/>
                            <w:spacing w:val="1"/>
                          </w:rPr>
                          <w:t>v</w:t>
                        </w:r>
                        <w:r>
                          <w:rPr>
                            <w:rFonts w:cs="Georgia"/>
                            <w:spacing w:val="-1"/>
                          </w:rPr>
                          <w:t>es</w:t>
                        </w:r>
                      </w:p>
                      <w:p>
                        <w:pPr>
                          <w:widowControl w:val="0"/>
                          <w:tabs>
                            <w:tab w:val="left" w:pos="2223"/>
                          </w:tabs>
                          <w:autoSpaceDE w:val="0"/>
                          <w:autoSpaceDN w:val="0"/>
                          <w:adjustRightInd w:val="0"/>
                          <w:spacing w:line="249" w:lineRule="exact"/>
                          <w:jc w:val="center"/>
                        </w:pPr>
                        <w:r>
                          <w:rPr>
                            <w:rFonts w:cs="Georgia"/>
                          </w:rPr>
                          <w:t>-</w:t>
                        </w:r>
                        <w:r>
                          <w:rPr>
                            <w:rFonts w:cs="Georgia"/>
                            <w:spacing w:val="-1"/>
                          </w:rPr>
                          <w:t xml:space="preserve"> </w:t>
                        </w:r>
                        <w:r>
                          <w:rPr>
                            <w:rFonts w:cs="Georgia"/>
                          </w:rPr>
                          <w:t>à</w:t>
                        </w:r>
                        <w:r>
                          <w:rPr>
                            <w:rFonts w:cs="Georgia"/>
                            <w:spacing w:val="-1"/>
                          </w:rPr>
                          <w:t xml:space="preserve"> </w:t>
                        </w:r>
                        <w:r>
                          <w:rPr>
                            <w:rFonts w:cs="Georgia"/>
                            <w:spacing w:val="1"/>
                          </w:rPr>
                          <w:t>p</w:t>
                        </w:r>
                        <w:r>
                          <w:rPr>
                            <w:rFonts w:cs="Georgia"/>
                            <w:spacing w:val="-1"/>
                          </w:rPr>
                          <w:t>a</w:t>
                        </w:r>
                        <w:r>
                          <w:rPr>
                            <w:rFonts w:cs="Georgia"/>
                            <w:spacing w:val="1"/>
                          </w:rPr>
                          <w:t>rt</w:t>
                        </w:r>
                        <w:r>
                          <w:rPr>
                            <w:rFonts w:cs="Georgia"/>
                          </w:rPr>
                          <w:t xml:space="preserve">ir </w:t>
                        </w:r>
                        <w:r>
                          <w:rPr>
                            <w:rFonts w:cs="Georgia"/>
                            <w:spacing w:val="-2"/>
                          </w:rPr>
                          <w:t>d</w:t>
                        </w:r>
                        <w:r>
                          <w:rPr>
                            <w:rFonts w:cs="Georgia"/>
                          </w:rPr>
                          <w:t xml:space="preserve">u </w:t>
                        </w:r>
                        <w:r>
                          <w:rPr>
                            <w:rFonts w:cs="Georgia"/>
                            <w:spacing w:val="1"/>
                          </w:rPr>
                          <w:t>35</w:t>
                        </w:r>
                        <w:r>
                          <w:rPr>
                            <w:rFonts w:cs="Georgia"/>
                            <w:spacing w:val="-1"/>
                          </w:rPr>
                          <w:t>è</w:t>
                        </w:r>
                        <w:r>
                          <w:rPr>
                            <w:rFonts w:cs="Georgia"/>
                          </w:rPr>
                          <w:t>me</w:t>
                        </w:r>
                        <w:r>
                          <w:rPr>
                            <w:rFonts w:cs="Georgia"/>
                            <w:spacing w:val="-1"/>
                          </w:rPr>
                          <w:t xml:space="preserve"> élè</w:t>
                        </w:r>
                        <w:r>
                          <w:rPr>
                            <w:rFonts w:cs="Georgia"/>
                            <w:spacing w:val="1"/>
                          </w:rPr>
                          <w:t>ve</w:t>
                        </w:r>
                      </w:p>
                    </w:tc>
                    <w:tc>
                      <w:tcPr>
                        <w:tcW w:w="1480" w:type="dxa"/>
                        <w:tcBorders>
                          <w:top w:val="single" w:sz="4" w:space="0" w:color="000000"/>
                          <w:left w:val="single" w:sz="4" w:space="0" w:color="000000"/>
                          <w:bottom w:val="single" w:sz="4" w:space="0" w:color="000000"/>
                          <w:right w:val="single" w:sz="4" w:space="0" w:color="000000"/>
                        </w:tcBorders>
                      </w:tcPr>
                      <w:p>
                        <w:pPr>
                          <w:widowControl w:val="0"/>
                          <w:tabs>
                            <w:tab w:val="left" w:pos="2223"/>
                          </w:tabs>
                          <w:autoSpaceDE w:val="0"/>
                          <w:autoSpaceDN w:val="0"/>
                          <w:adjustRightInd w:val="0"/>
                          <w:spacing w:before="8" w:line="240" w:lineRule="exact"/>
                          <w:ind w:right="39"/>
                          <w:jc w:val="center"/>
                        </w:pPr>
                      </w:p>
                      <w:p>
                        <w:pPr>
                          <w:widowControl w:val="0"/>
                          <w:tabs>
                            <w:tab w:val="left" w:pos="2223"/>
                          </w:tabs>
                          <w:autoSpaceDE w:val="0"/>
                          <w:autoSpaceDN w:val="0"/>
                          <w:adjustRightInd w:val="0"/>
                          <w:ind w:right="39"/>
                          <w:jc w:val="center"/>
                          <w:rPr>
                            <w:rFonts w:cs="Georgia"/>
                          </w:rPr>
                        </w:pPr>
                        <w:r>
                          <w:rPr>
                            <w:rFonts w:cs="Georgia"/>
                          </w:rPr>
                          <w:t>9</w:t>
                        </w:r>
                      </w:p>
                      <w:p>
                        <w:pPr>
                          <w:widowControl w:val="0"/>
                          <w:tabs>
                            <w:tab w:val="left" w:pos="2223"/>
                          </w:tabs>
                          <w:autoSpaceDE w:val="0"/>
                          <w:autoSpaceDN w:val="0"/>
                          <w:adjustRightInd w:val="0"/>
                          <w:spacing w:line="250" w:lineRule="exact"/>
                          <w:ind w:right="39"/>
                          <w:jc w:val="center"/>
                          <w:rPr>
                            <w:rFonts w:cs="Georgia"/>
                          </w:rPr>
                        </w:pPr>
                        <w:r>
                          <w:rPr>
                            <w:rFonts w:cs="Georgia"/>
                            <w:spacing w:val="1"/>
                          </w:rPr>
                          <w:t>10</w:t>
                        </w:r>
                      </w:p>
                      <w:p>
                        <w:pPr>
                          <w:widowControl w:val="0"/>
                          <w:tabs>
                            <w:tab w:val="left" w:pos="2223"/>
                          </w:tabs>
                          <w:autoSpaceDE w:val="0"/>
                          <w:autoSpaceDN w:val="0"/>
                          <w:adjustRightInd w:val="0"/>
                          <w:ind w:right="39"/>
                          <w:jc w:val="center"/>
                          <w:rPr>
                            <w:rFonts w:cs="Georgia"/>
                          </w:rPr>
                        </w:pPr>
                      </w:p>
                      <w:p>
                        <w:pPr>
                          <w:widowControl w:val="0"/>
                          <w:tabs>
                            <w:tab w:val="left" w:pos="2223"/>
                          </w:tabs>
                          <w:autoSpaceDE w:val="0"/>
                          <w:autoSpaceDN w:val="0"/>
                          <w:adjustRightInd w:val="0"/>
                          <w:ind w:right="39"/>
                          <w:jc w:val="center"/>
                          <w:rPr>
                            <w:rFonts w:cs="Georgia"/>
                          </w:rPr>
                        </w:pPr>
                      </w:p>
                      <w:p>
                        <w:pPr>
                          <w:widowControl w:val="0"/>
                          <w:tabs>
                            <w:tab w:val="left" w:pos="2223"/>
                          </w:tabs>
                          <w:autoSpaceDE w:val="0"/>
                          <w:autoSpaceDN w:val="0"/>
                          <w:adjustRightInd w:val="0"/>
                          <w:ind w:right="39"/>
                          <w:jc w:val="center"/>
                          <w:rPr>
                            <w:rFonts w:cs="Georgia"/>
                          </w:rPr>
                        </w:pPr>
                        <w:r>
                          <w:rPr>
                            <w:rFonts w:cs="Georgia"/>
                          </w:rPr>
                          <w:t>6</w:t>
                        </w:r>
                      </w:p>
                      <w:p>
                        <w:pPr>
                          <w:widowControl w:val="0"/>
                          <w:tabs>
                            <w:tab w:val="left" w:pos="2223"/>
                          </w:tabs>
                          <w:autoSpaceDE w:val="0"/>
                          <w:autoSpaceDN w:val="0"/>
                          <w:adjustRightInd w:val="0"/>
                          <w:spacing w:before="2"/>
                          <w:ind w:right="39"/>
                          <w:jc w:val="center"/>
                        </w:pPr>
                        <w:r>
                          <w:rPr>
                            <w:rFonts w:cs="Georgia"/>
                          </w:rPr>
                          <w:t>7</w:t>
                        </w:r>
                      </w:p>
                    </w:tc>
                  </w:tr>
                  <w:tr>
                    <w:trPr>
                      <w:trHeight w:hRule="exact" w:val="569"/>
                      <w:jc w:val="center"/>
                    </w:trPr>
                    <w:tc>
                      <w:tcPr>
                        <w:tcW w:w="2075"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2223"/>
                          </w:tabs>
                          <w:autoSpaceDE w:val="0"/>
                          <w:autoSpaceDN w:val="0"/>
                          <w:adjustRightInd w:val="0"/>
                          <w:spacing w:line="249" w:lineRule="exact"/>
                          <w:jc w:val="center"/>
                        </w:pPr>
                        <w:r>
                          <w:rPr>
                            <w:rFonts w:cs="Georgia"/>
                            <w:b/>
                            <w:bCs/>
                          </w:rPr>
                          <w:t xml:space="preserve">6 </w:t>
                        </w:r>
                        <w:r>
                          <w:rPr>
                            <w:rFonts w:cs="Georgia"/>
                            <w:b/>
                            <w:bCs/>
                            <w:spacing w:val="1"/>
                          </w:rPr>
                          <w:t>e</w:t>
                        </w:r>
                        <w:r>
                          <w:rPr>
                            <w:rFonts w:cs="Georgia"/>
                            <w:b/>
                            <w:bCs/>
                          </w:rPr>
                          <w:t>t 7</w:t>
                        </w:r>
                      </w:p>
                    </w:tc>
                    <w:tc>
                      <w:tcPr>
                        <w:tcW w:w="5437" w:type="dxa"/>
                        <w:tcBorders>
                          <w:top w:val="single" w:sz="4" w:space="0" w:color="000000"/>
                          <w:left w:val="single" w:sz="4" w:space="0" w:color="000000"/>
                          <w:bottom w:val="single" w:sz="4" w:space="0" w:color="000000"/>
                          <w:right w:val="single" w:sz="4" w:space="0" w:color="000000"/>
                        </w:tcBorders>
                      </w:tcPr>
                      <w:p>
                        <w:pPr>
                          <w:widowControl w:val="0"/>
                          <w:tabs>
                            <w:tab w:val="left" w:pos="2223"/>
                          </w:tabs>
                          <w:autoSpaceDE w:val="0"/>
                          <w:autoSpaceDN w:val="0"/>
                          <w:adjustRightInd w:val="0"/>
                          <w:spacing w:line="249" w:lineRule="exact"/>
                          <w:jc w:val="center"/>
                          <w:rPr>
                            <w:rFonts w:cs="Georgia"/>
                          </w:rPr>
                        </w:pPr>
                        <w:r>
                          <w:rPr>
                            <w:rFonts w:cs="Georgia"/>
                          </w:rPr>
                          <w:t>-</w:t>
                        </w:r>
                        <w:r>
                          <w:rPr>
                            <w:rFonts w:cs="Georgia"/>
                            <w:spacing w:val="-1"/>
                          </w:rPr>
                          <w:t xml:space="preserve"> </w:t>
                        </w:r>
                        <w:r>
                          <w:rPr>
                            <w:rFonts w:cs="Georgia"/>
                            <w:spacing w:val="1"/>
                          </w:rPr>
                          <w:t>3</w:t>
                        </w:r>
                        <w:r>
                          <w:rPr>
                            <w:rFonts w:cs="Georgia"/>
                          </w:rPr>
                          <w:t xml:space="preserve">4 </w:t>
                        </w:r>
                        <w:r>
                          <w:rPr>
                            <w:rFonts w:cs="Georgia"/>
                            <w:spacing w:val="1"/>
                          </w:rPr>
                          <w:t>pr</w:t>
                        </w:r>
                        <w:r>
                          <w:rPr>
                            <w:rFonts w:cs="Georgia"/>
                            <w:spacing w:val="-1"/>
                          </w:rPr>
                          <w:t>e</w:t>
                        </w:r>
                        <w:r>
                          <w:rPr>
                            <w:rFonts w:cs="Georgia"/>
                          </w:rPr>
                          <w:t>mi</w:t>
                        </w:r>
                        <w:r>
                          <w:rPr>
                            <w:rFonts w:cs="Georgia"/>
                            <w:spacing w:val="-1"/>
                          </w:rPr>
                          <w:t>e</w:t>
                        </w:r>
                        <w:r>
                          <w:rPr>
                            <w:rFonts w:cs="Georgia"/>
                            <w:spacing w:val="-2"/>
                          </w:rPr>
                          <w:t>r</w:t>
                        </w:r>
                        <w:r>
                          <w:rPr>
                            <w:rFonts w:cs="Georgia"/>
                          </w:rPr>
                          <w:t xml:space="preserve">s </w:t>
                        </w:r>
                        <w:r>
                          <w:rPr>
                            <w:rFonts w:cs="Georgia"/>
                            <w:spacing w:val="-1"/>
                          </w:rPr>
                          <w:t>élè</w:t>
                        </w:r>
                        <w:r>
                          <w:rPr>
                            <w:rFonts w:cs="Georgia"/>
                            <w:spacing w:val="1"/>
                          </w:rPr>
                          <w:t>v</w:t>
                        </w:r>
                        <w:r>
                          <w:rPr>
                            <w:rFonts w:cs="Georgia"/>
                            <w:spacing w:val="-1"/>
                          </w:rPr>
                          <w:t>es</w:t>
                        </w:r>
                      </w:p>
                      <w:p>
                        <w:pPr>
                          <w:widowControl w:val="0"/>
                          <w:tabs>
                            <w:tab w:val="left" w:pos="2223"/>
                          </w:tabs>
                          <w:autoSpaceDE w:val="0"/>
                          <w:autoSpaceDN w:val="0"/>
                          <w:adjustRightInd w:val="0"/>
                          <w:spacing w:before="2" w:line="249" w:lineRule="exact"/>
                          <w:jc w:val="center"/>
                        </w:pPr>
                        <w:r>
                          <w:rPr>
                            <w:rFonts w:cs="Georgia"/>
                          </w:rPr>
                          <w:t>-</w:t>
                        </w:r>
                        <w:r>
                          <w:rPr>
                            <w:rFonts w:cs="Georgia"/>
                            <w:spacing w:val="-1"/>
                          </w:rPr>
                          <w:t xml:space="preserve"> </w:t>
                        </w:r>
                        <w:r>
                          <w:rPr>
                            <w:rFonts w:cs="Georgia"/>
                          </w:rPr>
                          <w:t>à</w:t>
                        </w:r>
                        <w:r>
                          <w:rPr>
                            <w:rFonts w:cs="Georgia"/>
                            <w:spacing w:val="-1"/>
                          </w:rPr>
                          <w:t xml:space="preserve"> </w:t>
                        </w:r>
                        <w:r>
                          <w:rPr>
                            <w:rFonts w:cs="Georgia"/>
                            <w:spacing w:val="1"/>
                          </w:rPr>
                          <w:t>p</w:t>
                        </w:r>
                        <w:r>
                          <w:rPr>
                            <w:rFonts w:cs="Georgia"/>
                            <w:spacing w:val="-1"/>
                          </w:rPr>
                          <w:t>a</w:t>
                        </w:r>
                        <w:r>
                          <w:rPr>
                            <w:rFonts w:cs="Georgia"/>
                            <w:spacing w:val="1"/>
                          </w:rPr>
                          <w:t>rt</w:t>
                        </w:r>
                        <w:r>
                          <w:rPr>
                            <w:rFonts w:cs="Georgia"/>
                          </w:rPr>
                          <w:t xml:space="preserve">ir </w:t>
                        </w:r>
                        <w:r>
                          <w:rPr>
                            <w:rFonts w:cs="Georgia"/>
                            <w:spacing w:val="-2"/>
                          </w:rPr>
                          <w:t>d</w:t>
                        </w:r>
                        <w:r>
                          <w:rPr>
                            <w:rFonts w:cs="Georgia"/>
                          </w:rPr>
                          <w:t xml:space="preserve">u </w:t>
                        </w:r>
                        <w:r>
                          <w:rPr>
                            <w:rFonts w:cs="Georgia"/>
                            <w:spacing w:val="1"/>
                          </w:rPr>
                          <w:t>35</w:t>
                        </w:r>
                        <w:r>
                          <w:rPr>
                            <w:rFonts w:cs="Georgia"/>
                            <w:spacing w:val="-1"/>
                          </w:rPr>
                          <w:t>è</w:t>
                        </w:r>
                        <w:r>
                          <w:rPr>
                            <w:rFonts w:cs="Georgia"/>
                          </w:rPr>
                          <w:t>me</w:t>
                        </w:r>
                        <w:r>
                          <w:rPr>
                            <w:rFonts w:cs="Georgia"/>
                            <w:spacing w:val="-1"/>
                          </w:rPr>
                          <w:t xml:space="preserve"> élè</w:t>
                        </w:r>
                        <w:r>
                          <w:rPr>
                            <w:rFonts w:cs="Georgia"/>
                            <w:spacing w:val="1"/>
                          </w:rPr>
                          <w:t>ve</w:t>
                        </w:r>
                      </w:p>
                    </w:tc>
                    <w:tc>
                      <w:tcPr>
                        <w:tcW w:w="1480" w:type="dxa"/>
                        <w:tcBorders>
                          <w:top w:val="single" w:sz="4" w:space="0" w:color="000000"/>
                          <w:left w:val="single" w:sz="4" w:space="0" w:color="000000"/>
                          <w:bottom w:val="single" w:sz="4" w:space="0" w:color="000000"/>
                          <w:right w:val="single" w:sz="4" w:space="0" w:color="000000"/>
                        </w:tcBorders>
                      </w:tcPr>
                      <w:p>
                        <w:pPr>
                          <w:widowControl w:val="0"/>
                          <w:tabs>
                            <w:tab w:val="left" w:pos="2223"/>
                          </w:tabs>
                          <w:autoSpaceDE w:val="0"/>
                          <w:autoSpaceDN w:val="0"/>
                          <w:adjustRightInd w:val="0"/>
                          <w:spacing w:line="249" w:lineRule="exact"/>
                          <w:ind w:right="39"/>
                          <w:jc w:val="center"/>
                          <w:rPr>
                            <w:rFonts w:cs="Georgia"/>
                          </w:rPr>
                        </w:pPr>
                        <w:r>
                          <w:rPr>
                            <w:rFonts w:cs="Georgia"/>
                          </w:rPr>
                          <w:t>5</w:t>
                        </w:r>
                      </w:p>
                      <w:p>
                        <w:pPr>
                          <w:widowControl w:val="0"/>
                          <w:tabs>
                            <w:tab w:val="left" w:pos="2223"/>
                          </w:tabs>
                          <w:autoSpaceDE w:val="0"/>
                          <w:autoSpaceDN w:val="0"/>
                          <w:adjustRightInd w:val="0"/>
                          <w:spacing w:before="2" w:line="249" w:lineRule="exact"/>
                          <w:ind w:right="39"/>
                          <w:jc w:val="center"/>
                        </w:pPr>
                        <w:r>
                          <w:rPr>
                            <w:rFonts w:cs="Georgia"/>
                          </w:rPr>
                          <w:t>6</w:t>
                        </w:r>
                      </w:p>
                    </w:tc>
                  </w:tr>
                </w:tbl>
                <w:p>
                  <w:pPr>
                    <w:pStyle w:val="Titre4"/>
                  </w:pPr>
                  <w:bookmarkStart w:id="1729" w:name="_1.3._Capital-périodes_utilisable"/>
                  <w:bookmarkStart w:id="1730" w:name="_Toc453314315"/>
                  <w:bookmarkStart w:id="1731" w:name="_Toc454980350"/>
                  <w:bookmarkEnd w:id="1729"/>
                  <w:r>
                    <w:t>1.</w:t>
                  </w:r>
                  <w:r>
                    <w:rPr>
                      <w:spacing w:val="-1"/>
                    </w:rPr>
                    <w:t>3.</w:t>
                  </w:r>
                  <w:r>
                    <w:t xml:space="preserve"> Ca</w:t>
                  </w:r>
                  <w:r>
                    <w:rPr>
                      <w:spacing w:val="-1"/>
                    </w:rPr>
                    <w:t>p</w:t>
                  </w:r>
                  <w:r>
                    <w:t>it</w:t>
                  </w:r>
                  <w:r>
                    <w:rPr>
                      <w:spacing w:val="-2"/>
                    </w:rPr>
                    <w:t>a</w:t>
                  </w:r>
                  <w:r>
                    <w:t>l</w:t>
                  </w:r>
                  <w:r>
                    <w:rPr>
                      <w:spacing w:val="-2"/>
                    </w:rPr>
                    <w:t>-</w:t>
                  </w:r>
                  <w:r>
                    <w:t>p</w:t>
                  </w:r>
                  <w:r>
                    <w:rPr>
                      <w:spacing w:val="-2"/>
                    </w:rPr>
                    <w:t>é</w:t>
                  </w:r>
                  <w:r>
                    <w:t>ri</w:t>
                  </w:r>
                  <w:r>
                    <w:rPr>
                      <w:spacing w:val="-1"/>
                    </w:rPr>
                    <w:t>o</w:t>
                  </w:r>
                  <w:r>
                    <w:rPr>
                      <w:spacing w:val="-2"/>
                    </w:rPr>
                    <w:t>d</w:t>
                  </w:r>
                  <w:r>
                    <w:t>es</w:t>
                  </w:r>
                  <w:r>
                    <w:rPr>
                      <w:spacing w:val="-4"/>
                    </w:rPr>
                    <w:t xml:space="preserve"> </w:t>
                  </w:r>
                  <w:r>
                    <w:rPr>
                      <w:spacing w:val="-1"/>
                    </w:rPr>
                    <w:t>u</w:t>
                  </w:r>
                  <w:r>
                    <w:t>t</w:t>
                  </w:r>
                  <w:r>
                    <w:rPr>
                      <w:spacing w:val="-1"/>
                    </w:rPr>
                    <w:t>i</w:t>
                  </w:r>
                  <w:r>
                    <w:t>li</w:t>
                  </w:r>
                  <w:r>
                    <w:rPr>
                      <w:spacing w:val="-3"/>
                    </w:rPr>
                    <w:t>s</w:t>
                  </w:r>
                  <w:r>
                    <w:t>a</w:t>
                  </w:r>
                  <w:r>
                    <w:rPr>
                      <w:spacing w:val="-1"/>
                    </w:rPr>
                    <w:t>b</w:t>
                  </w:r>
                  <w:r>
                    <w:t>le</w:t>
                  </w:r>
                  <w:bookmarkEnd w:id="1730"/>
                  <w:bookmarkEnd w:id="1731"/>
                </w:p>
                <w:p>
                  <w:pPr>
                    <w:widowControl w:val="0"/>
                    <w:autoSpaceDE w:val="0"/>
                    <w:autoSpaceDN w:val="0"/>
                    <w:adjustRightInd w:val="0"/>
                    <w:ind w:right="-20"/>
                    <w:rPr>
                      <w:rFonts w:cs="Georgia"/>
                    </w:rPr>
                  </w:pPr>
                </w:p>
                <w:p>
                  <w:pPr>
                    <w:widowControl w:val="0"/>
                    <w:autoSpaceDE w:val="0"/>
                    <w:autoSpaceDN w:val="0"/>
                    <w:adjustRightInd w:val="0"/>
                    <w:ind w:right="-20"/>
                    <w:rPr>
                      <w:rFonts w:cs="Georgia"/>
                    </w:rPr>
                  </w:pPr>
                  <w:r>
                    <w:rPr>
                      <w:rFonts w:cs="Georgia"/>
                      <w:spacing w:val="1"/>
                    </w:rPr>
                    <w:t>L</w:t>
                  </w:r>
                  <w:r>
                    <w:rPr>
                      <w:rFonts w:cs="Georgia"/>
                    </w:rPr>
                    <w:t>a</w:t>
                  </w:r>
                  <w:r>
                    <w:rPr>
                      <w:rFonts w:cs="Georgia"/>
                      <w:spacing w:val="-1"/>
                    </w:rPr>
                    <w:t xml:space="preserve"> </w:t>
                  </w:r>
                  <w:r>
                    <w:rPr>
                      <w:rFonts w:cs="Georgia"/>
                    </w:rPr>
                    <w:t>f</w:t>
                  </w:r>
                  <w:r>
                    <w:rPr>
                      <w:rFonts w:cs="Georgia"/>
                      <w:spacing w:val="-1"/>
                    </w:rPr>
                    <w:t>o</w:t>
                  </w:r>
                  <w:r>
                    <w:rPr>
                      <w:rFonts w:cs="Georgia"/>
                      <w:spacing w:val="1"/>
                    </w:rPr>
                    <w:t>r</w:t>
                  </w:r>
                  <w:r>
                    <w:rPr>
                      <w:rFonts w:cs="Georgia"/>
                    </w:rPr>
                    <w:t>mu</w:t>
                  </w:r>
                  <w:r>
                    <w:rPr>
                      <w:rFonts w:cs="Georgia"/>
                      <w:spacing w:val="-1"/>
                    </w:rPr>
                    <w:t>l</w:t>
                  </w:r>
                  <w:r>
                    <w:rPr>
                      <w:rFonts w:cs="Georgia"/>
                    </w:rPr>
                    <w:t>e suivante détermine le capital-périodes :</w:t>
                  </w:r>
                </w:p>
                <w:p>
                  <w:pPr>
                    <w:widowControl w:val="0"/>
                    <w:autoSpaceDE w:val="0"/>
                    <w:autoSpaceDN w:val="0"/>
                    <w:adjustRightInd w:val="0"/>
                    <w:ind w:right="-20"/>
                    <w:rPr>
                      <w:rFonts w:cs="Georgia"/>
                    </w:rPr>
                  </w:pPr>
                </w:p>
                <w:p>
                  <w:pPr>
                    <w:jc w:val="center"/>
                    <w:rPr>
                      <w:rFonts w:cs="Georgia"/>
                      <w:b/>
                      <w:spacing w:val="-1"/>
                      <w:u w:val="single"/>
                    </w:rPr>
                  </w:pPr>
                  <w:r>
                    <w:rPr>
                      <w:rFonts w:cs="Georgia"/>
                      <w:b/>
                      <w:spacing w:val="1"/>
                      <w:u w:val="single"/>
                    </w:rPr>
                    <w:t>N</w:t>
                  </w:r>
                  <w:r>
                    <w:rPr>
                      <w:rFonts w:cs="Georgia"/>
                      <w:b/>
                      <w:spacing w:val="-1"/>
                      <w:u w:val="single"/>
                    </w:rPr>
                    <w:t>o</w:t>
                  </w:r>
                  <w:r>
                    <w:rPr>
                      <w:rFonts w:cs="Georgia"/>
                      <w:b/>
                      <w:u w:val="single"/>
                    </w:rPr>
                    <w:t>m</w:t>
                  </w:r>
                  <w:r>
                    <w:rPr>
                      <w:rFonts w:cs="Georgia"/>
                      <w:b/>
                      <w:spacing w:val="-1"/>
                      <w:u w:val="single"/>
                    </w:rPr>
                    <w:t>b</w:t>
                  </w:r>
                  <w:r>
                    <w:rPr>
                      <w:rFonts w:cs="Georgia"/>
                      <w:b/>
                      <w:spacing w:val="1"/>
                      <w:u w:val="single"/>
                    </w:rPr>
                    <w:t>r</w:t>
                  </w:r>
                  <w:r>
                    <w:rPr>
                      <w:rFonts w:cs="Georgia"/>
                      <w:b/>
                      <w:u w:val="single"/>
                    </w:rPr>
                    <w:t>e</w:t>
                  </w:r>
                  <w:r>
                    <w:rPr>
                      <w:rFonts w:cs="Georgia"/>
                      <w:b/>
                      <w:spacing w:val="-2"/>
                      <w:u w:val="single"/>
                    </w:rPr>
                    <w:t xml:space="preserve"> </w:t>
                  </w:r>
                  <w:r>
                    <w:rPr>
                      <w:rFonts w:cs="Georgia"/>
                      <w:b/>
                      <w:u w:val="single"/>
                    </w:rPr>
                    <w:t>d</w:t>
                  </w:r>
                  <w:r>
                    <w:rPr>
                      <w:rFonts w:cs="Georgia"/>
                      <w:b/>
                      <w:spacing w:val="1"/>
                      <w:u w:val="single"/>
                    </w:rPr>
                    <w:t>'</w:t>
                  </w:r>
                  <w:r>
                    <w:rPr>
                      <w:rFonts w:cs="Georgia"/>
                      <w:b/>
                      <w:spacing w:val="-1"/>
                      <w:u w:val="single"/>
                    </w:rPr>
                    <w:t>élè</w:t>
                  </w:r>
                  <w:r>
                    <w:rPr>
                      <w:rFonts w:cs="Georgia"/>
                      <w:b/>
                      <w:spacing w:val="1"/>
                      <w:u w:val="single"/>
                    </w:rPr>
                    <w:t>v</w:t>
                  </w:r>
                  <w:r>
                    <w:rPr>
                      <w:rFonts w:cs="Georgia"/>
                      <w:b/>
                      <w:spacing w:val="-1"/>
                      <w:u w:val="single"/>
                    </w:rPr>
                    <w:t>es</w:t>
                  </w:r>
                  <w:r>
                    <w:rPr>
                      <w:rFonts w:cs="Georgia"/>
                      <w:b/>
                      <w:spacing w:val="1"/>
                      <w:u w:val="single"/>
                    </w:rPr>
                    <w:t xml:space="preserve"> </w:t>
                  </w:r>
                  <w:r>
                    <w:rPr>
                      <w:rFonts w:cs="Georgia"/>
                      <w:b/>
                      <w:u w:val="single"/>
                    </w:rPr>
                    <w:t>x</w:t>
                  </w:r>
                  <w:r>
                    <w:rPr>
                      <w:rFonts w:cs="Georgia"/>
                      <w:b/>
                      <w:spacing w:val="-2"/>
                      <w:u w:val="single"/>
                    </w:rPr>
                    <w:t xml:space="preserve"> </w:t>
                  </w:r>
                  <w:r>
                    <w:rPr>
                      <w:rFonts w:cs="Georgia"/>
                      <w:b/>
                      <w:spacing w:val="1"/>
                      <w:u w:val="single"/>
                    </w:rPr>
                    <w:t>nombre de périodes hebdomadaires organisées</w:t>
                  </w:r>
                </w:p>
                <w:p>
                  <w:pPr>
                    <w:jc w:val="center"/>
                    <w:rPr>
                      <w:rFonts w:cs="Georgia"/>
                      <w:b/>
                    </w:rPr>
                  </w:pPr>
                  <w:r>
                    <w:rPr>
                      <w:rFonts w:cs="Georgia"/>
                      <w:b/>
                      <w:spacing w:val="1"/>
                    </w:rPr>
                    <w:t>N</w:t>
                  </w:r>
                  <w:r>
                    <w:rPr>
                      <w:rFonts w:cs="Georgia"/>
                      <w:b/>
                      <w:spacing w:val="-1"/>
                    </w:rPr>
                    <w:t>o</w:t>
                  </w:r>
                  <w:r>
                    <w:rPr>
                      <w:rFonts w:cs="Georgia"/>
                      <w:b/>
                    </w:rPr>
                    <w:t>m</w:t>
                  </w:r>
                  <w:r>
                    <w:rPr>
                      <w:rFonts w:cs="Georgia"/>
                      <w:b/>
                      <w:spacing w:val="-1"/>
                    </w:rPr>
                    <w:t>b</w:t>
                  </w:r>
                  <w:r>
                    <w:rPr>
                      <w:rFonts w:cs="Georgia"/>
                      <w:b/>
                      <w:spacing w:val="1"/>
                    </w:rPr>
                    <w:t>r</w:t>
                  </w:r>
                  <w:r>
                    <w:rPr>
                      <w:rFonts w:cs="Georgia"/>
                      <w:b/>
                    </w:rPr>
                    <w:t>e</w:t>
                  </w:r>
                  <w:r>
                    <w:rPr>
                      <w:rFonts w:cs="Georgia"/>
                      <w:b/>
                      <w:spacing w:val="-1"/>
                    </w:rPr>
                    <w:t xml:space="preserve"> </w:t>
                  </w:r>
                  <w:r>
                    <w:rPr>
                      <w:rFonts w:cs="Georgia"/>
                      <w:b/>
                    </w:rPr>
                    <w:t>guide</w:t>
                  </w:r>
                </w:p>
                <w:p>
                  <w:pPr>
                    <w:widowControl w:val="0"/>
                    <w:autoSpaceDE w:val="0"/>
                    <w:autoSpaceDN w:val="0"/>
                    <w:adjustRightInd w:val="0"/>
                    <w:rPr>
                      <w:rFonts w:cs="Georgia"/>
                      <w:b/>
                    </w:rPr>
                  </w:pPr>
                </w:p>
                <w:p>
                  <w:pPr>
                    <w:widowControl w:val="0"/>
                    <w:autoSpaceDE w:val="0"/>
                    <w:autoSpaceDN w:val="0"/>
                    <w:adjustRightInd w:val="0"/>
                    <w:ind w:right="-20"/>
                    <w:jc w:val="both"/>
                    <w:rPr>
                      <w:rFonts w:cs="Georgia"/>
                    </w:rPr>
                  </w:pPr>
                  <w:r>
                    <w:rPr>
                      <w:rFonts w:cs="Georgia"/>
                      <w:spacing w:val="1"/>
                    </w:rPr>
                    <w:t>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a</w:t>
                  </w:r>
                  <w:r>
                    <w:rPr>
                      <w:rFonts w:cs="Georgia"/>
                      <w:spacing w:val="1"/>
                    </w:rPr>
                    <w:t>t</w:t>
                  </w:r>
                  <w:r>
                    <w:rPr>
                      <w:rFonts w:cs="Georgia"/>
                      <w:spacing w:val="-2"/>
                    </w:rPr>
                    <w:t>t</w:t>
                  </w:r>
                  <w:r>
                    <w:rPr>
                      <w:rFonts w:cs="Georgia"/>
                      <w:spacing w:val="1"/>
                    </w:rPr>
                    <w:t>r</w:t>
                  </w:r>
                  <w:r>
                    <w:rPr>
                      <w:rFonts w:cs="Georgia"/>
                    </w:rPr>
                    <w:t>i</w:t>
                  </w:r>
                  <w:r>
                    <w:rPr>
                      <w:rFonts w:cs="Georgia"/>
                      <w:spacing w:val="-1"/>
                    </w:rPr>
                    <w:t>b</w:t>
                  </w:r>
                  <w:r>
                    <w:rPr>
                      <w:rFonts w:cs="Georgia"/>
                    </w:rPr>
                    <w:t>ué</w:t>
                  </w:r>
                  <w:r>
                    <w:rPr>
                      <w:rFonts w:cs="Georgia"/>
                      <w:spacing w:val="-1"/>
                    </w:rPr>
                    <w:t xml:space="preserve"> </w:t>
                  </w:r>
                  <w:r>
                    <w:rPr>
                      <w:rFonts w:cs="Georgia"/>
                    </w:rPr>
                    <w:t>à</w:t>
                  </w:r>
                  <w:r>
                    <w:rPr>
                      <w:rFonts w:cs="Georgia"/>
                      <w:spacing w:val="-1"/>
                    </w:rPr>
                    <w:t xml:space="preserve"> l</w:t>
                  </w:r>
                  <w:r>
                    <w:rPr>
                      <w:rFonts w:cs="Georgia"/>
                      <w:spacing w:val="1"/>
                    </w:rPr>
                    <w:t>'</w:t>
                  </w:r>
                  <w:r>
                    <w:rPr>
                      <w:rFonts w:cs="Georgia"/>
                      <w:spacing w:val="-1"/>
                    </w:rPr>
                    <w:t>é</w:t>
                  </w:r>
                  <w:r>
                    <w:rPr>
                      <w:rFonts w:cs="Georgia"/>
                      <w:spacing w:val="1"/>
                    </w:rPr>
                    <w:t>co</w:t>
                  </w:r>
                  <w:r>
                    <w:rPr>
                      <w:rFonts w:cs="Georgia"/>
                      <w:spacing w:val="-1"/>
                    </w:rPr>
                    <w:t>l</w:t>
                  </w:r>
                  <w:r>
                    <w:rPr>
                      <w:rFonts w:cs="Georgia"/>
                    </w:rPr>
                    <w:t>e</w:t>
                  </w:r>
                  <w:r>
                    <w:rPr>
                      <w:rFonts w:cs="Georgia"/>
                      <w:spacing w:val="-1"/>
                    </w:rPr>
                    <w:t xml:space="preserve"> e</w:t>
                  </w:r>
                  <w:r>
                    <w:rPr>
                      <w:rFonts w:cs="Georgia"/>
                      <w:spacing w:val="1"/>
                    </w:rPr>
                    <w:t>s</w:t>
                  </w:r>
                  <w:r>
                    <w:rPr>
                      <w:rFonts w:cs="Georgia"/>
                    </w:rPr>
                    <w:t xml:space="preserve">t </w:t>
                  </w:r>
                  <w:r>
                    <w:rPr>
                      <w:rFonts w:cs="Georgia"/>
                      <w:spacing w:val="-1"/>
                    </w:rPr>
                    <w:t>é</w:t>
                  </w:r>
                  <w:r>
                    <w:rPr>
                      <w:rFonts w:cs="Georgia"/>
                    </w:rPr>
                    <w:t>g</w:t>
                  </w:r>
                  <w:r>
                    <w:rPr>
                      <w:rFonts w:cs="Georgia"/>
                      <w:spacing w:val="-1"/>
                    </w:rPr>
                    <w:t>a</w:t>
                  </w:r>
                  <w:r>
                    <w:rPr>
                      <w:rFonts w:cs="Georgia"/>
                    </w:rPr>
                    <w:t>l</w:t>
                  </w:r>
                  <w:r>
                    <w:rPr>
                      <w:rFonts w:cs="Georgia"/>
                      <w:spacing w:val="-1"/>
                    </w:rPr>
                    <w:t xml:space="preserve"> </w:t>
                  </w:r>
                  <w:r>
                    <w:rPr>
                      <w:rFonts w:cs="Georgia"/>
                    </w:rPr>
                    <w:t>à</w:t>
                  </w:r>
                  <w:r>
                    <w:rPr>
                      <w:rFonts w:cs="Georgia"/>
                      <w:spacing w:val="-1"/>
                    </w:rPr>
                    <w:t xml:space="preserve"> l</w:t>
                  </w:r>
                  <w:r>
                    <w:rPr>
                      <w:rFonts w:cs="Georgia"/>
                    </w:rPr>
                    <w:t>a</w:t>
                  </w:r>
                  <w:r>
                    <w:rPr>
                      <w:rFonts w:cs="Georgia"/>
                      <w:spacing w:val="1"/>
                    </w:rPr>
                    <w:t xml:space="preserve"> so</w:t>
                  </w:r>
                  <w:r>
                    <w:rPr>
                      <w:rFonts w:cs="Georgia"/>
                    </w:rPr>
                    <w:t>mme</w:t>
                  </w:r>
                  <w:r>
                    <w:rPr>
                      <w:rFonts w:cs="Georgia"/>
                      <w:spacing w:val="-1"/>
                    </w:rPr>
                    <w:t xml:space="preserve"> </w:t>
                  </w:r>
                  <w:r>
                    <w:rPr>
                      <w:rFonts w:cs="Georgia"/>
                    </w:rPr>
                    <w:t>d</w:t>
                  </w:r>
                  <w:r>
                    <w:rPr>
                      <w:rFonts w:cs="Georgia"/>
                      <w:spacing w:val="-1"/>
                    </w:rPr>
                    <w:t>e</w:t>
                  </w:r>
                  <w:r>
                    <w:rPr>
                      <w:rFonts w:cs="Georgia"/>
                    </w:rPr>
                    <w:t xml:space="preserve">s </w:t>
                  </w:r>
                  <w:r>
                    <w:rPr>
                      <w:rFonts w:cs="Georgia"/>
                      <w:spacing w:val="-1"/>
                    </w:rPr>
                    <w:t>q</w:t>
                  </w:r>
                  <w:r>
                    <w:rPr>
                      <w:rFonts w:cs="Georgia"/>
                      <w:spacing w:val="-2"/>
                    </w:rPr>
                    <w:t>u</w:t>
                  </w:r>
                  <w:r>
                    <w:rPr>
                      <w:rFonts w:cs="Georgia"/>
                      <w:spacing w:val="1"/>
                    </w:rPr>
                    <w:t>o</w:t>
                  </w:r>
                  <w:r>
                    <w:rPr>
                      <w:rFonts w:cs="Georgia"/>
                      <w:spacing w:val="2"/>
                    </w:rPr>
                    <w:t>t</w:t>
                  </w:r>
                  <w:r>
                    <w:rPr>
                      <w:rFonts w:cs="Georgia"/>
                    </w:rPr>
                    <w:t>i</w:t>
                  </w:r>
                  <w:r>
                    <w:rPr>
                      <w:rFonts w:cs="Georgia"/>
                      <w:spacing w:val="-1"/>
                    </w:rPr>
                    <w:t>en</w:t>
                  </w:r>
                  <w:r>
                    <w:rPr>
                      <w:rFonts w:cs="Georgia"/>
                      <w:spacing w:val="1"/>
                    </w:rPr>
                    <w:t>t</w:t>
                  </w:r>
                  <w:r>
                    <w:rPr>
                      <w:rFonts w:cs="Georgia"/>
                    </w:rPr>
                    <w:t>s</w:t>
                  </w:r>
                  <w:r>
                    <w:rPr>
                      <w:rFonts w:cs="Georgia"/>
                      <w:spacing w:val="-2"/>
                    </w:rPr>
                    <w:t xml:space="preserve"> </w:t>
                  </w:r>
                  <w:r>
                    <w:rPr>
                      <w:rFonts w:cs="Georgia"/>
                      <w:spacing w:val="1"/>
                    </w:rPr>
                    <w:t>o</w:t>
                  </w:r>
                  <w:r>
                    <w:rPr>
                      <w:rFonts w:cs="Georgia"/>
                      <w:spacing w:val="-1"/>
                    </w:rPr>
                    <w:t>b</w:t>
                  </w:r>
                  <w:r>
                    <w:rPr>
                      <w:rFonts w:cs="Georgia"/>
                      <w:spacing w:val="1"/>
                    </w:rPr>
                    <w:t>t</w:t>
                  </w:r>
                  <w:r>
                    <w:rPr>
                      <w:rFonts w:cs="Georgia"/>
                      <w:spacing w:val="-1"/>
                    </w:rPr>
                    <w:t>en</w:t>
                  </w:r>
                  <w:r>
                    <w:rPr>
                      <w:rFonts w:cs="Georgia"/>
                    </w:rPr>
                    <w:t xml:space="preserve">us. </w:t>
                  </w:r>
                  <w:r>
                    <w:rPr>
                      <w:rFonts w:cs="Georgia"/>
                      <w:b/>
                      <w:bCs/>
                      <w:iCs/>
                      <w:u w:val="single"/>
                    </w:rPr>
                    <w:t>S</w:t>
                  </w:r>
                  <w:r>
                    <w:rPr>
                      <w:rFonts w:cs="Georgia"/>
                      <w:b/>
                      <w:bCs/>
                      <w:iCs/>
                      <w:spacing w:val="-1"/>
                      <w:u w:val="single"/>
                    </w:rPr>
                    <w:t>e</w:t>
                  </w:r>
                  <w:r>
                    <w:rPr>
                      <w:rFonts w:cs="Georgia"/>
                      <w:b/>
                      <w:bCs/>
                      <w:iCs/>
                      <w:u w:val="single"/>
                    </w:rPr>
                    <w:t xml:space="preserve">ul </w:t>
                  </w:r>
                  <w:r>
                    <w:rPr>
                      <w:rFonts w:cs="Georgia"/>
                      <w:b/>
                      <w:bCs/>
                      <w:iCs/>
                      <w:spacing w:val="1"/>
                      <w:u w:val="single"/>
                    </w:rPr>
                    <w:t>l</w:t>
                  </w:r>
                  <w:r>
                    <w:rPr>
                      <w:rFonts w:cs="Georgia"/>
                      <w:b/>
                      <w:bCs/>
                      <w:iCs/>
                      <w:u w:val="single"/>
                    </w:rPr>
                    <w:t>e</w:t>
                  </w:r>
                  <w:r>
                    <w:rPr>
                      <w:rFonts w:cs="Georgia"/>
                      <w:b/>
                      <w:bCs/>
                      <w:iCs/>
                      <w:spacing w:val="-1"/>
                      <w:u w:val="single"/>
                    </w:rPr>
                    <w:t xml:space="preserve"> tot</w:t>
                  </w:r>
                  <w:r>
                    <w:rPr>
                      <w:rFonts w:cs="Georgia"/>
                      <w:b/>
                      <w:bCs/>
                      <w:iCs/>
                      <w:spacing w:val="1"/>
                      <w:u w:val="single"/>
                    </w:rPr>
                    <w:t>a</w:t>
                  </w:r>
                  <w:r>
                    <w:rPr>
                      <w:rFonts w:cs="Georgia"/>
                      <w:b/>
                      <w:bCs/>
                      <w:iCs/>
                      <w:u w:val="single"/>
                    </w:rPr>
                    <w:t xml:space="preserve">l </w:t>
                  </w:r>
                  <w:r>
                    <w:rPr>
                      <w:rFonts w:cs="Georgia"/>
                      <w:b/>
                      <w:bCs/>
                      <w:iCs/>
                      <w:spacing w:val="-1"/>
                      <w:u w:val="single"/>
                    </w:rPr>
                    <w:t>e</w:t>
                  </w:r>
                  <w:r>
                    <w:rPr>
                      <w:rFonts w:cs="Georgia"/>
                      <w:b/>
                      <w:bCs/>
                      <w:iCs/>
                      <w:spacing w:val="1"/>
                      <w:u w:val="single"/>
                    </w:rPr>
                    <w:t>s</w:t>
                  </w:r>
                  <w:r>
                    <w:rPr>
                      <w:rFonts w:cs="Georgia"/>
                      <w:b/>
                      <w:bCs/>
                      <w:iCs/>
                      <w:u w:val="single"/>
                    </w:rPr>
                    <w:t>t</w:t>
                  </w:r>
                  <w:r>
                    <w:rPr>
                      <w:rFonts w:cs="Georgia"/>
                      <w:b/>
                      <w:bCs/>
                      <w:iCs/>
                      <w:spacing w:val="-2"/>
                      <w:u w:val="single"/>
                    </w:rPr>
                    <w:t xml:space="preserve"> </w:t>
                  </w:r>
                  <w:r>
                    <w:rPr>
                      <w:rFonts w:cs="Georgia"/>
                      <w:b/>
                      <w:bCs/>
                      <w:iCs/>
                      <w:spacing w:val="1"/>
                      <w:u w:val="single"/>
                    </w:rPr>
                    <w:t>a</w:t>
                  </w:r>
                  <w:r>
                    <w:rPr>
                      <w:rFonts w:cs="Georgia"/>
                      <w:b/>
                      <w:bCs/>
                      <w:iCs/>
                      <w:u w:val="single"/>
                    </w:rPr>
                    <w:t>rr</w:t>
                  </w:r>
                  <w:r>
                    <w:rPr>
                      <w:rFonts w:cs="Georgia"/>
                      <w:b/>
                      <w:bCs/>
                      <w:iCs/>
                      <w:spacing w:val="-4"/>
                      <w:u w:val="single"/>
                    </w:rPr>
                    <w:t>o</w:t>
                  </w:r>
                  <w:r>
                    <w:rPr>
                      <w:rFonts w:cs="Georgia"/>
                      <w:b/>
                      <w:bCs/>
                      <w:iCs/>
                      <w:spacing w:val="-1"/>
                      <w:u w:val="single"/>
                    </w:rPr>
                    <w:t>n</w:t>
                  </w:r>
                  <w:r>
                    <w:rPr>
                      <w:rFonts w:cs="Georgia"/>
                      <w:b/>
                      <w:bCs/>
                      <w:iCs/>
                      <w:u w:val="single"/>
                    </w:rPr>
                    <w:t xml:space="preserve">di à </w:t>
                  </w:r>
                  <w:r>
                    <w:rPr>
                      <w:rFonts w:cs="Georgia"/>
                      <w:b/>
                      <w:bCs/>
                      <w:iCs/>
                      <w:spacing w:val="1"/>
                      <w:u w:val="single"/>
                    </w:rPr>
                    <w:t>l'</w:t>
                  </w:r>
                  <w:r>
                    <w:rPr>
                      <w:rFonts w:cs="Georgia"/>
                      <w:b/>
                      <w:bCs/>
                      <w:iCs/>
                      <w:u w:val="single"/>
                    </w:rPr>
                    <w:t>u</w:t>
                  </w:r>
                  <w:r>
                    <w:rPr>
                      <w:rFonts w:cs="Georgia"/>
                      <w:b/>
                      <w:bCs/>
                      <w:iCs/>
                      <w:spacing w:val="-4"/>
                      <w:u w:val="single"/>
                    </w:rPr>
                    <w:t>n</w:t>
                  </w:r>
                  <w:r>
                    <w:rPr>
                      <w:rFonts w:cs="Georgia"/>
                      <w:b/>
                      <w:bCs/>
                      <w:iCs/>
                      <w:spacing w:val="1"/>
                      <w:u w:val="single"/>
                    </w:rPr>
                    <w:t>i</w:t>
                  </w:r>
                  <w:r>
                    <w:rPr>
                      <w:rFonts w:cs="Georgia"/>
                      <w:b/>
                      <w:bCs/>
                      <w:iCs/>
                      <w:spacing w:val="-1"/>
                      <w:u w:val="single"/>
                    </w:rPr>
                    <w:t>t</w:t>
                  </w:r>
                  <w:r>
                    <w:rPr>
                      <w:rFonts w:cs="Georgia"/>
                      <w:b/>
                      <w:bCs/>
                      <w:iCs/>
                      <w:u w:val="single"/>
                    </w:rPr>
                    <w:t>é</w:t>
                  </w:r>
                  <w:r>
                    <w:rPr>
                      <w:rFonts w:cs="Georgia"/>
                      <w:b/>
                      <w:bCs/>
                      <w:iCs/>
                      <w:spacing w:val="-1"/>
                      <w:u w:val="single"/>
                    </w:rPr>
                    <w:t xml:space="preserve"> </w:t>
                  </w:r>
                  <w:r>
                    <w:rPr>
                      <w:rFonts w:cs="Georgia"/>
                      <w:b/>
                      <w:bCs/>
                      <w:iCs/>
                      <w:spacing w:val="1"/>
                      <w:u w:val="single"/>
                    </w:rPr>
                    <w:t>s</w:t>
                  </w:r>
                  <w:r>
                    <w:rPr>
                      <w:rFonts w:cs="Georgia"/>
                      <w:b/>
                      <w:bCs/>
                      <w:iCs/>
                      <w:u w:val="single"/>
                    </w:rPr>
                    <w:t>up</w:t>
                  </w:r>
                  <w:r>
                    <w:rPr>
                      <w:rFonts w:cs="Georgia"/>
                      <w:b/>
                      <w:bCs/>
                      <w:iCs/>
                      <w:spacing w:val="-1"/>
                      <w:u w:val="single"/>
                    </w:rPr>
                    <w:t>é</w:t>
                  </w:r>
                  <w:r>
                    <w:rPr>
                      <w:rFonts w:cs="Georgia"/>
                      <w:b/>
                      <w:bCs/>
                      <w:iCs/>
                      <w:spacing w:val="-3"/>
                      <w:u w:val="single"/>
                    </w:rPr>
                    <w:t>r</w:t>
                  </w:r>
                  <w:r>
                    <w:rPr>
                      <w:rFonts w:cs="Georgia"/>
                      <w:b/>
                      <w:bCs/>
                      <w:iCs/>
                      <w:spacing w:val="1"/>
                      <w:u w:val="single"/>
                    </w:rPr>
                    <w:t>i</w:t>
                  </w:r>
                  <w:r>
                    <w:rPr>
                      <w:rFonts w:cs="Georgia"/>
                      <w:b/>
                      <w:bCs/>
                      <w:iCs/>
                      <w:spacing w:val="-1"/>
                      <w:u w:val="single"/>
                    </w:rPr>
                    <w:t>e</w:t>
                  </w:r>
                  <w:r>
                    <w:rPr>
                      <w:rFonts w:cs="Georgia"/>
                      <w:b/>
                      <w:bCs/>
                      <w:iCs/>
                      <w:spacing w:val="-2"/>
                      <w:u w:val="single"/>
                    </w:rPr>
                    <w:t>u</w:t>
                  </w:r>
                  <w:r>
                    <w:rPr>
                      <w:rFonts w:cs="Georgia"/>
                      <w:b/>
                      <w:bCs/>
                      <w:iCs/>
                      <w:u w:val="single"/>
                    </w:rPr>
                    <w:t>r</w:t>
                  </w:r>
                  <w:r>
                    <w:rPr>
                      <w:rFonts w:cs="Georgia"/>
                      <w:b/>
                      <w:bCs/>
                      <w:iCs/>
                      <w:spacing w:val="-1"/>
                      <w:u w:val="single"/>
                    </w:rPr>
                    <w:t>e</w:t>
                  </w:r>
                  <w:r>
                    <w:rPr>
                      <w:rFonts w:cs="Georgia"/>
                      <w:iCs/>
                    </w:rPr>
                    <w:t>.</w:t>
                  </w:r>
                </w:p>
                <w:p>
                  <w:pPr>
                    <w:widowControl w:val="0"/>
                    <w:autoSpaceDE w:val="0"/>
                    <w:autoSpaceDN w:val="0"/>
                    <w:adjustRightInd w:val="0"/>
                    <w:spacing w:before="12" w:line="240" w:lineRule="exact"/>
                    <w:jc w:val="both"/>
                    <w:rPr>
                      <w:rFonts w:cs="Georgia"/>
                    </w:rPr>
                  </w:pPr>
                </w:p>
                <w:p>
                  <w:pPr>
                    <w:widowControl w:val="0"/>
                    <w:autoSpaceDE w:val="0"/>
                    <w:autoSpaceDN w:val="0"/>
                    <w:adjustRightInd w:val="0"/>
                    <w:ind w:right="52"/>
                    <w:jc w:val="both"/>
                    <w:rPr>
                      <w:rFonts w:cs="Georgia"/>
                    </w:rPr>
                  </w:pPr>
                  <w:r>
                    <w:rPr>
                      <w:rFonts w:cs="Georgia"/>
                      <w:spacing w:val="1"/>
                    </w:rPr>
                    <w:t>L</w:t>
                  </w:r>
                  <w:r>
                    <w:rPr>
                      <w:rFonts w:cs="Georgia"/>
                    </w:rPr>
                    <w:t>e</w:t>
                  </w:r>
                  <w:r>
                    <w:rPr>
                      <w:rFonts w:cs="Georgia"/>
                      <w:spacing w:val="4"/>
                    </w:rPr>
                    <w:t xml:space="preserve"> </w:t>
                  </w:r>
                  <w:r>
                    <w:rPr>
                      <w:rFonts w:cs="Georgia"/>
                      <w:spacing w:val="1"/>
                    </w:rPr>
                    <w:t>po</w:t>
                  </w:r>
                  <w:r>
                    <w:rPr>
                      <w:rFonts w:cs="Georgia"/>
                      <w:spacing w:val="-2"/>
                    </w:rPr>
                    <w:t>u</w:t>
                  </w:r>
                  <w:r>
                    <w:rPr>
                      <w:rFonts w:cs="Georgia"/>
                      <w:spacing w:val="1"/>
                    </w:rPr>
                    <w:t>rc</w:t>
                  </w:r>
                  <w:r>
                    <w:rPr>
                      <w:rFonts w:cs="Georgia"/>
                      <w:spacing w:val="-1"/>
                    </w:rPr>
                    <w:t>en</w:t>
                  </w:r>
                  <w:r>
                    <w:rPr>
                      <w:rFonts w:cs="Georgia"/>
                      <w:spacing w:val="1"/>
                    </w:rPr>
                    <w:t>t</w:t>
                  </w:r>
                  <w:r>
                    <w:rPr>
                      <w:rFonts w:cs="Georgia"/>
                      <w:spacing w:val="-1"/>
                    </w:rPr>
                    <w:t>a</w:t>
                  </w:r>
                  <w:r>
                    <w:rPr>
                      <w:rFonts w:cs="Georgia"/>
                    </w:rPr>
                    <w:t>ge</w:t>
                  </w:r>
                  <w:r>
                    <w:rPr>
                      <w:rFonts w:cs="Georgia"/>
                      <w:spacing w:val="4"/>
                    </w:rPr>
                    <w:t xml:space="preserve"> </w:t>
                  </w:r>
                  <w:r>
                    <w:rPr>
                      <w:rFonts w:cs="Georgia"/>
                    </w:rPr>
                    <w:t>du</w:t>
                  </w:r>
                  <w:r>
                    <w:rPr>
                      <w:rFonts w:cs="Georgia"/>
                      <w:spacing w:val="5"/>
                    </w:rPr>
                    <w:t xml:space="preserve"> </w:t>
                  </w:r>
                  <w:r>
                    <w:rPr>
                      <w:rFonts w:cs="Georgia"/>
                      <w:spacing w:val="1"/>
                    </w:rPr>
                    <w:t>c</w:t>
                  </w:r>
                  <w:r>
                    <w:rPr>
                      <w:rFonts w:cs="Georgia"/>
                      <w:spacing w:val="-1"/>
                    </w:rPr>
                    <w:t>ap</w:t>
                  </w:r>
                  <w:r>
                    <w:rPr>
                      <w:rFonts w:cs="Georgia"/>
                    </w:rPr>
                    <w:t>i</w:t>
                  </w:r>
                  <w:r>
                    <w:rPr>
                      <w:rFonts w:cs="Georgia"/>
                      <w:spacing w:val="-2"/>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5"/>
                    </w:rPr>
                    <w:t xml:space="preserve"> </w:t>
                  </w:r>
                  <w:r>
                    <w:rPr>
                      <w:rFonts w:cs="Georgia"/>
                      <w:spacing w:val="-1"/>
                    </w:rPr>
                    <w:t>q</w:t>
                  </w:r>
                  <w:r>
                    <w:rPr>
                      <w:rFonts w:cs="Georgia"/>
                    </w:rPr>
                    <w:t>ui</w:t>
                  </w:r>
                  <w:r>
                    <w:rPr>
                      <w:rFonts w:cs="Georgia"/>
                      <w:spacing w:val="5"/>
                    </w:rPr>
                    <w:t xml:space="preserve"> </w:t>
                  </w:r>
                  <w:r>
                    <w:rPr>
                      <w:rFonts w:cs="Georgia"/>
                      <w:spacing w:val="1"/>
                    </w:rPr>
                    <w:t>p</w:t>
                  </w:r>
                  <w:r>
                    <w:rPr>
                      <w:rFonts w:cs="Georgia"/>
                      <w:spacing w:val="-1"/>
                    </w:rPr>
                    <w:t>e</w:t>
                  </w:r>
                  <w:r>
                    <w:rPr>
                      <w:rFonts w:cs="Georgia"/>
                    </w:rPr>
                    <w:t>ut</w:t>
                  </w:r>
                  <w:r>
                    <w:rPr>
                      <w:rFonts w:cs="Georgia"/>
                      <w:spacing w:val="5"/>
                    </w:rPr>
                    <w:t xml:space="preserve"> </w:t>
                  </w:r>
                  <w:r>
                    <w:rPr>
                      <w:rFonts w:cs="Georgia"/>
                      <w:spacing w:val="-1"/>
                    </w:rPr>
                    <w:t>ê</w:t>
                  </w:r>
                  <w:r>
                    <w:rPr>
                      <w:rFonts w:cs="Georgia"/>
                      <w:spacing w:val="1"/>
                    </w:rPr>
                    <w:t>tr</w:t>
                  </w:r>
                  <w:r>
                    <w:rPr>
                      <w:rFonts w:cs="Georgia"/>
                    </w:rPr>
                    <w:t>e</w:t>
                  </w:r>
                  <w:r>
                    <w:rPr>
                      <w:rFonts w:cs="Georgia"/>
                      <w:spacing w:val="1"/>
                    </w:rPr>
                    <w:t xml:space="preserve"> </w:t>
                  </w:r>
                  <w:r>
                    <w:rPr>
                      <w:rFonts w:cs="Georgia"/>
                    </w:rPr>
                    <w:t>u</w:t>
                  </w:r>
                  <w:r>
                    <w:rPr>
                      <w:rFonts w:cs="Georgia"/>
                      <w:spacing w:val="1"/>
                    </w:rPr>
                    <w:t>t</w:t>
                  </w:r>
                  <w:r>
                    <w:rPr>
                      <w:rFonts w:cs="Georgia"/>
                    </w:rPr>
                    <w:t>i</w:t>
                  </w:r>
                  <w:r>
                    <w:rPr>
                      <w:rFonts w:cs="Georgia"/>
                      <w:spacing w:val="-1"/>
                    </w:rPr>
                    <w:t>l</w:t>
                  </w:r>
                  <w:r>
                    <w:rPr>
                      <w:rFonts w:cs="Georgia"/>
                    </w:rPr>
                    <w:t>i</w:t>
                  </w:r>
                  <w:r>
                    <w:rPr>
                      <w:rFonts w:cs="Georgia"/>
                      <w:spacing w:val="1"/>
                    </w:rPr>
                    <w:t>s</w:t>
                  </w:r>
                  <w:r>
                    <w:rPr>
                      <w:rFonts w:cs="Georgia"/>
                    </w:rPr>
                    <w:t>é</w:t>
                  </w:r>
                  <w:r>
                    <w:rPr>
                      <w:rFonts w:cs="Georgia"/>
                      <w:spacing w:val="4"/>
                    </w:rPr>
                    <w:t xml:space="preserve"> </w:t>
                  </w:r>
                  <w:r>
                    <w:rPr>
                      <w:rFonts w:cs="Georgia"/>
                      <w:spacing w:val="-1"/>
                    </w:rPr>
                    <w:t>e</w:t>
                  </w:r>
                  <w:r>
                    <w:rPr>
                      <w:rFonts w:cs="Georgia"/>
                      <w:spacing w:val="1"/>
                    </w:rPr>
                    <w:t>s</w:t>
                  </w:r>
                  <w:r>
                    <w:rPr>
                      <w:rFonts w:cs="Georgia"/>
                    </w:rPr>
                    <w:t>t</w:t>
                  </w:r>
                  <w:r>
                    <w:rPr>
                      <w:rFonts w:cs="Georgia"/>
                      <w:spacing w:val="5"/>
                    </w:rPr>
                    <w:t xml:space="preserve"> </w:t>
                  </w:r>
                  <w:r>
                    <w:rPr>
                      <w:rFonts w:cs="Georgia"/>
                    </w:rPr>
                    <w:t>fi</w:t>
                  </w:r>
                  <w:r>
                    <w:rPr>
                      <w:rFonts w:cs="Georgia"/>
                      <w:spacing w:val="-1"/>
                    </w:rPr>
                    <w:t>x</w:t>
                  </w:r>
                  <w:r>
                    <w:rPr>
                      <w:rFonts w:cs="Georgia"/>
                    </w:rPr>
                    <w:t>é</w:t>
                  </w:r>
                  <w:r>
                    <w:rPr>
                      <w:rFonts w:cs="Georgia"/>
                      <w:spacing w:val="4"/>
                    </w:rPr>
                    <w:t xml:space="preserve"> </w:t>
                  </w:r>
                  <w:r>
                    <w:rPr>
                      <w:rFonts w:cs="Georgia"/>
                    </w:rPr>
                    <w:t>à</w:t>
                  </w:r>
                  <w:r>
                    <w:rPr>
                      <w:rFonts w:cs="Georgia"/>
                      <w:spacing w:val="4"/>
                    </w:rPr>
                    <w:t xml:space="preserve"> </w:t>
                  </w:r>
                  <w:r>
                    <w:rPr>
                      <w:rFonts w:cs="Georgia"/>
                    </w:rPr>
                    <w:t>97</w:t>
                  </w:r>
                  <w:r>
                    <w:rPr>
                      <w:rFonts w:cs="Georgia"/>
                      <w:spacing w:val="4"/>
                    </w:rPr>
                    <w:t xml:space="preserve"> </w:t>
                  </w:r>
                  <w:r>
                    <w:rPr>
                      <w:rFonts w:cs="Georgia"/>
                    </w:rPr>
                    <w:t>%</w:t>
                  </w:r>
                  <w:r>
                    <w:rPr>
                      <w:rFonts w:cs="Georgia"/>
                      <w:spacing w:val="7"/>
                    </w:rPr>
                    <w:t xml:space="preserve"> </w:t>
                  </w:r>
                  <w:r>
                    <w:rPr>
                      <w:rFonts w:cs="Georgia"/>
                      <w:spacing w:val="1"/>
                    </w:rPr>
                    <w:t>po</w:t>
                  </w:r>
                  <w:r>
                    <w:rPr>
                      <w:rFonts w:cs="Georgia"/>
                    </w:rPr>
                    <w:t xml:space="preserve">ur cette </w:t>
                  </w:r>
                  <w:r>
                    <w:rPr>
                      <w:rFonts w:cs="Georgia"/>
                      <w:spacing w:val="-1"/>
                    </w:rPr>
                    <w:t>anné</w:t>
                  </w:r>
                  <w:r>
                    <w:rPr>
                      <w:rFonts w:cs="Georgia"/>
                    </w:rPr>
                    <w:t>e</w:t>
                  </w:r>
                  <w:r>
                    <w:rPr>
                      <w:rFonts w:cs="Georgia"/>
                      <w:spacing w:val="4"/>
                    </w:rPr>
                    <w:t xml:space="preserve"> </w:t>
                  </w:r>
                  <w:r>
                    <w:rPr>
                      <w:rFonts w:cs="Georgia"/>
                      <w:spacing w:val="1"/>
                    </w:rPr>
                    <w:t>sco</w:t>
                  </w:r>
                  <w:r>
                    <w:rPr>
                      <w:rFonts w:cs="Georgia"/>
                      <w:spacing w:val="-1"/>
                    </w:rPr>
                    <w:t>la</w:t>
                  </w:r>
                  <w:r>
                    <w:rPr>
                      <w:rFonts w:cs="Georgia"/>
                    </w:rPr>
                    <w:t>i</w:t>
                  </w:r>
                  <w:r>
                    <w:rPr>
                      <w:rFonts w:cs="Georgia"/>
                      <w:spacing w:val="1"/>
                    </w:rPr>
                    <w:t>r</w:t>
                  </w:r>
                  <w:r>
                    <w:rPr>
                      <w:rFonts w:cs="Georgia"/>
                    </w:rPr>
                    <w:t>e</w:t>
                  </w:r>
                  <w:r>
                    <w:rPr>
                      <w:rFonts w:cs="Georgia"/>
                      <w:spacing w:val="4"/>
                    </w:rPr>
                    <w:t>.</w:t>
                  </w:r>
                  <w:r>
                    <w:rPr>
                      <w:rFonts w:cs="Georgia"/>
                    </w:rPr>
                    <w:t xml:space="preserve"> Ce</w:t>
                  </w:r>
                  <w:r>
                    <w:rPr>
                      <w:rFonts w:cs="Georgia"/>
                      <w:spacing w:val="-1"/>
                    </w:rPr>
                    <w:t xml:space="preserve"> n</w:t>
                  </w:r>
                  <w:r>
                    <w:rPr>
                      <w:rFonts w:cs="Georgia"/>
                      <w:spacing w:val="1"/>
                    </w:rPr>
                    <w:t>o</w:t>
                  </w:r>
                  <w:r>
                    <w:rPr>
                      <w:rFonts w:cs="Georgia"/>
                      <w:spacing w:val="-3"/>
                    </w:rPr>
                    <w:t>m</w:t>
                  </w:r>
                  <w:r>
                    <w:rPr>
                      <w:rFonts w:cs="Georgia"/>
                      <w:spacing w:val="1"/>
                    </w:rPr>
                    <w:t>br</w:t>
                  </w:r>
                  <w:r>
                    <w:rPr>
                      <w:rFonts w:cs="Georgia"/>
                    </w:rPr>
                    <w:t>e</w:t>
                  </w:r>
                  <w:r>
                    <w:rPr>
                      <w:rFonts w:cs="Georgia"/>
                      <w:spacing w:val="-1"/>
                    </w:rPr>
                    <w:t xml:space="preserve"> e</w:t>
                  </w:r>
                  <w:r>
                    <w:rPr>
                      <w:rFonts w:cs="Georgia"/>
                      <w:spacing w:val="1"/>
                    </w:rPr>
                    <w:t>s</w:t>
                  </w:r>
                  <w:r>
                    <w:rPr>
                      <w:rFonts w:cs="Georgia"/>
                    </w:rPr>
                    <w:t xml:space="preserve">t </w:t>
                  </w:r>
                  <w:r>
                    <w:rPr>
                      <w:rFonts w:cs="Georgia"/>
                      <w:spacing w:val="-1"/>
                    </w:rPr>
                    <w:t>a</w:t>
                  </w:r>
                  <w:r>
                    <w:rPr>
                      <w:rFonts w:cs="Georgia"/>
                      <w:spacing w:val="-2"/>
                    </w:rPr>
                    <w:t>rr</w:t>
                  </w:r>
                  <w:r>
                    <w:rPr>
                      <w:rFonts w:cs="Georgia"/>
                      <w:spacing w:val="-1"/>
                    </w:rPr>
                    <w:t>on</w:t>
                  </w:r>
                  <w:r>
                    <w:rPr>
                      <w:rFonts w:cs="Georgia"/>
                    </w:rPr>
                    <w:t>di à</w:t>
                  </w:r>
                  <w:r>
                    <w:rPr>
                      <w:rFonts w:cs="Georgia"/>
                      <w:spacing w:val="-1"/>
                    </w:rPr>
                    <w:t xml:space="preserve"> l</w:t>
                  </w:r>
                  <w:r>
                    <w:rPr>
                      <w:rFonts w:cs="Georgia"/>
                    </w:rPr>
                    <w:t>’u</w:t>
                  </w:r>
                  <w:r>
                    <w:rPr>
                      <w:rFonts w:cs="Georgia"/>
                      <w:spacing w:val="-1"/>
                    </w:rPr>
                    <w:t>n</w:t>
                  </w:r>
                  <w:r>
                    <w:rPr>
                      <w:rFonts w:cs="Georgia"/>
                    </w:rPr>
                    <w:t>i</w:t>
                  </w:r>
                  <w:r>
                    <w:rPr>
                      <w:rFonts w:cs="Georgia"/>
                      <w:spacing w:val="1"/>
                    </w:rPr>
                    <w:t>t</w:t>
                  </w:r>
                  <w:r>
                    <w:rPr>
                      <w:rFonts w:cs="Georgia"/>
                    </w:rPr>
                    <w:t>é</w:t>
                  </w:r>
                  <w:r>
                    <w:rPr>
                      <w:rFonts w:cs="Georgia"/>
                      <w:spacing w:val="-1"/>
                    </w:rPr>
                    <w:t xml:space="preserve"> </w:t>
                  </w:r>
                  <w:r>
                    <w:rPr>
                      <w:rFonts w:cs="Georgia"/>
                      <w:spacing w:val="1"/>
                    </w:rPr>
                    <w:t>s</w:t>
                  </w:r>
                  <w:r>
                    <w:rPr>
                      <w:rFonts w:cs="Georgia"/>
                    </w:rPr>
                    <w:t>u</w:t>
                  </w:r>
                  <w:r>
                    <w:rPr>
                      <w:rFonts w:cs="Georgia"/>
                      <w:spacing w:val="1"/>
                    </w:rPr>
                    <w:t>p</w:t>
                  </w:r>
                  <w:r>
                    <w:rPr>
                      <w:rFonts w:cs="Georgia"/>
                      <w:spacing w:val="-3"/>
                    </w:rPr>
                    <w:t>é</w:t>
                  </w:r>
                  <w:r>
                    <w:rPr>
                      <w:rFonts w:cs="Georgia"/>
                      <w:spacing w:val="1"/>
                    </w:rPr>
                    <w:t>r</w:t>
                  </w:r>
                  <w:r>
                    <w:rPr>
                      <w:rFonts w:cs="Georgia"/>
                    </w:rPr>
                    <w:t>i</w:t>
                  </w:r>
                  <w:r>
                    <w:rPr>
                      <w:rFonts w:cs="Georgia"/>
                      <w:spacing w:val="-1"/>
                    </w:rPr>
                    <w:t>e</w:t>
                  </w:r>
                  <w:r>
                    <w:rPr>
                      <w:rFonts w:cs="Georgia"/>
                    </w:rPr>
                    <w:t>u</w:t>
                  </w:r>
                  <w:r>
                    <w:rPr>
                      <w:rFonts w:cs="Georgia"/>
                      <w:spacing w:val="1"/>
                    </w:rPr>
                    <w:t>r</w:t>
                  </w:r>
                  <w:r>
                    <w:rPr>
                      <w:rFonts w:cs="Georgia"/>
                      <w:spacing w:val="-1"/>
                    </w:rPr>
                    <w:t>e</w:t>
                  </w:r>
                  <w:r>
                    <w:rPr>
                      <w:rFonts w:cs="Georgia"/>
                    </w:rPr>
                    <w:t>.</w:t>
                  </w:r>
                </w:p>
                <w:p>
                  <w:pPr>
                    <w:widowControl w:val="0"/>
                    <w:autoSpaceDE w:val="0"/>
                    <w:autoSpaceDN w:val="0"/>
                    <w:adjustRightInd w:val="0"/>
                    <w:spacing w:before="1" w:line="250" w:lineRule="exact"/>
                    <w:ind w:right="47"/>
                    <w:jc w:val="both"/>
                    <w:rPr>
                      <w:rFonts w:cs="Georgia"/>
                    </w:rPr>
                  </w:pPr>
                </w:p>
                <w:p>
                  <w:pPr>
                    <w:jc w:val="both"/>
                    <w:rPr>
                      <w:rFonts w:cs="Georgia"/>
                      <w:spacing w:val="-1"/>
                    </w:rPr>
                  </w:pPr>
                  <w:r>
                    <w:rPr>
                      <w:rFonts w:cs="Georgia"/>
                    </w:rPr>
                    <w:t>En</w:t>
                  </w:r>
                  <w:r>
                    <w:rPr>
                      <w:rFonts w:cs="Georgia"/>
                      <w:spacing w:val="25"/>
                    </w:rPr>
                    <w:t xml:space="preserve"> </w:t>
                  </w:r>
                  <w:r>
                    <w:rPr>
                      <w:rFonts w:cs="Georgia"/>
                      <w:spacing w:val="-1"/>
                    </w:rPr>
                    <w:t>a</w:t>
                  </w:r>
                  <w:r>
                    <w:rPr>
                      <w:rFonts w:cs="Georgia"/>
                    </w:rPr>
                    <w:t>u</w:t>
                  </w:r>
                  <w:r>
                    <w:rPr>
                      <w:rFonts w:cs="Georgia"/>
                      <w:spacing w:val="1"/>
                    </w:rPr>
                    <w:t>c</w:t>
                  </w:r>
                  <w:r>
                    <w:rPr>
                      <w:rFonts w:cs="Georgia"/>
                    </w:rPr>
                    <w:t>un</w:t>
                  </w:r>
                  <w:r>
                    <w:rPr>
                      <w:rFonts w:cs="Georgia"/>
                      <w:spacing w:val="25"/>
                    </w:rPr>
                    <w:t xml:space="preserve"> </w:t>
                  </w:r>
                  <w:r>
                    <w:rPr>
                      <w:rFonts w:cs="Georgia"/>
                      <w:spacing w:val="1"/>
                    </w:rPr>
                    <w:t>c</w:t>
                  </w:r>
                  <w:r>
                    <w:rPr>
                      <w:rFonts w:cs="Georgia"/>
                      <w:spacing w:val="-1"/>
                    </w:rPr>
                    <w:t>a</w:t>
                  </w:r>
                  <w:r>
                    <w:rPr>
                      <w:rFonts w:cs="Georgia"/>
                      <w:spacing w:val="1"/>
                    </w:rPr>
                    <w:t>s, à l’exception de l’octroi de périodes dérogatoires</w:t>
                  </w:r>
                  <w:r>
                    <w:rPr>
                      <w:rFonts w:cs="Georgia"/>
                    </w:rPr>
                    <w:t>,</w:t>
                  </w:r>
                  <w:r>
                    <w:rPr>
                      <w:rFonts w:cs="Georgia"/>
                      <w:spacing w:val="27"/>
                    </w:rPr>
                    <w:t xml:space="preserve"> </w:t>
                  </w:r>
                  <w:r>
                    <w:rPr>
                      <w:rFonts w:cs="Georgia"/>
                      <w:spacing w:val="-1"/>
                    </w:rPr>
                    <w:t>l</w:t>
                  </w:r>
                  <w:r>
                    <w:rPr>
                      <w:rFonts w:cs="Georgia"/>
                    </w:rPr>
                    <w:t>e</w:t>
                  </w:r>
                  <w:r>
                    <w:rPr>
                      <w:rFonts w:cs="Georgia"/>
                      <w:spacing w:val="25"/>
                    </w:rPr>
                    <w:t xml:space="preserve"> </w:t>
                  </w:r>
                  <w:r>
                    <w:rPr>
                      <w:rFonts w:cs="Georgia"/>
                      <w:spacing w:val="-1"/>
                    </w:rPr>
                    <w:t>n</w:t>
                  </w:r>
                  <w:r>
                    <w:rPr>
                      <w:rFonts w:cs="Georgia"/>
                      <w:spacing w:val="1"/>
                    </w:rPr>
                    <w:t>o</w:t>
                  </w:r>
                  <w:r>
                    <w:rPr>
                      <w:rFonts w:cs="Georgia"/>
                      <w:spacing w:val="-3"/>
                    </w:rPr>
                    <w:t>m</w:t>
                  </w:r>
                  <w:r>
                    <w:rPr>
                      <w:rFonts w:cs="Georgia"/>
                      <w:spacing w:val="1"/>
                    </w:rPr>
                    <w:t>b</w:t>
                  </w:r>
                  <w:r>
                    <w:rPr>
                      <w:rFonts w:cs="Georgia"/>
                      <w:spacing w:val="-2"/>
                    </w:rPr>
                    <w:t>r</w:t>
                  </w:r>
                  <w:r>
                    <w:rPr>
                      <w:rFonts w:cs="Georgia"/>
                    </w:rPr>
                    <w:t>e</w:t>
                  </w:r>
                  <w:r>
                    <w:rPr>
                      <w:rFonts w:cs="Georgia"/>
                      <w:spacing w:val="25"/>
                    </w:rPr>
                    <w:t xml:space="preserve"> </w:t>
                  </w:r>
                  <w:r>
                    <w:rPr>
                      <w:rFonts w:cs="Georgia"/>
                    </w:rPr>
                    <w:t>de</w:t>
                  </w:r>
                  <w:r>
                    <w:rPr>
                      <w:rFonts w:cs="Georgia"/>
                      <w:spacing w:val="25"/>
                    </w:rPr>
                    <w:t xml:space="preserve"> </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24"/>
                    </w:rPr>
                    <w:t xml:space="preserve"> </w:t>
                  </w:r>
                  <w:r>
                    <w:rPr>
                      <w:rFonts w:cs="Georgia"/>
                      <w:spacing w:val="1"/>
                    </w:rPr>
                    <w:t>r</w:t>
                  </w:r>
                  <w:r>
                    <w:rPr>
                      <w:rFonts w:cs="Georgia"/>
                      <w:spacing w:val="-1"/>
                    </w:rPr>
                    <w:t>éelle</w:t>
                  </w:r>
                  <w:r>
                    <w:rPr>
                      <w:rFonts w:cs="Georgia"/>
                    </w:rPr>
                    <w:t>m</w:t>
                  </w:r>
                  <w:r>
                    <w:rPr>
                      <w:rFonts w:cs="Georgia"/>
                      <w:spacing w:val="-1"/>
                    </w:rPr>
                    <w:t>en</w:t>
                  </w:r>
                  <w:r>
                    <w:rPr>
                      <w:rFonts w:cs="Georgia"/>
                    </w:rPr>
                    <w:t>t</w:t>
                  </w:r>
                  <w:r>
                    <w:rPr>
                      <w:rFonts w:cs="Georgia"/>
                      <w:spacing w:val="27"/>
                    </w:rPr>
                    <w:t xml:space="preserve"> </w:t>
                  </w:r>
                  <w:r>
                    <w:rPr>
                      <w:rFonts w:cs="Georgia"/>
                      <w:spacing w:val="-1"/>
                    </w:rPr>
                    <w:t>attribuées selon ce calcul ne peut dépasser le capital-périodes utilisable.</w:t>
                  </w:r>
                </w:p>
                <w:p>
                  <w:pPr>
                    <w:jc w:val="both"/>
                    <w:rPr>
                      <w:rFonts w:cs="Georgia"/>
                      <w:spacing w:val="-1"/>
                    </w:rPr>
                  </w:pPr>
                </w:p>
                <w:p>
                  <w:pPr>
                    <w:pBdr>
                      <w:right w:val="single" w:sz="4" w:space="4" w:color="auto"/>
                    </w:pBdr>
                    <w:jc w:val="both"/>
                    <w:rPr>
                      <w:rFonts w:ascii="Calibri" w:hAnsi="Calibri"/>
                    </w:rPr>
                  </w:pPr>
                  <w:r>
                    <w:t>En vertu de l’article 213, alinéa 3 du décret du 3 mars 2004,  le pourcentage du capital-périodes utilisable est de 100% en ce qui concerne les catégories du personnel directeur et enseignant  encadrant les élèves qui relèvent des pédagogies adaptées.</w:t>
                  </w:r>
                </w:p>
                <w:p>
                  <w:pPr>
                    <w:pBdr>
                      <w:right w:val="single" w:sz="4" w:space="4" w:color="auto"/>
                    </w:pBdr>
                    <w:jc w:val="both"/>
                  </w:pPr>
                  <w:r>
                    <w:t>Toutefois, les pédagogies adaptées ne peuvent bénéficier du capital-périodes à 100% que si les établissements concernés respectent un cahier des charges reprenant les dispositions nécessaires à l'organisation de ces dites pédagogies. Ce cahier des charges sera détaillé dans une circulaire spécifique publiée prochainement.</w:t>
                  </w:r>
                </w:p>
                <w:p>
                  <w:pPr>
                    <w:rPr>
                      <w:rFonts w:cs="Georgia"/>
                    </w:rPr>
                  </w:pPr>
                </w:p>
                <w:p>
                  <w:pPr>
                    <w:rPr>
                      <w:rFonts w:cs="Georgia"/>
                    </w:rPr>
                  </w:pPr>
                </w:p>
                <w:p>
                  <w:pPr>
                    <w:pStyle w:val="Titre4"/>
                  </w:pPr>
                  <w:bookmarkStart w:id="1732" w:name="_Toc453314316"/>
                  <w:bookmarkStart w:id="1733" w:name="_Toc454980351"/>
                  <w:r>
                    <w:t>1.4. Variation de 5% de la population scolaire au 30 septembre</w:t>
                  </w:r>
                  <w:bookmarkEnd w:id="1732"/>
                  <w:bookmarkEnd w:id="1733"/>
                </w:p>
                <w:p>
                  <w:pPr>
                    <w:widowControl w:val="0"/>
                    <w:autoSpaceDE w:val="0"/>
                    <w:autoSpaceDN w:val="0"/>
                    <w:adjustRightInd w:val="0"/>
                    <w:spacing w:line="244" w:lineRule="exact"/>
                    <w:ind w:right="5864"/>
                    <w:jc w:val="both"/>
                    <w:rPr>
                      <w:rFonts w:cs="Georgia"/>
                      <w:b/>
                      <w:bCs/>
                      <w:color w:val="000000"/>
                      <w:position w:val="-1"/>
                    </w:rPr>
                  </w:pPr>
                </w:p>
                <w:p>
                  <w:pPr>
                    <w:widowControl w:val="0"/>
                    <w:autoSpaceDE w:val="0"/>
                    <w:autoSpaceDN w:val="0"/>
                    <w:adjustRightInd w:val="0"/>
                    <w:spacing w:before="38" w:line="250" w:lineRule="exact"/>
                    <w:ind w:right="46"/>
                    <w:jc w:val="both"/>
                    <w:rPr>
                      <w:rFonts w:cs="Georgia"/>
                      <w:color w:val="000000"/>
                      <w:spacing w:val="1"/>
                    </w:rPr>
                  </w:pPr>
                  <w:r>
                    <w:rPr>
                      <w:rFonts w:cs="Georgia"/>
                      <w:color w:val="000000"/>
                      <w:spacing w:val="1"/>
                    </w:rPr>
                    <w:t>En cas de variation de 5% de la population scolaire par rapport à celle du 15 janvier de l’année scolaire précédente, le capital-périodes est recalculé. S’il n’y a pas de variation de 5%, le capital-périodes calculé au 15 janvier de l’année scolaire précédente est maintenu.</w:t>
                  </w:r>
                </w:p>
                <w:p>
                  <w:pPr>
                    <w:widowControl w:val="0"/>
                    <w:autoSpaceDE w:val="0"/>
                    <w:autoSpaceDN w:val="0"/>
                    <w:adjustRightInd w:val="0"/>
                    <w:spacing w:before="38" w:line="250" w:lineRule="exact"/>
                    <w:ind w:right="46"/>
                    <w:rPr>
                      <w:rFonts w:cs="Georgia"/>
                      <w:color w:val="000000"/>
                      <w:spacing w:val="1"/>
                    </w:rPr>
                  </w:pPr>
                </w:p>
                <w:tbl>
                  <w:tblPr>
                    <w:tblW w:w="9497" w:type="dxa"/>
                    <w:jc w:val="center"/>
                    <w:tblLayout w:type="fixed"/>
                    <w:tblCellMar>
                      <w:left w:w="0" w:type="dxa"/>
                      <w:right w:w="0" w:type="dxa"/>
                    </w:tblCellMar>
                    <w:tblLook w:val="0000" w:firstRow="0" w:lastRow="0" w:firstColumn="0" w:lastColumn="0" w:noHBand="0" w:noVBand="0"/>
                  </w:tblPr>
                  <w:tblGrid>
                    <w:gridCol w:w="4678"/>
                    <w:gridCol w:w="4819"/>
                  </w:tblGrid>
                  <w:tr>
                    <w:trPr>
                      <w:trHeight w:hRule="exact" w:val="491"/>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20"/>
                          <w:jc w:val="center"/>
                        </w:pPr>
                        <w:r>
                          <w:rPr>
                            <w:rFonts w:cs="Georgia"/>
                            <w:color w:val="000000"/>
                          </w:rPr>
                          <w:br w:type="page"/>
                        </w:r>
                        <w:r>
                          <w:rPr>
                            <w:rFonts w:cs="Georgia"/>
                            <w:b/>
                            <w:bCs/>
                            <w:spacing w:val="-1"/>
                          </w:rPr>
                          <w:t>Nomb</w:t>
                        </w:r>
                        <w:r>
                          <w:rPr>
                            <w:rFonts w:cs="Georgia"/>
                            <w:b/>
                            <w:bCs/>
                          </w:rPr>
                          <w:t>re d</w:t>
                        </w:r>
                        <w:r>
                          <w:rPr>
                            <w:rFonts w:cs="Georgia"/>
                            <w:b/>
                            <w:bCs/>
                            <w:spacing w:val="-2"/>
                          </w:rPr>
                          <w:t>’</w:t>
                        </w:r>
                        <w:r>
                          <w:rPr>
                            <w:rFonts w:cs="Georgia"/>
                            <w:b/>
                            <w:bCs/>
                            <w:spacing w:val="1"/>
                          </w:rPr>
                          <w:t>é</w:t>
                        </w:r>
                        <w:r>
                          <w:rPr>
                            <w:rFonts w:cs="Georgia"/>
                            <w:b/>
                            <w:bCs/>
                            <w:spacing w:val="-2"/>
                          </w:rPr>
                          <w:t>l</w:t>
                        </w:r>
                        <w:r>
                          <w:rPr>
                            <w:rFonts w:cs="Georgia"/>
                            <w:b/>
                            <w:bCs/>
                            <w:spacing w:val="1"/>
                          </w:rPr>
                          <w:t>è</w:t>
                        </w:r>
                        <w:r>
                          <w:rPr>
                            <w:rFonts w:cs="Georgia"/>
                            <w:b/>
                            <w:bCs/>
                          </w:rPr>
                          <w:t>v</w:t>
                        </w:r>
                        <w:r>
                          <w:rPr>
                            <w:rFonts w:cs="Georgia"/>
                            <w:b/>
                            <w:bCs/>
                            <w:spacing w:val="1"/>
                          </w:rPr>
                          <w:t>e(</w:t>
                        </w:r>
                        <w:r>
                          <w:rPr>
                            <w:rFonts w:cs="Georgia"/>
                            <w:b/>
                            <w:bCs/>
                          </w:rPr>
                          <w:t>s)</w:t>
                        </w:r>
                        <w:r>
                          <w:rPr>
                            <w:rFonts w:cs="Georgia"/>
                            <w:b/>
                            <w:bCs/>
                            <w:spacing w:val="-4"/>
                          </w:rPr>
                          <w:t xml:space="preserve"> </w:t>
                        </w:r>
                        <w:r>
                          <w:rPr>
                            <w:rFonts w:cs="Georgia"/>
                            <w:b/>
                            <w:bCs/>
                          </w:rPr>
                          <w:t>au</w:t>
                        </w:r>
                        <w:r>
                          <w:rPr>
                            <w:rFonts w:cs="Georgia"/>
                            <w:b/>
                            <w:bCs/>
                            <w:spacing w:val="-1"/>
                          </w:rPr>
                          <w:t xml:space="preserve"> </w:t>
                        </w:r>
                        <w:r>
                          <w:rPr>
                            <w:rFonts w:cs="Georgia"/>
                            <w:b/>
                            <w:bCs/>
                          </w:rPr>
                          <w:t>15 janvier</w:t>
                        </w:r>
                        <w:r>
                          <w:rPr>
                            <w:rFonts w:cs="Georgia"/>
                            <w:b/>
                            <w:bCs/>
                            <w:spacing w:val="-1"/>
                          </w:rPr>
                          <w:t xml:space="preserve"> de l’année précédente</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20"/>
                          <w:jc w:val="center"/>
                        </w:pPr>
                        <w:r>
                          <w:rPr>
                            <w:rFonts w:cs="Georgia"/>
                            <w:b/>
                            <w:bCs/>
                          </w:rPr>
                          <w:t>Nombre d’élève(s) pour atteindre les 5% au 30 septembre</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rPr>
                          <w:t>1</w:t>
                        </w:r>
                        <w:r>
                          <w:rPr>
                            <w:rFonts w:cs="Georgia"/>
                            <w:spacing w:val="1"/>
                          </w:rPr>
                          <w:t xml:space="preserve"> </w:t>
                        </w:r>
                        <w:r>
                          <w:rPr>
                            <w:rFonts w:cs="Georgia"/>
                          </w:rPr>
                          <w:t>à</w:t>
                        </w:r>
                        <w:r>
                          <w:rPr>
                            <w:rFonts w:cs="Georgia"/>
                            <w:spacing w:val="-1"/>
                          </w:rPr>
                          <w:t xml:space="preserve"> 2</w:t>
                        </w:r>
                        <w:r>
                          <w:rPr>
                            <w:rFonts w:cs="Georgia"/>
                          </w:rPr>
                          <w:t>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81"/>
                          <w:jc w:val="center"/>
                        </w:pPr>
                        <w:r>
                          <w:rPr>
                            <w:rFonts w:cs="Georgia"/>
                          </w:rPr>
                          <w:t>1</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2</w:t>
                        </w:r>
                        <w:r>
                          <w:rPr>
                            <w:rFonts w:cs="Georgia"/>
                          </w:rPr>
                          <w:t>1</w:t>
                        </w:r>
                        <w:r>
                          <w:rPr>
                            <w:rFonts w:cs="Georgia"/>
                            <w:spacing w:val="1"/>
                          </w:rPr>
                          <w:t xml:space="preserve"> </w:t>
                        </w:r>
                        <w:r>
                          <w:rPr>
                            <w:rFonts w:cs="Georgia"/>
                          </w:rPr>
                          <w:t>à</w:t>
                        </w:r>
                        <w:r>
                          <w:rPr>
                            <w:rFonts w:cs="Georgia"/>
                            <w:spacing w:val="-1"/>
                          </w:rPr>
                          <w:t xml:space="preserve"> </w:t>
                        </w:r>
                        <w:r>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67"/>
                          <w:jc w:val="center"/>
                        </w:pPr>
                        <w:r>
                          <w:rPr>
                            <w:rFonts w:cs="Georgia"/>
                          </w:rPr>
                          <w:t>2</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9" w:lineRule="exact"/>
                        </w:pPr>
                        <w:r>
                          <w:rPr>
                            <w:rFonts w:cs="Georgia"/>
                          </w:rPr>
                          <w:t>De</w:t>
                        </w:r>
                        <w:r>
                          <w:rPr>
                            <w:rFonts w:cs="Georgia"/>
                            <w:spacing w:val="-1"/>
                          </w:rPr>
                          <w:t xml:space="preserve"> </w:t>
                        </w:r>
                        <w:r>
                          <w:rPr>
                            <w:rFonts w:cs="Georgia"/>
                          </w:rPr>
                          <w:t>41</w:t>
                        </w:r>
                        <w:r>
                          <w:rPr>
                            <w:rFonts w:cs="Georgia"/>
                            <w:spacing w:val="1"/>
                          </w:rPr>
                          <w:t xml:space="preserve"> </w:t>
                        </w:r>
                        <w:r>
                          <w:rPr>
                            <w:rFonts w:cs="Georgia"/>
                          </w:rPr>
                          <w:t>à</w:t>
                        </w:r>
                        <w:r>
                          <w:rPr>
                            <w:rFonts w:cs="Georgia"/>
                            <w:spacing w:val="-1"/>
                          </w:rPr>
                          <w:t xml:space="preserve"> </w:t>
                        </w:r>
                        <w:r>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ind w:right="469"/>
                          <w:jc w:val="center"/>
                        </w:pPr>
                        <w:r>
                          <w:rPr>
                            <w:rFonts w:cs="Georgia"/>
                          </w:rPr>
                          <w:t>3</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rPr>
                          <w:t>61</w:t>
                        </w:r>
                        <w:r>
                          <w:rPr>
                            <w:rFonts w:cs="Georgia"/>
                            <w:spacing w:val="1"/>
                          </w:rPr>
                          <w:t xml:space="preserve"> </w:t>
                        </w:r>
                        <w:r>
                          <w:rPr>
                            <w:rFonts w:cs="Georgia"/>
                          </w:rPr>
                          <w:t>à</w:t>
                        </w:r>
                        <w:r>
                          <w:rPr>
                            <w:rFonts w:cs="Georgia"/>
                            <w:spacing w:val="-1"/>
                          </w:rPr>
                          <w:t xml:space="preserve"> </w:t>
                        </w:r>
                        <w:r>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68"/>
                          <w:jc w:val="center"/>
                        </w:pPr>
                        <w:r>
                          <w:rPr>
                            <w:rFonts w:cs="Georgia"/>
                          </w:rPr>
                          <w:t>4</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rPr>
                          <w:t>81</w:t>
                        </w:r>
                        <w:r>
                          <w:rPr>
                            <w:rFonts w:cs="Georgia"/>
                            <w:spacing w:val="1"/>
                          </w:rPr>
                          <w:t xml:space="preserve"> </w:t>
                        </w:r>
                        <w:r>
                          <w:rPr>
                            <w:rFonts w:cs="Georgia"/>
                          </w:rPr>
                          <w:t>à</w:t>
                        </w:r>
                        <w:r>
                          <w:rPr>
                            <w:rFonts w:cs="Georgia"/>
                            <w:spacing w:val="-1"/>
                          </w:rPr>
                          <w:t xml:space="preserve"> </w:t>
                        </w:r>
                        <w:r>
                          <w:rPr>
                            <w:rFonts w:cs="Georgia"/>
                            <w:spacing w:val="1"/>
                          </w:rPr>
                          <w:t>1</w:t>
                        </w:r>
                        <w:r>
                          <w:rPr>
                            <w:rFonts w:cs="Georgia"/>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71"/>
                          <w:jc w:val="center"/>
                        </w:pPr>
                        <w:r>
                          <w:rPr>
                            <w:rFonts w:cs="Georgia"/>
                          </w:rPr>
                          <w:t>5</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9" w:lineRule="exact"/>
                        </w:pPr>
                        <w:r>
                          <w:rPr>
                            <w:rFonts w:cs="Georgia"/>
                          </w:rPr>
                          <w:t>De</w:t>
                        </w:r>
                        <w:r>
                          <w:rPr>
                            <w:rFonts w:cs="Georgia"/>
                            <w:spacing w:val="-1"/>
                          </w:rPr>
                          <w:t xml:space="preserve"> </w:t>
                        </w:r>
                        <w:r>
                          <w:rPr>
                            <w:rFonts w:cs="Georgia"/>
                            <w:spacing w:val="1"/>
                          </w:rPr>
                          <w:t>1</w:t>
                        </w:r>
                        <w:r>
                          <w:rPr>
                            <w:rFonts w:cs="Georgia"/>
                            <w:spacing w:val="-1"/>
                          </w:rPr>
                          <w:t>0</w:t>
                        </w:r>
                        <w:r>
                          <w:rPr>
                            <w:rFonts w:cs="Georgia"/>
                          </w:rPr>
                          <w:t>1</w:t>
                        </w:r>
                        <w:r>
                          <w:rPr>
                            <w:rFonts w:cs="Georgia"/>
                            <w:spacing w:val="1"/>
                          </w:rPr>
                          <w:t xml:space="preserve"> </w:t>
                        </w:r>
                        <w:r>
                          <w:rPr>
                            <w:rFonts w:cs="Georgia"/>
                          </w:rPr>
                          <w:t>à</w:t>
                        </w:r>
                        <w:r>
                          <w:rPr>
                            <w:rFonts w:cs="Georgia"/>
                            <w:spacing w:val="-1"/>
                          </w:rPr>
                          <w:t xml:space="preserve"> </w:t>
                        </w:r>
                        <w:r>
                          <w:rPr>
                            <w:rFonts w:cs="Georgia"/>
                            <w:spacing w:val="1"/>
                          </w:rPr>
                          <w:t>1</w:t>
                        </w:r>
                        <w:r>
                          <w:rPr>
                            <w:rFonts w:cs="Georgia"/>
                            <w:spacing w:val="-1"/>
                          </w:rPr>
                          <w:t>2</w:t>
                        </w:r>
                        <w:r>
                          <w:rPr>
                            <w:rFonts w:cs="Georgia"/>
                          </w:rPr>
                          <w:t>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ind w:right="468"/>
                          <w:jc w:val="center"/>
                        </w:pPr>
                        <w:r>
                          <w:rPr>
                            <w:rFonts w:cs="Georgia"/>
                          </w:rPr>
                          <w:t>6</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1</w:t>
                        </w:r>
                        <w:r>
                          <w:rPr>
                            <w:rFonts w:cs="Georgia"/>
                            <w:spacing w:val="-1"/>
                          </w:rPr>
                          <w:t>2</w:t>
                        </w:r>
                        <w:r>
                          <w:rPr>
                            <w:rFonts w:cs="Georgia"/>
                          </w:rPr>
                          <w:t>1</w:t>
                        </w:r>
                        <w:r>
                          <w:rPr>
                            <w:rFonts w:cs="Georgia"/>
                            <w:spacing w:val="1"/>
                          </w:rPr>
                          <w:t xml:space="preserve"> </w:t>
                        </w:r>
                        <w:r>
                          <w:rPr>
                            <w:rFonts w:cs="Georgia"/>
                          </w:rPr>
                          <w:t>à</w:t>
                        </w:r>
                        <w:r>
                          <w:rPr>
                            <w:rFonts w:cs="Georgia"/>
                            <w:spacing w:val="-1"/>
                          </w:rPr>
                          <w:t xml:space="preserve"> </w:t>
                        </w:r>
                        <w:r>
                          <w:rPr>
                            <w:rFonts w:cs="Georgia"/>
                            <w:spacing w:val="1"/>
                          </w:rPr>
                          <w:t>1</w:t>
                        </w:r>
                        <w:r>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75"/>
                          <w:jc w:val="center"/>
                        </w:pPr>
                        <w:r>
                          <w:rPr>
                            <w:rFonts w:cs="Georgia"/>
                          </w:rPr>
                          <w:t>7</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1</w:t>
                        </w:r>
                        <w:r>
                          <w:rPr>
                            <w:rFonts w:cs="Georgia"/>
                          </w:rPr>
                          <w:t>41</w:t>
                        </w:r>
                        <w:r>
                          <w:rPr>
                            <w:rFonts w:cs="Georgia"/>
                            <w:spacing w:val="1"/>
                          </w:rPr>
                          <w:t xml:space="preserve"> </w:t>
                        </w:r>
                        <w:r>
                          <w:rPr>
                            <w:rFonts w:cs="Georgia"/>
                          </w:rPr>
                          <w:t>à</w:t>
                        </w:r>
                        <w:r>
                          <w:rPr>
                            <w:rFonts w:cs="Georgia"/>
                            <w:spacing w:val="-4"/>
                          </w:rPr>
                          <w:t xml:space="preserve"> </w:t>
                        </w:r>
                        <w:r>
                          <w:rPr>
                            <w:rFonts w:cs="Georgia"/>
                            <w:spacing w:val="1"/>
                          </w:rPr>
                          <w:t>1</w:t>
                        </w:r>
                        <w:r>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64"/>
                          <w:jc w:val="center"/>
                        </w:pPr>
                        <w:r>
                          <w:rPr>
                            <w:rFonts w:cs="Georgia"/>
                          </w:rPr>
                          <w:t>8</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9" w:lineRule="exact"/>
                        </w:pPr>
                        <w:r>
                          <w:rPr>
                            <w:rFonts w:cs="Georgia"/>
                          </w:rPr>
                          <w:t>De</w:t>
                        </w:r>
                        <w:r>
                          <w:rPr>
                            <w:rFonts w:cs="Georgia"/>
                            <w:spacing w:val="-1"/>
                          </w:rPr>
                          <w:t xml:space="preserve"> </w:t>
                        </w:r>
                        <w:r>
                          <w:rPr>
                            <w:rFonts w:cs="Georgia"/>
                            <w:spacing w:val="1"/>
                          </w:rPr>
                          <w:t>1</w:t>
                        </w:r>
                        <w:r>
                          <w:rPr>
                            <w:rFonts w:cs="Georgia"/>
                          </w:rPr>
                          <w:t>61</w:t>
                        </w:r>
                        <w:r>
                          <w:rPr>
                            <w:rFonts w:cs="Georgia"/>
                            <w:spacing w:val="1"/>
                          </w:rPr>
                          <w:t xml:space="preserve"> </w:t>
                        </w:r>
                        <w:r>
                          <w:rPr>
                            <w:rFonts w:cs="Georgia"/>
                          </w:rPr>
                          <w:t>à</w:t>
                        </w:r>
                        <w:r>
                          <w:rPr>
                            <w:rFonts w:cs="Georgia"/>
                            <w:spacing w:val="-1"/>
                          </w:rPr>
                          <w:t xml:space="preserve"> 1</w:t>
                        </w:r>
                        <w:r>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ind w:right="468"/>
                          <w:jc w:val="center"/>
                        </w:pPr>
                        <w:r>
                          <w:rPr>
                            <w:rFonts w:cs="Georgia"/>
                          </w:rPr>
                          <w:t>9</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1</w:t>
                        </w:r>
                        <w:r>
                          <w:rPr>
                            <w:rFonts w:cs="Georgia"/>
                          </w:rPr>
                          <w:t>81</w:t>
                        </w:r>
                        <w:r>
                          <w:rPr>
                            <w:rFonts w:cs="Georgia"/>
                            <w:spacing w:val="1"/>
                          </w:rPr>
                          <w:t xml:space="preserve"> </w:t>
                        </w:r>
                        <w:r>
                          <w:rPr>
                            <w:rFonts w:cs="Georgia"/>
                          </w:rPr>
                          <w:t>à</w:t>
                        </w:r>
                        <w:r>
                          <w:rPr>
                            <w:rFonts w:cs="Georgia"/>
                            <w:spacing w:val="-1"/>
                          </w:rPr>
                          <w:t xml:space="preserve"> 200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13"/>
                          <w:jc w:val="center"/>
                        </w:pPr>
                        <w:r>
                          <w:rPr>
                            <w:rFonts w:cs="Georgia"/>
                            <w:spacing w:val="1"/>
                          </w:rPr>
                          <w:t>10</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20</w:t>
                        </w:r>
                        <w:r>
                          <w:rPr>
                            <w:rFonts w:cs="Georgia"/>
                          </w:rPr>
                          <w:t>1</w:t>
                        </w:r>
                        <w:r>
                          <w:rPr>
                            <w:rFonts w:cs="Georgia"/>
                            <w:spacing w:val="1"/>
                          </w:rPr>
                          <w:t xml:space="preserve"> </w:t>
                        </w:r>
                        <w:r>
                          <w:rPr>
                            <w:rFonts w:cs="Georgia"/>
                          </w:rPr>
                          <w:t>à</w:t>
                        </w:r>
                        <w:r>
                          <w:rPr>
                            <w:rFonts w:cs="Georgia"/>
                            <w:spacing w:val="-1"/>
                          </w:rPr>
                          <w:t xml:space="preserve"> 22</w:t>
                        </w:r>
                        <w:r>
                          <w:rPr>
                            <w:rFonts w:cs="Georgia"/>
                          </w:rPr>
                          <w:t>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32"/>
                          <w:jc w:val="center"/>
                        </w:pPr>
                        <w:r>
                          <w:rPr>
                            <w:rFonts w:cs="Georgia"/>
                            <w:spacing w:val="1"/>
                          </w:rPr>
                          <w:t>11</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22</w:t>
                        </w:r>
                        <w:r>
                          <w:rPr>
                            <w:rFonts w:cs="Georgia"/>
                          </w:rPr>
                          <w:t>1</w:t>
                        </w:r>
                        <w:r>
                          <w:rPr>
                            <w:rFonts w:cs="Georgia"/>
                            <w:spacing w:val="1"/>
                          </w:rPr>
                          <w:t xml:space="preserve"> </w:t>
                        </w:r>
                        <w:r>
                          <w:rPr>
                            <w:rFonts w:cs="Georgia"/>
                          </w:rPr>
                          <w:t>à</w:t>
                        </w:r>
                        <w:r>
                          <w:rPr>
                            <w:rFonts w:cs="Georgia"/>
                            <w:spacing w:val="-1"/>
                          </w:rPr>
                          <w:t xml:space="preserve"> 2</w:t>
                        </w:r>
                        <w:r>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18"/>
                          <w:jc w:val="center"/>
                        </w:pPr>
                        <w:r>
                          <w:rPr>
                            <w:rFonts w:cs="Georgia"/>
                            <w:spacing w:val="1"/>
                          </w:rPr>
                          <w:t>12</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before="1" w:line="249" w:lineRule="exact"/>
                        </w:pPr>
                        <w:r>
                          <w:rPr>
                            <w:rFonts w:cs="Georgia"/>
                          </w:rPr>
                          <w:t>De</w:t>
                        </w:r>
                        <w:r>
                          <w:rPr>
                            <w:rFonts w:cs="Georgia"/>
                            <w:spacing w:val="-1"/>
                          </w:rPr>
                          <w:t xml:space="preserve"> 2</w:t>
                        </w:r>
                        <w:r>
                          <w:rPr>
                            <w:rFonts w:cs="Georgia"/>
                          </w:rPr>
                          <w:t>41</w:t>
                        </w:r>
                        <w:r>
                          <w:rPr>
                            <w:rFonts w:cs="Georgia"/>
                            <w:spacing w:val="1"/>
                          </w:rPr>
                          <w:t xml:space="preserve"> </w:t>
                        </w:r>
                        <w:r>
                          <w:rPr>
                            <w:rFonts w:cs="Georgia"/>
                          </w:rPr>
                          <w:t>à</w:t>
                        </w:r>
                        <w:r>
                          <w:rPr>
                            <w:rFonts w:cs="Georgia"/>
                            <w:spacing w:val="-1"/>
                          </w:rPr>
                          <w:t xml:space="preserve"> 2</w:t>
                        </w:r>
                        <w:r>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before="1" w:line="249" w:lineRule="exact"/>
                          <w:ind w:right="419"/>
                          <w:jc w:val="center"/>
                        </w:pPr>
                        <w:r>
                          <w:rPr>
                            <w:rFonts w:cs="Georgia"/>
                            <w:spacing w:val="1"/>
                          </w:rPr>
                          <w:t>13</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2</w:t>
                        </w:r>
                        <w:r>
                          <w:rPr>
                            <w:rFonts w:cs="Georgia"/>
                          </w:rPr>
                          <w:t>61</w:t>
                        </w:r>
                        <w:r>
                          <w:rPr>
                            <w:rFonts w:cs="Georgia"/>
                            <w:spacing w:val="1"/>
                          </w:rPr>
                          <w:t xml:space="preserve"> </w:t>
                        </w:r>
                        <w:r>
                          <w:rPr>
                            <w:rFonts w:cs="Georgia"/>
                          </w:rPr>
                          <w:t>à</w:t>
                        </w:r>
                        <w:r>
                          <w:rPr>
                            <w:rFonts w:cs="Georgia"/>
                            <w:spacing w:val="-1"/>
                          </w:rPr>
                          <w:t xml:space="preserve"> 2</w:t>
                        </w:r>
                        <w:r>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17"/>
                          <w:jc w:val="center"/>
                        </w:pPr>
                        <w:r>
                          <w:rPr>
                            <w:rFonts w:cs="Georgia"/>
                            <w:spacing w:val="1"/>
                          </w:rPr>
                          <w:t>14</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2</w:t>
                        </w:r>
                        <w:r>
                          <w:rPr>
                            <w:rFonts w:cs="Georgia"/>
                          </w:rPr>
                          <w:t>81</w:t>
                        </w:r>
                        <w:r>
                          <w:rPr>
                            <w:rFonts w:cs="Georgia"/>
                            <w:spacing w:val="1"/>
                          </w:rPr>
                          <w:t xml:space="preserve"> </w:t>
                        </w:r>
                        <w:r>
                          <w:rPr>
                            <w:rFonts w:cs="Georgia"/>
                          </w:rPr>
                          <w:t>à</w:t>
                        </w:r>
                        <w:r>
                          <w:rPr>
                            <w:rFonts w:cs="Georgia"/>
                            <w:spacing w:val="-1"/>
                          </w:rPr>
                          <w:t xml:space="preserve"> </w:t>
                        </w:r>
                        <w:r>
                          <w:rPr>
                            <w:rFonts w:cs="Georgia"/>
                            <w:spacing w:val="1"/>
                          </w:rPr>
                          <w:t>3</w:t>
                        </w:r>
                        <w:r>
                          <w:rPr>
                            <w:rFonts w:cs="Georgia"/>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22"/>
                          <w:jc w:val="center"/>
                        </w:pPr>
                        <w:r>
                          <w:rPr>
                            <w:rFonts w:cs="Georgia"/>
                            <w:spacing w:val="1"/>
                          </w:rPr>
                          <w:t>15</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before="1" w:line="249" w:lineRule="exact"/>
                        </w:pPr>
                        <w:r>
                          <w:rPr>
                            <w:rFonts w:cs="Georgia"/>
                          </w:rPr>
                          <w:t>De</w:t>
                        </w:r>
                        <w:r>
                          <w:rPr>
                            <w:rFonts w:cs="Georgia"/>
                            <w:spacing w:val="-1"/>
                          </w:rPr>
                          <w:t xml:space="preserve"> </w:t>
                        </w:r>
                        <w:r>
                          <w:rPr>
                            <w:rFonts w:cs="Georgia"/>
                            <w:spacing w:val="1"/>
                          </w:rPr>
                          <w:t>3</w:t>
                        </w:r>
                        <w:r>
                          <w:rPr>
                            <w:rFonts w:cs="Georgia"/>
                            <w:spacing w:val="-1"/>
                          </w:rPr>
                          <w:t>0</w:t>
                        </w:r>
                        <w:r>
                          <w:rPr>
                            <w:rFonts w:cs="Georgia"/>
                          </w:rPr>
                          <w:t>1</w:t>
                        </w:r>
                        <w:r>
                          <w:rPr>
                            <w:rFonts w:cs="Georgia"/>
                            <w:spacing w:val="1"/>
                          </w:rPr>
                          <w:t xml:space="preserve"> </w:t>
                        </w:r>
                        <w:r>
                          <w:rPr>
                            <w:rFonts w:cs="Georgia"/>
                          </w:rPr>
                          <w:t>à</w:t>
                        </w:r>
                        <w:r>
                          <w:rPr>
                            <w:rFonts w:cs="Georgia"/>
                            <w:spacing w:val="-1"/>
                          </w:rPr>
                          <w:t xml:space="preserve"> </w:t>
                        </w:r>
                        <w:r>
                          <w:rPr>
                            <w:rFonts w:cs="Georgia"/>
                            <w:spacing w:val="1"/>
                          </w:rPr>
                          <w:t>3</w:t>
                        </w:r>
                        <w:r>
                          <w:rPr>
                            <w:rFonts w:cs="Georgia"/>
                            <w:spacing w:val="-1"/>
                          </w:rPr>
                          <w:t>20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before="1" w:line="249" w:lineRule="exact"/>
                          <w:ind w:right="416"/>
                          <w:jc w:val="center"/>
                        </w:pPr>
                        <w:r>
                          <w:rPr>
                            <w:rFonts w:cs="Georgia"/>
                            <w:spacing w:val="1"/>
                          </w:rPr>
                          <w:t>16</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3</w:t>
                        </w:r>
                        <w:r>
                          <w:rPr>
                            <w:rFonts w:cs="Georgia"/>
                            <w:spacing w:val="-1"/>
                          </w:rPr>
                          <w:t>2</w:t>
                        </w:r>
                        <w:r>
                          <w:rPr>
                            <w:rFonts w:cs="Georgia"/>
                          </w:rPr>
                          <w:t>1</w:t>
                        </w:r>
                        <w:r>
                          <w:rPr>
                            <w:rFonts w:cs="Georgia"/>
                            <w:spacing w:val="1"/>
                          </w:rPr>
                          <w:t xml:space="preserve"> </w:t>
                        </w:r>
                        <w:r>
                          <w:rPr>
                            <w:rFonts w:cs="Georgia"/>
                          </w:rPr>
                          <w:t>à</w:t>
                        </w:r>
                        <w:r>
                          <w:rPr>
                            <w:rFonts w:cs="Georgia"/>
                            <w:spacing w:val="-1"/>
                          </w:rPr>
                          <w:t xml:space="preserve"> </w:t>
                        </w:r>
                        <w:r>
                          <w:rPr>
                            <w:rFonts w:cs="Georgia"/>
                            <w:spacing w:val="1"/>
                          </w:rPr>
                          <w:t>3</w:t>
                        </w:r>
                        <w:r>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23"/>
                          <w:jc w:val="center"/>
                        </w:pPr>
                        <w:r>
                          <w:rPr>
                            <w:rFonts w:cs="Georgia"/>
                            <w:spacing w:val="1"/>
                          </w:rPr>
                          <w:t>17</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3</w:t>
                        </w:r>
                        <w:r>
                          <w:rPr>
                            <w:rFonts w:cs="Georgia"/>
                          </w:rPr>
                          <w:t>41</w:t>
                        </w:r>
                        <w:r>
                          <w:rPr>
                            <w:rFonts w:cs="Georgia"/>
                            <w:spacing w:val="1"/>
                          </w:rPr>
                          <w:t xml:space="preserve"> </w:t>
                        </w:r>
                        <w:r>
                          <w:rPr>
                            <w:rFonts w:cs="Georgia"/>
                          </w:rPr>
                          <w:t>à</w:t>
                        </w:r>
                        <w:r>
                          <w:rPr>
                            <w:rFonts w:cs="Georgia"/>
                            <w:spacing w:val="-1"/>
                          </w:rPr>
                          <w:t xml:space="preserve"> </w:t>
                        </w:r>
                        <w:r>
                          <w:rPr>
                            <w:rFonts w:cs="Georgia"/>
                            <w:spacing w:val="1"/>
                          </w:rPr>
                          <w:t>3</w:t>
                        </w:r>
                        <w:r>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14"/>
                          <w:jc w:val="center"/>
                        </w:pPr>
                        <w:r>
                          <w:rPr>
                            <w:rFonts w:cs="Georgia"/>
                            <w:spacing w:val="1"/>
                          </w:rPr>
                          <w:t>18</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before="1" w:line="249" w:lineRule="exact"/>
                        </w:pPr>
                        <w:r>
                          <w:rPr>
                            <w:rFonts w:cs="Georgia"/>
                          </w:rPr>
                          <w:t>De</w:t>
                        </w:r>
                        <w:r>
                          <w:rPr>
                            <w:rFonts w:cs="Georgia"/>
                            <w:spacing w:val="-1"/>
                          </w:rPr>
                          <w:t xml:space="preserve"> </w:t>
                        </w:r>
                        <w:r>
                          <w:rPr>
                            <w:rFonts w:cs="Georgia"/>
                            <w:spacing w:val="1"/>
                          </w:rPr>
                          <w:t>3</w:t>
                        </w:r>
                        <w:r>
                          <w:rPr>
                            <w:rFonts w:cs="Georgia"/>
                          </w:rPr>
                          <w:t>61</w:t>
                        </w:r>
                        <w:r>
                          <w:rPr>
                            <w:rFonts w:cs="Georgia"/>
                            <w:spacing w:val="1"/>
                          </w:rPr>
                          <w:t xml:space="preserve"> </w:t>
                        </w:r>
                        <w:r>
                          <w:rPr>
                            <w:rFonts w:cs="Georgia"/>
                          </w:rPr>
                          <w:t>à</w:t>
                        </w:r>
                        <w:r>
                          <w:rPr>
                            <w:rFonts w:cs="Georgia"/>
                            <w:spacing w:val="-1"/>
                          </w:rPr>
                          <w:t xml:space="preserve"> </w:t>
                        </w:r>
                        <w:r>
                          <w:rPr>
                            <w:rFonts w:cs="Georgia"/>
                            <w:spacing w:val="1"/>
                          </w:rPr>
                          <w:t>3</w:t>
                        </w:r>
                        <w:r>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before="1" w:line="249" w:lineRule="exact"/>
                          <w:ind w:right="416"/>
                          <w:jc w:val="center"/>
                        </w:pPr>
                        <w:r>
                          <w:rPr>
                            <w:rFonts w:cs="Georgia"/>
                            <w:spacing w:val="1"/>
                          </w:rPr>
                          <w:t>19</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3</w:t>
                        </w:r>
                        <w:r>
                          <w:rPr>
                            <w:rFonts w:cs="Georgia"/>
                          </w:rPr>
                          <w:t>81</w:t>
                        </w:r>
                        <w:r>
                          <w:rPr>
                            <w:rFonts w:cs="Georgia"/>
                            <w:spacing w:val="1"/>
                          </w:rPr>
                          <w:t xml:space="preserve"> </w:t>
                        </w:r>
                        <w:r>
                          <w:rPr>
                            <w:rFonts w:cs="Georgia"/>
                          </w:rPr>
                          <w:t>à</w:t>
                        </w:r>
                        <w:r>
                          <w:rPr>
                            <w:rFonts w:cs="Georgia"/>
                            <w:spacing w:val="-1"/>
                          </w:rPr>
                          <w:t xml:space="preserve"> </w:t>
                        </w:r>
                        <w:r>
                          <w:rPr>
                            <w:rFonts w:cs="Georgia"/>
                          </w:rPr>
                          <w:t>4</w:t>
                        </w:r>
                        <w:r>
                          <w:rPr>
                            <w:rFonts w:cs="Georgia"/>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00"/>
                          <w:jc w:val="center"/>
                        </w:pPr>
                        <w:r>
                          <w:rPr>
                            <w:rFonts w:cs="Georgia"/>
                            <w:spacing w:val="-1"/>
                          </w:rPr>
                          <w:t>2</w:t>
                        </w:r>
                        <w:r>
                          <w:rPr>
                            <w:rFonts w:cs="Georgia"/>
                          </w:rPr>
                          <w:t>0</w:t>
                        </w:r>
                      </w:p>
                    </w:tc>
                  </w:tr>
                </w:tbl>
                <w:p>
                  <w:pPr>
                    <w:widowControl w:val="0"/>
                    <w:autoSpaceDE w:val="0"/>
                    <w:autoSpaceDN w:val="0"/>
                    <w:adjustRightInd w:val="0"/>
                    <w:spacing w:before="1" w:line="250" w:lineRule="exact"/>
                    <w:ind w:right="47"/>
                    <w:rPr>
                      <w:rFonts w:cs="Georgia"/>
                    </w:rPr>
                  </w:pPr>
                </w:p>
                <w:p>
                  <w:bookmarkStart w:id="1734" w:name="_1.5._Augmentation_de"/>
                  <w:bookmarkStart w:id="1735" w:name="_Toc453314317"/>
                  <w:bookmarkStart w:id="1736" w:name="_Toc454980352"/>
                  <w:bookmarkEnd w:id="1734"/>
                </w:p>
                <w:p>
                  <w:pPr>
                    <w:pStyle w:val="Titre4"/>
                  </w:pPr>
                  <w:bookmarkStart w:id="1737" w:name="_1.5._Augmentation_de_1"/>
                  <w:bookmarkEnd w:id="1737"/>
                  <w:r>
                    <w:t>1.5. Augmentation de la population scolaire en cours d’année</w:t>
                  </w:r>
                  <w:bookmarkEnd w:id="1735"/>
                  <w:bookmarkEnd w:id="1736"/>
                </w:p>
                <w:p>
                  <w:pPr>
                    <w:jc w:val="both"/>
                    <w:rPr>
                      <w:rFonts w:cs="Georgia"/>
                      <w:b/>
                      <w:bCs/>
                      <w:u w:val="single"/>
                    </w:rPr>
                  </w:pPr>
                </w:p>
                <w:p>
                  <w:pPr>
                    <w:jc w:val="both"/>
                    <w:rPr>
                      <w:rFonts w:cs="Georgia"/>
                    </w:rPr>
                  </w:pPr>
                  <w:r>
                    <w:rPr>
                      <w:rFonts w:cs="Georgia"/>
                      <w:spacing w:val="1"/>
                    </w:rPr>
                    <w:t>A</w:t>
                  </w:r>
                  <w:r>
                    <w:rPr>
                      <w:rFonts w:cs="Georgia"/>
                      <w:spacing w:val="-1"/>
                    </w:rPr>
                    <w:t>p</w:t>
                  </w:r>
                  <w:r>
                    <w:rPr>
                      <w:rFonts w:cs="Georgia"/>
                      <w:spacing w:val="1"/>
                    </w:rPr>
                    <w:t>r</w:t>
                  </w:r>
                  <w:r>
                    <w:rPr>
                      <w:rFonts w:cs="Georgia"/>
                      <w:spacing w:val="-1"/>
                    </w:rPr>
                    <w:t>è</w:t>
                  </w:r>
                  <w:r>
                    <w:rPr>
                      <w:rFonts w:cs="Georgia"/>
                    </w:rPr>
                    <w:t>s</w:t>
                  </w:r>
                  <w:r>
                    <w:rPr>
                      <w:rFonts w:cs="Georgia"/>
                      <w:spacing w:val="3"/>
                    </w:rPr>
                    <w:t xml:space="preserve"> </w:t>
                  </w:r>
                  <w:r>
                    <w:rPr>
                      <w:rFonts w:cs="Georgia"/>
                      <w:spacing w:val="-1"/>
                    </w:rPr>
                    <w:t>l</w:t>
                  </w:r>
                  <w:r>
                    <w:rPr>
                      <w:rFonts w:cs="Georgia"/>
                    </w:rPr>
                    <w:t>e</w:t>
                  </w:r>
                  <w:r>
                    <w:rPr>
                      <w:rFonts w:cs="Georgia"/>
                      <w:spacing w:val="1"/>
                    </w:rPr>
                    <w:t xml:space="preserve"> 3</w:t>
                  </w:r>
                  <w:r>
                    <w:rPr>
                      <w:rFonts w:cs="Georgia"/>
                    </w:rPr>
                    <w:t>0</w:t>
                  </w:r>
                  <w:r>
                    <w:rPr>
                      <w:rFonts w:cs="Georgia"/>
                      <w:spacing w:val="1"/>
                    </w:rPr>
                    <w:t xml:space="preserve"> s</w:t>
                  </w:r>
                  <w:r>
                    <w:rPr>
                      <w:rFonts w:cs="Georgia"/>
                      <w:spacing w:val="-1"/>
                    </w:rPr>
                    <w:t>e</w:t>
                  </w:r>
                  <w:r>
                    <w:rPr>
                      <w:rFonts w:cs="Georgia"/>
                      <w:spacing w:val="1"/>
                    </w:rPr>
                    <w:t>pt</w:t>
                  </w:r>
                  <w:r>
                    <w:rPr>
                      <w:rFonts w:cs="Georgia"/>
                      <w:spacing w:val="-1"/>
                    </w:rPr>
                    <w:t>e</w:t>
                  </w:r>
                  <w:r>
                    <w:rPr>
                      <w:rFonts w:cs="Georgia"/>
                      <w:spacing w:val="-3"/>
                    </w:rPr>
                    <w:t>m</w:t>
                  </w:r>
                  <w:r>
                    <w:rPr>
                      <w:rFonts w:cs="Georgia"/>
                      <w:spacing w:val="1"/>
                    </w:rPr>
                    <w:t>br</w:t>
                  </w:r>
                  <w:r>
                    <w:rPr>
                      <w:rFonts w:cs="Georgia"/>
                    </w:rPr>
                    <w:t>e</w:t>
                  </w:r>
                  <w:r>
                    <w:rPr>
                      <w:rFonts w:cs="Georgia"/>
                      <w:spacing w:val="1"/>
                    </w:rPr>
                    <w:t xml:space="preserve"> de l’année scolaire en cours</w:t>
                  </w:r>
                  <w:r>
                    <w:rPr>
                      <w:rFonts w:cs="Georgia"/>
                    </w:rPr>
                    <w:t>,</w:t>
                  </w:r>
                  <w:r>
                    <w:rPr>
                      <w:rFonts w:cs="Georgia"/>
                      <w:spacing w:val="2"/>
                    </w:rPr>
                    <w:t xml:space="preserve"> </w:t>
                  </w:r>
                  <w:r>
                    <w:rPr>
                      <w:rFonts w:cs="Georgia"/>
                      <w:spacing w:val="-1"/>
                    </w:rPr>
                    <w:t>l</w:t>
                  </w:r>
                  <w:r>
                    <w:rPr>
                      <w:rFonts w:cs="Georgia"/>
                    </w:rPr>
                    <w:t>e</w:t>
                  </w:r>
                  <w:r>
                    <w:rPr>
                      <w:rFonts w:cs="Georgia"/>
                      <w:spacing w:val="1"/>
                    </w:rPr>
                    <w:t xml:space="preserve"> 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3"/>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p</w:t>
                  </w:r>
                  <w:r>
                    <w:rPr>
                      <w:rFonts w:cs="Georgia"/>
                      <w:spacing w:val="-1"/>
                    </w:rPr>
                    <w:t>e</w:t>
                  </w:r>
                  <w:r>
                    <w:rPr>
                      <w:rFonts w:cs="Georgia"/>
                    </w:rPr>
                    <w:t>ut</w:t>
                  </w:r>
                  <w:r>
                    <w:rPr>
                      <w:rFonts w:cs="Georgia"/>
                      <w:spacing w:val="3"/>
                    </w:rPr>
                    <w:t xml:space="preserve"> </w:t>
                  </w:r>
                  <w:r>
                    <w:rPr>
                      <w:rFonts w:cs="Georgia"/>
                      <w:spacing w:val="-1"/>
                    </w:rPr>
                    <w:t>ê</w:t>
                  </w:r>
                  <w:r>
                    <w:rPr>
                      <w:rFonts w:cs="Georgia"/>
                      <w:spacing w:val="1"/>
                    </w:rPr>
                    <w:t>tr</w:t>
                  </w:r>
                  <w:r>
                    <w:rPr>
                      <w:rFonts w:cs="Georgia"/>
                    </w:rPr>
                    <w:t>e</w:t>
                  </w:r>
                  <w:r>
                    <w:rPr>
                      <w:rFonts w:cs="Georgia"/>
                      <w:spacing w:val="1"/>
                    </w:rPr>
                    <w:t xml:space="preserve"> r</w:t>
                  </w:r>
                  <w:r>
                    <w:rPr>
                      <w:rFonts w:cs="Georgia"/>
                      <w:spacing w:val="-1"/>
                    </w:rPr>
                    <w:t>e</w:t>
                  </w:r>
                  <w:r>
                    <w:rPr>
                      <w:rFonts w:cs="Georgia"/>
                      <w:spacing w:val="1"/>
                    </w:rPr>
                    <w:t>c</w:t>
                  </w:r>
                  <w:r>
                    <w:rPr>
                      <w:rFonts w:cs="Georgia"/>
                      <w:spacing w:val="-1"/>
                    </w:rPr>
                    <w:t>al</w:t>
                  </w:r>
                  <w:r>
                    <w:rPr>
                      <w:rFonts w:cs="Georgia"/>
                      <w:spacing w:val="-2"/>
                    </w:rPr>
                    <w:t>c</w:t>
                  </w:r>
                  <w:r>
                    <w:rPr>
                      <w:rFonts w:cs="Georgia"/>
                    </w:rPr>
                    <w:t>u</w:t>
                  </w:r>
                  <w:r>
                    <w:rPr>
                      <w:rFonts w:cs="Georgia"/>
                      <w:spacing w:val="-1"/>
                    </w:rPr>
                    <w:t>l</w:t>
                  </w:r>
                  <w:r>
                    <w:rPr>
                      <w:rFonts w:cs="Georgia"/>
                    </w:rPr>
                    <w:t>é</w:t>
                  </w:r>
                  <w:r>
                    <w:rPr>
                      <w:rFonts w:cs="Georgia"/>
                      <w:spacing w:val="1"/>
                    </w:rPr>
                    <w:t xml:space="preserve"> ch</w:t>
                  </w:r>
                  <w:r>
                    <w:rPr>
                      <w:rFonts w:cs="Georgia"/>
                      <w:spacing w:val="-1"/>
                    </w:rPr>
                    <w:t>a</w:t>
                  </w:r>
                  <w:r>
                    <w:rPr>
                      <w:rFonts w:cs="Georgia"/>
                      <w:spacing w:val="-4"/>
                    </w:rPr>
                    <w:t>q</w:t>
                  </w:r>
                  <w:r>
                    <w:rPr>
                      <w:rFonts w:cs="Georgia"/>
                    </w:rPr>
                    <w:t>ue</w:t>
                  </w:r>
                  <w:r>
                    <w:rPr>
                      <w:rFonts w:cs="Georgia"/>
                      <w:spacing w:val="1"/>
                    </w:rPr>
                    <w:t xml:space="preserve"> </w:t>
                  </w:r>
                  <w:r>
                    <w:rPr>
                      <w:rFonts w:cs="Georgia"/>
                    </w:rPr>
                    <w:t>f</w:t>
                  </w:r>
                  <w:r>
                    <w:rPr>
                      <w:rFonts w:cs="Georgia"/>
                      <w:spacing w:val="1"/>
                    </w:rPr>
                    <w:t>o</w:t>
                  </w:r>
                  <w:r>
                    <w:rPr>
                      <w:rFonts w:cs="Georgia"/>
                    </w:rPr>
                    <w:t>is</w:t>
                  </w:r>
                  <w:r>
                    <w:rPr>
                      <w:rFonts w:cs="Georgia"/>
                      <w:spacing w:val="3"/>
                    </w:rPr>
                    <w:t xml:space="preserve"> </w:t>
                  </w:r>
                  <w:r>
                    <w:rPr>
                      <w:rFonts w:cs="Georgia"/>
                      <w:spacing w:val="-1"/>
                    </w:rPr>
                    <w:t>q</w:t>
                  </w:r>
                  <w:r>
                    <w:rPr>
                      <w:rFonts w:cs="Georgia"/>
                    </w:rPr>
                    <w:t>ue</w:t>
                  </w:r>
                  <w:r>
                    <w:rPr>
                      <w:rFonts w:cs="Georgia"/>
                      <w:spacing w:val="1"/>
                    </w:rPr>
                    <w:t xml:space="preserve"> </w:t>
                  </w:r>
                  <w:r>
                    <w:rPr>
                      <w:rFonts w:cs="Georgia"/>
                      <w:spacing w:val="-1"/>
                    </w:rPr>
                    <w:t>l</w:t>
                  </w:r>
                  <w:r>
                    <w:rPr>
                      <w:rFonts w:cs="Georgia"/>
                    </w:rPr>
                    <w:t>a</w:t>
                  </w:r>
                  <w:r>
                    <w:rPr>
                      <w:rFonts w:cs="Georgia"/>
                      <w:spacing w:val="1"/>
                    </w:rPr>
                    <w:t xml:space="preserve"> 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spacing w:val="-2"/>
                    </w:rPr>
                    <w:t>i</w:t>
                  </w:r>
                  <w:r>
                    <w:rPr>
                      <w:rFonts w:cs="Georgia"/>
                      <w:spacing w:val="1"/>
                    </w:rPr>
                    <w:t>o</w:t>
                  </w:r>
                  <w:r>
                    <w:rPr>
                      <w:rFonts w:cs="Georgia"/>
                    </w:rPr>
                    <w:t xml:space="preserve">n </w:t>
                  </w:r>
                  <w:r>
                    <w:rPr>
                      <w:rFonts w:cs="Georgia"/>
                      <w:spacing w:val="1"/>
                    </w:rPr>
                    <w:t>sco</w:t>
                  </w:r>
                  <w:r>
                    <w:rPr>
                      <w:rFonts w:cs="Georgia"/>
                      <w:spacing w:val="-1"/>
                    </w:rPr>
                    <w:t>la</w:t>
                  </w:r>
                  <w:r>
                    <w:rPr>
                      <w:rFonts w:cs="Georgia"/>
                    </w:rPr>
                    <w:t>i</w:t>
                  </w:r>
                  <w:r>
                    <w:rPr>
                      <w:rFonts w:cs="Georgia"/>
                      <w:spacing w:val="1"/>
                    </w:rPr>
                    <w:t>r</w:t>
                  </w:r>
                  <w:r>
                    <w:rPr>
                      <w:rFonts w:cs="Georgia"/>
                    </w:rPr>
                    <w:t xml:space="preserve">e globale en cours d’année </w:t>
                  </w:r>
                  <w:r>
                    <w:rPr>
                      <w:rFonts w:cs="Georgia"/>
                      <w:spacing w:val="-1"/>
                    </w:rPr>
                    <w:t>a</w:t>
                  </w:r>
                  <w:r>
                    <w:rPr>
                      <w:rFonts w:cs="Georgia"/>
                    </w:rPr>
                    <w:t>ugm</w:t>
                  </w:r>
                  <w:r>
                    <w:rPr>
                      <w:rFonts w:cs="Georgia"/>
                      <w:spacing w:val="-1"/>
                    </w:rPr>
                    <w:t>en</w:t>
                  </w:r>
                  <w:r>
                    <w:rPr>
                      <w:rFonts w:cs="Georgia"/>
                      <w:spacing w:val="1"/>
                    </w:rPr>
                    <w:t>t</w:t>
                  </w:r>
                  <w:r>
                    <w:rPr>
                      <w:rFonts w:cs="Georgia"/>
                    </w:rPr>
                    <w:t>e d</w:t>
                  </w:r>
                  <w:r>
                    <w:rPr>
                      <w:rFonts w:cs="Georgia"/>
                      <w:spacing w:val="1"/>
                    </w:rPr>
                    <w:t>'</w:t>
                  </w:r>
                  <w:r>
                    <w:rPr>
                      <w:rFonts w:cs="Georgia"/>
                      <w:spacing w:val="-1"/>
                    </w:rPr>
                    <w:t>a</w:t>
                  </w:r>
                  <w:r>
                    <w:rPr>
                      <w:rFonts w:cs="Georgia"/>
                    </w:rPr>
                    <w:t>u</w:t>
                  </w:r>
                  <w:r>
                    <w:rPr>
                      <w:rFonts w:cs="Georgia"/>
                      <w:spacing w:val="1"/>
                    </w:rPr>
                    <w:t xml:space="preserve"> </w:t>
                  </w:r>
                  <w:r>
                    <w:rPr>
                      <w:rFonts w:cs="Georgia"/>
                    </w:rPr>
                    <w:t>m</w:t>
                  </w:r>
                  <w:r>
                    <w:rPr>
                      <w:rFonts w:cs="Georgia"/>
                      <w:spacing w:val="1"/>
                    </w:rPr>
                    <w:t>o</w:t>
                  </w:r>
                  <w:r>
                    <w:rPr>
                      <w:rFonts w:cs="Georgia"/>
                    </w:rPr>
                    <w:t>i</w:t>
                  </w:r>
                  <w:r>
                    <w:rPr>
                      <w:rFonts w:cs="Georgia"/>
                      <w:spacing w:val="-1"/>
                    </w:rPr>
                    <w:t>n</w:t>
                  </w:r>
                  <w:r>
                    <w:rPr>
                      <w:rFonts w:cs="Georgia"/>
                    </w:rPr>
                    <w:t>s</w:t>
                  </w:r>
                  <w:r>
                    <w:rPr>
                      <w:rFonts w:cs="Georgia"/>
                      <w:spacing w:val="1"/>
                    </w:rPr>
                    <w:t xml:space="preserve"> 1</w:t>
                  </w:r>
                  <w:r>
                    <w:rPr>
                      <w:rFonts w:cs="Georgia"/>
                    </w:rPr>
                    <w:t>0</w:t>
                  </w:r>
                  <w:r>
                    <w:rPr>
                      <w:rFonts w:cs="Georgia"/>
                      <w:spacing w:val="2"/>
                    </w:rPr>
                    <w:t xml:space="preserve"> </w:t>
                  </w:r>
                  <w:r>
                    <w:rPr>
                      <w:rFonts w:cs="Georgia"/>
                    </w:rPr>
                    <w:t xml:space="preserve">% </w:t>
                  </w:r>
                  <w:r>
                    <w:rPr>
                      <w:rFonts w:cs="Georgia"/>
                      <w:spacing w:val="1"/>
                    </w:rPr>
                    <w:t>p</w:t>
                  </w:r>
                  <w:r>
                    <w:rPr>
                      <w:rFonts w:cs="Georgia"/>
                      <w:spacing w:val="-3"/>
                    </w:rPr>
                    <w:t>a</w:t>
                  </w:r>
                  <w:r>
                    <w:rPr>
                      <w:rFonts w:cs="Georgia"/>
                    </w:rPr>
                    <w:t>r</w:t>
                  </w:r>
                  <w:r>
                    <w:rPr>
                      <w:rFonts w:cs="Georgia"/>
                      <w:spacing w:val="1"/>
                    </w:rPr>
                    <w:t xml:space="preserve"> r</w:t>
                  </w:r>
                  <w:r>
                    <w:rPr>
                      <w:rFonts w:cs="Georgia"/>
                      <w:spacing w:val="-1"/>
                    </w:rPr>
                    <w:t>ap</w:t>
                  </w:r>
                  <w:r>
                    <w:rPr>
                      <w:rFonts w:cs="Georgia"/>
                      <w:spacing w:val="1"/>
                    </w:rPr>
                    <w:t>p</w:t>
                  </w:r>
                  <w:r>
                    <w:rPr>
                      <w:rFonts w:cs="Georgia"/>
                      <w:spacing w:val="-1"/>
                    </w:rPr>
                    <w:t>o</w:t>
                  </w:r>
                  <w:r>
                    <w:rPr>
                      <w:rFonts w:cs="Georgia"/>
                      <w:spacing w:val="1"/>
                    </w:rPr>
                    <w:t>r</w:t>
                  </w:r>
                  <w:r>
                    <w:rPr>
                      <w:rFonts w:cs="Georgia"/>
                    </w:rPr>
                    <w:t>t</w:t>
                  </w:r>
                  <w:r>
                    <w:rPr>
                      <w:rFonts w:cs="Georgia"/>
                      <w:spacing w:val="1"/>
                    </w:rPr>
                    <w:t xml:space="preserve"> </w:t>
                  </w:r>
                  <w:r>
                    <w:rPr>
                      <w:rFonts w:cs="Georgia"/>
                    </w:rPr>
                    <w:t>à</w:t>
                  </w:r>
                  <w:r>
                    <w:rPr>
                      <w:rFonts w:cs="Georgia"/>
                      <w:spacing w:val="2"/>
                    </w:rPr>
                    <w:t xml:space="preserve"> </w:t>
                  </w:r>
                  <w:r>
                    <w:rPr>
                      <w:rFonts w:cs="Georgia"/>
                      <w:spacing w:val="1"/>
                    </w:rPr>
                    <w:t>c</w:t>
                  </w:r>
                  <w:r>
                    <w:rPr>
                      <w:rFonts w:cs="Georgia"/>
                      <w:spacing w:val="-1"/>
                    </w:rPr>
                    <w:t>ell</w:t>
                  </w:r>
                  <w:r>
                    <w:rPr>
                      <w:rFonts w:cs="Georgia"/>
                    </w:rPr>
                    <w:t>e</w:t>
                  </w:r>
                  <w:r>
                    <w:rPr>
                      <w:rFonts w:cs="Georgia"/>
                      <w:spacing w:val="2"/>
                    </w:rPr>
                    <w:t xml:space="preserve"> </w:t>
                  </w:r>
                  <w:r>
                    <w:rPr>
                      <w:rFonts w:cs="Georgia"/>
                      <w:spacing w:val="-1"/>
                    </w:rPr>
                    <w:t>q</w:t>
                  </w:r>
                  <w:r>
                    <w:rPr>
                      <w:rFonts w:cs="Georgia"/>
                    </w:rPr>
                    <w:t>ui</w:t>
                  </w:r>
                  <w:r>
                    <w:rPr>
                      <w:rFonts w:cs="Georgia"/>
                      <w:spacing w:val="3"/>
                    </w:rPr>
                    <w:t xml:space="preserve"> </w:t>
                  </w:r>
                  <w:r>
                    <w:rPr>
                      <w:rFonts w:cs="Georgia"/>
                    </w:rPr>
                    <w:t>a</w:t>
                  </w:r>
                  <w:r>
                    <w:rPr>
                      <w:rFonts w:cs="Georgia"/>
                      <w:spacing w:val="2"/>
                    </w:rPr>
                    <w:t xml:space="preserve"> </w:t>
                  </w:r>
                  <w:r>
                    <w:rPr>
                      <w:rFonts w:cs="Georgia"/>
                      <w:spacing w:val="1"/>
                    </w:rPr>
                    <w:t>s</w:t>
                  </w:r>
                  <w:r>
                    <w:rPr>
                      <w:rFonts w:cs="Georgia"/>
                      <w:spacing w:val="-1"/>
                    </w:rPr>
                    <w:t>e</w:t>
                  </w:r>
                  <w:r>
                    <w:rPr>
                      <w:rFonts w:cs="Georgia"/>
                      <w:spacing w:val="-2"/>
                    </w:rPr>
                    <w:t>r</w:t>
                  </w:r>
                  <w:r>
                    <w:rPr>
                      <w:rFonts w:cs="Georgia"/>
                      <w:spacing w:val="1"/>
                    </w:rPr>
                    <w:t>v</w:t>
                  </w:r>
                  <w:r>
                    <w:rPr>
                      <w:rFonts w:cs="Georgia"/>
                    </w:rPr>
                    <w:t>i</w:t>
                  </w:r>
                  <w:r>
                    <w:rPr>
                      <w:rFonts w:cs="Georgia"/>
                      <w:spacing w:val="3"/>
                    </w:rPr>
                    <w:t xml:space="preserve"> </w:t>
                  </w:r>
                  <w:r>
                    <w:rPr>
                      <w:rFonts w:cs="Georgia"/>
                      <w:spacing w:val="-1"/>
                    </w:rPr>
                    <w:t>l</w:t>
                  </w:r>
                  <w:r>
                    <w:rPr>
                      <w:rFonts w:cs="Georgia"/>
                    </w:rPr>
                    <w:t>a d</w:t>
                  </w:r>
                  <w:r>
                    <w:rPr>
                      <w:rFonts w:cs="Georgia"/>
                      <w:spacing w:val="-1"/>
                    </w:rPr>
                    <w:t>e</w:t>
                  </w:r>
                  <w:r>
                    <w:rPr>
                      <w:rFonts w:cs="Georgia"/>
                      <w:spacing w:val="-2"/>
                    </w:rPr>
                    <w:t>r</w:t>
                  </w:r>
                  <w:r>
                    <w:rPr>
                      <w:rFonts w:cs="Georgia"/>
                      <w:spacing w:val="-1"/>
                    </w:rPr>
                    <w:t>n</w:t>
                  </w:r>
                  <w:r>
                    <w:rPr>
                      <w:rFonts w:cs="Georgia"/>
                    </w:rPr>
                    <w:t>i</w:t>
                  </w:r>
                  <w:r>
                    <w:rPr>
                      <w:rFonts w:cs="Georgia"/>
                      <w:spacing w:val="-1"/>
                    </w:rPr>
                    <w:t>è</w:t>
                  </w:r>
                  <w:r>
                    <w:rPr>
                      <w:rFonts w:cs="Georgia"/>
                      <w:spacing w:val="1"/>
                    </w:rPr>
                    <w:t>r</w:t>
                  </w:r>
                  <w:r>
                    <w:rPr>
                      <w:rFonts w:cs="Georgia"/>
                    </w:rPr>
                    <w:t>e</w:t>
                  </w:r>
                  <w:r>
                    <w:rPr>
                      <w:rFonts w:cs="Georgia"/>
                      <w:spacing w:val="2"/>
                    </w:rPr>
                    <w:t xml:space="preserve"> </w:t>
                  </w:r>
                  <w:r>
                    <w:rPr>
                      <w:rFonts w:cs="Georgia"/>
                    </w:rPr>
                    <w:t>f</w:t>
                  </w:r>
                  <w:r>
                    <w:rPr>
                      <w:rFonts w:cs="Georgia"/>
                      <w:spacing w:val="1"/>
                    </w:rPr>
                    <w:t>o</w:t>
                  </w:r>
                  <w:r>
                    <w:rPr>
                      <w:rFonts w:cs="Georgia"/>
                      <w:spacing w:val="-2"/>
                    </w:rPr>
                    <w:t>i</w:t>
                  </w:r>
                  <w:r>
                    <w:rPr>
                      <w:rFonts w:cs="Georgia"/>
                    </w:rPr>
                    <w:t>s</w:t>
                  </w:r>
                  <w:r>
                    <w:rPr>
                      <w:rFonts w:cs="Georgia"/>
                      <w:spacing w:val="4"/>
                    </w:rPr>
                    <w:t xml:space="preserve"> </w:t>
                  </w:r>
                  <w:r>
                    <w:rPr>
                      <w:rFonts w:cs="Georgia"/>
                    </w:rPr>
                    <w:t xml:space="preserve">de </w:t>
                  </w:r>
                  <w:r>
                    <w:rPr>
                      <w:rFonts w:cs="Georgia"/>
                      <w:spacing w:val="1"/>
                    </w:rPr>
                    <w:t>b</w:t>
                  </w:r>
                  <w:r>
                    <w:rPr>
                      <w:rFonts w:cs="Georgia"/>
                      <w:spacing w:val="-1"/>
                    </w:rPr>
                    <w:t>a</w:t>
                  </w:r>
                  <w:r>
                    <w:rPr>
                      <w:rFonts w:cs="Georgia"/>
                      <w:spacing w:val="1"/>
                    </w:rPr>
                    <w:t>s</w:t>
                  </w:r>
                  <w:r>
                    <w:rPr>
                      <w:rFonts w:cs="Georgia"/>
                    </w:rPr>
                    <w:t xml:space="preserve">e </w:t>
                  </w:r>
                  <w:r>
                    <w:rPr>
                      <w:rFonts w:cs="Georgia"/>
                      <w:spacing w:val="-1"/>
                    </w:rPr>
                    <w:t>p</w:t>
                  </w:r>
                  <w:r>
                    <w:rPr>
                      <w:rFonts w:cs="Georgia"/>
                      <w:spacing w:val="1"/>
                    </w:rPr>
                    <w:t>o</w:t>
                  </w:r>
                  <w:r>
                    <w:rPr>
                      <w:rFonts w:cs="Georgia"/>
                    </w:rPr>
                    <w:t>ur</w:t>
                  </w:r>
                  <w:r>
                    <w:rPr>
                      <w:rFonts w:cs="Georgia"/>
                      <w:spacing w:val="1"/>
                    </w:rPr>
                    <w:t xml:space="preserve"> </w:t>
                  </w:r>
                  <w:r>
                    <w:rPr>
                      <w:rFonts w:cs="Georgia"/>
                      <w:spacing w:val="-1"/>
                    </w:rPr>
                    <w:t>l</w:t>
                  </w:r>
                  <w:r>
                    <w:rPr>
                      <w:rFonts w:cs="Georgia"/>
                    </w:rPr>
                    <w:t>a d</w:t>
                  </w:r>
                  <w:r>
                    <w:rPr>
                      <w:rFonts w:cs="Georgia"/>
                      <w:spacing w:val="-1"/>
                    </w:rPr>
                    <w:t>é</w:t>
                  </w:r>
                  <w:r>
                    <w:rPr>
                      <w:rFonts w:cs="Georgia"/>
                      <w:spacing w:val="1"/>
                    </w:rPr>
                    <w:t>t</w:t>
                  </w:r>
                  <w:r>
                    <w:rPr>
                      <w:rFonts w:cs="Georgia"/>
                      <w:spacing w:val="-1"/>
                    </w:rPr>
                    <w:t>e</w:t>
                  </w:r>
                  <w:r>
                    <w:rPr>
                      <w:rFonts w:cs="Georgia"/>
                      <w:spacing w:val="1"/>
                    </w:rPr>
                    <w:t>r</w:t>
                  </w:r>
                  <w:r>
                    <w:rPr>
                      <w:rFonts w:cs="Georgia"/>
                    </w:rPr>
                    <w:t>mi</w:t>
                  </w:r>
                  <w:r>
                    <w:rPr>
                      <w:rFonts w:cs="Georgia"/>
                      <w:spacing w:val="-1"/>
                    </w:rPr>
                    <w:t>na</w:t>
                  </w:r>
                  <w:r>
                    <w:rPr>
                      <w:rFonts w:cs="Georgia"/>
                      <w:spacing w:val="1"/>
                    </w:rPr>
                    <w:t>t</w:t>
                  </w:r>
                  <w:r>
                    <w:rPr>
                      <w:rFonts w:cs="Georgia"/>
                      <w:spacing w:val="-2"/>
                    </w:rPr>
                    <w:t>i</w:t>
                  </w:r>
                  <w:r>
                    <w:rPr>
                      <w:rFonts w:cs="Georgia"/>
                      <w:spacing w:val="1"/>
                    </w:rPr>
                    <w:t>o</w:t>
                  </w:r>
                  <w:r>
                    <w:rPr>
                      <w:rFonts w:cs="Georgia"/>
                    </w:rPr>
                    <w:t>n</w:t>
                  </w:r>
                  <w:r>
                    <w:rPr>
                      <w:rFonts w:cs="Georgia"/>
                      <w:spacing w:val="-1"/>
                    </w:rPr>
                    <w:t xml:space="preserve"> </w:t>
                  </w:r>
                  <w:r>
                    <w:rPr>
                      <w:rFonts w:cs="Georgia"/>
                    </w:rPr>
                    <w:t>de</w:t>
                  </w:r>
                  <w:r>
                    <w:rPr>
                      <w:rFonts w:cs="Georgia"/>
                      <w:spacing w:val="-1"/>
                    </w:rPr>
                    <w:t xml:space="preserve"> </w:t>
                  </w:r>
                  <w:r>
                    <w:rPr>
                      <w:rFonts w:cs="Georgia"/>
                      <w:spacing w:val="1"/>
                    </w:rPr>
                    <w:t>c</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3"/>
                    </w:rPr>
                    <w:t>e</w:t>
                  </w:r>
                  <w:r>
                    <w:rPr>
                      <w:rFonts w:cs="Georgia"/>
                      <w:spacing w:val="1"/>
                    </w:rPr>
                    <w:t>s.</w:t>
                  </w:r>
                </w:p>
                <w:p>
                  <w:pPr>
                    <w:jc w:val="both"/>
                    <w:rPr>
                      <w:rFonts w:cs="Georgia"/>
                    </w:rPr>
                  </w:pPr>
                </w:p>
                <w:p>
                  <w:pPr>
                    <w:jc w:val="both"/>
                    <w:rPr>
                      <w:rFonts w:cs="Georgia"/>
                    </w:rPr>
                  </w:pPr>
                  <w:r>
                    <w:rPr>
                      <w:rFonts w:cs="Georgia"/>
                      <w:b/>
                      <w:bCs/>
                      <w:spacing w:val="-1"/>
                      <w:position w:val="-1"/>
                      <w:u w:val="single"/>
                    </w:rPr>
                    <w:t>E</w:t>
                  </w:r>
                  <w:r>
                    <w:rPr>
                      <w:rFonts w:cs="Georgia"/>
                      <w:b/>
                      <w:bCs/>
                      <w:position w:val="-1"/>
                      <w:u w:val="single"/>
                    </w:rPr>
                    <w:t>x</w:t>
                  </w:r>
                  <w:r>
                    <w:rPr>
                      <w:rFonts w:cs="Georgia"/>
                      <w:b/>
                      <w:bCs/>
                      <w:spacing w:val="1"/>
                      <w:position w:val="-1"/>
                      <w:u w:val="single"/>
                    </w:rPr>
                    <w:t>e</w:t>
                  </w:r>
                  <w:r>
                    <w:rPr>
                      <w:rFonts w:cs="Georgia"/>
                      <w:b/>
                      <w:bCs/>
                      <w:spacing w:val="-1"/>
                      <w:position w:val="-1"/>
                      <w:u w:val="single"/>
                    </w:rPr>
                    <w:t>mp</w:t>
                  </w:r>
                  <w:r>
                    <w:rPr>
                      <w:rFonts w:cs="Georgia"/>
                      <w:b/>
                      <w:bCs/>
                      <w:spacing w:val="1"/>
                      <w:position w:val="-1"/>
                      <w:u w:val="single"/>
                    </w:rPr>
                    <w:t>l</w:t>
                  </w:r>
                  <w:r>
                    <w:rPr>
                      <w:rFonts w:cs="Georgia"/>
                      <w:b/>
                      <w:bCs/>
                      <w:position w:val="-1"/>
                      <w:u w:val="single"/>
                    </w:rPr>
                    <w:t>e :</w:t>
                  </w:r>
                </w:p>
                <w:p>
                  <w:pPr>
                    <w:jc w:val="both"/>
                    <w:rPr>
                      <w:rFonts w:cs="Georgia"/>
                    </w:rPr>
                  </w:pPr>
                </w:p>
                <w:p>
                  <w:pPr>
                    <w:jc w:val="both"/>
                    <w:rPr>
                      <w:rFonts w:cs="Georgia"/>
                    </w:rPr>
                  </w:pPr>
                  <w:r>
                    <w:rPr>
                      <w:rFonts w:cs="Georgia"/>
                      <w:spacing w:val="1"/>
                    </w:rPr>
                    <w:t>A</w:t>
                  </w:r>
                  <w:r>
                    <w:rPr>
                      <w:rFonts w:cs="Georgia"/>
                    </w:rPr>
                    <w:t xml:space="preserve">u </w:t>
                  </w:r>
                  <w:r>
                    <w:rPr>
                      <w:rFonts w:cs="Georgia"/>
                      <w:spacing w:val="-1"/>
                    </w:rPr>
                    <w:t>1</w:t>
                  </w:r>
                  <w:r>
                    <w:rPr>
                      <w:rFonts w:cs="Georgia"/>
                    </w:rPr>
                    <w:t>5 j</w:t>
                  </w:r>
                  <w:r>
                    <w:rPr>
                      <w:rFonts w:cs="Georgia"/>
                      <w:spacing w:val="-1"/>
                    </w:rPr>
                    <w:t>an</w:t>
                  </w:r>
                  <w:r>
                    <w:rPr>
                      <w:rFonts w:cs="Georgia"/>
                      <w:spacing w:val="-2"/>
                    </w:rPr>
                    <w:t>v</w:t>
                  </w:r>
                  <w:r>
                    <w:rPr>
                      <w:rFonts w:cs="Georgia"/>
                    </w:rPr>
                    <w:t>i</w:t>
                  </w:r>
                  <w:r>
                    <w:rPr>
                      <w:rFonts w:cs="Georgia"/>
                      <w:spacing w:val="-1"/>
                    </w:rPr>
                    <w:t>e</w:t>
                  </w:r>
                  <w:r>
                    <w:rPr>
                      <w:rFonts w:cs="Georgia"/>
                    </w:rPr>
                    <w:t xml:space="preserve">r </w:t>
                  </w:r>
                  <w:r>
                    <w:rPr>
                      <w:rFonts w:cs="Georgia"/>
                      <w:spacing w:val="-1"/>
                    </w:rPr>
                    <w:t>20</w:t>
                  </w:r>
                  <w:r>
                    <w:rPr>
                      <w:rFonts w:cs="Georgia"/>
                      <w:spacing w:val="1"/>
                    </w:rPr>
                    <w:t>1</w:t>
                  </w:r>
                  <w:r>
                    <w:rPr>
                      <w:rFonts w:cs="Georgia"/>
                    </w:rPr>
                    <w:t xml:space="preserve">8, </w:t>
                  </w:r>
                  <w:r>
                    <w:rPr>
                      <w:rFonts w:cs="Georgia"/>
                      <w:spacing w:val="-1"/>
                    </w:rPr>
                    <w:t>l</w:t>
                  </w:r>
                  <w:r>
                    <w:rPr>
                      <w:rFonts w:cs="Georgia"/>
                    </w:rPr>
                    <w:t>’</w:t>
                  </w:r>
                  <w:r>
                    <w:rPr>
                      <w:rFonts w:cs="Georgia"/>
                      <w:spacing w:val="-3"/>
                    </w:rPr>
                    <w:t>é</w:t>
                  </w:r>
                  <w:r>
                    <w:rPr>
                      <w:rFonts w:cs="Georgia"/>
                      <w:spacing w:val="1"/>
                    </w:rPr>
                    <w:t>co</w:t>
                  </w:r>
                  <w:r>
                    <w:rPr>
                      <w:rFonts w:cs="Georgia"/>
                      <w:spacing w:val="-1"/>
                    </w:rPr>
                    <w:t>l</w:t>
                  </w:r>
                  <w:r>
                    <w:rPr>
                      <w:rFonts w:cs="Georgia"/>
                    </w:rPr>
                    <w:t xml:space="preserve">e a un </w:t>
                  </w:r>
                  <w:r>
                    <w:rPr>
                      <w:rFonts w:cs="Georgia"/>
                      <w:spacing w:val="-1"/>
                    </w:rPr>
                    <w:t>n</w:t>
                  </w:r>
                  <w:r>
                    <w:rPr>
                      <w:rFonts w:cs="Georgia"/>
                      <w:spacing w:val="1"/>
                    </w:rPr>
                    <w:t>o</w:t>
                  </w:r>
                  <w:r>
                    <w:rPr>
                      <w:rFonts w:cs="Georgia"/>
                      <w:spacing w:val="-3"/>
                    </w:rPr>
                    <w:t>m</w:t>
                  </w:r>
                  <w:r>
                    <w:rPr>
                      <w:rFonts w:cs="Georgia"/>
                      <w:spacing w:val="1"/>
                    </w:rPr>
                    <w:t>br</w:t>
                  </w:r>
                  <w:r>
                    <w:rPr>
                      <w:rFonts w:cs="Georgia"/>
                    </w:rPr>
                    <w:t xml:space="preserve">e </w:t>
                  </w:r>
                  <w:r>
                    <w:rPr>
                      <w:rFonts w:cs="Georgia"/>
                      <w:spacing w:val="1"/>
                    </w:rPr>
                    <w:t>v</w:t>
                  </w:r>
                  <w:r>
                    <w:rPr>
                      <w:rFonts w:cs="Georgia"/>
                      <w:spacing w:val="-3"/>
                    </w:rPr>
                    <w:t>é</w:t>
                  </w:r>
                  <w:r>
                    <w:rPr>
                      <w:rFonts w:cs="Georgia"/>
                      <w:spacing w:val="1"/>
                    </w:rPr>
                    <w:t>r</w:t>
                  </w:r>
                  <w:r>
                    <w:rPr>
                      <w:rFonts w:cs="Georgia"/>
                    </w:rPr>
                    <w:t>i</w:t>
                  </w:r>
                  <w:r>
                    <w:rPr>
                      <w:rFonts w:cs="Georgia"/>
                      <w:spacing w:val="-2"/>
                    </w:rPr>
                    <w:t>f</w:t>
                  </w:r>
                  <w:r>
                    <w:rPr>
                      <w:rFonts w:cs="Georgia"/>
                    </w:rPr>
                    <w:t xml:space="preserve">ié de </w:t>
                  </w:r>
                  <w:r>
                    <w:rPr>
                      <w:rFonts w:cs="Georgia"/>
                      <w:spacing w:val="1"/>
                    </w:rPr>
                    <w:t>1</w:t>
                  </w:r>
                  <w:r>
                    <w:rPr>
                      <w:rFonts w:cs="Georgia"/>
                      <w:spacing w:val="-1"/>
                    </w:rPr>
                    <w:t>0</w:t>
                  </w:r>
                  <w:r>
                    <w:rPr>
                      <w:rFonts w:cs="Georgia"/>
                    </w:rPr>
                    <w:t xml:space="preserve">0 </w:t>
                  </w:r>
                  <w:r>
                    <w:rPr>
                      <w:rFonts w:cs="Georgia"/>
                      <w:spacing w:val="-1"/>
                    </w:rPr>
                    <w:t>élè</w:t>
                  </w:r>
                  <w:r>
                    <w:rPr>
                      <w:rFonts w:cs="Georgia"/>
                      <w:spacing w:val="1"/>
                    </w:rPr>
                    <w:t>v</w:t>
                  </w:r>
                  <w:r>
                    <w:rPr>
                      <w:rFonts w:cs="Georgia"/>
                      <w:spacing w:val="-1"/>
                    </w:rPr>
                    <w:t>e</w:t>
                  </w:r>
                  <w:r>
                    <w:rPr>
                      <w:rFonts w:cs="Georgia"/>
                      <w:spacing w:val="1"/>
                    </w:rPr>
                    <w:t>s suite au passage du vérificateur</w:t>
                  </w:r>
                  <w:r>
                    <w:rPr>
                      <w:rFonts w:cs="Georgia"/>
                    </w:rPr>
                    <w:t>.</w:t>
                  </w:r>
                  <w:r>
                    <w:rPr>
                      <w:rFonts w:cs="Georgia"/>
                      <w:spacing w:val="3"/>
                    </w:rPr>
                    <w:t xml:space="preserve"> </w:t>
                  </w:r>
                  <w:r>
                    <w:rPr>
                      <w:rFonts w:cs="Georgia"/>
                      <w:spacing w:val="1"/>
                    </w:rPr>
                    <w:t>A</w:t>
                  </w:r>
                  <w:r>
                    <w:rPr>
                      <w:rFonts w:cs="Georgia"/>
                    </w:rPr>
                    <w:t xml:space="preserve">u </w:t>
                  </w:r>
                  <w:r>
                    <w:rPr>
                      <w:rFonts w:cs="Georgia"/>
                      <w:spacing w:val="-2"/>
                    </w:rPr>
                    <w:t>3</w:t>
                  </w:r>
                  <w:r>
                    <w:rPr>
                      <w:rFonts w:cs="Georgia"/>
                    </w:rPr>
                    <w:t xml:space="preserve">0 </w:t>
                  </w:r>
                  <w:r>
                    <w:rPr>
                      <w:rFonts w:cs="Georgia"/>
                      <w:spacing w:val="1"/>
                    </w:rPr>
                    <w:t>s</w:t>
                  </w:r>
                  <w:r>
                    <w:rPr>
                      <w:rFonts w:cs="Georgia"/>
                      <w:spacing w:val="-1"/>
                    </w:rPr>
                    <w:t>e</w:t>
                  </w:r>
                  <w:r>
                    <w:rPr>
                      <w:rFonts w:cs="Georgia"/>
                      <w:spacing w:val="1"/>
                    </w:rPr>
                    <w:t>pt</w:t>
                  </w:r>
                  <w:r>
                    <w:rPr>
                      <w:rFonts w:cs="Georgia"/>
                      <w:spacing w:val="-1"/>
                    </w:rPr>
                    <w:t>e</w:t>
                  </w:r>
                  <w:r>
                    <w:rPr>
                      <w:rFonts w:cs="Georgia"/>
                    </w:rPr>
                    <w:t>m</w:t>
                  </w:r>
                  <w:r>
                    <w:rPr>
                      <w:rFonts w:cs="Georgia"/>
                      <w:spacing w:val="-1"/>
                    </w:rPr>
                    <w:t>b</w:t>
                  </w:r>
                  <w:r>
                    <w:rPr>
                      <w:rFonts w:cs="Georgia"/>
                      <w:spacing w:val="1"/>
                    </w:rPr>
                    <w:t>r</w:t>
                  </w:r>
                  <w:r>
                    <w:rPr>
                      <w:rFonts w:cs="Georgia"/>
                    </w:rPr>
                    <w:t xml:space="preserve">e </w:t>
                  </w:r>
                  <w:r>
                    <w:rPr>
                      <w:rFonts w:cs="Georgia"/>
                      <w:spacing w:val="-1"/>
                    </w:rPr>
                    <w:t>20</w:t>
                  </w:r>
                  <w:r>
                    <w:rPr>
                      <w:rFonts w:cs="Georgia"/>
                      <w:spacing w:val="1"/>
                    </w:rPr>
                    <w:t>18</w:t>
                  </w:r>
                  <w:r>
                    <w:rPr>
                      <w:rFonts w:cs="Georgia"/>
                    </w:rPr>
                    <w:t xml:space="preserve">, </w:t>
                  </w:r>
                  <w:r>
                    <w:rPr>
                      <w:rFonts w:cs="Georgia"/>
                      <w:spacing w:val="1"/>
                    </w:rPr>
                    <w:t>s</w:t>
                  </w:r>
                  <w:r>
                    <w:rPr>
                      <w:rFonts w:cs="Georgia"/>
                    </w:rPr>
                    <w:t xml:space="preserve">a </w:t>
                  </w:r>
                  <w:r>
                    <w:rPr>
                      <w:rFonts w:cs="Georgia"/>
                      <w:spacing w:val="1"/>
                    </w:rPr>
                    <w:t>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spacing w:val="-2"/>
                    </w:rPr>
                    <w:t>i</w:t>
                  </w:r>
                  <w:r>
                    <w:rPr>
                      <w:rFonts w:cs="Georgia"/>
                      <w:spacing w:val="1"/>
                    </w:rPr>
                    <w:t>o</w:t>
                  </w:r>
                  <w:r>
                    <w:rPr>
                      <w:rFonts w:cs="Georgia"/>
                    </w:rPr>
                    <w:t>n</w:t>
                  </w:r>
                  <w:r>
                    <w:rPr>
                      <w:rFonts w:cs="Georgia"/>
                      <w:spacing w:val="3"/>
                    </w:rPr>
                    <w:t xml:space="preserve"> </w:t>
                  </w:r>
                  <w:r>
                    <w:rPr>
                      <w:rFonts w:cs="Georgia"/>
                      <w:spacing w:val="-1"/>
                    </w:rPr>
                    <w:t>e</w:t>
                  </w:r>
                  <w:r>
                    <w:rPr>
                      <w:rFonts w:cs="Georgia"/>
                      <w:spacing w:val="1"/>
                    </w:rPr>
                    <w:t>s</w:t>
                  </w:r>
                  <w:r>
                    <w:rPr>
                      <w:rFonts w:cs="Georgia"/>
                    </w:rPr>
                    <w:t>t</w:t>
                  </w:r>
                  <w:r>
                    <w:rPr>
                      <w:rFonts w:cs="Georgia"/>
                      <w:spacing w:val="2"/>
                    </w:rPr>
                    <w:t xml:space="preserve"> </w:t>
                  </w:r>
                  <w:r>
                    <w:rPr>
                      <w:rFonts w:cs="Georgia"/>
                    </w:rPr>
                    <w:t>d</w:t>
                  </w:r>
                  <w:r>
                    <w:rPr>
                      <w:rFonts w:cs="Georgia"/>
                      <w:spacing w:val="-1"/>
                    </w:rPr>
                    <w:t>e</w:t>
                  </w:r>
                  <w:r>
                    <w:rPr>
                      <w:rFonts w:cs="Georgia"/>
                      <w:spacing w:val="1"/>
                    </w:rPr>
                    <w:t>sc</w:t>
                  </w:r>
                  <w:r>
                    <w:rPr>
                      <w:rFonts w:cs="Georgia"/>
                      <w:spacing w:val="-1"/>
                    </w:rPr>
                    <w:t>en</w:t>
                  </w:r>
                  <w:r>
                    <w:rPr>
                      <w:rFonts w:cs="Georgia"/>
                    </w:rPr>
                    <w:t>d</w:t>
                  </w:r>
                  <w:r>
                    <w:rPr>
                      <w:rFonts w:cs="Georgia"/>
                      <w:spacing w:val="-2"/>
                    </w:rPr>
                    <w:t>u</w:t>
                  </w:r>
                  <w:r>
                    <w:rPr>
                      <w:rFonts w:cs="Georgia"/>
                    </w:rPr>
                    <w:t>e</w:t>
                  </w:r>
                  <w:r>
                    <w:rPr>
                      <w:rFonts w:cs="Georgia"/>
                      <w:spacing w:val="3"/>
                    </w:rPr>
                    <w:t xml:space="preserve"> </w:t>
                  </w:r>
                  <w:r>
                    <w:rPr>
                      <w:rFonts w:cs="Georgia"/>
                    </w:rPr>
                    <w:t>à</w:t>
                  </w:r>
                  <w:r>
                    <w:rPr>
                      <w:rFonts w:cs="Georgia"/>
                      <w:spacing w:val="3"/>
                    </w:rPr>
                    <w:t xml:space="preserve"> </w:t>
                  </w:r>
                  <w:r>
                    <w:rPr>
                      <w:rFonts w:cs="Georgia"/>
                    </w:rPr>
                    <w:t>97</w:t>
                  </w:r>
                  <w:r>
                    <w:rPr>
                      <w:rFonts w:cs="Georgia"/>
                      <w:spacing w:val="3"/>
                    </w:rPr>
                    <w:t xml:space="preserve"> </w:t>
                  </w:r>
                  <w:r>
                    <w:rPr>
                      <w:rFonts w:cs="Georgia"/>
                      <w:spacing w:val="-1"/>
                    </w:rPr>
                    <w:t>élè</w:t>
                  </w:r>
                  <w:r>
                    <w:rPr>
                      <w:rFonts w:cs="Georgia"/>
                      <w:spacing w:val="1"/>
                    </w:rPr>
                    <w:t>v</w:t>
                  </w:r>
                  <w:r>
                    <w:rPr>
                      <w:rFonts w:cs="Georgia"/>
                      <w:spacing w:val="-1"/>
                    </w:rPr>
                    <w:t>e</w:t>
                  </w:r>
                  <w:r>
                    <w:rPr>
                      <w:rFonts w:cs="Georgia"/>
                      <w:spacing w:val="1"/>
                    </w:rPr>
                    <w:t>s</w:t>
                  </w:r>
                  <w:r>
                    <w:rPr>
                      <w:rFonts w:cs="Georgia"/>
                    </w:rPr>
                    <w:t>,</w:t>
                  </w:r>
                  <w:r>
                    <w:rPr>
                      <w:rFonts w:cs="Georgia"/>
                      <w:spacing w:val="4"/>
                    </w:rPr>
                    <w:t xml:space="preserve"> </w:t>
                  </w:r>
                  <w:r>
                    <w:rPr>
                      <w:rFonts w:cs="Georgia"/>
                      <w:spacing w:val="1"/>
                    </w:rPr>
                    <w:t>so</w:t>
                  </w:r>
                  <w:r>
                    <w:rPr>
                      <w:rFonts w:cs="Georgia"/>
                      <w:spacing w:val="-2"/>
                    </w:rPr>
                    <w:t>i</w:t>
                  </w:r>
                  <w:r>
                    <w:rPr>
                      <w:rFonts w:cs="Georgia"/>
                    </w:rPr>
                    <w:t>t</w:t>
                  </w:r>
                  <w:r>
                    <w:rPr>
                      <w:rFonts w:cs="Georgia"/>
                      <w:spacing w:val="4"/>
                    </w:rPr>
                    <w:t xml:space="preserve"> </w:t>
                  </w:r>
                  <w:r>
                    <w:rPr>
                      <w:rFonts w:cs="Georgia"/>
                    </w:rPr>
                    <w:t>u</w:t>
                  </w:r>
                  <w:r>
                    <w:rPr>
                      <w:rFonts w:cs="Georgia"/>
                      <w:spacing w:val="-1"/>
                    </w:rPr>
                    <w:t>n</w:t>
                  </w:r>
                  <w:r>
                    <w:rPr>
                      <w:rFonts w:cs="Georgia"/>
                    </w:rPr>
                    <w:t>e</w:t>
                  </w:r>
                  <w:r>
                    <w:rPr>
                      <w:rFonts w:cs="Georgia"/>
                      <w:spacing w:val="3"/>
                    </w:rPr>
                    <w:t xml:space="preserve"> </w:t>
                  </w:r>
                  <w:r>
                    <w:rPr>
                      <w:rFonts w:cs="Georgia"/>
                      <w:spacing w:val="1"/>
                    </w:rPr>
                    <w:t>v</w:t>
                  </w:r>
                  <w:r>
                    <w:rPr>
                      <w:rFonts w:cs="Georgia"/>
                      <w:spacing w:val="-3"/>
                    </w:rPr>
                    <w:t>a</w:t>
                  </w:r>
                  <w:r>
                    <w:rPr>
                      <w:rFonts w:cs="Georgia"/>
                      <w:spacing w:val="1"/>
                    </w:rPr>
                    <w:t>r</w:t>
                  </w:r>
                  <w:r>
                    <w:rPr>
                      <w:rFonts w:cs="Georgia"/>
                    </w:rPr>
                    <w:t>i</w:t>
                  </w:r>
                  <w:r>
                    <w:rPr>
                      <w:rFonts w:cs="Georgia"/>
                      <w:spacing w:val="-1"/>
                    </w:rPr>
                    <w:t>a</w:t>
                  </w:r>
                  <w:r>
                    <w:rPr>
                      <w:rFonts w:cs="Georgia"/>
                      <w:spacing w:val="1"/>
                    </w:rPr>
                    <w:t>t</w:t>
                  </w:r>
                  <w:r>
                    <w:rPr>
                      <w:rFonts w:cs="Georgia"/>
                    </w:rPr>
                    <w:t>i</w:t>
                  </w:r>
                  <w:r>
                    <w:rPr>
                      <w:rFonts w:cs="Georgia"/>
                      <w:spacing w:val="1"/>
                    </w:rPr>
                    <w:t>o</w:t>
                  </w:r>
                  <w:r>
                    <w:rPr>
                      <w:rFonts w:cs="Georgia"/>
                    </w:rPr>
                    <w:t>n i</w:t>
                  </w:r>
                  <w:r>
                    <w:rPr>
                      <w:rFonts w:cs="Georgia"/>
                      <w:spacing w:val="-1"/>
                    </w:rPr>
                    <w:t>n</w:t>
                  </w:r>
                  <w:r>
                    <w:rPr>
                      <w:rFonts w:cs="Georgia"/>
                    </w:rPr>
                    <w:t>f</w:t>
                  </w:r>
                  <w:r>
                    <w:rPr>
                      <w:rFonts w:cs="Georgia"/>
                      <w:spacing w:val="-1"/>
                    </w:rPr>
                    <w:t>é</w:t>
                  </w:r>
                  <w:r>
                    <w:rPr>
                      <w:rFonts w:cs="Georgia"/>
                      <w:spacing w:val="1"/>
                    </w:rPr>
                    <w:t>r</w:t>
                  </w:r>
                  <w:r>
                    <w:rPr>
                      <w:rFonts w:cs="Georgia"/>
                    </w:rPr>
                    <w:t>i</w:t>
                  </w:r>
                  <w:r>
                    <w:rPr>
                      <w:rFonts w:cs="Georgia"/>
                      <w:spacing w:val="-1"/>
                    </w:rPr>
                    <w:t>e</w:t>
                  </w:r>
                  <w:r>
                    <w:rPr>
                      <w:rFonts w:cs="Georgia"/>
                    </w:rPr>
                    <w:t>u</w:t>
                  </w:r>
                  <w:r>
                    <w:rPr>
                      <w:rFonts w:cs="Georgia"/>
                      <w:spacing w:val="1"/>
                    </w:rPr>
                    <w:t>r</w:t>
                  </w:r>
                  <w:r>
                    <w:rPr>
                      <w:rFonts w:cs="Georgia"/>
                    </w:rPr>
                    <w:t>e</w:t>
                  </w:r>
                  <w:r>
                    <w:rPr>
                      <w:rFonts w:cs="Georgia"/>
                      <w:spacing w:val="3"/>
                    </w:rPr>
                    <w:t xml:space="preserve"> </w:t>
                  </w:r>
                  <w:r>
                    <w:rPr>
                      <w:rFonts w:cs="Georgia"/>
                    </w:rPr>
                    <w:t xml:space="preserve">à </w:t>
                  </w:r>
                  <w:r>
                    <w:rPr>
                      <w:rFonts w:cs="Georgia"/>
                      <w:spacing w:val="1"/>
                    </w:rPr>
                    <w:t>5</w:t>
                  </w:r>
                  <w:r>
                    <w:rPr>
                      <w:rFonts w:cs="Georgia"/>
                    </w:rPr>
                    <w:t>%.</w:t>
                  </w:r>
                  <w:r>
                    <w:rPr>
                      <w:rFonts w:cs="Georgia"/>
                      <w:spacing w:val="2"/>
                    </w:rPr>
                    <w:t xml:space="preserve"> </w:t>
                  </w:r>
                  <w:r>
                    <w:rPr>
                      <w:rFonts w:cs="Georgia"/>
                    </w:rPr>
                    <w:t>C’</w:t>
                  </w:r>
                  <w:r>
                    <w:rPr>
                      <w:rFonts w:cs="Georgia"/>
                      <w:spacing w:val="-1"/>
                    </w:rPr>
                    <w:t>e</w:t>
                  </w:r>
                  <w:r>
                    <w:rPr>
                      <w:rFonts w:cs="Georgia"/>
                      <w:spacing w:val="1"/>
                    </w:rPr>
                    <w:t>s</w:t>
                  </w:r>
                  <w:r>
                    <w:rPr>
                      <w:rFonts w:cs="Georgia"/>
                    </w:rPr>
                    <w:t>t</w:t>
                  </w:r>
                  <w:r>
                    <w:rPr>
                      <w:rFonts w:cs="Georgia"/>
                      <w:spacing w:val="4"/>
                    </w:rPr>
                    <w:t xml:space="preserve"> </w:t>
                  </w:r>
                  <w:r>
                    <w:rPr>
                      <w:rFonts w:cs="Georgia"/>
                      <w:spacing w:val="-2"/>
                    </w:rPr>
                    <w:t>d</w:t>
                  </w:r>
                  <w:r>
                    <w:rPr>
                      <w:rFonts w:cs="Georgia"/>
                      <w:spacing w:val="1"/>
                    </w:rPr>
                    <w:t>o</w:t>
                  </w:r>
                  <w:r>
                    <w:rPr>
                      <w:rFonts w:cs="Georgia"/>
                      <w:spacing w:val="-1"/>
                    </w:rPr>
                    <w:t>n</w:t>
                  </w:r>
                  <w:r>
                    <w:rPr>
                      <w:rFonts w:cs="Georgia"/>
                    </w:rPr>
                    <w:t>c</w:t>
                  </w:r>
                  <w:r>
                    <w:rPr>
                      <w:rFonts w:cs="Georgia"/>
                      <w:spacing w:val="3"/>
                    </w:rPr>
                    <w:t xml:space="preserve"> </w:t>
                  </w:r>
                  <w:r>
                    <w:rPr>
                      <w:rFonts w:cs="Georgia"/>
                      <w:spacing w:val="1"/>
                    </w:rPr>
                    <w:t>s</w:t>
                  </w:r>
                  <w:r>
                    <w:rPr>
                      <w:rFonts w:cs="Georgia"/>
                    </w:rPr>
                    <w:t>a</w:t>
                  </w:r>
                  <w:r>
                    <w:rPr>
                      <w:rFonts w:cs="Georgia"/>
                      <w:spacing w:val="3"/>
                    </w:rPr>
                    <w:t xml:space="preserve"> </w:t>
                  </w:r>
                  <w:r>
                    <w:rPr>
                      <w:rFonts w:cs="Georgia"/>
                      <w:spacing w:val="-1"/>
                    </w:rPr>
                    <w:t>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rPr>
                    <w:t>i</w:t>
                  </w:r>
                  <w:r>
                    <w:rPr>
                      <w:rFonts w:cs="Georgia"/>
                      <w:spacing w:val="-1"/>
                    </w:rPr>
                    <w:t>o</w:t>
                  </w:r>
                  <w:r>
                    <w:rPr>
                      <w:rFonts w:cs="Georgia"/>
                    </w:rPr>
                    <w:t xml:space="preserve">n du </w:t>
                  </w:r>
                  <w:r>
                    <w:rPr>
                      <w:rFonts w:cs="Georgia"/>
                      <w:spacing w:val="-1"/>
                    </w:rPr>
                    <w:t>1</w:t>
                  </w:r>
                  <w:r>
                    <w:rPr>
                      <w:rFonts w:cs="Georgia"/>
                    </w:rPr>
                    <w:t>5</w:t>
                  </w:r>
                  <w:r>
                    <w:rPr>
                      <w:rFonts w:cs="Georgia"/>
                      <w:spacing w:val="1"/>
                    </w:rPr>
                    <w:t xml:space="preserve"> </w:t>
                  </w:r>
                  <w:r>
                    <w:rPr>
                      <w:rFonts w:cs="Georgia"/>
                    </w:rPr>
                    <w:t>j</w:t>
                  </w:r>
                  <w:r>
                    <w:rPr>
                      <w:rFonts w:cs="Georgia"/>
                      <w:spacing w:val="-1"/>
                    </w:rPr>
                    <w:t>an</w:t>
                  </w:r>
                  <w:r>
                    <w:rPr>
                      <w:rFonts w:cs="Georgia"/>
                      <w:spacing w:val="1"/>
                    </w:rPr>
                    <w:t>v</w:t>
                  </w:r>
                  <w:r>
                    <w:rPr>
                      <w:rFonts w:cs="Georgia"/>
                    </w:rPr>
                    <w:t>i</w:t>
                  </w:r>
                  <w:r>
                    <w:rPr>
                      <w:rFonts w:cs="Georgia"/>
                      <w:spacing w:val="-1"/>
                    </w:rPr>
                    <w:t>e</w:t>
                  </w:r>
                  <w:r>
                    <w:rPr>
                      <w:rFonts w:cs="Georgia"/>
                    </w:rPr>
                    <w:t xml:space="preserve">r </w:t>
                  </w:r>
                  <w:r>
                    <w:rPr>
                      <w:rFonts w:cs="Georgia"/>
                      <w:spacing w:val="-1"/>
                    </w:rPr>
                    <w:t>20</w:t>
                  </w:r>
                  <w:r>
                    <w:rPr>
                      <w:rFonts w:cs="Georgia"/>
                      <w:spacing w:val="1"/>
                    </w:rPr>
                    <w:t>1</w:t>
                  </w:r>
                  <w:r>
                    <w:rPr>
                      <w:rFonts w:cs="Georgia"/>
                    </w:rPr>
                    <w:t xml:space="preserve">8 </w:t>
                  </w:r>
                  <w:r>
                    <w:rPr>
                      <w:rFonts w:cs="Georgia"/>
                      <w:spacing w:val="-1"/>
                    </w:rPr>
                    <w:t>q</w:t>
                  </w:r>
                  <w:r>
                    <w:rPr>
                      <w:rFonts w:cs="Georgia"/>
                    </w:rPr>
                    <w:t>ui</w:t>
                  </w:r>
                  <w:r>
                    <w:rPr>
                      <w:rFonts w:cs="Georgia"/>
                      <w:spacing w:val="-3"/>
                    </w:rPr>
                    <w:t xml:space="preserve"> </w:t>
                  </w:r>
                  <w:r>
                    <w:rPr>
                      <w:rFonts w:cs="Georgia"/>
                    </w:rPr>
                    <w:t>d</w:t>
                  </w:r>
                  <w:r>
                    <w:rPr>
                      <w:rFonts w:cs="Georgia"/>
                      <w:spacing w:val="-1"/>
                    </w:rPr>
                    <w:t>é</w:t>
                  </w:r>
                  <w:r>
                    <w:rPr>
                      <w:rFonts w:cs="Georgia"/>
                      <w:spacing w:val="1"/>
                    </w:rPr>
                    <w:t>t</w:t>
                  </w:r>
                  <w:r>
                    <w:rPr>
                      <w:rFonts w:cs="Georgia"/>
                      <w:spacing w:val="-1"/>
                    </w:rPr>
                    <w:t>e</w:t>
                  </w:r>
                  <w:r>
                    <w:rPr>
                      <w:rFonts w:cs="Georgia"/>
                      <w:spacing w:val="1"/>
                    </w:rPr>
                    <w:t>r</w:t>
                  </w:r>
                  <w:r>
                    <w:rPr>
                      <w:rFonts w:cs="Georgia"/>
                    </w:rPr>
                    <w:t>mi</w:t>
                  </w:r>
                  <w:r>
                    <w:rPr>
                      <w:rFonts w:cs="Georgia"/>
                      <w:spacing w:val="-1"/>
                    </w:rPr>
                    <w:t>n</w:t>
                  </w:r>
                  <w:r>
                    <w:rPr>
                      <w:rFonts w:cs="Georgia"/>
                    </w:rPr>
                    <w:t>e</w:t>
                  </w:r>
                  <w:r>
                    <w:rPr>
                      <w:rFonts w:cs="Georgia"/>
                      <w:spacing w:val="-1"/>
                    </w:rPr>
                    <w:t xml:space="preserve"> 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spacing w:val="-2"/>
                    </w:rPr>
                    <w:t>d</w:t>
                  </w:r>
                  <w:r>
                    <w:rPr>
                      <w:rFonts w:cs="Georgia"/>
                      <w:spacing w:val="-1"/>
                    </w:rPr>
                    <w:t>e</w:t>
                  </w:r>
                  <w:r>
                    <w:rPr>
                      <w:rFonts w:cs="Georgia"/>
                    </w:rPr>
                    <w:t xml:space="preserve">s </w:t>
                  </w:r>
                  <w:r>
                    <w:rPr>
                      <w:rFonts w:cs="Georgia"/>
                      <w:spacing w:val="1"/>
                    </w:rPr>
                    <w:t>po</w:t>
                  </w:r>
                  <w:r>
                    <w:rPr>
                      <w:rFonts w:cs="Georgia"/>
                      <w:spacing w:val="-2"/>
                    </w:rPr>
                    <w:t>u</w:t>
                  </w:r>
                  <w:r>
                    <w:rPr>
                      <w:rFonts w:cs="Georgia"/>
                    </w:rPr>
                    <w:t xml:space="preserve">r </w:t>
                  </w:r>
                  <w:r>
                    <w:rPr>
                      <w:rFonts w:cs="Georgia"/>
                      <w:spacing w:val="-1"/>
                    </w:rPr>
                    <w:t>l</w:t>
                  </w:r>
                  <w:r>
                    <w:rPr>
                      <w:rFonts w:cs="Georgia"/>
                    </w:rPr>
                    <w:t>e</w:t>
                  </w:r>
                  <w:r>
                    <w:rPr>
                      <w:rFonts w:cs="Georgia"/>
                      <w:spacing w:val="-1"/>
                    </w:rPr>
                    <w:t xml:space="preserve"> </w:t>
                  </w:r>
                  <w:r>
                    <w:rPr>
                      <w:rFonts w:cs="Georgia"/>
                      <w:spacing w:val="1"/>
                    </w:rPr>
                    <w:t>r</w:t>
                  </w:r>
                  <w:r>
                    <w:rPr>
                      <w:rFonts w:cs="Georgia"/>
                      <w:spacing w:val="-1"/>
                    </w:rPr>
                    <w:t>e</w:t>
                  </w:r>
                  <w:r>
                    <w:rPr>
                      <w:rFonts w:cs="Georgia"/>
                      <w:spacing w:val="1"/>
                    </w:rPr>
                    <w:t>st</w:t>
                  </w:r>
                  <w:r>
                    <w:rPr>
                      <w:rFonts w:cs="Georgia"/>
                    </w:rPr>
                    <w:t>e</w:t>
                  </w:r>
                  <w:r>
                    <w:rPr>
                      <w:rFonts w:cs="Georgia"/>
                      <w:spacing w:val="-1"/>
                    </w:rPr>
                    <w:t xml:space="preserve"> </w:t>
                  </w:r>
                  <w:r>
                    <w:rPr>
                      <w:rFonts w:cs="Georgia"/>
                    </w:rPr>
                    <w:t>de</w:t>
                  </w:r>
                  <w:r>
                    <w:rPr>
                      <w:rFonts w:cs="Georgia"/>
                      <w:spacing w:val="-1"/>
                    </w:rPr>
                    <w:t xml:space="preserve"> l</w:t>
                  </w:r>
                  <w:r>
                    <w:rPr>
                      <w:rFonts w:cs="Georgia"/>
                    </w:rPr>
                    <w:t>’</w:t>
                  </w:r>
                  <w:r>
                    <w:rPr>
                      <w:rFonts w:cs="Georgia"/>
                      <w:spacing w:val="-1"/>
                    </w:rPr>
                    <w:t>anné</w:t>
                  </w:r>
                  <w:r>
                    <w:rPr>
                      <w:rFonts w:cs="Georgia"/>
                    </w:rPr>
                    <w:t>e</w:t>
                  </w:r>
                  <w:r>
                    <w:rPr>
                      <w:rFonts w:cs="Georgia"/>
                      <w:spacing w:val="-1"/>
                    </w:rPr>
                    <w:t xml:space="preserve"> </w:t>
                  </w:r>
                  <w:r>
                    <w:rPr>
                      <w:rFonts w:cs="Georgia"/>
                      <w:spacing w:val="1"/>
                    </w:rPr>
                    <w:t>sco</w:t>
                  </w:r>
                  <w:r>
                    <w:rPr>
                      <w:rFonts w:cs="Georgia"/>
                      <w:spacing w:val="-1"/>
                    </w:rPr>
                    <w:t>la</w:t>
                  </w:r>
                  <w:r>
                    <w:rPr>
                      <w:rFonts w:cs="Georgia"/>
                    </w:rPr>
                    <w:t>i</w:t>
                  </w:r>
                  <w:r>
                    <w:rPr>
                      <w:rFonts w:cs="Georgia"/>
                      <w:spacing w:val="1"/>
                    </w:rPr>
                    <w:t>r</w:t>
                  </w:r>
                  <w:r>
                    <w:rPr>
                      <w:rFonts w:cs="Georgia"/>
                      <w:spacing w:val="-1"/>
                    </w:rPr>
                    <w:t>e, soit 100 élèves.</w:t>
                  </w:r>
                </w:p>
                <w:p>
                  <w:pPr>
                    <w:jc w:val="both"/>
                    <w:rPr>
                      <w:rFonts w:cs="Georgia"/>
                      <w:spacing w:val="1"/>
                    </w:rPr>
                  </w:pPr>
                </w:p>
                <w:p>
                  <w:pPr>
                    <w:jc w:val="both"/>
                    <w:rPr>
                      <w:rFonts w:cs="Georgia"/>
                    </w:rPr>
                  </w:pPr>
                  <w:r>
                    <w:rPr>
                      <w:rFonts w:cs="Georgia"/>
                      <w:spacing w:val="1"/>
                    </w:rPr>
                    <w:t>N</w:t>
                  </w:r>
                  <w:r>
                    <w:rPr>
                      <w:rFonts w:cs="Georgia"/>
                      <w:spacing w:val="-1"/>
                    </w:rPr>
                    <w:t>éan</w:t>
                  </w:r>
                  <w:r>
                    <w:rPr>
                      <w:rFonts w:cs="Georgia"/>
                    </w:rPr>
                    <w:t>m</w:t>
                  </w:r>
                  <w:r>
                    <w:rPr>
                      <w:rFonts w:cs="Georgia"/>
                      <w:spacing w:val="1"/>
                    </w:rPr>
                    <w:t>o</w:t>
                  </w:r>
                  <w:r>
                    <w:rPr>
                      <w:rFonts w:cs="Georgia"/>
                    </w:rPr>
                    <w:t>i</w:t>
                  </w:r>
                  <w:r>
                    <w:rPr>
                      <w:rFonts w:cs="Georgia"/>
                      <w:spacing w:val="-1"/>
                    </w:rPr>
                    <w:t>n</w:t>
                  </w:r>
                  <w:r>
                    <w:rPr>
                      <w:rFonts w:cs="Georgia"/>
                      <w:spacing w:val="1"/>
                    </w:rPr>
                    <w:t>s</w:t>
                  </w:r>
                  <w:r>
                    <w:rPr>
                      <w:rFonts w:cs="Georgia"/>
                    </w:rPr>
                    <w:t>,</w:t>
                  </w:r>
                  <w:r>
                    <w:rPr>
                      <w:rFonts w:cs="Georgia"/>
                      <w:spacing w:val="26"/>
                    </w:rPr>
                    <w:t xml:space="preserve"> </w:t>
                  </w:r>
                  <w:r>
                    <w:rPr>
                      <w:rFonts w:cs="Georgia"/>
                      <w:spacing w:val="-2"/>
                    </w:rPr>
                    <w:t>s</w:t>
                  </w:r>
                  <w:r>
                    <w:rPr>
                      <w:rFonts w:cs="Georgia"/>
                      <w:spacing w:val="1"/>
                    </w:rPr>
                    <w:t>o</w:t>
                  </w:r>
                  <w:r>
                    <w:rPr>
                      <w:rFonts w:cs="Georgia"/>
                    </w:rPr>
                    <w:t>n</w:t>
                  </w:r>
                  <w:r>
                    <w:rPr>
                      <w:rFonts w:cs="Georgia"/>
                      <w:spacing w:val="28"/>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27"/>
                    </w:rPr>
                    <w:t xml:space="preserve"> </w:t>
                  </w:r>
                  <w:r>
                    <w:rPr>
                      <w:rFonts w:cs="Georgia"/>
                      <w:spacing w:val="1"/>
                    </w:rPr>
                    <w:t>p</w:t>
                  </w:r>
                  <w:r>
                    <w:rPr>
                      <w:rFonts w:cs="Georgia"/>
                      <w:spacing w:val="-1"/>
                    </w:rPr>
                    <w:t>e</w:t>
                  </w:r>
                  <w:r>
                    <w:rPr>
                      <w:rFonts w:cs="Georgia"/>
                    </w:rPr>
                    <w:t>u</w:t>
                  </w:r>
                  <w:r>
                    <w:rPr>
                      <w:rFonts w:cs="Georgia"/>
                      <w:spacing w:val="1"/>
                    </w:rPr>
                    <w:t>t</w:t>
                  </w:r>
                  <w:r>
                    <w:rPr>
                      <w:rFonts w:cs="Georgia"/>
                      <w:spacing w:val="-1"/>
                    </w:rPr>
                    <w:t xml:space="preserve"> ê</w:t>
                  </w:r>
                  <w:r>
                    <w:rPr>
                      <w:rFonts w:cs="Georgia"/>
                      <w:spacing w:val="1"/>
                    </w:rPr>
                    <w:t>tr</w:t>
                  </w:r>
                  <w:r>
                    <w:rPr>
                      <w:rFonts w:cs="Georgia"/>
                    </w:rPr>
                    <w:t>e</w:t>
                  </w:r>
                  <w:r>
                    <w:rPr>
                      <w:rFonts w:cs="Georgia"/>
                      <w:spacing w:val="27"/>
                    </w:rPr>
                    <w:t xml:space="preserve"> </w:t>
                  </w:r>
                  <w:r>
                    <w:rPr>
                      <w:rFonts w:cs="Georgia"/>
                      <w:spacing w:val="1"/>
                    </w:rPr>
                    <w:t>recalculé</w:t>
                  </w:r>
                  <w:r>
                    <w:rPr>
                      <w:rFonts w:cs="Georgia"/>
                      <w:spacing w:val="26"/>
                    </w:rPr>
                    <w:t xml:space="preserve"> </w:t>
                  </w:r>
                  <w:r>
                    <w:rPr>
                      <w:rFonts w:cs="Georgia"/>
                      <w:spacing w:val="-1"/>
                    </w:rPr>
                    <w:t>a</w:t>
                  </w:r>
                  <w:r>
                    <w:rPr>
                      <w:rFonts w:cs="Georgia"/>
                      <w:spacing w:val="1"/>
                    </w:rPr>
                    <w:t>pr</w:t>
                  </w:r>
                  <w:r>
                    <w:rPr>
                      <w:rFonts w:cs="Georgia"/>
                      <w:spacing w:val="-1"/>
                    </w:rPr>
                    <w:t>è</w:t>
                  </w:r>
                  <w:r>
                    <w:rPr>
                      <w:rFonts w:cs="Georgia"/>
                    </w:rPr>
                    <w:t>s</w:t>
                  </w:r>
                  <w:r>
                    <w:rPr>
                      <w:rFonts w:cs="Georgia"/>
                      <w:spacing w:val="29"/>
                    </w:rPr>
                    <w:t xml:space="preserve"> </w:t>
                  </w:r>
                  <w:r>
                    <w:rPr>
                      <w:rFonts w:cs="Georgia"/>
                      <w:spacing w:val="-1"/>
                    </w:rPr>
                    <w:t>l</w:t>
                  </w:r>
                  <w:r>
                    <w:rPr>
                      <w:rFonts w:cs="Georgia"/>
                    </w:rPr>
                    <w:t>e</w:t>
                  </w:r>
                  <w:r>
                    <w:rPr>
                      <w:rFonts w:cs="Georgia"/>
                      <w:spacing w:val="27"/>
                    </w:rPr>
                    <w:t xml:space="preserve"> </w:t>
                  </w:r>
                  <w:r>
                    <w:rPr>
                      <w:rFonts w:cs="Georgia"/>
                      <w:spacing w:val="1"/>
                    </w:rPr>
                    <w:t>3</w:t>
                  </w:r>
                  <w:r>
                    <w:rPr>
                      <w:rFonts w:cs="Georgia"/>
                    </w:rPr>
                    <w:t>0</w:t>
                  </w:r>
                  <w:r>
                    <w:rPr>
                      <w:rFonts w:cs="Georgia"/>
                      <w:spacing w:val="27"/>
                    </w:rPr>
                    <w:t xml:space="preserve"> </w:t>
                  </w:r>
                  <w:r>
                    <w:rPr>
                      <w:rFonts w:cs="Georgia"/>
                      <w:spacing w:val="1"/>
                    </w:rPr>
                    <w:t>s</w:t>
                  </w:r>
                  <w:r>
                    <w:rPr>
                      <w:rFonts w:cs="Georgia"/>
                      <w:spacing w:val="-3"/>
                    </w:rPr>
                    <w:t>e</w:t>
                  </w:r>
                  <w:r>
                    <w:rPr>
                      <w:rFonts w:cs="Georgia"/>
                      <w:spacing w:val="1"/>
                    </w:rPr>
                    <w:t>pt</w:t>
                  </w:r>
                  <w:r>
                    <w:rPr>
                      <w:rFonts w:cs="Georgia"/>
                      <w:spacing w:val="-1"/>
                    </w:rPr>
                    <w:t>e</w:t>
                  </w:r>
                  <w:r>
                    <w:rPr>
                      <w:rFonts w:cs="Georgia"/>
                      <w:spacing w:val="-3"/>
                    </w:rPr>
                    <w:t>m</w:t>
                  </w:r>
                  <w:r>
                    <w:rPr>
                      <w:rFonts w:cs="Georgia"/>
                      <w:spacing w:val="1"/>
                    </w:rPr>
                    <w:t>br</w:t>
                  </w:r>
                  <w:r>
                    <w:rPr>
                      <w:rFonts w:cs="Georgia"/>
                    </w:rPr>
                    <w:t>e</w:t>
                  </w:r>
                  <w:r>
                    <w:rPr>
                      <w:rFonts w:cs="Georgia"/>
                      <w:spacing w:val="28"/>
                    </w:rPr>
                    <w:t xml:space="preserve"> </w:t>
                  </w:r>
                  <w:r>
                    <w:rPr>
                      <w:rFonts w:cs="Georgia"/>
                      <w:spacing w:val="-2"/>
                    </w:rPr>
                    <w:t>s</w:t>
                  </w:r>
                  <w:r>
                    <w:rPr>
                      <w:rFonts w:cs="Georgia"/>
                    </w:rPr>
                    <w:t>i</w:t>
                  </w:r>
                  <w:r>
                    <w:rPr>
                      <w:rFonts w:cs="Georgia"/>
                      <w:spacing w:val="29"/>
                    </w:rPr>
                    <w:t xml:space="preserve"> </w:t>
                  </w:r>
                  <w:r>
                    <w:rPr>
                      <w:rFonts w:cs="Georgia"/>
                      <w:spacing w:val="1"/>
                    </w:rPr>
                    <w:t>s</w:t>
                  </w:r>
                  <w:r>
                    <w:rPr>
                      <w:rFonts w:cs="Georgia"/>
                    </w:rPr>
                    <w:t>a</w:t>
                  </w:r>
                  <w:r>
                    <w:rPr>
                      <w:rFonts w:cs="Georgia"/>
                      <w:spacing w:val="28"/>
                    </w:rPr>
                    <w:t xml:space="preserve"> </w:t>
                  </w:r>
                  <w:r>
                    <w:rPr>
                      <w:rFonts w:cs="Georgia"/>
                      <w:spacing w:val="-1"/>
                    </w:rPr>
                    <w:t>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rPr>
                    <w:t>i</w:t>
                  </w:r>
                  <w:r>
                    <w:rPr>
                      <w:rFonts w:cs="Georgia"/>
                      <w:spacing w:val="1"/>
                    </w:rPr>
                    <w:t>o</w:t>
                  </w:r>
                  <w:r>
                    <w:rPr>
                      <w:rFonts w:cs="Georgia"/>
                    </w:rPr>
                    <w:t>n</w:t>
                  </w:r>
                  <w:r>
                    <w:rPr>
                      <w:rFonts w:cs="Georgia"/>
                      <w:spacing w:val="25"/>
                    </w:rPr>
                    <w:t xml:space="preserve"> </w:t>
                  </w:r>
                  <w:r>
                    <w:rPr>
                      <w:rFonts w:cs="Georgia"/>
                      <w:spacing w:val="1"/>
                    </w:rPr>
                    <w:t>s</w:t>
                  </w:r>
                  <w:r>
                    <w:rPr>
                      <w:rFonts w:cs="Georgia"/>
                      <w:spacing w:val="-2"/>
                    </w:rPr>
                    <w:t>c</w:t>
                  </w:r>
                  <w:r>
                    <w:rPr>
                      <w:rFonts w:cs="Georgia"/>
                      <w:spacing w:val="1"/>
                    </w:rPr>
                    <w:t>o</w:t>
                  </w:r>
                  <w:r>
                    <w:rPr>
                      <w:rFonts w:cs="Georgia"/>
                      <w:spacing w:val="-1"/>
                    </w:rPr>
                    <w:t>la</w:t>
                  </w:r>
                  <w:r>
                    <w:rPr>
                      <w:rFonts w:cs="Georgia"/>
                    </w:rPr>
                    <w:t>i</w:t>
                  </w:r>
                  <w:r>
                    <w:rPr>
                      <w:rFonts w:cs="Georgia"/>
                      <w:spacing w:val="1"/>
                    </w:rPr>
                    <w:t xml:space="preserve">re </w:t>
                  </w:r>
                  <w:r>
                    <w:rPr>
                      <w:rFonts w:cs="Georgia"/>
                      <w:spacing w:val="-1"/>
                    </w:rPr>
                    <w:t>a</w:t>
                  </w:r>
                  <w:r>
                    <w:rPr>
                      <w:rFonts w:cs="Georgia"/>
                      <w:spacing w:val="1"/>
                    </w:rPr>
                    <w:t>tt</w:t>
                  </w:r>
                  <w:r>
                    <w:rPr>
                      <w:rFonts w:cs="Georgia"/>
                      <w:spacing w:val="-1"/>
                    </w:rPr>
                    <w:t>e</w:t>
                  </w:r>
                  <w:r>
                    <w:rPr>
                      <w:rFonts w:cs="Georgia"/>
                    </w:rPr>
                    <w:t>i</w:t>
                  </w:r>
                  <w:r>
                    <w:rPr>
                      <w:rFonts w:cs="Georgia"/>
                      <w:spacing w:val="-1"/>
                    </w:rPr>
                    <w:t>n</w:t>
                  </w:r>
                  <w:r>
                    <w:rPr>
                      <w:rFonts w:cs="Georgia"/>
                    </w:rPr>
                    <w:t>t</w:t>
                  </w:r>
                  <w:r>
                    <w:rPr>
                      <w:rFonts w:cs="Georgia"/>
                      <w:spacing w:val="10"/>
                    </w:rPr>
                    <w:t xml:space="preserve"> </w:t>
                  </w:r>
                  <w:r>
                    <w:rPr>
                      <w:rFonts w:cs="Georgia"/>
                      <w:spacing w:val="-1"/>
                    </w:rPr>
                    <w:t>a</w:t>
                  </w:r>
                  <w:r>
                    <w:rPr>
                      <w:rFonts w:cs="Georgia"/>
                    </w:rPr>
                    <w:t>u</w:t>
                  </w:r>
                  <w:r>
                    <w:rPr>
                      <w:rFonts w:cs="Georgia"/>
                      <w:spacing w:val="10"/>
                    </w:rPr>
                    <w:t xml:space="preserve"> </w:t>
                  </w:r>
                  <w:r>
                    <w:rPr>
                      <w:rFonts w:cs="Georgia"/>
                    </w:rPr>
                    <w:t>m</w:t>
                  </w:r>
                  <w:r>
                    <w:rPr>
                      <w:rFonts w:cs="Georgia"/>
                      <w:spacing w:val="-1"/>
                    </w:rPr>
                    <w:t>o</w:t>
                  </w:r>
                  <w:r>
                    <w:rPr>
                      <w:rFonts w:cs="Georgia"/>
                    </w:rPr>
                    <w:t>i</w:t>
                  </w:r>
                  <w:r>
                    <w:rPr>
                      <w:rFonts w:cs="Georgia"/>
                      <w:spacing w:val="-1"/>
                    </w:rPr>
                    <w:t>n</w:t>
                  </w:r>
                  <w:r>
                    <w:rPr>
                      <w:rFonts w:cs="Georgia"/>
                    </w:rPr>
                    <w:t>s</w:t>
                  </w:r>
                  <w:r>
                    <w:rPr>
                      <w:rFonts w:cs="Georgia"/>
                      <w:spacing w:val="10"/>
                    </w:rPr>
                    <w:t xml:space="preserve"> </w:t>
                  </w:r>
                  <w:r>
                    <w:rPr>
                      <w:rFonts w:cs="Georgia"/>
                      <w:spacing w:val="-1"/>
                    </w:rPr>
                    <w:t>1</w:t>
                  </w:r>
                  <w:r>
                    <w:rPr>
                      <w:rFonts w:cs="Georgia"/>
                      <w:spacing w:val="1"/>
                    </w:rPr>
                    <w:t>1</w:t>
                  </w:r>
                  <w:r>
                    <w:rPr>
                      <w:rFonts w:cs="Georgia"/>
                    </w:rPr>
                    <w:t>0</w:t>
                  </w:r>
                  <w:r>
                    <w:rPr>
                      <w:rFonts w:cs="Georgia"/>
                      <w:spacing w:val="8"/>
                    </w:rPr>
                    <w:t xml:space="preserve"> </w:t>
                  </w:r>
                  <w:r>
                    <w:rPr>
                      <w:rFonts w:cs="Georgia"/>
                      <w:spacing w:val="-1"/>
                    </w:rPr>
                    <w:t>élè</w:t>
                  </w:r>
                  <w:r>
                    <w:rPr>
                      <w:rFonts w:cs="Georgia"/>
                      <w:spacing w:val="1"/>
                    </w:rPr>
                    <w:t>v</w:t>
                  </w:r>
                  <w:r>
                    <w:rPr>
                      <w:rFonts w:cs="Georgia"/>
                      <w:spacing w:val="-1"/>
                    </w:rPr>
                    <w:t>e</w:t>
                  </w:r>
                  <w:r>
                    <w:rPr>
                      <w:rFonts w:cs="Georgia"/>
                      <w:spacing w:val="1"/>
                    </w:rPr>
                    <w:t>s</w:t>
                  </w:r>
                  <w:r>
                    <w:rPr>
                      <w:rFonts w:cs="Georgia"/>
                    </w:rPr>
                    <w:t>,</w:t>
                  </w:r>
                  <w:r>
                    <w:rPr>
                      <w:rFonts w:cs="Georgia"/>
                      <w:spacing w:val="10"/>
                    </w:rPr>
                    <w:t xml:space="preserve"> </w:t>
                  </w:r>
                  <w:r>
                    <w:rPr>
                      <w:rFonts w:cs="Georgia"/>
                      <w:spacing w:val="1"/>
                    </w:rPr>
                    <w:t>so</w:t>
                  </w:r>
                  <w:r>
                    <w:rPr>
                      <w:rFonts w:cs="Georgia"/>
                      <w:spacing w:val="-2"/>
                    </w:rPr>
                    <w:t>i</w:t>
                  </w:r>
                  <w:r>
                    <w:rPr>
                      <w:rFonts w:cs="Georgia"/>
                    </w:rPr>
                    <w:t>t</w:t>
                  </w:r>
                  <w:r>
                    <w:rPr>
                      <w:rFonts w:cs="Georgia"/>
                      <w:spacing w:val="10"/>
                    </w:rPr>
                    <w:t xml:space="preserve"> </w:t>
                  </w:r>
                  <w:r>
                    <w:rPr>
                      <w:rFonts w:cs="Georgia"/>
                    </w:rPr>
                    <w:t>u</w:t>
                  </w:r>
                  <w:r>
                    <w:rPr>
                      <w:rFonts w:cs="Georgia"/>
                      <w:spacing w:val="-1"/>
                    </w:rPr>
                    <w:t>n</w:t>
                  </w:r>
                  <w:r>
                    <w:rPr>
                      <w:rFonts w:cs="Georgia"/>
                    </w:rPr>
                    <w:t>e</w:t>
                  </w:r>
                  <w:r>
                    <w:rPr>
                      <w:rFonts w:cs="Georgia"/>
                      <w:spacing w:val="8"/>
                    </w:rPr>
                    <w:t xml:space="preserve"> </w:t>
                  </w:r>
                  <w:r>
                    <w:rPr>
                      <w:rFonts w:cs="Georgia"/>
                      <w:spacing w:val="-1"/>
                    </w:rPr>
                    <w:t>a</w:t>
                  </w:r>
                  <w:r>
                    <w:rPr>
                      <w:rFonts w:cs="Georgia"/>
                    </w:rPr>
                    <w:t>ugm</w:t>
                  </w:r>
                  <w:r>
                    <w:rPr>
                      <w:rFonts w:cs="Georgia"/>
                      <w:spacing w:val="-1"/>
                    </w:rPr>
                    <w:t>en</w:t>
                  </w:r>
                  <w:r>
                    <w:rPr>
                      <w:rFonts w:cs="Georgia"/>
                      <w:spacing w:val="1"/>
                    </w:rPr>
                    <w:t>t</w:t>
                  </w:r>
                  <w:r>
                    <w:rPr>
                      <w:rFonts w:cs="Georgia"/>
                      <w:spacing w:val="-1"/>
                    </w:rPr>
                    <w:t>a</w:t>
                  </w:r>
                  <w:r>
                    <w:rPr>
                      <w:rFonts w:cs="Georgia"/>
                      <w:spacing w:val="1"/>
                    </w:rPr>
                    <w:t>t</w:t>
                  </w:r>
                  <w:r>
                    <w:rPr>
                      <w:rFonts w:cs="Georgia"/>
                      <w:spacing w:val="-2"/>
                    </w:rPr>
                    <w:t>i</w:t>
                  </w:r>
                  <w:r>
                    <w:rPr>
                      <w:rFonts w:cs="Georgia"/>
                      <w:spacing w:val="-1"/>
                    </w:rPr>
                    <w:t>o</w:t>
                  </w:r>
                  <w:r>
                    <w:rPr>
                      <w:rFonts w:cs="Georgia"/>
                    </w:rPr>
                    <w:t>n</w:t>
                  </w:r>
                  <w:r>
                    <w:rPr>
                      <w:rFonts w:cs="Georgia"/>
                      <w:spacing w:val="8"/>
                    </w:rPr>
                    <w:t xml:space="preserve"> </w:t>
                  </w:r>
                  <w:r>
                    <w:rPr>
                      <w:rFonts w:cs="Georgia"/>
                    </w:rPr>
                    <w:t>d’</w:t>
                  </w:r>
                  <w:r>
                    <w:rPr>
                      <w:rFonts w:cs="Georgia"/>
                      <w:spacing w:val="-1"/>
                    </w:rPr>
                    <w:t>a</w:t>
                  </w:r>
                  <w:r>
                    <w:rPr>
                      <w:rFonts w:cs="Georgia"/>
                    </w:rPr>
                    <w:t>u</w:t>
                  </w:r>
                  <w:r>
                    <w:rPr>
                      <w:rFonts w:cs="Georgia"/>
                      <w:spacing w:val="10"/>
                    </w:rPr>
                    <w:t xml:space="preserve"> </w:t>
                  </w:r>
                  <w:r>
                    <w:rPr>
                      <w:rFonts w:cs="Georgia"/>
                    </w:rPr>
                    <w:t>m</w:t>
                  </w:r>
                  <w:r>
                    <w:rPr>
                      <w:rFonts w:cs="Georgia"/>
                      <w:spacing w:val="1"/>
                    </w:rPr>
                    <w:t>o</w:t>
                  </w:r>
                  <w:r>
                    <w:rPr>
                      <w:rFonts w:cs="Georgia"/>
                    </w:rPr>
                    <w:t>i</w:t>
                  </w:r>
                  <w:r>
                    <w:rPr>
                      <w:rFonts w:cs="Georgia"/>
                      <w:spacing w:val="-3"/>
                    </w:rPr>
                    <w:t>n</w:t>
                  </w:r>
                  <w:r>
                    <w:rPr>
                      <w:rFonts w:cs="Georgia"/>
                    </w:rPr>
                    <w:t>s</w:t>
                  </w:r>
                  <w:r>
                    <w:rPr>
                      <w:rFonts w:cs="Georgia"/>
                      <w:spacing w:val="10"/>
                    </w:rPr>
                    <w:t xml:space="preserve"> </w:t>
                  </w:r>
                  <w:r>
                    <w:rPr>
                      <w:rFonts w:cs="Georgia"/>
                      <w:spacing w:val="1"/>
                    </w:rPr>
                    <w:t>1</w:t>
                  </w:r>
                  <w:r>
                    <w:rPr>
                      <w:rFonts w:cs="Georgia"/>
                      <w:spacing w:val="-1"/>
                    </w:rPr>
                    <w:t>0</w:t>
                  </w:r>
                  <w:r>
                    <w:rPr>
                      <w:rFonts w:cs="Georgia"/>
                    </w:rPr>
                    <w:t>%</w:t>
                  </w:r>
                  <w:r>
                    <w:rPr>
                      <w:rFonts w:cs="Georgia"/>
                      <w:spacing w:val="7"/>
                    </w:rPr>
                    <w:t xml:space="preserve"> </w:t>
                  </w:r>
                  <w:r>
                    <w:rPr>
                      <w:rFonts w:cs="Georgia"/>
                      <w:spacing w:val="1"/>
                    </w:rPr>
                    <w:t>p</w:t>
                  </w:r>
                  <w:r>
                    <w:rPr>
                      <w:rFonts w:cs="Georgia"/>
                      <w:spacing w:val="-1"/>
                    </w:rPr>
                    <w:t>a</w:t>
                  </w:r>
                  <w:r>
                    <w:rPr>
                      <w:rFonts w:cs="Georgia"/>
                    </w:rPr>
                    <w:t>r</w:t>
                  </w:r>
                  <w:r>
                    <w:rPr>
                      <w:rFonts w:cs="Georgia"/>
                      <w:spacing w:val="10"/>
                    </w:rPr>
                    <w:t xml:space="preserve"> </w:t>
                  </w:r>
                  <w:r>
                    <w:rPr>
                      <w:rFonts w:cs="Georgia"/>
                      <w:spacing w:val="1"/>
                    </w:rPr>
                    <w:t>r</w:t>
                  </w:r>
                  <w:r>
                    <w:rPr>
                      <w:rFonts w:cs="Georgia"/>
                      <w:spacing w:val="-3"/>
                    </w:rPr>
                    <w:t>a</w:t>
                  </w:r>
                  <w:r>
                    <w:rPr>
                      <w:rFonts w:cs="Georgia"/>
                      <w:spacing w:val="1"/>
                    </w:rPr>
                    <w:t>p</w:t>
                  </w:r>
                  <w:r>
                    <w:rPr>
                      <w:rFonts w:cs="Georgia"/>
                      <w:spacing w:val="-1"/>
                    </w:rPr>
                    <w:t>p</w:t>
                  </w:r>
                  <w:r>
                    <w:rPr>
                      <w:rFonts w:cs="Georgia"/>
                      <w:spacing w:val="1"/>
                    </w:rPr>
                    <w:t>o</w:t>
                  </w:r>
                  <w:r>
                    <w:rPr>
                      <w:rFonts w:cs="Georgia"/>
                      <w:spacing w:val="-2"/>
                    </w:rPr>
                    <w:t>r</w:t>
                  </w:r>
                  <w:r>
                    <w:rPr>
                      <w:rFonts w:cs="Georgia"/>
                    </w:rPr>
                    <w:t>t</w:t>
                  </w:r>
                  <w:r>
                    <w:rPr>
                      <w:rFonts w:cs="Georgia"/>
                      <w:spacing w:val="10"/>
                    </w:rPr>
                    <w:t xml:space="preserve"> </w:t>
                  </w:r>
                  <w:r>
                    <w:rPr>
                      <w:rFonts w:cs="Georgia"/>
                      <w:spacing w:val="-1"/>
                    </w:rPr>
                    <w:t>a</w:t>
                  </w:r>
                  <w:r>
                    <w:rPr>
                      <w:rFonts w:cs="Georgia"/>
                    </w:rPr>
                    <w:t>ux</w:t>
                  </w:r>
                  <w:r>
                    <w:rPr>
                      <w:rFonts w:cs="Georgia"/>
                      <w:spacing w:val="8"/>
                    </w:rPr>
                    <w:t xml:space="preserve"> </w:t>
                  </w:r>
                  <w:r>
                    <w:rPr>
                      <w:rFonts w:cs="Georgia"/>
                      <w:spacing w:val="1"/>
                    </w:rPr>
                    <w:t>1</w:t>
                  </w:r>
                  <w:r>
                    <w:rPr>
                      <w:rFonts w:cs="Georgia"/>
                      <w:spacing w:val="-1"/>
                    </w:rPr>
                    <w:t>0</w:t>
                  </w:r>
                  <w:r>
                    <w:rPr>
                      <w:rFonts w:cs="Georgia"/>
                    </w:rPr>
                    <w:t>0</w:t>
                  </w:r>
                  <w:r>
                    <w:rPr>
                      <w:rFonts w:cs="Georgia"/>
                      <w:spacing w:val="8"/>
                    </w:rPr>
                    <w:t xml:space="preserve"> </w:t>
                  </w:r>
                  <w:r>
                    <w:rPr>
                      <w:rFonts w:cs="Georgia"/>
                      <w:spacing w:val="-1"/>
                    </w:rPr>
                    <w:t>élè</w:t>
                  </w:r>
                  <w:r>
                    <w:rPr>
                      <w:rFonts w:cs="Georgia"/>
                      <w:spacing w:val="1"/>
                    </w:rPr>
                    <w:t>v</w:t>
                  </w:r>
                  <w:r>
                    <w:rPr>
                      <w:rFonts w:cs="Georgia"/>
                      <w:spacing w:val="-1"/>
                    </w:rPr>
                    <w:t>e</w:t>
                  </w:r>
                  <w:r>
                    <w:rPr>
                      <w:rFonts w:cs="Georgia"/>
                    </w:rPr>
                    <w:t>s</w:t>
                  </w:r>
                  <w:r>
                    <w:rPr>
                      <w:rFonts w:cs="Georgia"/>
                      <w:spacing w:val="10"/>
                    </w:rPr>
                    <w:t xml:space="preserve"> </w:t>
                  </w:r>
                  <w:r>
                    <w:rPr>
                      <w:rFonts w:cs="Georgia"/>
                    </w:rPr>
                    <w:t>de j</w:t>
                  </w:r>
                  <w:r>
                    <w:rPr>
                      <w:rFonts w:cs="Georgia"/>
                      <w:spacing w:val="-1"/>
                    </w:rPr>
                    <w:t>an</w:t>
                  </w:r>
                  <w:r>
                    <w:rPr>
                      <w:rFonts w:cs="Georgia"/>
                      <w:spacing w:val="1"/>
                    </w:rPr>
                    <w:t>v</w:t>
                  </w:r>
                  <w:r>
                    <w:rPr>
                      <w:rFonts w:cs="Georgia"/>
                    </w:rPr>
                    <w:t>i</w:t>
                  </w:r>
                  <w:r>
                    <w:rPr>
                      <w:rFonts w:cs="Georgia"/>
                      <w:spacing w:val="-1"/>
                    </w:rPr>
                    <w:t>e</w:t>
                  </w:r>
                  <w:r>
                    <w:rPr>
                      <w:rFonts w:cs="Georgia"/>
                    </w:rPr>
                    <w:t xml:space="preserve">r </w:t>
                  </w:r>
                  <w:r>
                    <w:rPr>
                      <w:rFonts w:cs="Georgia"/>
                      <w:spacing w:val="-1"/>
                    </w:rPr>
                    <w:t>20</w:t>
                  </w:r>
                  <w:r>
                    <w:rPr>
                      <w:rFonts w:cs="Georgia"/>
                      <w:spacing w:val="1"/>
                    </w:rPr>
                    <w:t>1</w:t>
                  </w:r>
                  <w:r>
                    <w:rPr>
                      <w:rFonts w:cs="Georgia"/>
                    </w:rPr>
                    <w:t>8.</w:t>
                  </w:r>
                </w:p>
                <w:p>
                  <w:pPr>
                    <w:jc w:val="both"/>
                    <w:rPr>
                      <w:rFonts w:cs="Georgia"/>
                    </w:rPr>
                  </w:pPr>
                </w:p>
                <w:p>
                  <w:pPr>
                    <w:jc w:val="both"/>
                    <w:rPr>
                      <w:rFonts w:cs="Georgia"/>
                      <w:color w:val="000000"/>
                    </w:rPr>
                  </w:pPr>
                  <w:r>
                    <w:rPr>
                      <w:rFonts w:cs="Georgia"/>
                      <w:position w:val="-1"/>
                    </w:rPr>
                    <w:t>P</w:t>
                  </w:r>
                  <w:r>
                    <w:rPr>
                      <w:rFonts w:cs="Georgia"/>
                      <w:spacing w:val="1"/>
                      <w:position w:val="-1"/>
                    </w:rPr>
                    <w:t>o</w:t>
                  </w:r>
                  <w:r>
                    <w:rPr>
                      <w:rFonts w:cs="Georgia"/>
                      <w:position w:val="-1"/>
                    </w:rPr>
                    <w:t>ur</w:t>
                  </w:r>
                  <w:r>
                    <w:rPr>
                      <w:rFonts w:cs="Georgia"/>
                      <w:spacing w:val="-2"/>
                      <w:position w:val="-1"/>
                    </w:rPr>
                    <w:t xml:space="preserve"> </w:t>
                  </w:r>
                  <w:r>
                    <w:rPr>
                      <w:rFonts w:cs="Georgia"/>
                      <w:spacing w:val="1"/>
                      <w:position w:val="-1"/>
                    </w:rPr>
                    <w:t>c</w:t>
                  </w:r>
                  <w:r>
                    <w:rPr>
                      <w:rFonts w:cs="Georgia"/>
                      <w:position w:val="-1"/>
                    </w:rPr>
                    <w:t>e</w:t>
                  </w:r>
                  <w:r>
                    <w:rPr>
                      <w:rFonts w:cs="Georgia"/>
                      <w:spacing w:val="-1"/>
                      <w:position w:val="-1"/>
                    </w:rPr>
                    <w:t xml:space="preserve"> n</w:t>
                  </w:r>
                  <w:r>
                    <w:rPr>
                      <w:rFonts w:cs="Georgia"/>
                      <w:spacing w:val="1"/>
                      <w:position w:val="-1"/>
                    </w:rPr>
                    <w:t>o</w:t>
                  </w:r>
                  <w:r>
                    <w:rPr>
                      <w:rFonts w:cs="Georgia"/>
                      <w:position w:val="-1"/>
                    </w:rPr>
                    <w:t>u</w:t>
                  </w:r>
                  <w:r>
                    <w:rPr>
                      <w:rFonts w:cs="Georgia"/>
                      <w:spacing w:val="1"/>
                      <w:position w:val="-1"/>
                    </w:rPr>
                    <w:t>v</w:t>
                  </w:r>
                  <w:r>
                    <w:rPr>
                      <w:rFonts w:cs="Georgia"/>
                      <w:spacing w:val="-1"/>
                      <w:position w:val="-1"/>
                    </w:rPr>
                    <w:t>ea</w:t>
                  </w:r>
                  <w:r>
                    <w:rPr>
                      <w:rFonts w:cs="Georgia"/>
                      <w:position w:val="-1"/>
                    </w:rPr>
                    <w:t xml:space="preserve">u </w:t>
                  </w:r>
                  <w:r>
                    <w:rPr>
                      <w:rFonts w:cs="Georgia"/>
                      <w:spacing w:val="1"/>
                      <w:position w:val="-1"/>
                    </w:rPr>
                    <w:t>c</w:t>
                  </w:r>
                  <w:r>
                    <w:rPr>
                      <w:rFonts w:cs="Georgia"/>
                      <w:spacing w:val="-3"/>
                      <w:position w:val="-1"/>
                    </w:rPr>
                    <w:t>a</w:t>
                  </w:r>
                  <w:r>
                    <w:rPr>
                      <w:rFonts w:cs="Georgia"/>
                      <w:spacing w:val="1"/>
                      <w:position w:val="-1"/>
                    </w:rPr>
                    <w:t>p</w:t>
                  </w:r>
                  <w:r>
                    <w:rPr>
                      <w:rFonts w:cs="Georgia"/>
                      <w:position w:val="-1"/>
                    </w:rPr>
                    <w:t>i</w:t>
                  </w:r>
                  <w:r>
                    <w:rPr>
                      <w:rFonts w:cs="Georgia"/>
                      <w:spacing w:val="1"/>
                      <w:position w:val="-1"/>
                    </w:rPr>
                    <w:t>t</w:t>
                  </w:r>
                  <w:r>
                    <w:rPr>
                      <w:rFonts w:cs="Georgia"/>
                      <w:spacing w:val="-1"/>
                      <w:position w:val="-1"/>
                    </w:rPr>
                    <w:t>al</w:t>
                  </w:r>
                  <w:r>
                    <w:rPr>
                      <w:rFonts w:cs="Georgia"/>
                      <w:spacing w:val="-3"/>
                      <w:position w:val="-1"/>
                    </w:rPr>
                    <w:t>-</w:t>
                  </w:r>
                  <w:r>
                    <w:rPr>
                      <w:rFonts w:cs="Georgia"/>
                      <w:spacing w:val="1"/>
                      <w:position w:val="-1"/>
                    </w:rPr>
                    <w:t>p</w:t>
                  </w:r>
                  <w:r>
                    <w:rPr>
                      <w:rFonts w:cs="Georgia"/>
                      <w:spacing w:val="-1"/>
                      <w:position w:val="-1"/>
                    </w:rPr>
                    <w:t>é</w:t>
                  </w:r>
                  <w:r>
                    <w:rPr>
                      <w:rFonts w:cs="Georgia"/>
                      <w:spacing w:val="1"/>
                      <w:position w:val="-1"/>
                    </w:rPr>
                    <w:t>r</w:t>
                  </w:r>
                  <w:r>
                    <w:rPr>
                      <w:rFonts w:cs="Georgia"/>
                      <w:position w:val="-1"/>
                    </w:rPr>
                    <w:t>i</w:t>
                  </w:r>
                  <w:r>
                    <w:rPr>
                      <w:rFonts w:cs="Georgia"/>
                      <w:spacing w:val="-1"/>
                      <w:position w:val="-1"/>
                    </w:rPr>
                    <w:t>o</w:t>
                  </w:r>
                  <w:r>
                    <w:rPr>
                      <w:rFonts w:cs="Georgia"/>
                      <w:position w:val="-1"/>
                    </w:rPr>
                    <w:t>d</w:t>
                  </w:r>
                  <w:r>
                    <w:rPr>
                      <w:rFonts w:cs="Georgia"/>
                      <w:spacing w:val="-1"/>
                      <w:position w:val="-1"/>
                    </w:rPr>
                    <w:t>e</w:t>
                  </w:r>
                  <w:r>
                    <w:rPr>
                      <w:rFonts w:cs="Georgia"/>
                      <w:position w:val="-1"/>
                    </w:rPr>
                    <w:t xml:space="preserve">s </w:t>
                  </w:r>
                  <w:r>
                    <w:rPr>
                      <w:rFonts w:cs="Georgia"/>
                      <w:spacing w:val="-2"/>
                      <w:position w:val="-1"/>
                    </w:rPr>
                    <w:t>s</w:t>
                  </w:r>
                  <w:r>
                    <w:rPr>
                      <w:rFonts w:cs="Georgia"/>
                      <w:spacing w:val="1"/>
                      <w:position w:val="-1"/>
                    </w:rPr>
                    <w:t>o</w:t>
                  </w:r>
                  <w:r>
                    <w:rPr>
                      <w:rFonts w:cs="Georgia"/>
                      <w:spacing w:val="-1"/>
                      <w:position w:val="-1"/>
                    </w:rPr>
                    <w:t>n</w:t>
                  </w:r>
                  <w:r>
                    <w:rPr>
                      <w:rFonts w:cs="Georgia"/>
                      <w:position w:val="-1"/>
                    </w:rPr>
                    <w:t xml:space="preserve">t </w:t>
                  </w:r>
                  <w:r>
                    <w:rPr>
                      <w:rFonts w:cs="Georgia"/>
                      <w:spacing w:val="-1"/>
                      <w:position w:val="-1"/>
                    </w:rPr>
                    <w:t>p</w:t>
                  </w:r>
                  <w:r>
                    <w:rPr>
                      <w:rFonts w:cs="Georgia"/>
                      <w:spacing w:val="1"/>
                      <w:position w:val="-1"/>
                    </w:rPr>
                    <w:t>r</w:t>
                  </w:r>
                  <w:r>
                    <w:rPr>
                      <w:rFonts w:cs="Georgia"/>
                      <w:position w:val="-1"/>
                    </w:rPr>
                    <w:t xml:space="preserve">is </w:t>
                  </w:r>
                  <w:r>
                    <w:rPr>
                      <w:rFonts w:cs="Georgia"/>
                      <w:spacing w:val="-1"/>
                      <w:position w:val="-1"/>
                    </w:rPr>
                    <w:t>e</w:t>
                  </w:r>
                  <w:r>
                    <w:rPr>
                      <w:rFonts w:cs="Georgia"/>
                      <w:position w:val="-1"/>
                    </w:rPr>
                    <w:t>n</w:t>
                  </w:r>
                  <w:r>
                    <w:rPr>
                      <w:rFonts w:cs="Georgia"/>
                      <w:spacing w:val="-1"/>
                      <w:position w:val="-1"/>
                    </w:rPr>
                    <w:t xml:space="preserve"> </w:t>
                  </w:r>
                  <w:r>
                    <w:rPr>
                      <w:rFonts w:cs="Georgia"/>
                      <w:spacing w:val="-2"/>
                      <w:position w:val="-1"/>
                    </w:rPr>
                    <w:t>c</w:t>
                  </w:r>
                  <w:r>
                    <w:rPr>
                      <w:rFonts w:cs="Georgia"/>
                      <w:spacing w:val="1"/>
                      <w:position w:val="-1"/>
                    </w:rPr>
                    <w:t>o</w:t>
                  </w:r>
                  <w:r>
                    <w:rPr>
                      <w:rFonts w:cs="Georgia"/>
                      <w:spacing w:val="-3"/>
                      <w:position w:val="-1"/>
                    </w:rPr>
                    <w:t>n</w:t>
                  </w:r>
                  <w:r>
                    <w:rPr>
                      <w:rFonts w:cs="Georgia"/>
                      <w:spacing w:val="1"/>
                      <w:position w:val="-1"/>
                    </w:rPr>
                    <w:t>s</w:t>
                  </w:r>
                  <w:r>
                    <w:rPr>
                      <w:rFonts w:cs="Georgia"/>
                      <w:position w:val="-1"/>
                    </w:rPr>
                    <w:t>id</w:t>
                  </w:r>
                  <w:r>
                    <w:rPr>
                      <w:rFonts w:cs="Georgia"/>
                      <w:spacing w:val="-1"/>
                      <w:position w:val="-1"/>
                    </w:rPr>
                    <w:t>é</w:t>
                  </w:r>
                  <w:r>
                    <w:rPr>
                      <w:rFonts w:cs="Georgia"/>
                      <w:spacing w:val="1"/>
                      <w:position w:val="-1"/>
                    </w:rPr>
                    <w:t>r</w:t>
                  </w:r>
                  <w:r>
                    <w:rPr>
                      <w:rFonts w:cs="Georgia"/>
                      <w:spacing w:val="-1"/>
                      <w:position w:val="-1"/>
                    </w:rPr>
                    <w:t>a</w:t>
                  </w:r>
                  <w:r>
                    <w:rPr>
                      <w:rFonts w:cs="Georgia"/>
                      <w:spacing w:val="1"/>
                      <w:position w:val="-1"/>
                    </w:rPr>
                    <w:t>t</w:t>
                  </w:r>
                  <w:r>
                    <w:rPr>
                      <w:rFonts w:cs="Georgia"/>
                      <w:spacing w:val="-2"/>
                      <w:position w:val="-1"/>
                    </w:rPr>
                    <w:t>i</w:t>
                  </w:r>
                  <w:r>
                    <w:rPr>
                      <w:rFonts w:cs="Georgia"/>
                      <w:spacing w:val="1"/>
                      <w:position w:val="-1"/>
                    </w:rPr>
                    <w:t>o</w:t>
                  </w:r>
                  <w:r>
                    <w:rPr>
                      <w:rFonts w:cs="Georgia"/>
                      <w:position w:val="-1"/>
                    </w:rPr>
                    <w:t>n</w:t>
                  </w:r>
                  <w:r>
                    <w:rPr>
                      <w:rFonts w:cs="Georgia"/>
                      <w:spacing w:val="-1"/>
                      <w:position w:val="-1"/>
                    </w:rPr>
                    <w:t xml:space="preserve"> le</w:t>
                  </w:r>
                  <w:r>
                    <w:rPr>
                      <w:rFonts w:cs="Georgia"/>
                      <w:position w:val="-1"/>
                    </w:rPr>
                    <w:t xml:space="preserve">s </w:t>
                  </w:r>
                  <w:r>
                    <w:rPr>
                      <w:rFonts w:cs="Georgia"/>
                      <w:spacing w:val="-1"/>
                      <w:position w:val="-1"/>
                    </w:rPr>
                    <w:t>élè</w:t>
                  </w:r>
                  <w:r>
                    <w:rPr>
                      <w:rFonts w:cs="Georgia"/>
                      <w:spacing w:val="1"/>
                      <w:position w:val="-1"/>
                    </w:rPr>
                    <w:t>v</w:t>
                  </w:r>
                  <w:r>
                    <w:rPr>
                      <w:rFonts w:cs="Georgia"/>
                      <w:spacing w:val="-1"/>
                      <w:position w:val="-1"/>
                    </w:rPr>
                    <w:t>e</w:t>
                  </w:r>
                  <w:r>
                    <w:rPr>
                      <w:rFonts w:cs="Georgia"/>
                      <w:position w:val="-1"/>
                    </w:rPr>
                    <w:t xml:space="preserve">s </w:t>
                  </w:r>
                  <w:r>
                    <w:rPr>
                      <w:rFonts w:cs="Georgia"/>
                      <w:spacing w:val="1"/>
                      <w:position w:val="-1"/>
                    </w:rPr>
                    <w:t>v</w:t>
                  </w:r>
                  <w:r>
                    <w:rPr>
                      <w:rFonts w:cs="Georgia"/>
                      <w:position w:val="-1"/>
                    </w:rPr>
                    <w:t>i</w:t>
                  </w:r>
                  <w:r>
                    <w:rPr>
                      <w:rFonts w:cs="Georgia"/>
                      <w:spacing w:val="1"/>
                      <w:position w:val="-1"/>
                    </w:rPr>
                    <w:t>s</w:t>
                  </w:r>
                  <w:r>
                    <w:rPr>
                      <w:rFonts w:cs="Georgia"/>
                      <w:spacing w:val="-3"/>
                      <w:position w:val="-1"/>
                    </w:rPr>
                    <w:t>é</w:t>
                  </w:r>
                  <w:r>
                    <w:rPr>
                      <w:rFonts w:cs="Georgia"/>
                      <w:position w:val="-1"/>
                    </w:rPr>
                    <w:t xml:space="preserve">s </w:t>
                  </w:r>
                  <w:r>
                    <w:rPr>
                      <w:rFonts w:cs="Georgia"/>
                      <w:spacing w:val="-1"/>
                      <w:position w:val="-1"/>
                    </w:rPr>
                    <w:t>a</w:t>
                  </w:r>
                  <w:r>
                    <w:rPr>
                      <w:rFonts w:cs="Georgia"/>
                      <w:position w:val="-1"/>
                    </w:rPr>
                    <w:t xml:space="preserve">u </w:t>
                  </w:r>
                  <w:hyperlink w:anchor="_1.2._Éléments_servant" w:history="1">
                    <w:r>
                      <w:rPr>
                        <w:rStyle w:val="Lienhypertexte"/>
                        <w:rFonts w:cs="Georgia"/>
                        <w:spacing w:val="1"/>
                        <w:position w:val="-1"/>
                      </w:rPr>
                      <w:t>p</w:t>
                    </w:r>
                    <w:r>
                      <w:rPr>
                        <w:rStyle w:val="Lienhypertexte"/>
                        <w:rFonts w:cs="Georgia"/>
                        <w:spacing w:val="-1"/>
                        <w:position w:val="-1"/>
                      </w:rPr>
                      <w:t>o</w:t>
                    </w:r>
                    <w:r>
                      <w:rPr>
                        <w:rStyle w:val="Lienhypertexte"/>
                        <w:rFonts w:cs="Georgia"/>
                        <w:position w:val="-1"/>
                      </w:rPr>
                      <w:t>i</w:t>
                    </w:r>
                    <w:r>
                      <w:rPr>
                        <w:rStyle w:val="Lienhypertexte"/>
                        <w:rFonts w:cs="Georgia"/>
                        <w:spacing w:val="-1"/>
                        <w:position w:val="-1"/>
                      </w:rPr>
                      <w:t>n</w:t>
                    </w:r>
                    <w:r>
                      <w:rPr>
                        <w:rStyle w:val="Lienhypertexte"/>
                        <w:rFonts w:cs="Georgia"/>
                        <w:position w:val="-1"/>
                      </w:rPr>
                      <w:t xml:space="preserve">t </w:t>
                    </w:r>
                    <w:r>
                      <w:rPr>
                        <w:rStyle w:val="Lienhypertexte"/>
                        <w:rFonts w:cs="Georgia"/>
                        <w:spacing w:val="-1"/>
                        <w:position w:val="-1"/>
                      </w:rPr>
                      <w:t>1</w:t>
                    </w:r>
                    <w:r>
                      <w:rPr>
                        <w:rStyle w:val="Lienhypertexte"/>
                        <w:rFonts w:cs="Georgia"/>
                        <w:position w:val="-1"/>
                      </w:rPr>
                      <w:t>.</w:t>
                    </w:r>
                    <w:r>
                      <w:rPr>
                        <w:rStyle w:val="Lienhypertexte"/>
                        <w:rFonts w:cs="Georgia"/>
                        <w:spacing w:val="-1"/>
                        <w:position w:val="-1"/>
                      </w:rPr>
                      <w:t>2</w:t>
                    </w:r>
                  </w:hyperlink>
                  <w:r>
                    <w:rPr>
                      <w:rFonts w:cs="Georgia"/>
                      <w:color w:val="000000"/>
                      <w:position w:val="-1"/>
                    </w:rPr>
                    <w:t>.</w:t>
                  </w:r>
                </w:p>
                <w:p>
                  <w:pPr>
                    <w:jc w:val="both"/>
                    <w:rPr>
                      <w:rFonts w:cs="Georgia"/>
                      <w:color w:val="000000"/>
                    </w:rPr>
                  </w:pPr>
                </w:p>
                <w:p>
                  <w:pPr>
                    <w:jc w:val="both"/>
                    <w:rPr>
                      <w:rFonts w:cs="Georgia"/>
                      <w:color w:val="000000"/>
                      <w:spacing w:val="1"/>
                    </w:rPr>
                  </w:pPr>
                  <w:r>
                    <w:rPr>
                      <w:rFonts w:cs="Georgia"/>
                      <w:color w:val="000000"/>
                    </w:rPr>
                    <w:t>P</w:t>
                  </w:r>
                  <w:r>
                    <w:rPr>
                      <w:rFonts w:cs="Georgia"/>
                      <w:color w:val="000000"/>
                      <w:spacing w:val="1"/>
                    </w:rPr>
                    <w:t>o</w:t>
                  </w:r>
                  <w:r>
                    <w:rPr>
                      <w:rFonts w:cs="Georgia"/>
                      <w:color w:val="000000"/>
                    </w:rPr>
                    <w:t>ur</w:t>
                  </w:r>
                  <w:r>
                    <w:rPr>
                      <w:rFonts w:cs="Georgia"/>
                      <w:color w:val="000000"/>
                      <w:spacing w:val="2"/>
                    </w:rPr>
                    <w:t xml:space="preserve"> </w:t>
                  </w:r>
                  <w:r>
                    <w:rPr>
                      <w:rFonts w:cs="Georgia"/>
                      <w:color w:val="000000"/>
                      <w:spacing w:val="-1"/>
                    </w:rPr>
                    <w:t>le</w:t>
                  </w:r>
                  <w:r>
                    <w:rPr>
                      <w:rFonts w:cs="Georgia"/>
                      <w:color w:val="000000"/>
                    </w:rPr>
                    <w:t>s</w:t>
                  </w:r>
                  <w:r>
                    <w:rPr>
                      <w:rFonts w:cs="Georgia"/>
                      <w:color w:val="000000"/>
                      <w:spacing w:val="2"/>
                    </w:rPr>
                    <w:t xml:space="preserve"> </w:t>
                  </w:r>
                  <w:r>
                    <w:rPr>
                      <w:rFonts w:cs="Georgia"/>
                      <w:color w:val="000000"/>
                      <w:spacing w:val="1"/>
                    </w:rPr>
                    <w:t>t</w:t>
                  </w:r>
                  <w:r>
                    <w:rPr>
                      <w:rFonts w:cs="Georgia"/>
                      <w:color w:val="000000"/>
                      <w:spacing w:val="-3"/>
                    </w:rPr>
                    <w:t>y</w:t>
                  </w:r>
                  <w:r>
                    <w:rPr>
                      <w:rFonts w:cs="Georgia"/>
                      <w:color w:val="000000"/>
                      <w:spacing w:val="1"/>
                    </w:rPr>
                    <w:t>p</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3"/>
                    </w:rPr>
                    <w:t>n</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1</w:t>
                  </w:r>
                  <w:r>
                    <w:rPr>
                      <w:rFonts w:cs="Georgia"/>
                      <w:color w:val="000000"/>
                    </w:rPr>
                    <w:t>,</w:t>
                  </w:r>
                  <w:r>
                    <w:rPr>
                      <w:rFonts w:cs="Georgia"/>
                      <w:color w:val="000000"/>
                      <w:spacing w:val="2"/>
                    </w:rPr>
                    <w:t xml:space="preserve"> </w:t>
                  </w:r>
                  <w:r>
                    <w:rPr>
                      <w:rFonts w:cs="Georgia"/>
                      <w:color w:val="000000"/>
                      <w:spacing w:val="-1"/>
                    </w:rPr>
                    <w:t>2</w:t>
                  </w:r>
                  <w:r>
                    <w:rPr>
                      <w:rFonts w:cs="Georgia"/>
                      <w:color w:val="000000"/>
                    </w:rPr>
                    <w:t>,</w:t>
                  </w:r>
                  <w:r>
                    <w:rPr>
                      <w:rFonts w:cs="Georgia"/>
                      <w:color w:val="000000"/>
                      <w:spacing w:val="2"/>
                    </w:rPr>
                    <w:t xml:space="preserve"> </w:t>
                  </w:r>
                  <w:r>
                    <w:rPr>
                      <w:rFonts w:cs="Georgia"/>
                      <w:color w:val="000000"/>
                      <w:spacing w:val="1"/>
                    </w:rPr>
                    <w:t>3</w:t>
                  </w:r>
                  <w:r>
                    <w:rPr>
                      <w:rFonts w:cs="Georgia"/>
                      <w:color w:val="000000"/>
                    </w:rPr>
                    <w:t>,</w:t>
                  </w:r>
                  <w:r>
                    <w:rPr>
                      <w:rFonts w:cs="Georgia"/>
                      <w:color w:val="000000"/>
                      <w:spacing w:val="2"/>
                    </w:rPr>
                    <w:t xml:space="preserve"> </w:t>
                  </w:r>
                  <w:r>
                    <w:rPr>
                      <w:rFonts w:cs="Georgia"/>
                      <w:color w:val="000000"/>
                    </w:rPr>
                    <w:t>4,</w:t>
                  </w:r>
                  <w:r>
                    <w:rPr>
                      <w:rFonts w:cs="Georgia"/>
                      <w:color w:val="000000"/>
                      <w:spacing w:val="2"/>
                    </w:rPr>
                    <w:t xml:space="preserve"> </w:t>
                  </w:r>
                  <w:r>
                    <w:rPr>
                      <w:rFonts w:cs="Georgia"/>
                      <w:color w:val="000000"/>
                    </w:rPr>
                    <w:t>6,</w:t>
                  </w:r>
                  <w:r>
                    <w:rPr>
                      <w:rFonts w:cs="Georgia"/>
                      <w:color w:val="000000"/>
                      <w:spacing w:val="2"/>
                    </w:rPr>
                    <w:t xml:space="preserve"> </w:t>
                  </w:r>
                  <w:r>
                    <w:rPr>
                      <w:rFonts w:cs="Georgia"/>
                      <w:color w:val="000000"/>
                    </w:rPr>
                    <w:t>7</w:t>
                  </w:r>
                  <w:r>
                    <w:rPr>
                      <w:rFonts w:cs="Georgia"/>
                      <w:color w:val="000000"/>
                      <w:spacing w:val="1"/>
                    </w:rPr>
                    <w:t xml:space="preserve"> </w:t>
                  </w:r>
                  <w:r>
                    <w:rPr>
                      <w:rFonts w:cs="Georgia"/>
                      <w:color w:val="000000"/>
                      <w:spacing w:val="-1"/>
                    </w:rPr>
                    <w:t>e</w:t>
                  </w:r>
                  <w:r>
                    <w:rPr>
                      <w:rFonts w:cs="Georgia"/>
                      <w:color w:val="000000"/>
                    </w:rPr>
                    <w:t>t</w:t>
                  </w:r>
                  <w:r>
                    <w:rPr>
                      <w:rFonts w:cs="Georgia"/>
                      <w:color w:val="000000"/>
                      <w:spacing w:val="2"/>
                    </w:rPr>
                    <w:t xml:space="preserve"> </w:t>
                  </w:r>
                  <w:r>
                    <w:rPr>
                      <w:rFonts w:cs="Georgia"/>
                      <w:color w:val="000000"/>
                    </w:rPr>
                    <w:t>8</w:t>
                  </w:r>
                  <w:r>
                    <w:rPr>
                      <w:rFonts w:cs="Georgia"/>
                    </w:rPr>
                    <w:t>,</w:t>
                  </w:r>
                  <w:r>
                    <w:rPr>
                      <w:rFonts w:cs="Georgia"/>
                      <w:spacing w:val="2"/>
                    </w:rPr>
                    <w:t xml:space="preserve"> pris globalement </w:t>
                  </w:r>
                  <w:r>
                    <w:rPr>
                      <w:rFonts w:cs="Georgia"/>
                      <w:color w:val="000000"/>
                      <w:spacing w:val="1"/>
                    </w:rPr>
                    <w:t>c</w:t>
                  </w:r>
                  <w:r>
                    <w:rPr>
                      <w:rFonts w:cs="Georgia"/>
                      <w:color w:val="000000"/>
                      <w:spacing w:val="-1"/>
                    </w:rPr>
                    <w:t>e</w:t>
                  </w:r>
                  <w:r>
                    <w:rPr>
                      <w:rFonts w:cs="Georgia"/>
                      <w:color w:val="000000"/>
                    </w:rPr>
                    <w:t>t</w:t>
                  </w:r>
                  <w:r>
                    <w:rPr>
                      <w:rFonts w:cs="Georgia"/>
                      <w:color w:val="000000"/>
                      <w:spacing w:val="2"/>
                    </w:rPr>
                    <w:t xml:space="preserve"> </w:t>
                  </w:r>
                  <w:r>
                    <w:rPr>
                      <w:rFonts w:cs="Georgia"/>
                      <w:color w:val="000000"/>
                      <w:spacing w:val="-1"/>
                    </w:rPr>
                    <w:t>a</w:t>
                  </w:r>
                  <w:r>
                    <w:rPr>
                      <w:rFonts w:cs="Georgia"/>
                      <w:color w:val="000000"/>
                      <w:spacing w:val="1"/>
                    </w:rPr>
                    <w:t>cc</w:t>
                  </w:r>
                  <w:r>
                    <w:rPr>
                      <w:rFonts w:cs="Georgia"/>
                      <w:color w:val="000000"/>
                      <w:spacing w:val="-2"/>
                    </w:rPr>
                    <w:t>r</w:t>
                  </w:r>
                  <w:r>
                    <w:rPr>
                      <w:rFonts w:cs="Georgia"/>
                      <w:color w:val="000000"/>
                      <w:spacing w:val="1"/>
                    </w:rPr>
                    <w:t>o</w:t>
                  </w:r>
                  <w:r>
                    <w:rPr>
                      <w:rFonts w:cs="Georgia"/>
                      <w:color w:val="000000"/>
                      <w:spacing w:val="-2"/>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n</w:t>
                  </w:r>
                  <w:r>
                    <w:rPr>
                      <w:rFonts w:cs="Georgia"/>
                      <w:color w:val="000000"/>
                      <w:spacing w:val="1"/>
                    </w:rPr>
                    <w:t>'</w:t>
                  </w:r>
                  <w:r>
                    <w:rPr>
                      <w:rFonts w:cs="Georgia"/>
                      <w:color w:val="000000"/>
                      <w:spacing w:val="-1"/>
                    </w:rPr>
                    <w:t>e</w:t>
                  </w:r>
                  <w:r>
                    <w:rPr>
                      <w:rFonts w:cs="Georgia"/>
                      <w:color w:val="000000"/>
                      <w:spacing w:val="1"/>
                    </w:rPr>
                    <w:t>s</w:t>
                  </w:r>
                  <w:r>
                    <w:rPr>
                      <w:rFonts w:cs="Georgia"/>
                      <w:color w:val="000000"/>
                    </w:rPr>
                    <w:t>t</w:t>
                  </w:r>
                  <w:r>
                    <w:rPr>
                      <w:rFonts w:cs="Georgia"/>
                      <w:color w:val="000000"/>
                      <w:spacing w:val="2"/>
                    </w:rPr>
                    <w:t xml:space="preserve"> </w:t>
                  </w:r>
                  <w:r>
                    <w:rPr>
                      <w:rFonts w:cs="Georgia"/>
                      <w:color w:val="000000"/>
                      <w:spacing w:val="-1"/>
                    </w:rPr>
                    <w:t>p</w:t>
                  </w:r>
                  <w:r>
                    <w:rPr>
                      <w:rFonts w:cs="Georgia"/>
                      <w:color w:val="000000"/>
                      <w:spacing w:val="1"/>
                    </w:rPr>
                    <w:t>r</w:t>
                  </w:r>
                  <w:r>
                    <w:rPr>
                      <w:rFonts w:cs="Georgia"/>
                      <w:color w:val="000000"/>
                    </w:rPr>
                    <w:t>is</w:t>
                  </w:r>
                  <w:r>
                    <w:rPr>
                      <w:rFonts w:cs="Georgia"/>
                      <w:color w:val="000000"/>
                      <w:spacing w:val="2"/>
                    </w:rPr>
                    <w:t xml:space="preserve"> </w:t>
                  </w:r>
                  <w:r>
                    <w:rPr>
                      <w:rFonts w:cs="Georgia"/>
                      <w:color w:val="000000"/>
                      <w:spacing w:val="-1"/>
                    </w:rPr>
                    <w:t>e</w:t>
                  </w:r>
                  <w:r>
                    <w:rPr>
                      <w:rFonts w:cs="Georgia"/>
                      <w:color w:val="000000"/>
                    </w:rPr>
                    <w:t>n</w:t>
                  </w:r>
                  <w:r>
                    <w:rPr>
                      <w:rFonts w:cs="Georgia"/>
                      <w:color w:val="000000"/>
                      <w:spacing w:val="1"/>
                    </w:rPr>
                    <w:t xml:space="preserve"> co</w:t>
                  </w:r>
                  <w:r>
                    <w:rPr>
                      <w:rFonts w:cs="Georgia"/>
                      <w:color w:val="000000"/>
                      <w:spacing w:val="-3"/>
                    </w:rPr>
                    <w:t>m</w:t>
                  </w:r>
                  <w:r>
                    <w:rPr>
                      <w:rFonts w:cs="Georgia"/>
                      <w:color w:val="000000"/>
                      <w:spacing w:val="1"/>
                    </w:rPr>
                    <w:t>pt</w:t>
                  </w:r>
                  <w:r>
                    <w:rPr>
                      <w:rFonts w:cs="Georgia"/>
                      <w:color w:val="000000"/>
                    </w:rPr>
                    <w:t xml:space="preserve">e </w:t>
                  </w:r>
                  <w:r>
                    <w:rPr>
                      <w:rFonts w:cs="Georgia"/>
                      <w:color w:val="000000"/>
                      <w:spacing w:val="-1"/>
                    </w:rPr>
                    <w:t>q</w:t>
                  </w:r>
                  <w:r>
                    <w:rPr>
                      <w:rFonts w:cs="Georgia"/>
                      <w:color w:val="000000"/>
                    </w:rPr>
                    <w:t xml:space="preserve">ue </w:t>
                  </w:r>
                  <w:r>
                    <w:rPr>
                      <w:rFonts w:cs="Georgia"/>
                      <w:color w:val="000000"/>
                      <w:spacing w:val="1"/>
                    </w:rPr>
                    <w:t>s</w:t>
                  </w:r>
                  <w:r>
                    <w:rPr>
                      <w:rFonts w:cs="Georgia"/>
                      <w:color w:val="000000"/>
                    </w:rPr>
                    <w:t xml:space="preserve">i </w:t>
                  </w:r>
                  <w:r>
                    <w:rPr>
                      <w:rFonts w:cs="Georgia"/>
                      <w:color w:val="000000"/>
                      <w:spacing w:val="-1"/>
                    </w:rPr>
                    <w:t>l</w:t>
                  </w:r>
                  <w:r>
                    <w:rPr>
                      <w:rFonts w:cs="Georgia"/>
                      <w:color w:val="000000"/>
                      <w:spacing w:val="1"/>
                    </w:rPr>
                    <w:t>'</w:t>
                  </w:r>
                  <w:r>
                    <w:rPr>
                      <w:rFonts w:cs="Georgia"/>
                      <w:color w:val="000000"/>
                      <w:spacing w:val="-1"/>
                    </w:rPr>
                    <w:t>a</w:t>
                  </w:r>
                  <w:r>
                    <w:rPr>
                      <w:rFonts w:cs="Georgia"/>
                      <w:color w:val="000000"/>
                    </w:rPr>
                    <w:t>ugm</w:t>
                  </w:r>
                  <w:r>
                    <w:rPr>
                      <w:rFonts w:cs="Georgia"/>
                      <w:color w:val="000000"/>
                      <w:spacing w:val="-1"/>
                    </w:rPr>
                    <w:t>en</w:t>
                  </w:r>
                  <w:r>
                    <w:rPr>
                      <w:rFonts w:cs="Georgia"/>
                      <w:color w:val="000000"/>
                      <w:spacing w:val="1"/>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n du</w:t>
                  </w:r>
                  <w:r>
                    <w:rPr>
                      <w:rFonts w:cs="Georgia"/>
                      <w:color w:val="000000"/>
                      <w:spacing w:val="3"/>
                    </w:rPr>
                    <w:t xml:space="preserve"> </w:t>
                  </w:r>
                  <w:r>
                    <w:rPr>
                      <w:rFonts w:cs="Georgia"/>
                      <w:color w:val="000000"/>
                      <w:spacing w:val="-3"/>
                    </w:rPr>
                    <w:t>n</w:t>
                  </w:r>
                  <w:r>
                    <w:rPr>
                      <w:rFonts w:cs="Georgia"/>
                      <w:color w:val="000000"/>
                      <w:spacing w:val="1"/>
                    </w:rPr>
                    <w:t>o</w:t>
                  </w:r>
                  <w:r>
                    <w:rPr>
                      <w:rFonts w:cs="Georgia"/>
                      <w:color w:val="000000"/>
                      <w:spacing w:val="-3"/>
                    </w:rPr>
                    <w:t>m</w:t>
                  </w:r>
                  <w:r>
                    <w:rPr>
                      <w:rFonts w:cs="Georgia"/>
                      <w:color w:val="000000"/>
                      <w:spacing w:val="1"/>
                    </w:rPr>
                    <w:t>br</w:t>
                  </w:r>
                  <w:r>
                    <w:rPr>
                      <w:rFonts w:cs="Georgia"/>
                      <w:color w:val="000000"/>
                    </w:rPr>
                    <w:t>e</w:t>
                  </w:r>
                  <w:r>
                    <w:rPr>
                      <w:rFonts w:cs="Georgia"/>
                      <w:color w:val="000000"/>
                      <w:spacing w:val="2"/>
                    </w:rPr>
                    <w:t xml:space="preserve"> </w:t>
                  </w:r>
                  <w:r>
                    <w:rPr>
                      <w:rFonts w:cs="Georgia"/>
                      <w:color w:val="000000"/>
                      <w:spacing w:val="-2"/>
                    </w:rPr>
                    <w:t>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4"/>
                    </w:rPr>
                    <w:t xml:space="preserve"> </w:t>
                  </w:r>
                  <w:r>
                    <w:rPr>
                      <w:rFonts w:cs="Georgia"/>
                      <w:color w:val="000000"/>
                      <w:spacing w:val="1"/>
                    </w:rPr>
                    <w:t>c</w:t>
                  </w:r>
                  <w:r>
                    <w:rPr>
                      <w:rFonts w:cs="Georgia"/>
                      <w:color w:val="000000"/>
                      <w:spacing w:val="-1"/>
                    </w:rPr>
                    <w:t>o</w:t>
                  </w:r>
                  <w:r>
                    <w:rPr>
                      <w:rFonts w:cs="Georgia"/>
                      <w:color w:val="000000"/>
                      <w:spacing w:val="1"/>
                    </w:rPr>
                    <w:t>rr</w:t>
                  </w:r>
                  <w:r>
                    <w:rPr>
                      <w:rFonts w:cs="Georgia"/>
                      <w:color w:val="000000"/>
                      <w:spacing w:val="-1"/>
                    </w:rPr>
                    <w:t>e</w:t>
                  </w:r>
                  <w:r>
                    <w:rPr>
                      <w:rFonts w:cs="Georgia"/>
                      <w:color w:val="000000"/>
                      <w:spacing w:val="-2"/>
                    </w:rPr>
                    <w:t>s</w:t>
                  </w:r>
                  <w:r>
                    <w:rPr>
                      <w:rFonts w:cs="Georgia"/>
                      <w:color w:val="000000"/>
                      <w:spacing w:val="-1"/>
                    </w:rPr>
                    <w:t>p</w:t>
                  </w:r>
                  <w:r>
                    <w:rPr>
                      <w:rFonts w:cs="Georgia"/>
                      <w:color w:val="000000"/>
                      <w:spacing w:val="1"/>
                    </w:rPr>
                    <w:t>o</w:t>
                  </w:r>
                  <w:r>
                    <w:rPr>
                      <w:rFonts w:cs="Georgia"/>
                      <w:color w:val="000000"/>
                      <w:spacing w:val="-1"/>
                    </w:rPr>
                    <w:t>n</w:t>
                  </w:r>
                  <w:r>
                    <w:rPr>
                      <w:rFonts w:cs="Georgia"/>
                      <w:color w:val="000000"/>
                    </w:rPr>
                    <w:t>d</w:t>
                  </w:r>
                  <w:r>
                    <w:rPr>
                      <w:rFonts w:cs="Georgia"/>
                      <w:color w:val="000000"/>
                      <w:spacing w:val="1"/>
                    </w:rPr>
                    <w:t xml:space="preserve"> </w:t>
                  </w:r>
                  <w:r>
                    <w:rPr>
                      <w:rFonts w:cs="Georgia"/>
                      <w:b/>
                      <w:color w:val="000000"/>
                      <w:spacing w:val="-1"/>
                      <w:u w:val="single"/>
                    </w:rPr>
                    <w:t>a</w:t>
                  </w:r>
                  <w:r>
                    <w:rPr>
                      <w:rFonts w:cs="Georgia"/>
                      <w:b/>
                      <w:color w:val="000000"/>
                      <w:u w:val="single"/>
                    </w:rPr>
                    <w:t>u</w:t>
                  </w:r>
                  <w:r>
                    <w:rPr>
                      <w:rFonts w:cs="Georgia"/>
                      <w:b/>
                      <w:color w:val="000000"/>
                      <w:spacing w:val="3"/>
                      <w:u w:val="single"/>
                    </w:rPr>
                    <w:t xml:space="preserve"> </w:t>
                  </w:r>
                  <w:r>
                    <w:rPr>
                      <w:rFonts w:cs="Georgia"/>
                      <w:b/>
                      <w:color w:val="000000"/>
                      <w:u w:val="single"/>
                    </w:rPr>
                    <w:t>m</w:t>
                  </w:r>
                  <w:r>
                    <w:rPr>
                      <w:rFonts w:cs="Georgia"/>
                      <w:b/>
                      <w:color w:val="000000"/>
                      <w:spacing w:val="1"/>
                      <w:u w:val="single"/>
                    </w:rPr>
                    <w:t>o</w:t>
                  </w:r>
                  <w:r>
                    <w:rPr>
                      <w:rFonts w:cs="Georgia"/>
                      <w:b/>
                      <w:color w:val="000000"/>
                      <w:u w:val="single"/>
                    </w:rPr>
                    <w:t>i</w:t>
                  </w:r>
                  <w:r>
                    <w:rPr>
                      <w:rFonts w:cs="Georgia"/>
                      <w:b/>
                      <w:color w:val="000000"/>
                      <w:spacing w:val="-3"/>
                      <w:u w:val="single"/>
                    </w:rPr>
                    <w:t>n</w:t>
                  </w:r>
                  <w:r>
                    <w:rPr>
                      <w:rFonts w:cs="Georgia"/>
                      <w:b/>
                      <w:color w:val="000000"/>
                      <w:u w:val="single"/>
                    </w:rPr>
                    <w:t>s</w:t>
                  </w:r>
                  <w:r>
                    <w:rPr>
                      <w:rFonts w:cs="Georgia"/>
                      <w:b/>
                      <w:color w:val="000000"/>
                      <w:spacing w:val="4"/>
                      <w:u w:val="single"/>
                    </w:rPr>
                    <w:t xml:space="preserve"> </w:t>
                  </w:r>
                  <w:r>
                    <w:rPr>
                      <w:rFonts w:cs="Georgia"/>
                      <w:b/>
                      <w:color w:val="000000"/>
                      <w:u w:val="single"/>
                    </w:rPr>
                    <w:t>à</w:t>
                  </w:r>
                  <w:r>
                    <w:rPr>
                      <w:rFonts w:cs="Georgia"/>
                      <w:b/>
                      <w:color w:val="000000"/>
                      <w:spacing w:val="2"/>
                      <w:u w:val="single"/>
                    </w:rPr>
                    <w:t xml:space="preserve"> </w:t>
                  </w:r>
                  <w:r>
                    <w:rPr>
                      <w:rFonts w:cs="Georgia"/>
                      <w:b/>
                      <w:color w:val="000000"/>
                      <w:spacing w:val="1"/>
                      <w:u w:val="single"/>
                    </w:rPr>
                    <w:t>1</w:t>
                  </w:r>
                  <w:r>
                    <w:rPr>
                      <w:rFonts w:cs="Georgia"/>
                      <w:b/>
                      <w:color w:val="000000"/>
                      <w:u w:val="single"/>
                    </w:rPr>
                    <w:t>0</w:t>
                  </w:r>
                  <w:r>
                    <w:rPr>
                      <w:rFonts w:cs="Georgia"/>
                      <w:b/>
                      <w:color w:val="000000"/>
                      <w:spacing w:val="2"/>
                      <w:u w:val="single"/>
                    </w:rPr>
                    <w:t xml:space="preserve"> </w:t>
                  </w:r>
                  <w:r>
                    <w:rPr>
                      <w:rFonts w:cs="Georgia"/>
                      <w:b/>
                      <w:color w:val="000000"/>
                      <w:u w:val="single"/>
                    </w:rPr>
                    <w:t xml:space="preserve">% </w:t>
                  </w:r>
                  <w:r>
                    <w:rPr>
                      <w:rFonts w:cs="Georgia"/>
                      <w:b/>
                      <w:color w:val="000000"/>
                      <w:spacing w:val="1"/>
                      <w:u w:val="single"/>
                    </w:rPr>
                    <w:t>p</w:t>
                  </w:r>
                  <w:r>
                    <w:rPr>
                      <w:rFonts w:cs="Georgia"/>
                      <w:b/>
                      <w:color w:val="000000"/>
                      <w:spacing w:val="-1"/>
                      <w:u w:val="single"/>
                    </w:rPr>
                    <w:t>e</w:t>
                  </w:r>
                  <w:r>
                    <w:rPr>
                      <w:rFonts w:cs="Georgia"/>
                      <w:b/>
                      <w:color w:val="000000"/>
                      <w:spacing w:val="-3"/>
                      <w:u w:val="single"/>
                    </w:rPr>
                    <w:t>n</w:t>
                  </w:r>
                  <w:r>
                    <w:rPr>
                      <w:rFonts w:cs="Georgia"/>
                      <w:b/>
                      <w:color w:val="000000"/>
                      <w:u w:val="single"/>
                    </w:rPr>
                    <w:t>d</w:t>
                  </w:r>
                  <w:r>
                    <w:rPr>
                      <w:rFonts w:cs="Georgia"/>
                      <w:b/>
                      <w:color w:val="000000"/>
                      <w:spacing w:val="-1"/>
                      <w:u w:val="single"/>
                    </w:rPr>
                    <w:t>an</w:t>
                  </w:r>
                  <w:r>
                    <w:rPr>
                      <w:rFonts w:cs="Georgia"/>
                      <w:b/>
                      <w:color w:val="000000"/>
                      <w:u w:val="single"/>
                    </w:rPr>
                    <w:t>t</w:t>
                  </w:r>
                  <w:r>
                    <w:rPr>
                      <w:rFonts w:cs="Georgia"/>
                      <w:b/>
                      <w:color w:val="000000"/>
                      <w:spacing w:val="4"/>
                      <w:u w:val="single"/>
                    </w:rPr>
                    <w:t xml:space="preserve"> </w:t>
                  </w:r>
                  <w:r>
                    <w:rPr>
                      <w:rFonts w:cs="Georgia"/>
                      <w:b/>
                      <w:color w:val="000000"/>
                      <w:spacing w:val="1"/>
                      <w:u w:val="single"/>
                    </w:rPr>
                    <w:t>1</w:t>
                  </w:r>
                  <w:r>
                    <w:rPr>
                      <w:rFonts w:cs="Georgia"/>
                      <w:b/>
                      <w:color w:val="000000"/>
                      <w:u w:val="single"/>
                    </w:rPr>
                    <w:t>0</w:t>
                  </w:r>
                  <w:r>
                    <w:rPr>
                      <w:rFonts w:cs="Georgia"/>
                      <w:b/>
                      <w:color w:val="000000"/>
                      <w:spacing w:val="2"/>
                      <w:u w:val="single"/>
                    </w:rPr>
                    <w:t xml:space="preserve"> </w:t>
                  </w:r>
                  <w:r>
                    <w:rPr>
                      <w:rFonts w:cs="Georgia"/>
                      <w:b/>
                      <w:color w:val="000000"/>
                      <w:spacing w:val="-2"/>
                      <w:u w:val="single"/>
                    </w:rPr>
                    <w:t>j</w:t>
                  </w:r>
                  <w:r>
                    <w:rPr>
                      <w:rFonts w:cs="Georgia"/>
                      <w:b/>
                      <w:color w:val="000000"/>
                      <w:spacing w:val="1"/>
                      <w:u w:val="single"/>
                    </w:rPr>
                    <w:t>o</w:t>
                  </w:r>
                  <w:r>
                    <w:rPr>
                      <w:rFonts w:cs="Georgia"/>
                      <w:b/>
                      <w:color w:val="000000"/>
                      <w:spacing w:val="-2"/>
                      <w:u w:val="single"/>
                    </w:rPr>
                    <w:t>u</w:t>
                  </w:r>
                  <w:r>
                    <w:rPr>
                      <w:rFonts w:cs="Georgia"/>
                      <w:b/>
                      <w:color w:val="000000"/>
                      <w:spacing w:val="1"/>
                      <w:u w:val="single"/>
                    </w:rPr>
                    <w:t>r</w:t>
                  </w:r>
                  <w:r>
                    <w:rPr>
                      <w:rFonts w:cs="Georgia"/>
                      <w:b/>
                      <w:color w:val="000000"/>
                      <w:u w:val="single"/>
                    </w:rPr>
                    <w:t>s</w:t>
                  </w:r>
                  <w:r>
                    <w:rPr>
                      <w:rFonts w:cs="Georgia"/>
                      <w:b/>
                      <w:color w:val="000000"/>
                      <w:spacing w:val="4"/>
                      <w:u w:val="single"/>
                    </w:rPr>
                    <w:t xml:space="preserve"> </w:t>
                  </w:r>
                  <w:r>
                    <w:rPr>
                      <w:rFonts w:cs="Georgia"/>
                      <w:b/>
                      <w:color w:val="000000"/>
                      <w:u w:val="single"/>
                    </w:rPr>
                    <w:t xml:space="preserve">de </w:t>
                  </w:r>
                  <w:r>
                    <w:rPr>
                      <w:rFonts w:cs="Georgia"/>
                      <w:b/>
                      <w:color w:val="000000"/>
                      <w:spacing w:val="1"/>
                      <w:u w:val="single"/>
                    </w:rPr>
                    <w:t>c</w:t>
                  </w:r>
                  <w:r>
                    <w:rPr>
                      <w:rFonts w:cs="Georgia"/>
                      <w:b/>
                      <w:color w:val="000000"/>
                      <w:spacing w:val="-1"/>
                      <w:u w:val="single"/>
                    </w:rPr>
                    <w:t>la</w:t>
                  </w:r>
                  <w:r>
                    <w:rPr>
                      <w:rFonts w:cs="Georgia"/>
                      <w:b/>
                      <w:color w:val="000000"/>
                      <w:spacing w:val="1"/>
                      <w:u w:val="single"/>
                    </w:rPr>
                    <w:t>sse co</w:t>
                  </w:r>
                  <w:r>
                    <w:rPr>
                      <w:rFonts w:cs="Georgia"/>
                      <w:b/>
                      <w:color w:val="000000"/>
                      <w:spacing w:val="-1"/>
                      <w:u w:val="single"/>
                    </w:rPr>
                    <w:t>n</w:t>
                  </w:r>
                  <w:r>
                    <w:rPr>
                      <w:rFonts w:cs="Georgia"/>
                      <w:b/>
                      <w:color w:val="000000"/>
                      <w:spacing w:val="1"/>
                      <w:u w:val="single"/>
                    </w:rPr>
                    <w:t>s</w:t>
                  </w:r>
                  <w:r>
                    <w:rPr>
                      <w:rFonts w:cs="Georgia"/>
                      <w:b/>
                      <w:color w:val="000000"/>
                      <w:spacing w:val="-1"/>
                      <w:u w:val="single"/>
                    </w:rPr>
                    <w:t>é</w:t>
                  </w:r>
                  <w:r>
                    <w:rPr>
                      <w:rFonts w:cs="Georgia"/>
                      <w:b/>
                      <w:color w:val="000000"/>
                      <w:spacing w:val="-2"/>
                      <w:u w:val="single"/>
                    </w:rPr>
                    <w:t>c</w:t>
                  </w:r>
                  <w:r>
                    <w:rPr>
                      <w:rFonts w:cs="Georgia"/>
                      <w:b/>
                      <w:color w:val="000000"/>
                      <w:u w:val="single"/>
                    </w:rPr>
                    <w:t>u</w:t>
                  </w:r>
                  <w:r>
                    <w:rPr>
                      <w:rFonts w:cs="Georgia"/>
                      <w:b/>
                      <w:color w:val="000000"/>
                      <w:spacing w:val="1"/>
                      <w:u w:val="single"/>
                    </w:rPr>
                    <w:t>t</w:t>
                  </w:r>
                  <w:r>
                    <w:rPr>
                      <w:rFonts w:cs="Georgia"/>
                      <w:b/>
                      <w:color w:val="000000"/>
                      <w:u w:val="single"/>
                    </w:rPr>
                    <w:t>i</w:t>
                  </w:r>
                  <w:r>
                    <w:rPr>
                      <w:rFonts w:cs="Georgia"/>
                      <w:b/>
                      <w:color w:val="000000"/>
                      <w:spacing w:val="-2"/>
                      <w:u w:val="single"/>
                    </w:rPr>
                    <w:t>f</w:t>
                  </w:r>
                  <w:r>
                    <w:rPr>
                      <w:rFonts w:cs="Georgia"/>
                      <w:b/>
                      <w:color w:val="000000"/>
                      <w:spacing w:val="1"/>
                      <w:u w:val="single"/>
                    </w:rPr>
                    <w:t>s</w:t>
                  </w:r>
                  <w:r>
                    <w:rPr>
                      <w:rFonts w:cs="Georgia"/>
                      <w:color w:val="000000"/>
                      <w:spacing w:val="1"/>
                    </w:rPr>
                    <w:t>.</w:t>
                  </w:r>
                </w:p>
                <w:p>
                  <w:pPr>
                    <w:widowControl w:val="0"/>
                    <w:autoSpaceDE w:val="0"/>
                    <w:autoSpaceDN w:val="0"/>
                    <w:adjustRightInd w:val="0"/>
                    <w:spacing w:before="11" w:line="240" w:lineRule="exact"/>
                    <w:jc w:val="both"/>
                    <w:rPr>
                      <w:rFonts w:cs="Georgia"/>
                      <w:color w:val="000000"/>
                    </w:rPr>
                  </w:pPr>
                </w:p>
                <w:p>
                  <w:pPr>
                    <w:widowControl w:val="0"/>
                    <w:autoSpaceDE w:val="0"/>
                    <w:autoSpaceDN w:val="0"/>
                    <w:adjustRightInd w:val="0"/>
                    <w:spacing w:line="250" w:lineRule="exact"/>
                    <w:ind w:right="51"/>
                    <w:jc w:val="both"/>
                    <w:rPr>
                      <w:rFonts w:cs="Georgia"/>
                      <w:color w:val="000000"/>
                    </w:rPr>
                  </w:pPr>
                  <w:r>
                    <w:rPr>
                      <w:rFonts w:cs="Georgia"/>
                      <w:color w:val="000000"/>
                    </w:rPr>
                    <w:t>P</w:t>
                  </w:r>
                  <w:r>
                    <w:rPr>
                      <w:rFonts w:cs="Georgia"/>
                      <w:color w:val="000000"/>
                      <w:spacing w:val="1"/>
                    </w:rPr>
                    <w:t>o</w:t>
                  </w:r>
                  <w:r>
                    <w:rPr>
                      <w:rFonts w:cs="Georgia"/>
                      <w:color w:val="000000"/>
                    </w:rPr>
                    <w:t>ur</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2"/>
                    </w:rPr>
                    <w:t xml:space="preserve"> </w:t>
                  </w:r>
                  <w:r>
                    <w:rPr>
                      <w:rFonts w:cs="Georgia"/>
                      <w:color w:val="000000"/>
                      <w:spacing w:val="1"/>
                    </w:rPr>
                    <w:t>t</w:t>
                  </w:r>
                  <w:r>
                    <w:rPr>
                      <w:rFonts w:cs="Georgia"/>
                      <w:color w:val="000000"/>
                      <w:spacing w:val="-1"/>
                    </w:rPr>
                    <w:t>y</w:t>
                  </w:r>
                  <w:r>
                    <w:rPr>
                      <w:rFonts w:cs="Georgia"/>
                      <w:color w:val="000000"/>
                      <w:spacing w:val="1"/>
                    </w:rPr>
                    <w:t>p</w:t>
                  </w:r>
                  <w:r>
                    <w:rPr>
                      <w:rFonts w:cs="Georgia"/>
                      <w:color w:val="000000"/>
                    </w:rPr>
                    <w:t>e 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w:t>
                  </w:r>
                  <w:r>
                    <w:rPr>
                      <w:rFonts w:cs="Georgia"/>
                      <w:color w:val="000000"/>
                      <w:spacing w:val="-3"/>
                    </w:rPr>
                    <w:t>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1"/>
                    </w:rPr>
                    <w:t>5</w:t>
                  </w:r>
                  <w:r>
                    <w:rPr>
                      <w:rFonts w:cs="Georgia"/>
                      <w:color w:val="000000"/>
                    </w:rPr>
                    <w:t>,</w:t>
                  </w:r>
                  <w:r>
                    <w:rPr>
                      <w:rFonts w:cs="Georgia"/>
                      <w:color w:val="000000"/>
                      <w:spacing w:val="1"/>
                    </w:rPr>
                    <w:t xml:space="preserve"> c</w:t>
                  </w:r>
                  <w:r>
                    <w:rPr>
                      <w:rFonts w:cs="Georgia"/>
                      <w:color w:val="000000"/>
                      <w:spacing w:val="-1"/>
                    </w:rPr>
                    <w:t>e</w:t>
                  </w:r>
                  <w:r>
                    <w:rPr>
                      <w:rFonts w:cs="Georgia"/>
                      <w:color w:val="000000"/>
                    </w:rPr>
                    <w:t>t</w:t>
                  </w:r>
                  <w:r>
                    <w:rPr>
                      <w:rFonts w:cs="Georgia"/>
                      <w:color w:val="000000"/>
                      <w:spacing w:val="2"/>
                    </w:rPr>
                    <w:t xml:space="preserve"> </w:t>
                  </w:r>
                  <w:r>
                    <w:rPr>
                      <w:rFonts w:cs="Georgia"/>
                      <w:color w:val="000000"/>
                      <w:spacing w:val="-1"/>
                    </w:rPr>
                    <w:t>a</w:t>
                  </w:r>
                  <w:r>
                    <w:rPr>
                      <w:rFonts w:cs="Georgia"/>
                      <w:color w:val="000000"/>
                      <w:spacing w:val="1"/>
                    </w:rPr>
                    <w:t>c</w:t>
                  </w:r>
                  <w:r>
                    <w:rPr>
                      <w:rFonts w:cs="Georgia"/>
                      <w:color w:val="000000"/>
                      <w:spacing w:val="-2"/>
                    </w:rPr>
                    <w:t>c</w:t>
                  </w:r>
                  <w:r>
                    <w:rPr>
                      <w:rFonts w:cs="Georgia"/>
                      <w:color w:val="000000"/>
                      <w:spacing w:val="1"/>
                    </w:rPr>
                    <w:t>ro</w:t>
                  </w:r>
                  <w:r>
                    <w:rPr>
                      <w:rFonts w:cs="Georgia"/>
                      <w:color w:val="000000"/>
                      <w:spacing w:val="-2"/>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3"/>
                    </w:rPr>
                    <w:t>e</w:t>
                  </w:r>
                  <w:r>
                    <w:rPr>
                      <w:rFonts w:cs="Georgia"/>
                      <w:color w:val="000000"/>
                      <w:spacing w:val="-1"/>
                    </w:rPr>
                    <w:t>n</w:t>
                  </w:r>
                  <w:r>
                    <w:rPr>
                      <w:rFonts w:cs="Georgia"/>
                      <w:color w:val="000000"/>
                    </w:rPr>
                    <w:t>t</w:t>
                  </w:r>
                  <w:r>
                    <w:rPr>
                      <w:rFonts w:cs="Georgia"/>
                      <w:color w:val="000000"/>
                      <w:spacing w:val="4"/>
                    </w:rPr>
                    <w:t xml:space="preserve"> </w:t>
                  </w:r>
                  <w:r>
                    <w:rPr>
                      <w:rFonts w:cs="Georgia"/>
                      <w:color w:val="000000"/>
                    </w:rPr>
                    <w:t xml:space="preserve">de </w:t>
                  </w:r>
                  <w:r>
                    <w:rPr>
                      <w:rFonts w:cs="Georgia"/>
                      <w:color w:val="000000"/>
                      <w:spacing w:val="1"/>
                    </w:rPr>
                    <w:t>1</w:t>
                  </w:r>
                  <w:r>
                    <w:rPr>
                      <w:rFonts w:cs="Georgia"/>
                      <w:color w:val="000000"/>
                    </w:rPr>
                    <w:t>0</w:t>
                  </w:r>
                  <w:r>
                    <w:rPr>
                      <w:rFonts w:cs="Georgia"/>
                      <w:color w:val="000000"/>
                      <w:spacing w:val="2"/>
                    </w:rPr>
                    <w:t xml:space="preserve"> </w:t>
                  </w:r>
                  <w:r>
                    <w:rPr>
                      <w:rFonts w:cs="Georgia"/>
                      <w:color w:val="000000"/>
                    </w:rPr>
                    <w:t>%</w:t>
                  </w:r>
                  <w:r>
                    <w:rPr>
                      <w:rFonts w:cs="Georgia"/>
                      <w:color w:val="000000"/>
                      <w:spacing w:val="1"/>
                    </w:rPr>
                    <w:t xml:space="preserve"> </w:t>
                  </w:r>
                  <w:r>
                    <w:rPr>
                      <w:rFonts w:cs="Georgia"/>
                      <w:color w:val="000000"/>
                    </w:rPr>
                    <w:t>d</w:t>
                  </w:r>
                  <w:r>
                    <w:rPr>
                      <w:rFonts w:cs="Georgia"/>
                      <w:color w:val="000000"/>
                      <w:spacing w:val="1"/>
                    </w:rPr>
                    <w:t>o</w:t>
                  </w:r>
                  <w:r>
                    <w:rPr>
                      <w:rFonts w:cs="Georgia"/>
                      <w:color w:val="000000"/>
                      <w:spacing w:val="-2"/>
                    </w:rPr>
                    <w:t>i</w:t>
                  </w:r>
                  <w:r>
                    <w:rPr>
                      <w:rFonts w:cs="Georgia"/>
                      <w:color w:val="000000"/>
                    </w:rPr>
                    <w:t>t</w:t>
                  </w:r>
                  <w:r>
                    <w:rPr>
                      <w:rFonts w:cs="Georgia"/>
                      <w:color w:val="000000"/>
                      <w:spacing w:val="4"/>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é</w:t>
                  </w:r>
                  <w:r>
                    <w:rPr>
                      <w:rFonts w:cs="Georgia"/>
                      <w:color w:val="000000"/>
                      <w:spacing w:val="1"/>
                    </w:rPr>
                    <w:t>t</w:t>
                  </w:r>
                  <w:r>
                    <w:rPr>
                      <w:rFonts w:cs="Georgia"/>
                      <w:color w:val="000000"/>
                      <w:spacing w:val="-3"/>
                    </w:rPr>
                    <w:t>e</w:t>
                  </w:r>
                  <w:r>
                    <w:rPr>
                      <w:rFonts w:cs="Georgia"/>
                      <w:color w:val="000000"/>
                      <w:spacing w:val="1"/>
                    </w:rPr>
                    <w:t>r</w:t>
                  </w:r>
                  <w:r>
                    <w:rPr>
                      <w:rFonts w:cs="Georgia"/>
                      <w:color w:val="000000"/>
                    </w:rPr>
                    <w:t>mi</w:t>
                  </w:r>
                  <w:r>
                    <w:rPr>
                      <w:rFonts w:cs="Georgia"/>
                      <w:color w:val="000000"/>
                      <w:spacing w:val="-1"/>
                    </w:rPr>
                    <w:t>n</w:t>
                  </w:r>
                  <w:r>
                    <w:rPr>
                      <w:rFonts w:cs="Georgia"/>
                      <w:color w:val="000000"/>
                    </w:rPr>
                    <w:t>é</w:t>
                  </w:r>
                  <w:r>
                    <w:rPr>
                      <w:rFonts w:cs="Georgia"/>
                      <w:color w:val="000000"/>
                      <w:spacing w:val="2"/>
                    </w:rPr>
                    <w:t xml:space="preserve"> </w:t>
                  </w:r>
                  <w:r>
                    <w:rPr>
                      <w:rFonts w:cs="Georgia"/>
                      <w:color w:val="000000"/>
                      <w:spacing w:val="1"/>
                    </w:rPr>
                    <w:t>p</w:t>
                  </w:r>
                  <w:r>
                    <w:rPr>
                      <w:rFonts w:cs="Georgia"/>
                      <w:color w:val="000000"/>
                      <w:spacing w:val="-3"/>
                    </w:rPr>
                    <w:t>a</w:t>
                  </w:r>
                  <w:r>
                    <w:rPr>
                      <w:rFonts w:cs="Georgia"/>
                      <w:color w:val="000000"/>
                    </w:rPr>
                    <w:t>r</w:t>
                  </w:r>
                  <w:r>
                    <w:rPr>
                      <w:rFonts w:cs="Georgia"/>
                      <w:color w:val="000000"/>
                      <w:spacing w:val="4"/>
                    </w:rPr>
                    <w:t xml:space="preserve"> </w:t>
                  </w:r>
                  <w:r>
                    <w:rPr>
                      <w:rFonts w:cs="Georgia"/>
                      <w:color w:val="000000"/>
                      <w:spacing w:val="-1"/>
                    </w:rPr>
                    <w:t>l</w:t>
                  </w:r>
                  <w:r>
                    <w:rPr>
                      <w:rFonts w:cs="Georgia"/>
                      <w:color w:val="000000"/>
                    </w:rPr>
                    <w:t>a</w:t>
                  </w:r>
                  <w:r>
                    <w:rPr>
                      <w:rFonts w:cs="Georgia"/>
                      <w:color w:val="000000"/>
                      <w:spacing w:val="2"/>
                    </w:rPr>
                    <w:t xml:space="preserve"> </w:t>
                  </w:r>
                  <w:r>
                    <w:rPr>
                      <w:rFonts w:cs="Georgia"/>
                      <w:color w:val="000000"/>
                      <w:spacing w:val="-3"/>
                    </w:rPr>
                    <w:t>m</w:t>
                  </w:r>
                  <w:r>
                    <w:rPr>
                      <w:rFonts w:cs="Georgia"/>
                      <w:color w:val="000000"/>
                      <w:spacing w:val="1"/>
                    </w:rPr>
                    <w:t>o</w:t>
                  </w:r>
                  <w:r>
                    <w:rPr>
                      <w:rFonts w:cs="Georgia"/>
                      <w:color w:val="000000"/>
                      <w:spacing w:val="-1"/>
                    </w:rPr>
                    <w:t>yenn</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 xml:space="preserve">es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c</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en</w:t>
                  </w:r>
                  <w:r>
                    <w:rPr>
                      <w:rFonts w:cs="Georgia"/>
                      <w:color w:val="000000"/>
                    </w:rPr>
                    <w:t>d</w:t>
                  </w:r>
                  <w:r>
                    <w:rPr>
                      <w:rFonts w:cs="Georgia"/>
                      <w:color w:val="000000"/>
                      <w:spacing w:val="-1"/>
                    </w:rPr>
                    <w:t>an</w:t>
                  </w:r>
                  <w:r>
                    <w:rPr>
                      <w:rFonts w:cs="Georgia"/>
                      <w:color w:val="000000"/>
                    </w:rPr>
                    <w:t>t u</w:t>
                  </w:r>
                  <w:r>
                    <w:rPr>
                      <w:rFonts w:cs="Georgia"/>
                      <w:color w:val="000000"/>
                      <w:spacing w:val="-1"/>
                    </w:rPr>
                    <w:t>n</w:t>
                  </w:r>
                  <w:r>
                    <w:rPr>
                      <w:rFonts w:cs="Georgia"/>
                      <w:color w:val="000000"/>
                    </w:rPr>
                    <w:t>e</w:t>
                  </w:r>
                  <w:r>
                    <w:rPr>
                      <w:rFonts w:cs="Georgia"/>
                      <w:color w:val="000000"/>
                      <w:spacing w:val="-1"/>
                    </w:rPr>
                    <w:t xml:space="preserve"> pé</w:t>
                  </w:r>
                  <w:r>
                    <w:rPr>
                      <w:rFonts w:cs="Georgia"/>
                      <w:color w:val="000000"/>
                      <w:spacing w:val="1"/>
                    </w:rPr>
                    <w:t>r</w:t>
                  </w:r>
                  <w:r>
                    <w:rPr>
                      <w:rFonts w:cs="Georgia"/>
                      <w:color w:val="000000"/>
                    </w:rPr>
                    <w:t>i</w:t>
                  </w:r>
                  <w:r>
                    <w:rPr>
                      <w:rFonts w:cs="Georgia"/>
                      <w:color w:val="000000"/>
                      <w:spacing w:val="1"/>
                    </w:rPr>
                    <w:t>o</w:t>
                  </w:r>
                  <w:r>
                    <w:rPr>
                      <w:rFonts w:cs="Georgia"/>
                      <w:color w:val="000000"/>
                    </w:rPr>
                    <w:t>de</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a</w:t>
                  </w:r>
                  <w:r>
                    <w:rPr>
                      <w:rFonts w:cs="Georgia"/>
                      <w:color w:val="000000"/>
                    </w:rPr>
                    <w:t>u</w:t>
                  </w:r>
                  <w:r>
                    <w:rPr>
                      <w:rFonts w:cs="Georgia"/>
                      <w:color w:val="000000"/>
                      <w:spacing w:val="-2"/>
                    </w:rPr>
                    <w:t xml:space="preserve"> </w:t>
                  </w:r>
                  <w:r>
                    <w:rPr>
                      <w:rFonts w:cs="Georgia"/>
                      <w:color w:val="000000"/>
                    </w:rPr>
                    <w:t>m</w:t>
                  </w:r>
                  <w:r>
                    <w:rPr>
                      <w:rFonts w:cs="Georgia"/>
                      <w:color w:val="000000"/>
                      <w:spacing w:val="1"/>
                    </w:rPr>
                    <w:t>o</w:t>
                  </w:r>
                  <w:r>
                    <w:rPr>
                      <w:rFonts w:cs="Georgia"/>
                      <w:color w:val="000000"/>
                    </w:rPr>
                    <w:t>i</w:t>
                  </w:r>
                  <w:r>
                    <w:rPr>
                      <w:rFonts w:cs="Georgia"/>
                      <w:color w:val="000000"/>
                      <w:spacing w:val="-3"/>
                    </w:rPr>
                    <w:t>n</w:t>
                  </w:r>
                  <w:r>
                    <w:rPr>
                      <w:rFonts w:cs="Georgia"/>
                      <w:color w:val="000000"/>
                    </w:rPr>
                    <w:t xml:space="preserve">s </w:t>
                  </w:r>
                  <w:r>
                    <w:rPr>
                      <w:rFonts w:cs="Georgia"/>
                      <w:b/>
                      <w:color w:val="000000"/>
                      <w:spacing w:val="-1"/>
                      <w:u w:val="single"/>
                    </w:rPr>
                    <w:t>2</w:t>
                  </w:r>
                  <w:r>
                    <w:rPr>
                      <w:rFonts w:cs="Georgia"/>
                      <w:b/>
                      <w:color w:val="000000"/>
                      <w:u w:val="single"/>
                    </w:rPr>
                    <w:t>0</w:t>
                  </w:r>
                  <w:r>
                    <w:rPr>
                      <w:rFonts w:cs="Georgia"/>
                      <w:b/>
                      <w:color w:val="000000"/>
                      <w:spacing w:val="-1"/>
                      <w:u w:val="single"/>
                    </w:rPr>
                    <w:t xml:space="preserve"> </w:t>
                  </w:r>
                  <w:r>
                    <w:rPr>
                      <w:rFonts w:cs="Georgia"/>
                      <w:b/>
                      <w:color w:val="000000"/>
                      <w:u w:val="single"/>
                    </w:rPr>
                    <w:t>j</w:t>
                  </w:r>
                  <w:r>
                    <w:rPr>
                      <w:rFonts w:cs="Georgia"/>
                      <w:b/>
                      <w:color w:val="000000"/>
                      <w:spacing w:val="1"/>
                      <w:u w:val="single"/>
                    </w:rPr>
                    <w:t>o</w:t>
                  </w:r>
                  <w:r>
                    <w:rPr>
                      <w:rFonts w:cs="Georgia"/>
                      <w:b/>
                      <w:color w:val="000000"/>
                      <w:spacing w:val="-2"/>
                      <w:u w:val="single"/>
                    </w:rPr>
                    <w:t>u</w:t>
                  </w:r>
                  <w:r>
                    <w:rPr>
                      <w:rFonts w:cs="Georgia"/>
                      <w:b/>
                      <w:color w:val="000000"/>
                      <w:spacing w:val="1"/>
                      <w:u w:val="single"/>
                    </w:rPr>
                    <w:t>r</w:t>
                  </w:r>
                  <w:r>
                    <w:rPr>
                      <w:rFonts w:cs="Georgia"/>
                      <w:b/>
                      <w:color w:val="000000"/>
                      <w:u w:val="single"/>
                    </w:rPr>
                    <w:t>s</w:t>
                  </w:r>
                  <w:r>
                    <w:rPr>
                      <w:rFonts w:cs="Georgia"/>
                      <w:b/>
                      <w:color w:val="000000"/>
                      <w:spacing w:val="1"/>
                      <w:u w:val="single"/>
                    </w:rPr>
                    <w:t xml:space="preserve"> </w:t>
                  </w:r>
                  <w:r>
                    <w:rPr>
                      <w:rFonts w:cs="Georgia"/>
                      <w:b/>
                      <w:color w:val="000000"/>
                      <w:u w:val="single"/>
                    </w:rPr>
                    <w:t>de</w:t>
                  </w:r>
                  <w:r>
                    <w:rPr>
                      <w:rFonts w:cs="Georgia"/>
                      <w:b/>
                      <w:color w:val="000000"/>
                      <w:spacing w:val="-1"/>
                      <w:u w:val="single"/>
                    </w:rPr>
                    <w:t xml:space="preserve"> </w:t>
                  </w:r>
                  <w:r>
                    <w:rPr>
                      <w:rFonts w:cs="Georgia"/>
                      <w:b/>
                      <w:color w:val="000000"/>
                      <w:spacing w:val="1"/>
                      <w:u w:val="single"/>
                    </w:rPr>
                    <w:t>c</w:t>
                  </w:r>
                  <w:r>
                    <w:rPr>
                      <w:rFonts w:cs="Georgia"/>
                      <w:b/>
                      <w:color w:val="000000"/>
                      <w:spacing w:val="-1"/>
                      <w:u w:val="single"/>
                    </w:rPr>
                    <w:t>la</w:t>
                  </w:r>
                  <w:r>
                    <w:rPr>
                      <w:rFonts w:cs="Georgia"/>
                      <w:b/>
                      <w:color w:val="000000"/>
                      <w:spacing w:val="1"/>
                      <w:u w:val="single"/>
                    </w:rPr>
                    <w:t>ss</w:t>
                  </w:r>
                  <w:r>
                    <w:rPr>
                      <w:rFonts w:cs="Georgia"/>
                      <w:b/>
                      <w:color w:val="000000"/>
                      <w:u w:val="single"/>
                    </w:rPr>
                    <w:t>e</w:t>
                  </w:r>
                  <w:r>
                    <w:rPr>
                      <w:rFonts w:cs="Georgia"/>
                      <w:b/>
                      <w:color w:val="000000"/>
                      <w:spacing w:val="-1"/>
                      <w:u w:val="single"/>
                    </w:rPr>
                    <w:t xml:space="preserve"> </w:t>
                  </w:r>
                  <w:r>
                    <w:rPr>
                      <w:rFonts w:cs="Georgia"/>
                      <w:b/>
                      <w:color w:val="000000"/>
                      <w:spacing w:val="-2"/>
                      <w:u w:val="single"/>
                    </w:rPr>
                    <w:t>c</w:t>
                  </w:r>
                  <w:r>
                    <w:rPr>
                      <w:rFonts w:cs="Georgia"/>
                      <w:b/>
                      <w:color w:val="000000"/>
                      <w:spacing w:val="1"/>
                      <w:u w:val="single"/>
                    </w:rPr>
                    <w:t>o</w:t>
                  </w:r>
                  <w:r>
                    <w:rPr>
                      <w:rFonts w:cs="Georgia"/>
                      <w:b/>
                      <w:color w:val="000000"/>
                      <w:spacing w:val="-1"/>
                      <w:u w:val="single"/>
                    </w:rPr>
                    <w:t>n</w:t>
                  </w:r>
                  <w:r>
                    <w:rPr>
                      <w:rFonts w:cs="Georgia"/>
                      <w:b/>
                      <w:color w:val="000000"/>
                      <w:spacing w:val="1"/>
                      <w:u w:val="single"/>
                    </w:rPr>
                    <w:t>s</w:t>
                  </w:r>
                  <w:r>
                    <w:rPr>
                      <w:rFonts w:cs="Georgia"/>
                      <w:b/>
                      <w:color w:val="000000"/>
                      <w:spacing w:val="-1"/>
                      <w:u w:val="single"/>
                    </w:rPr>
                    <w:t>é</w:t>
                  </w:r>
                  <w:r>
                    <w:rPr>
                      <w:rFonts w:cs="Georgia"/>
                      <w:b/>
                      <w:color w:val="000000"/>
                      <w:spacing w:val="1"/>
                      <w:u w:val="single"/>
                    </w:rPr>
                    <w:t>c</w:t>
                  </w:r>
                  <w:r>
                    <w:rPr>
                      <w:rFonts w:cs="Georgia"/>
                      <w:b/>
                      <w:color w:val="000000"/>
                      <w:spacing w:val="-2"/>
                      <w:u w:val="single"/>
                    </w:rPr>
                    <w:t>u</w:t>
                  </w:r>
                  <w:r>
                    <w:rPr>
                      <w:rFonts w:cs="Georgia"/>
                      <w:b/>
                      <w:color w:val="000000"/>
                      <w:spacing w:val="1"/>
                      <w:u w:val="single"/>
                    </w:rPr>
                    <w:t>t</w:t>
                  </w:r>
                  <w:r>
                    <w:rPr>
                      <w:rFonts w:cs="Georgia"/>
                      <w:b/>
                      <w:color w:val="000000"/>
                      <w:u w:val="single"/>
                    </w:rPr>
                    <w:t>i</w:t>
                  </w:r>
                  <w:r>
                    <w:rPr>
                      <w:rFonts w:cs="Georgia"/>
                      <w:b/>
                      <w:color w:val="000000"/>
                      <w:spacing w:val="-2"/>
                      <w:u w:val="single"/>
                    </w:rPr>
                    <w:t>f</w:t>
                  </w:r>
                  <w:r>
                    <w:rPr>
                      <w:rFonts w:cs="Georgia"/>
                      <w:b/>
                      <w:color w:val="000000"/>
                      <w:spacing w:val="1"/>
                      <w:u w:val="single"/>
                    </w:rPr>
                    <w:t>s</w:t>
                  </w:r>
                  <w:r>
                    <w:rPr>
                      <w:rFonts w:cs="Georgia"/>
                      <w:color w:val="000000"/>
                      <w:spacing w:val="1"/>
                    </w:rPr>
                    <w:t>.</w:t>
                  </w:r>
                </w:p>
                <w:p>
                  <w:pPr>
                    <w:widowControl w:val="0"/>
                    <w:autoSpaceDE w:val="0"/>
                    <w:autoSpaceDN w:val="0"/>
                    <w:adjustRightInd w:val="0"/>
                    <w:spacing w:before="9" w:line="240" w:lineRule="exact"/>
                    <w:jc w:val="both"/>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rPr>
                    <w:t>T</w:t>
                  </w:r>
                  <w:r>
                    <w:rPr>
                      <w:rFonts w:cs="Georgia"/>
                      <w:color w:val="000000"/>
                      <w:spacing w:val="1"/>
                    </w:rPr>
                    <w:t>o</w:t>
                  </w:r>
                  <w:r>
                    <w:rPr>
                      <w:rFonts w:cs="Georgia"/>
                      <w:color w:val="000000"/>
                    </w:rPr>
                    <w:t>u</w:t>
                  </w:r>
                  <w:r>
                    <w:rPr>
                      <w:rFonts w:cs="Georgia"/>
                      <w:color w:val="000000"/>
                      <w:spacing w:val="1"/>
                    </w:rPr>
                    <w:t>t</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m</w:t>
                  </w:r>
                  <w:r>
                    <w:rPr>
                      <w:rFonts w:cs="Georgia"/>
                      <w:color w:val="000000"/>
                      <w:spacing w:val="-1"/>
                    </w:rPr>
                    <w:t>an</w:t>
                  </w:r>
                  <w:r>
                    <w:rPr>
                      <w:rFonts w:cs="Georgia"/>
                      <w:color w:val="000000"/>
                    </w:rPr>
                    <w:t>de</w:t>
                  </w:r>
                  <w:r>
                    <w:rPr>
                      <w:rFonts w:cs="Georgia"/>
                      <w:color w:val="000000"/>
                      <w:spacing w:val="1"/>
                    </w:rPr>
                    <w:t xml:space="preserve"> </w:t>
                  </w:r>
                  <w:r>
                    <w:rPr>
                      <w:rFonts w:cs="Georgia"/>
                      <w:color w:val="000000"/>
                    </w:rPr>
                    <w:t>de</w:t>
                  </w:r>
                  <w:r>
                    <w:rPr>
                      <w:rFonts w:cs="Georgia"/>
                      <w:color w:val="000000"/>
                      <w:spacing w:val="1"/>
                    </w:rPr>
                    <w:t xml:space="preserve"> r</w:t>
                  </w:r>
                  <w:r>
                    <w:rPr>
                      <w:rFonts w:cs="Georgia"/>
                      <w:color w:val="000000"/>
                      <w:spacing w:val="-1"/>
                    </w:rPr>
                    <w:t>é</w:t>
                  </w:r>
                  <w:r>
                    <w:rPr>
                      <w:rFonts w:cs="Georgia"/>
                      <w:color w:val="000000"/>
                      <w:spacing w:val="1"/>
                    </w:rPr>
                    <w:t>v</w:t>
                  </w:r>
                  <w:r>
                    <w:rPr>
                      <w:rFonts w:cs="Georgia"/>
                      <w:color w:val="000000"/>
                    </w:rPr>
                    <w:t>i</w:t>
                  </w:r>
                  <w:r>
                    <w:rPr>
                      <w:rFonts w:cs="Georgia"/>
                      <w:color w:val="000000"/>
                      <w:spacing w:val="-2"/>
                    </w:rPr>
                    <w:t>si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du</w:t>
                  </w:r>
                  <w:r>
                    <w:rPr>
                      <w:rFonts w:cs="Georgia"/>
                      <w:color w:val="000000"/>
                      <w:spacing w:val="2"/>
                    </w:rPr>
                    <w:t xml:space="preserve"> </w:t>
                  </w:r>
                  <w:r>
                    <w:rPr>
                      <w:rFonts w:cs="Georgia"/>
                      <w:color w:val="000000"/>
                    </w:rPr>
                    <w:t>c</w:t>
                  </w:r>
                  <w:r>
                    <w:rPr>
                      <w:rFonts w:cs="Georgia"/>
                      <w:color w:val="000000"/>
                      <w:spacing w:val="-1"/>
                    </w:rPr>
                    <w:t>al</w:t>
                  </w:r>
                  <w:r>
                    <w:rPr>
                      <w:rFonts w:cs="Georgia"/>
                      <w:color w:val="000000"/>
                    </w:rPr>
                    <w:t>cul</w:t>
                  </w:r>
                  <w:r>
                    <w:rPr>
                      <w:rFonts w:cs="Georgia"/>
                      <w:color w:val="000000"/>
                      <w:spacing w:val="1"/>
                    </w:rPr>
                    <w:t xml:space="preserve"> </w:t>
                  </w:r>
                  <w:r>
                    <w:rPr>
                      <w:rFonts w:cs="Georgia"/>
                      <w:color w:val="000000"/>
                    </w:rPr>
                    <w:t>du</w:t>
                  </w:r>
                  <w:r>
                    <w:rPr>
                      <w:rFonts w:cs="Georgia"/>
                      <w:color w:val="000000"/>
                      <w:spacing w:val="2"/>
                    </w:rPr>
                    <w:t xml:space="preserve"> </w:t>
                  </w:r>
                  <w:r>
                    <w:rPr>
                      <w:rFonts w:cs="Georgia"/>
                      <w:color w:val="000000"/>
                    </w:rPr>
                    <w:t>c</w:t>
                  </w:r>
                  <w:r>
                    <w:rPr>
                      <w:rFonts w:cs="Georgia"/>
                      <w:color w:val="000000"/>
                      <w:spacing w:val="-3"/>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w:t>
                  </w:r>
                  <w:r>
                    <w:rPr>
                      <w:rFonts w:cs="Georgia"/>
                      <w:color w:val="000000"/>
                    </w:rPr>
                    <w:t>l</w:t>
                  </w:r>
                  <w:r>
                    <w:rPr>
                      <w:rFonts w:cs="Georgia"/>
                      <w:color w:val="000000"/>
                      <w:spacing w:val="-1"/>
                    </w:rPr>
                    <w:t>-pé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2"/>
                    </w:rPr>
                    <w:t>d</w:t>
                  </w:r>
                  <w:r>
                    <w:rPr>
                      <w:rFonts w:cs="Georgia"/>
                      <w:color w:val="000000"/>
                      <w:spacing w:val="1"/>
                    </w:rPr>
                    <w:t>o</w:t>
                  </w:r>
                  <w:r>
                    <w:rPr>
                      <w:rFonts w:cs="Georgia"/>
                      <w:color w:val="000000"/>
                    </w:rPr>
                    <w:t>it</w:t>
                  </w:r>
                  <w:r>
                    <w:rPr>
                      <w:rFonts w:cs="Georgia"/>
                      <w:color w:val="000000"/>
                      <w:spacing w:val="3"/>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so</w:t>
                  </w:r>
                  <w:r>
                    <w:rPr>
                      <w:rFonts w:cs="Georgia"/>
                      <w:color w:val="000000"/>
                      <w:spacing w:val="-1"/>
                    </w:rPr>
                    <w:t>ll</w:t>
                  </w:r>
                  <w:r>
                    <w:rPr>
                      <w:rFonts w:cs="Georgia"/>
                      <w:color w:val="000000"/>
                    </w:rPr>
                    <w:t>i</w:t>
                  </w:r>
                  <w:r>
                    <w:rPr>
                      <w:rFonts w:cs="Georgia"/>
                      <w:color w:val="000000"/>
                      <w:spacing w:val="1"/>
                    </w:rPr>
                    <w:t>c</w:t>
                  </w:r>
                  <w:r>
                    <w:rPr>
                      <w:rFonts w:cs="Georgia"/>
                      <w:color w:val="000000"/>
                      <w:spacing w:val="-2"/>
                    </w:rPr>
                    <w:t>i</w:t>
                  </w:r>
                  <w:r>
                    <w:rPr>
                      <w:rFonts w:cs="Georgia"/>
                      <w:color w:val="000000"/>
                      <w:spacing w:val="1"/>
                    </w:rPr>
                    <w:t>t</w:t>
                  </w:r>
                  <w:r>
                    <w:rPr>
                      <w:rFonts w:cs="Georgia"/>
                      <w:color w:val="000000"/>
                      <w:spacing w:val="-1"/>
                    </w:rPr>
                    <w:t>é</w:t>
                  </w:r>
                  <w:r>
                    <w:rPr>
                      <w:rFonts w:cs="Georgia"/>
                      <w:color w:val="000000"/>
                    </w:rPr>
                    <w:t>e</w:t>
                  </w:r>
                  <w:r>
                    <w:rPr>
                      <w:rFonts w:cs="Georgia"/>
                      <w:color w:val="000000"/>
                      <w:spacing w:val="1"/>
                    </w:rPr>
                    <w:t xml:space="preserve"> </w:t>
                  </w:r>
                  <w:r>
                    <w:rPr>
                      <w:rFonts w:cs="Georgia"/>
                      <w:color w:val="000000"/>
                    </w:rPr>
                    <w:t>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a</w:t>
                  </w:r>
                  <w:r>
                    <w:rPr>
                      <w:rFonts w:cs="Georgia"/>
                      <w:color w:val="000000"/>
                    </w:rPr>
                    <w:t>u</w:t>
                  </w:r>
                  <w:r>
                    <w:rPr>
                      <w:rFonts w:cs="Georgia"/>
                      <w:color w:val="000000"/>
                      <w:spacing w:val="1"/>
                    </w:rPr>
                    <w:t>pr</w:t>
                  </w:r>
                  <w:r>
                    <w:rPr>
                      <w:rFonts w:cs="Georgia"/>
                      <w:color w:val="000000"/>
                      <w:spacing w:val="-1"/>
                    </w:rPr>
                    <w:t>è</w:t>
                  </w:r>
                  <w:r>
                    <w:rPr>
                      <w:rFonts w:cs="Georgia"/>
                      <w:color w:val="000000"/>
                    </w:rPr>
                    <w:t xml:space="preserve">s du </w:t>
                  </w:r>
                  <w:r>
                    <w:rPr>
                      <w:rFonts w:cs="Georgia"/>
                      <w:color w:val="000000"/>
                      <w:spacing w:val="1"/>
                    </w:rPr>
                    <w:t>v</w:t>
                  </w:r>
                  <w:r>
                    <w:rPr>
                      <w:rFonts w:cs="Georgia"/>
                      <w:color w:val="000000"/>
                      <w:spacing w:val="-1"/>
                    </w:rPr>
                    <w:t>é</w:t>
                  </w:r>
                  <w:r>
                    <w:rPr>
                      <w:rFonts w:cs="Georgia"/>
                      <w:color w:val="000000"/>
                      <w:spacing w:val="1"/>
                    </w:rPr>
                    <w:t>r</w:t>
                  </w:r>
                  <w:r>
                    <w:rPr>
                      <w:rFonts w:cs="Georgia"/>
                      <w:color w:val="000000"/>
                    </w:rPr>
                    <w:t>ifi</w:t>
                  </w:r>
                  <w:r>
                    <w:rPr>
                      <w:rFonts w:cs="Georgia"/>
                      <w:color w:val="000000"/>
                      <w:spacing w:val="1"/>
                    </w:rPr>
                    <w:t>c</w:t>
                  </w:r>
                  <w:r>
                    <w:rPr>
                      <w:rFonts w:cs="Georgia"/>
                      <w:color w:val="000000"/>
                      <w:spacing w:val="-3"/>
                    </w:rPr>
                    <w:t>a</w:t>
                  </w:r>
                  <w:r>
                    <w:rPr>
                      <w:rFonts w:cs="Georgia"/>
                      <w:color w:val="000000"/>
                      <w:spacing w:val="1"/>
                    </w:rPr>
                    <w:t>t</w:t>
                  </w:r>
                  <w:r>
                    <w:rPr>
                      <w:rFonts w:cs="Georgia"/>
                      <w:color w:val="000000"/>
                      <w:spacing w:val="-1"/>
                    </w:rPr>
                    <w:t>e</w:t>
                  </w:r>
                  <w:r>
                    <w:rPr>
                      <w:rFonts w:cs="Georgia"/>
                      <w:color w:val="000000"/>
                    </w:rPr>
                    <w:t>ur</w:t>
                  </w:r>
                  <w:r>
                    <w:rPr>
                      <w:rFonts w:cs="Georgia"/>
                      <w:color w:val="000000"/>
                      <w:spacing w:val="-2"/>
                    </w:rPr>
                    <w:t xml:space="preserve"> </w:t>
                  </w:r>
                  <w:r>
                    <w:rPr>
                      <w:rFonts w:cs="Georgia"/>
                      <w:color w:val="000000"/>
                      <w:spacing w:val="1"/>
                    </w:rPr>
                    <w:t>(</w:t>
                  </w:r>
                  <w:r>
                    <w:rPr>
                      <w:rFonts w:cs="Georgia"/>
                      <w:color w:val="000000"/>
                      <w:spacing w:val="-1"/>
                    </w:rPr>
                    <w:t>é</w:t>
                  </w:r>
                  <w:r>
                    <w:rPr>
                      <w:rFonts w:cs="Georgia"/>
                      <w:color w:val="000000"/>
                      <w:spacing w:val="1"/>
                    </w:rPr>
                    <w:t>v</w:t>
                  </w:r>
                  <w:r>
                    <w:rPr>
                      <w:rFonts w:cs="Georgia"/>
                      <w:color w:val="000000"/>
                      <w:spacing w:val="-1"/>
                    </w:rPr>
                    <w:t>en</w:t>
                  </w:r>
                  <w:r>
                    <w:rPr>
                      <w:rFonts w:cs="Georgia"/>
                      <w:color w:val="000000"/>
                      <w:spacing w:val="1"/>
                    </w:rPr>
                    <w:t>t</w:t>
                  </w:r>
                  <w:r>
                    <w:rPr>
                      <w:rFonts w:cs="Georgia"/>
                      <w:color w:val="000000"/>
                    </w:rPr>
                    <w:t>u</w:t>
                  </w:r>
                  <w:r>
                    <w:rPr>
                      <w:rFonts w:cs="Georgia"/>
                      <w:color w:val="000000"/>
                      <w:spacing w:val="-1"/>
                    </w:rPr>
                    <w:t>elle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p</w:t>
                  </w:r>
                  <w:r>
                    <w:rPr>
                      <w:rFonts w:cs="Georgia"/>
                      <w:color w:val="000000"/>
                      <w:spacing w:val="-1"/>
                    </w:rPr>
                    <w:t>a</w:t>
                  </w:r>
                  <w:r>
                    <w:rPr>
                      <w:rFonts w:cs="Georgia"/>
                      <w:color w:val="000000"/>
                    </w:rPr>
                    <w:t xml:space="preserve">r </w:t>
                  </w:r>
                  <w:r>
                    <w:rPr>
                      <w:rFonts w:cs="Georgia"/>
                      <w:color w:val="000000"/>
                      <w:spacing w:val="1"/>
                    </w:rPr>
                    <w:t>t</w:t>
                  </w:r>
                  <w:r>
                    <w:rPr>
                      <w:rFonts w:cs="Georgia"/>
                      <w:color w:val="000000"/>
                      <w:spacing w:val="-1"/>
                    </w:rPr>
                    <w:t>élé</w:t>
                  </w:r>
                  <w:r>
                    <w:rPr>
                      <w:rFonts w:cs="Georgia"/>
                      <w:color w:val="000000"/>
                      <w:spacing w:val="1"/>
                    </w:rPr>
                    <w:t>p</w:t>
                  </w:r>
                  <w:r>
                    <w:rPr>
                      <w:rFonts w:cs="Georgia"/>
                      <w:color w:val="000000"/>
                      <w:spacing w:val="-1"/>
                    </w:rPr>
                    <w:t>h</w:t>
                  </w:r>
                  <w:r>
                    <w:rPr>
                      <w:rFonts w:cs="Georgia"/>
                      <w:color w:val="000000"/>
                      <w:spacing w:val="1"/>
                    </w:rPr>
                    <w:t>o</w:t>
                  </w:r>
                  <w:r>
                    <w:rPr>
                      <w:rFonts w:cs="Georgia"/>
                      <w:color w:val="000000"/>
                      <w:spacing w:val="-1"/>
                    </w:rPr>
                    <w:t>ne</w:t>
                  </w:r>
                  <w:r>
                    <w:rPr>
                      <w:rFonts w:cs="Georgia"/>
                      <w:color w:val="000000"/>
                      <w:spacing w:val="1"/>
                    </w:rPr>
                    <w:t>)</w:t>
                  </w:r>
                  <w:r>
                    <w:rPr>
                      <w:rFonts w:cs="Georgia"/>
                      <w:color w:val="000000"/>
                    </w:rPr>
                    <w:t>.</w:t>
                  </w:r>
                </w:p>
                <w:p>
                  <w:pPr>
                    <w:widowControl w:val="0"/>
                    <w:autoSpaceDE w:val="0"/>
                    <w:autoSpaceDN w:val="0"/>
                    <w:adjustRightInd w:val="0"/>
                    <w:spacing w:before="11" w:line="240" w:lineRule="exact"/>
                    <w:jc w:val="both"/>
                    <w:rPr>
                      <w:rFonts w:cs="Georgia"/>
                      <w:color w:val="000000"/>
                    </w:rPr>
                  </w:pPr>
                </w:p>
                <w:p>
                  <w:pPr>
                    <w:widowControl w:val="0"/>
                    <w:tabs>
                      <w:tab w:val="left" w:pos="709"/>
                      <w:tab w:val="left" w:pos="8820"/>
                    </w:tabs>
                    <w:autoSpaceDE w:val="0"/>
                    <w:autoSpaceDN w:val="0"/>
                    <w:adjustRightInd w:val="0"/>
                    <w:spacing w:line="252" w:lineRule="exact"/>
                    <w:ind w:right="45"/>
                    <w:jc w:val="both"/>
                    <w:rPr>
                      <w:rFonts w:cs="Georgia"/>
                      <w:color w:val="000000"/>
                      <w:spacing w:val="-1"/>
                    </w:rPr>
                  </w:pPr>
                  <w:r>
                    <w:rPr>
                      <w:rFonts w:cs="Georgia"/>
                      <w:color w:val="000000"/>
                      <w:spacing w:val="1"/>
                    </w:rPr>
                    <w:t>A</w:t>
                  </w:r>
                  <w:r>
                    <w:rPr>
                      <w:rFonts w:cs="Georgia"/>
                      <w:color w:val="000000"/>
                    </w:rPr>
                    <w:t>u</w:t>
                  </w:r>
                  <w:r>
                    <w:rPr>
                      <w:rFonts w:cs="Georgia"/>
                      <w:color w:val="000000"/>
                      <w:spacing w:val="1"/>
                    </w:rPr>
                    <w:t>c</w:t>
                  </w:r>
                  <w:r>
                    <w:rPr>
                      <w:rFonts w:cs="Georgia"/>
                      <w:color w:val="000000"/>
                    </w:rPr>
                    <w:t>un</w:t>
                  </w:r>
                  <w:r>
                    <w:rPr>
                      <w:rFonts w:cs="Georgia"/>
                      <w:color w:val="000000"/>
                      <w:spacing w:val="35"/>
                    </w:rPr>
                    <w:t xml:space="preserve"> </w:t>
                  </w:r>
                  <w:r>
                    <w:rPr>
                      <w:rFonts w:cs="Georgia"/>
                      <w:color w:val="000000"/>
                      <w:spacing w:val="-1"/>
                    </w:rPr>
                    <w:t>en</w:t>
                  </w:r>
                  <w:r>
                    <w:rPr>
                      <w:rFonts w:cs="Georgia"/>
                      <w:color w:val="000000"/>
                    </w:rPr>
                    <w:t>g</w:t>
                  </w:r>
                  <w:r>
                    <w:rPr>
                      <w:rFonts w:cs="Georgia"/>
                      <w:color w:val="000000"/>
                      <w:spacing w:val="-1"/>
                    </w:rPr>
                    <w:t>a</w:t>
                  </w:r>
                  <w:r>
                    <w:rPr>
                      <w:rFonts w:cs="Georgia"/>
                      <w:color w:val="000000"/>
                    </w:rPr>
                    <w:t>g</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34"/>
                    </w:rPr>
                    <w:t xml:space="preserve"> </w:t>
                  </w:r>
                  <w:r>
                    <w:rPr>
                      <w:rFonts w:cs="Georgia"/>
                      <w:color w:val="000000"/>
                    </w:rPr>
                    <w:t>de</w:t>
                  </w:r>
                  <w:r>
                    <w:rPr>
                      <w:rFonts w:cs="Georgia"/>
                      <w:color w:val="000000"/>
                      <w:spacing w:val="35"/>
                    </w:rPr>
                    <w:t xml:space="preserve"> </w:t>
                  </w:r>
                  <w:r>
                    <w:rPr>
                      <w:rFonts w:cs="Georgia"/>
                      <w:color w:val="000000"/>
                      <w:spacing w:val="-1"/>
                    </w:rPr>
                    <w:t>pe</w:t>
                  </w:r>
                  <w:r>
                    <w:rPr>
                      <w:rFonts w:cs="Georgia"/>
                      <w:color w:val="000000"/>
                      <w:spacing w:val="1"/>
                    </w:rPr>
                    <w:t>rso</w:t>
                  </w:r>
                  <w:r>
                    <w:rPr>
                      <w:rFonts w:cs="Georgia"/>
                      <w:color w:val="000000"/>
                      <w:spacing w:val="-1"/>
                    </w:rPr>
                    <w:t>nne</w:t>
                  </w:r>
                  <w:r>
                    <w:rPr>
                      <w:rFonts w:cs="Georgia"/>
                      <w:color w:val="000000"/>
                    </w:rPr>
                    <w:t>l</w:t>
                  </w:r>
                  <w:r>
                    <w:rPr>
                      <w:rFonts w:cs="Georgia"/>
                      <w:color w:val="000000"/>
                      <w:spacing w:val="35"/>
                    </w:rPr>
                    <w:t xml:space="preserve"> </w:t>
                  </w:r>
                  <w:r>
                    <w:rPr>
                      <w:rFonts w:cs="Georgia"/>
                      <w:color w:val="000000"/>
                      <w:spacing w:val="-1"/>
                    </w:rPr>
                    <w:t>n</w:t>
                  </w:r>
                  <w:r>
                    <w:rPr>
                      <w:rFonts w:cs="Georgia"/>
                      <w:color w:val="000000"/>
                    </w:rPr>
                    <w:t>e</w:t>
                  </w:r>
                  <w:r>
                    <w:rPr>
                      <w:rFonts w:cs="Georgia"/>
                      <w:color w:val="000000"/>
                      <w:spacing w:val="35"/>
                    </w:rPr>
                    <w:t xml:space="preserve"> </w:t>
                  </w:r>
                  <w:r>
                    <w:rPr>
                      <w:rFonts w:cs="Georgia"/>
                      <w:color w:val="000000"/>
                      <w:spacing w:val="1"/>
                    </w:rPr>
                    <w:t>p</w:t>
                  </w:r>
                  <w:r>
                    <w:rPr>
                      <w:rFonts w:cs="Georgia"/>
                      <w:color w:val="000000"/>
                      <w:spacing w:val="-1"/>
                    </w:rPr>
                    <w:t>e</w:t>
                  </w:r>
                  <w:r>
                    <w:rPr>
                      <w:rFonts w:cs="Georgia"/>
                      <w:color w:val="000000"/>
                    </w:rPr>
                    <w:t>ut</w:t>
                  </w:r>
                  <w:r>
                    <w:rPr>
                      <w:rFonts w:cs="Georgia"/>
                      <w:color w:val="000000"/>
                      <w:spacing w:val="36"/>
                    </w:rPr>
                    <w:t xml:space="preserve"> </w:t>
                  </w:r>
                  <w:r>
                    <w:rPr>
                      <w:rFonts w:cs="Georgia"/>
                      <w:color w:val="000000"/>
                      <w:spacing w:val="-3"/>
                    </w:rPr>
                    <w:t>a</w:t>
                  </w:r>
                  <w:r>
                    <w:rPr>
                      <w:rFonts w:cs="Georgia"/>
                      <w:color w:val="000000"/>
                      <w:spacing w:val="1"/>
                    </w:rPr>
                    <w:t>vo</w:t>
                  </w:r>
                  <w:r>
                    <w:rPr>
                      <w:rFonts w:cs="Georgia"/>
                      <w:color w:val="000000"/>
                      <w:spacing w:val="-2"/>
                    </w:rPr>
                    <w:t>i</w:t>
                  </w:r>
                  <w:r>
                    <w:rPr>
                      <w:rFonts w:cs="Georgia"/>
                      <w:color w:val="000000"/>
                    </w:rPr>
                    <w:t>r</w:t>
                  </w:r>
                  <w:r>
                    <w:rPr>
                      <w:rFonts w:cs="Georgia"/>
                      <w:color w:val="000000"/>
                      <w:spacing w:val="36"/>
                    </w:rPr>
                    <w:t xml:space="preserve"> </w:t>
                  </w:r>
                  <w:r>
                    <w:rPr>
                      <w:rFonts w:cs="Georgia"/>
                      <w:color w:val="000000"/>
                      <w:spacing w:val="-3"/>
                    </w:rPr>
                    <w:t>l</w:t>
                  </w:r>
                  <w:r>
                    <w:rPr>
                      <w:rFonts w:cs="Georgia"/>
                      <w:color w:val="000000"/>
                      <w:spacing w:val="1"/>
                    </w:rPr>
                    <w:t>i</w:t>
                  </w:r>
                  <w:r>
                    <w:rPr>
                      <w:rFonts w:cs="Georgia"/>
                      <w:color w:val="000000"/>
                      <w:spacing w:val="-1"/>
                    </w:rPr>
                    <w:t>e</w:t>
                  </w:r>
                  <w:r>
                    <w:rPr>
                      <w:rFonts w:cs="Georgia"/>
                      <w:color w:val="000000"/>
                    </w:rPr>
                    <w:t>u</w:t>
                  </w:r>
                  <w:r>
                    <w:rPr>
                      <w:rFonts w:cs="Georgia"/>
                      <w:color w:val="000000"/>
                      <w:spacing w:val="36"/>
                    </w:rPr>
                    <w:t xml:space="preserve"> </w:t>
                  </w:r>
                  <w:r>
                    <w:rPr>
                      <w:rFonts w:cs="Georgia"/>
                      <w:color w:val="000000"/>
                      <w:spacing w:val="-1"/>
                    </w:rPr>
                    <w:t>a</w:t>
                  </w:r>
                  <w:r>
                    <w:rPr>
                      <w:rFonts w:cs="Georgia"/>
                      <w:color w:val="000000"/>
                      <w:spacing w:val="1"/>
                    </w:rPr>
                    <w:t>v</w:t>
                  </w:r>
                  <w:r>
                    <w:rPr>
                      <w:rFonts w:cs="Georgia"/>
                      <w:color w:val="000000"/>
                      <w:spacing w:val="-1"/>
                    </w:rPr>
                    <w:t>an</w:t>
                  </w:r>
                  <w:r>
                    <w:rPr>
                      <w:rFonts w:cs="Georgia"/>
                      <w:color w:val="000000"/>
                    </w:rPr>
                    <w:t>t</w:t>
                  </w:r>
                  <w:r>
                    <w:rPr>
                      <w:rFonts w:cs="Georgia"/>
                      <w:color w:val="000000"/>
                      <w:spacing w:val="36"/>
                    </w:rPr>
                    <w:t xml:space="preserve"> </w:t>
                  </w:r>
                  <w:r>
                    <w:rPr>
                      <w:rFonts w:cs="Georgia"/>
                      <w:color w:val="000000"/>
                    </w:rPr>
                    <w:t>d</w:t>
                  </w:r>
                  <w:r>
                    <w:rPr>
                      <w:rFonts w:cs="Georgia"/>
                      <w:color w:val="000000"/>
                      <w:spacing w:val="-2"/>
                    </w:rPr>
                    <w:t>'</w:t>
                  </w:r>
                  <w:r>
                    <w:rPr>
                      <w:rFonts w:cs="Georgia"/>
                      <w:color w:val="000000"/>
                      <w:spacing w:val="-1"/>
                    </w:rPr>
                    <w:t>o</w:t>
                  </w:r>
                  <w:r>
                    <w:rPr>
                      <w:rFonts w:cs="Georgia"/>
                      <w:color w:val="000000"/>
                      <w:spacing w:val="1"/>
                    </w:rPr>
                    <w:t>bt</w:t>
                  </w:r>
                  <w:r>
                    <w:rPr>
                      <w:rFonts w:cs="Georgia"/>
                      <w:color w:val="000000"/>
                      <w:spacing w:val="-1"/>
                    </w:rPr>
                    <w:t>en</w:t>
                  </w:r>
                  <w:r>
                    <w:rPr>
                      <w:rFonts w:cs="Georgia"/>
                      <w:color w:val="000000"/>
                    </w:rPr>
                    <w:t>ir</w:t>
                  </w:r>
                  <w:r>
                    <w:rPr>
                      <w:rFonts w:cs="Georgia"/>
                      <w:color w:val="000000"/>
                      <w:spacing w:val="36"/>
                    </w:rPr>
                    <w:t xml:space="preserve"> </w:t>
                  </w:r>
                  <w:r>
                    <w:rPr>
                      <w:rFonts w:cs="Georgia"/>
                      <w:color w:val="000000"/>
                      <w:spacing w:val="-1"/>
                    </w:rPr>
                    <w:t>l</w:t>
                  </w:r>
                  <w:r>
                    <w:rPr>
                      <w:rFonts w:cs="Georgia"/>
                      <w:color w:val="000000"/>
                      <w:spacing w:val="1"/>
                    </w:rPr>
                    <w:t>'</w:t>
                  </w:r>
                  <w:r>
                    <w:rPr>
                      <w:rFonts w:cs="Georgia"/>
                      <w:color w:val="000000"/>
                      <w:spacing w:val="-3"/>
                    </w:rPr>
                    <w:t>a</w:t>
                  </w:r>
                  <w:r>
                    <w:rPr>
                      <w:rFonts w:cs="Georgia"/>
                      <w:color w:val="000000"/>
                      <w:spacing w:val="1"/>
                    </w:rPr>
                    <w:t>c</w:t>
                  </w:r>
                  <w:r>
                    <w:rPr>
                      <w:rFonts w:cs="Georgia"/>
                      <w:color w:val="000000"/>
                      <w:spacing w:val="-2"/>
                    </w:rPr>
                    <w:t>c</w:t>
                  </w:r>
                  <w:r>
                    <w:rPr>
                      <w:rFonts w:cs="Georgia"/>
                      <w:color w:val="000000"/>
                      <w:spacing w:val="1"/>
                    </w:rPr>
                    <w:t>or</w:t>
                  </w:r>
                  <w:r>
                    <w:rPr>
                      <w:rFonts w:cs="Georgia"/>
                      <w:color w:val="000000"/>
                    </w:rPr>
                    <w:t>d</w:t>
                  </w:r>
                  <w:r>
                    <w:rPr>
                      <w:rFonts w:cs="Georgia"/>
                      <w:color w:val="000000"/>
                      <w:spacing w:val="34"/>
                    </w:rPr>
                    <w:t xml:space="preserve"> </w:t>
                  </w:r>
                  <w:r>
                    <w:rPr>
                      <w:rFonts w:cs="Georgia"/>
                      <w:color w:val="000000"/>
                    </w:rPr>
                    <w:t>du</w:t>
                  </w:r>
                  <w:r>
                    <w:rPr>
                      <w:rFonts w:cs="Georgia"/>
                      <w:color w:val="000000"/>
                      <w:spacing w:val="34"/>
                    </w:rPr>
                    <w:t xml:space="preserve"> </w:t>
                  </w:r>
                  <w:r>
                    <w:rPr>
                      <w:rFonts w:cs="Georgia"/>
                      <w:color w:val="000000"/>
                      <w:spacing w:val="1"/>
                    </w:rPr>
                    <w:t>v</w:t>
                  </w:r>
                  <w:r>
                    <w:rPr>
                      <w:rFonts w:cs="Georgia"/>
                      <w:color w:val="000000"/>
                      <w:spacing w:val="-1"/>
                    </w:rPr>
                    <w:t>é</w:t>
                  </w:r>
                  <w:r>
                    <w:rPr>
                      <w:rFonts w:cs="Georgia"/>
                      <w:color w:val="000000"/>
                      <w:spacing w:val="1"/>
                    </w:rPr>
                    <w:t>r</w:t>
                  </w:r>
                  <w:r>
                    <w:rPr>
                      <w:rFonts w:cs="Georgia"/>
                      <w:color w:val="000000"/>
                    </w:rPr>
                    <w:t>i</w:t>
                  </w:r>
                  <w:r>
                    <w:rPr>
                      <w:rFonts w:cs="Georgia"/>
                      <w:color w:val="000000"/>
                      <w:spacing w:val="-2"/>
                    </w:rPr>
                    <w:t>f</w:t>
                  </w:r>
                  <w:r>
                    <w:rPr>
                      <w:rFonts w:cs="Georgia"/>
                      <w:color w:val="000000"/>
                    </w:rPr>
                    <w:t>i</w:t>
                  </w:r>
                  <w:r>
                    <w:rPr>
                      <w:rFonts w:cs="Georgia"/>
                      <w:color w:val="000000"/>
                      <w:spacing w:val="1"/>
                    </w:rPr>
                    <w:t>c</w:t>
                  </w:r>
                  <w:r>
                    <w:rPr>
                      <w:rFonts w:cs="Georgia"/>
                      <w:color w:val="000000"/>
                      <w:spacing w:val="-1"/>
                    </w:rPr>
                    <w:t>a</w:t>
                  </w:r>
                  <w:r>
                    <w:rPr>
                      <w:rFonts w:cs="Georgia"/>
                      <w:color w:val="000000"/>
                      <w:spacing w:val="1"/>
                    </w:rPr>
                    <w:t>t</w:t>
                  </w:r>
                  <w:r>
                    <w:rPr>
                      <w:rFonts w:cs="Georgia"/>
                      <w:color w:val="000000"/>
                      <w:spacing w:val="-1"/>
                    </w:rPr>
                    <w:t>e</w:t>
                  </w:r>
                  <w:r>
                    <w:rPr>
                      <w:rFonts w:cs="Georgia"/>
                      <w:color w:val="000000"/>
                    </w:rPr>
                    <w:t>ur</w:t>
                  </w:r>
                  <w:r>
                    <w:rPr>
                      <w:rFonts w:cs="Georgia"/>
                      <w:color w:val="000000"/>
                      <w:spacing w:val="34"/>
                    </w:rPr>
                    <w:t xml:space="preserve"> </w:t>
                  </w:r>
                  <w:r>
                    <w:rPr>
                      <w:rFonts w:cs="Georgia"/>
                      <w:color w:val="000000"/>
                      <w:spacing w:val="1"/>
                    </w:rPr>
                    <w:t>s</w:t>
                  </w:r>
                  <w:r>
                    <w:rPr>
                      <w:rFonts w:cs="Georgia"/>
                      <w:color w:val="000000"/>
                      <w:spacing w:val="-2"/>
                    </w:rPr>
                    <w:t>u</w:t>
                  </w:r>
                  <w:r>
                    <w:rPr>
                      <w:rFonts w:cs="Georgia"/>
                      <w:color w:val="000000"/>
                    </w:rPr>
                    <w:t xml:space="preserve">r </w:t>
                  </w:r>
                  <w:r>
                    <w:rPr>
                      <w:rFonts w:cs="Georgia"/>
                      <w:color w:val="000000"/>
                      <w:spacing w:val="1"/>
                    </w:rPr>
                    <w:t>c</w:t>
                  </w:r>
                  <w:r>
                    <w:rPr>
                      <w:rFonts w:cs="Georgia"/>
                      <w:color w:val="000000"/>
                      <w:spacing w:val="-1"/>
                    </w:rPr>
                    <w:t>e</w:t>
                  </w:r>
                  <w:r>
                    <w:rPr>
                      <w:rFonts w:cs="Georgia"/>
                      <w:color w:val="000000"/>
                      <w:spacing w:val="1"/>
                    </w:rPr>
                    <w:t>tt</w:t>
                  </w:r>
                  <w:r>
                    <w:rPr>
                      <w:rFonts w:cs="Georgia"/>
                      <w:color w:val="000000"/>
                    </w:rPr>
                    <w:t>e</w:t>
                  </w:r>
                  <w:r>
                    <w:rPr>
                      <w:rFonts w:cs="Georgia"/>
                      <w:color w:val="000000"/>
                      <w:spacing w:val="-1"/>
                    </w:rPr>
                    <w:t xml:space="preserve"> a</w:t>
                  </w:r>
                  <w:r>
                    <w:rPr>
                      <w:rFonts w:cs="Georgia"/>
                      <w:color w:val="000000"/>
                    </w:rPr>
                    <w:t>ugm</w:t>
                  </w:r>
                  <w:r>
                    <w:rPr>
                      <w:rFonts w:cs="Georgia"/>
                      <w:color w:val="000000"/>
                      <w:spacing w:val="-1"/>
                    </w:rPr>
                    <w:t>en</w:t>
                  </w:r>
                  <w:r>
                    <w:rPr>
                      <w:rFonts w:cs="Georgia"/>
                      <w:color w:val="000000"/>
                      <w:spacing w:val="1"/>
                    </w:rPr>
                    <w:t>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 xml:space="preserve">n. </w:t>
                  </w:r>
                </w:p>
                <w:p>
                  <w:pPr>
                    <w:widowControl w:val="0"/>
                    <w:autoSpaceDE w:val="0"/>
                    <w:autoSpaceDN w:val="0"/>
                    <w:adjustRightInd w:val="0"/>
                    <w:spacing w:line="250" w:lineRule="exact"/>
                    <w:jc w:val="both"/>
                    <w:rPr>
                      <w:rFonts w:cs="Georgia"/>
                      <w:color w:val="000000"/>
                    </w:rPr>
                  </w:pPr>
                </w:p>
                <w:p>
                  <w:pPr>
                    <w:widowControl w:val="0"/>
                    <w:pBdr>
                      <w:right w:val="single" w:sz="4" w:space="4" w:color="auto"/>
                    </w:pBdr>
                    <w:autoSpaceDE w:val="0"/>
                    <w:autoSpaceDN w:val="0"/>
                    <w:adjustRightInd w:val="0"/>
                    <w:spacing w:line="250" w:lineRule="exact"/>
                    <w:jc w:val="both"/>
                    <w:rPr>
                      <w:rFonts w:cs="Georgia"/>
                      <w:color w:val="000000"/>
                    </w:rPr>
                  </w:pPr>
                  <w:r>
                    <w:rPr>
                      <w:rFonts w:cs="Georgia"/>
                      <w:color w:val="000000"/>
                    </w:rPr>
                    <w:t xml:space="preserve">En outre, 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pPr>
                    <w:widowControl w:val="0"/>
                    <w:autoSpaceDE w:val="0"/>
                    <w:autoSpaceDN w:val="0"/>
                    <w:adjustRightInd w:val="0"/>
                    <w:spacing w:before="7" w:line="240" w:lineRule="exact"/>
                    <w:jc w:val="both"/>
                    <w:rPr>
                      <w:rFonts w:cs="Georgia"/>
                      <w:color w:val="000000"/>
                    </w:rPr>
                  </w:pPr>
                </w:p>
                <w:p>
                  <w:pPr>
                    <w:pStyle w:val="Titre4"/>
                  </w:pPr>
                  <w:bookmarkStart w:id="1738" w:name="_Toc453314318"/>
                  <w:bookmarkStart w:id="1739" w:name="_Toc454980353"/>
                  <w:r>
                    <w:t>1.6. Utilisation du capital-périodes</w:t>
                  </w:r>
                  <w:bookmarkEnd w:id="1738"/>
                  <w:bookmarkEnd w:id="1739"/>
                </w:p>
                <w:p>
                  <w:pPr>
                    <w:widowControl w:val="0"/>
                    <w:autoSpaceDE w:val="0"/>
                    <w:autoSpaceDN w:val="0"/>
                    <w:adjustRightInd w:val="0"/>
                    <w:spacing w:before="10" w:line="240" w:lineRule="exact"/>
                    <w:jc w:val="both"/>
                    <w:rPr>
                      <w:rFonts w:cs="Georgia"/>
                      <w:color w:val="000000"/>
                    </w:rPr>
                  </w:pPr>
                </w:p>
                <w:p>
                  <w:pPr>
                    <w:widowControl w:val="0"/>
                    <w:autoSpaceDE w:val="0"/>
                    <w:autoSpaceDN w:val="0"/>
                    <w:adjustRightInd w:val="0"/>
                    <w:spacing w:line="241" w:lineRule="auto"/>
                    <w:jc w:val="both"/>
                    <w:rPr>
                      <w:rFonts w:cs="Georgia"/>
                      <w:color w:val="000000"/>
                    </w:rPr>
                  </w:pPr>
                  <w:r>
                    <w:rPr>
                      <w:rFonts w:cs="Georgia"/>
                      <w:color w:val="000000"/>
                    </w:rPr>
                    <w:t>Il</w:t>
                  </w:r>
                  <w:r>
                    <w:rPr>
                      <w:rFonts w:cs="Georgia"/>
                      <w:color w:val="000000"/>
                      <w:spacing w:val="25"/>
                    </w:rPr>
                    <w:t xml:space="preserve"> </w:t>
                  </w:r>
                  <w:r>
                    <w:rPr>
                      <w:rFonts w:cs="Georgia"/>
                      <w:color w:val="000000"/>
                      <w:spacing w:val="-1"/>
                    </w:rPr>
                    <w:t>e</w:t>
                  </w:r>
                  <w:r>
                    <w:rPr>
                      <w:rFonts w:cs="Georgia"/>
                      <w:color w:val="000000"/>
                      <w:spacing w:val="1"/>
                    </w:rPr>
                    <w:t>s</w:t>
                  </w:r>
                  <w:r>
                    <w:rPr>
                      <w:rFonts w:cs="Georgia"/>
                      <w:color w:val="000000"/>
                    </w:rPr>
                    <w:t>t</w:t>
                  </w:r>
                  <w:r>
                    <w:rPr>
                      <w:rFonts w:cs="Georgia"/>
                      <w:color w:val="000000"/>
                      <w:spacing w:val="24"/>
                    </w:rPr>
                    <w:t xml:space="preserve"> </w:t>
                  </w:r>
                  <w:r>
                    <w:rPr>
                      <w:rFonts w:cs="Georgia"/>
                      <w:color w:val="000000"/>
                      <w:spacing w:val="1"/>
                    </w:rPr>
                    <w:t>r</w:t>
                  </w:r>
                  <w:r>
                    <w:rPr>
                      <w:rFonts w:cs="Georgia"/>
                      <w:color w:val="000000"/>
                      <w:spacing w:val="-1"/>
                    </w:rPr>
                    <w:t>ap</w:t>
                  </w:r>
                  <w:r>
                    <w:rPr>
                      <w:rFonts w:cs="Georgia"/>
                      <w:color w:val="000000"/>
                      <w:spacing w:val="1"/>
                    </w:rPr>
                    <w:t>p</w:t>
                  </w:r>
                  <w:r>
                    <w:rPr>
                      <w:rFonts w:cs="Georgia"/>
                      <w:color w:val="000000"/>
                      <w:spacing w:val="-1"/>
                    </w:rPr>
                    <w:t>el</w:t>
                  </w:r>
                  <w:r>
                    <w:rPr>
                      <w:rFonts w:cs="Georgia"/>
                      <w:color w:val="000000"/>
                    </w:rPr>
                    <w:t>é</w:t>
                  </w:r>
                  <w:r>
                    <w:rPr>
                      <w:rFonts w:cs="Georgia"/>
                      <w:color w:val="000000"/>
                      <w:spacing w:val="25"/>
                    </w:rPr>
                    <w:t xml:space="preserve"> </w:t>
                  </w:r>
                  <w:r>
                    <w:rPr>
                      <w:rFonts w:cs="Georgia"/>
                      <w:color w:val="000000"/>
                      <w:spacing w:val="-1"/>
                    </w:rPr>
                    <w:t>q</w:t>
                  </w:r>
                  <w:r>
                    <w:rPr>
                      <w:rFonts w:cs="Georgia"/>
                      <w:color w:val="000000"/>
                    </w:rPr>
                    <w:t>u</w:t>
                  </w:r>
                  <w:r>
                    <w:rPr>
                      <w:rFonts w:cs="Georgia"/>
                      <w:color w:val="000000"/>
                      <w:spacing w:val="-1"/>
                    </w:rPr>
                    <w:t>e</w:t>
                  </w:r>
                  <w:r>
                    <w:rPr>
                      <w:rFonts w:cs="Georgia"/>
                      <w:color w:val="000000"/>
                    </w:rPr>
                    <w:t>,</w:t>
                  </w:r>
                  <w:r>
                    <w:rPr>
                      <w:rFonts w:cs="Georgia"/>
                      <w:color w:val="000000"/>
                      <w:spacing w:val="24"/>
                    </w:rPr>
                    <w:t xml:space="preserve"> </w:t>
                  </w:r>
                  <w:r>
                    <w:rPr>
                      <w:rFonts w:cs="Georgia"/>
                      <w:color w:val="000000"/>
                      <w:spacing w:val="1"/>
                    </w:rPr>
                    <w:t>p</w:t>
                  </w:r>
                  <w:r>
                    <w:rPr>
                      <w:rFonts w:cs="Georgia"/>
                      <w:color w:val="000000"/>
                      <w:spacing w:val="-1"/>
                    </w:rPr>
                    <w:t>o</w:t>
                  </w:r>
                  <w:r>
                    <w:rPr>
                      <w:rFonts w:cs="Georgia"/>
                      <w:color w:val="000000"/>
                    </w:rPr>
                    <w:t>ur</w:t>
                  </w:r>
                  <w:r>
                    <w:rPr>
                      <w:rFonts w:cs="Georgia"/>
                      <w:color w:val="000000"/>
                      <w:spacing w:val="24"/>
                    </w:rPr>
                    <w:t xml:space="preserve"> </w:t>
                  </w:r>
                  <w:r>
                    <w:rPr>
                      <w:rFonts w:cs="Georgia"/>
                      <w:color w:val="000000"/>
                      <w:spacing w:val="-1"/>
                    </w:rPr>
                    <w:t>l</w:t>
                  </w:r>
                  <w:r>
                    <w:rPr>
                      <w:rFonts w:cs="Georgia"/>
                      <w:color w:val="000000"/>
                    </w:rPr>
                    <w:t>a</w:t>
                  </w:r>
                  <w:r>
                    <w:rPr>
                      <w:rFonts w:cs="Georgia"/>
                      <w:color w:val="000000"/>
                      <w:spacing w:val="25"/>
                    </w:rPr>
                    <w:t xml:space="preserve"> </w:t>
                  </w:r>
                  <w:r>
                    <w:rPr>
                      <w:rFonts w:cs="Georgia"/>
                      <w:color w:val="000000"/>
                      <w:spacing w:val="1"/>
                    </w:rPr>
                    <w:t>r</w:t>
                  </w:r>
                  <w:r>
                    <w:rPr>
                      <w:rFonts w:cs="Georgia"/>
                      <w:color w:val="000000"/>
                      <w:spacing w:val="-1"/>
                    </w:rPr>
                    <w:t>é</w:t>
                  </w:r>
                  <w:r>
                    <w:rPr>
                      <w:rFonts w:cs="Georgia"/>
                      <w:color w:val="000000"/>
                      <w:spacing w:val="1"/>
                    </w:rPr>
                    <w:t>p</w:t>
                  </w:r>
                  <w:r>
                    <w:rPr>
                      <w:rFonts w:cs="Georgia"/>
                      <w:color w:val="000000"/>
                      <w:spacing w:val="-1"/>
                    </w:rPr>
                    <w:t>a</w:t>
                  </w:r>
                  <w:r>
                    <w:rPr>
                      <w:rFonts w:cs="Georgia"/>
                      <w:color w:val="000000"/>
                      <w:spacing w:val="1"/>
                    </w:rPr>
                    <w:t>r</w:t>
                  </w:r>
                  <w:r>
                    <w:rPr>
                      <w:rFonts w:cs="Georgia"/>
                      <w:color w:val="000000"/>
                      <w:spacing w:val="-2"/>
                    </w:rPr>
                    <w:t>t</w:t>
                  </w:r>
                  <w:r>
                    <w:rPr>
                      <w:rFonts w:cs="Georgia"/>
                      <w:color w:val="000000"/>
                    </w:rPr>
                    <w:t>i</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25"/>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24"/>
                    </w:rPr>
                    <w:t xml:space="preserve"> </w:t>
                  </w:r>
                  <w:r>
                    <w:rPr>
                      <w:rFonts w:cs="Georgia"/>
                      <w:color w:val="000000"/>
                      <w:spacing w:val="-1"/>
                    </w:rPr>
                    <w:t>a</w:t>
                  </w:r>
                  <w:r>
                    <w:rPr>
                      <w:rFonts w:cs="Georgia"/>
                      <w:color w:val="000000"/>
                      <w:spacing w:val="1"/>
                    </w:rPr>
                    <w:t>t</w:t>
                  </w:r>
                  <w:r>
                    <w:rPr>
                      <w:rFonts w:cs="Georgia"/>
                      <w:color w:val="000000"/>
                      <w:spacing w:val="-2"/>
                    </w:rPr>
                    <w:t>t</w:t>
                  </w:r>
                  <w:r>
                    <w:rPr>
                      <w:rFonts w:cs="Georgia"/>
                      <w:color w:val="000000"/>
                      <w:spacing w:val="1"/>
                    </w:rPr>
                    <w:t>r</w:t>
                  </w:r>
                  <w:r>
                    <w:rPr>
                      <w:rFonts w:cs="Georgia"/>
                      <w:color w:val="000000"/>
                      <w:spacing w:val="-2"/>
                    </w:rPr>
                    <w:t>i</w:t>
                  </w:r>
                  <w:r>
                    <w:rPr>
                      <w:rFonts w:cs="Georgia"/>
                      <w:color w:val="000000"/>
                      <w:spacing w:val="1"/>
                    </w:rPr>
                    <w:t>b</w:t>
                  </w:r>
                  <w:r>
                    <w:rPr>
                      <w:rFonts w:cs="Georgia"/>
                      <w:color w:val="000000"/>
                      <w:spacing w:val="-2"/>
                    </w:rPr>
                    <w:t>u</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w:t>
                  </w:r>
                  <w:r>
                    <w:rPr>
                      <w:rFonts w:cs="Georgia"/>
                      <w:color w:val="000000"/>
                      <w:spacing w:val="-2"/>
                    </w:rPr>
                    <w:t>s</w:t>
                  </w:r>
                  <w:r>
                    <w:rPr>
                      <w:rFonts w:cs="Georgia"/>
                      <w:color w:val="000000"/>
                    </w:rPr>
                    <w:t>,</w:t>
                  </w:r>
                  <w:r>
                    <w:rPr>
                      <w:rFonts w:cs="Georgia"/>
                      <w:color w:val="000000"/>
                      <w:spacing w:val="27"/>
                    </w:rPr>
                    <w:t xml:space="preserve"> </w:t>
                  </w:r>
                  <w:r>
                    <w:rPr>
                      <w:rFonts w:cs="Georgia"/>
                      <w:color w:val="000000"/>
                      <w:spacing w:val="-1"/>
                    </w:rPr>
                    <w:t>l</w:t>
                  </w:r>
                  <w:r>
                    <w:rPr>
                      <w:rFonts w:cs="Georgia"/>
                      <w:color w:val="000000"/>
                    </w:rPr>
                    <w:t>a</w:t>
                  </w:r>
                  <w:r>
                    <w:rPr>
                      <w:rFonts w:cs="Georgia"/>
                      <w:color w:val="000000"/>
                      <w:spacing w:val="23"/>
                    </w:rPr>
                    <w:t xml:space="preserve"> </w:t>
                  </w:r>
                  <w:r>
                    <w:rPr>
                      <w:rFonts w:cs="Georgia"/>
                      <w:color w:val="000000"/>
                      <w:spacing w:val="1"/>
                    </w:rPr>
                    <w:t>co</w:t>
                  </w:r>
                  <w:r>
                    <w:rPr>
                      <w:rFonts w:cs="Georgia"/>
                      <w:color w:val="000000"/>
                      <w:spacing w:val="-1"/>
                    </w:rPr>
                    <w:t>n</w:t>
                  </w:r>
                  <w:r>
                    <w:rPr>
                      <w:rFonts w:cs="Georgia"/>
                      <w:color w:val="000000"/>
                      <w:spacing w:val="-2"/>
                    </w:rPr>
                    <w:t>s</w:t>
                  </w:r>
                  <w:r>
                    <w:rPr>
                      <w:rFonts w:cs="Georgia"/>
                      <w:color w:val="000000"/>
                    </w:rPr>
                    <w:t>u</w:t>
                  </w:r>
                  <w:r>
                    <w:rPr>
                      <w:rFonts w:cs="Georgia"/>
                      <w:color w:val="000000"/>
                      <w:spacing w:val="-1"/>
                    </w:rPr>
                    <w:t>l</w:t>
                  </w:r>
                  <w:r>
                    <w:rPr>
                      <w:rFonts w:cs="Georgia"/>
                      <w:color w:val="000000"/>
                      <w:spacing w:val="1"/>
                    </w:rPr>
                    <w:t>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23"/>
                    </w:rPr>
                    <w:t xml:space="preserve"> </w:t>
                  </w:r>
                  <w:r>
                    <w:rPr>
                      <w:rFonts w:cs="Georgia"/>
                      <w:color w:val="000000"/>
                      <w:spacing w:val="1"/>
                    </w:rPr>
                    <w:t>p</w:t>
                  </w:r>
                  <w:r>
                    <w:rPr>
                      <w:rFonts w:cs="Georgia"/>
                      <w:color w:val="000000"/>
                      <w:spacing w:val="-2"/>
                    </w:rPr>
                    <w:t>r</w:t>
                  </w:r>
                  <w:r>
                    <w:rPr>
                      <w:rFonts w:cs="Georgia"/>
                      <w:color w:val="000000"/>
                      <w:spacing w:val="-1"/>
                    </w:rPr>
                    <w:t>éala</w:t>
                  </w:r>
                  <w:r>
                    <w:rPr>
                      <w:rFonts w:cs="Georgia"/>
                      <w:color w:val="000000"/>
                      <w:spacing w:val="1"/>
                    </w:rPr>
                    <w:t>b</w:t>
                  </w:r>
                  <w:r>
                    <w:rPr>
                      <w:rFonts w:cs="Georgia"/>
                      <w:color w:val="000000"/>
                      <w:spacing w:val="-1"/>
                    </w:rPr>
                    <w:t>le</w:t>
                  </w:r>
                  <w:r>
                    <w:rPr>
                      <w:rFonts w:cs="Georgia"/>
                      <w:color w:val="000000"/>
                    </w:rPr>
                    <w:t>,</w:t>
                  </w:r>
                  <w:r>
                    <w:rPr>
                      <w:rFonts w:cs="Georgia"/>
                      <w:color w:val="000000"/>
                      <w:spacing w:val="27"/>
                    </w:rPr>
                    <w:t xml:space="preserve"> </w:t>
                  </w:r>
                  <w:r>
                    <w:rPr>
                      <w:rFonts w:cs="Georgia"/>
                      <w:color w:val="000000"/>
                      <w:spacing w:val="1"/>
                    </w:rPr>
                    <w:t>v</w:t>
                  </w:r>
                  <w:r>
                    <w:rPr>
                      <w:rFonts w:cs="Georgia"/>
                      <w:color w:val="000000"/>
                    </w:rPr>
                    <w:t>ia</w:t>
                  </w:r>
                  <w:r>
                    <w:rPr>
                      <w:rFonts w:cs="Georgia"/>
                      <w:color w:val="000000"/>
                      <w:spacing w:val="25"/>
                    </w:rPr>
                    <w:t xml:space="preserve"> </w:t>
                  </w:r>
                  <w:r>
                    <w:rPr>
                      <w:rFonts w:cs="Georgia"/>
                      <w:color w:val="000000"/>
                      <w:spacing w:val="-1"/>
                    </w:rPr>
                    <w:t>le</w:t>
                  </w:r>
                  <w:r>
                    <w:rPr>
                      <w:rFonts w:cs="Georgia"/>
                      <w:color w:val="000000"/>
                    </w:rPr>
                    <w:t>s</w:t>
                  </w:r>
                  <w:r>
                    <w:rPr>
                      <w:rFonts w:cs="Georgia"/>
                      <w:color w:val="000000"/>
                      <w:spacing w:val="24"/>
                    </w:rPr>
                    <w:t xml:space="preserve"> </w:t>
                  </w:r>
                  <w:r>
                    <w:rPr>
                      <w:rFonts w:cs="Georgia"/>
                      <w:color w:val="000000"/>
                      <w:spacing w:val="1"/>
                    </w:rPr>
                    <w:t>o</w:t>
                  </w:r>
                  <w:r>
                    <w:rPr>
                      <w:rFonts w:cs="Georgia"/>
                      <w:color w:val="000000"/>
                      <w:spacing w:val="-2"/>
                    </w:rPr>
                    <w:t>r</w:t>
                  </w:r>
                  <w:r>
                    <w:rPr>
                      <w:rFonts w:cs="Georgia"/>
                      <w:color w:val="000000"/>
                    </w:rPr>
                    <w:t>g</w:t>
                  </w:r>
                  <w:r>
                    <w:rPr>
                      <w:rFonts w:cs="Georgia"/>
                      <w:color w:val="000000"/>
                      <w:spacing w:val="-1"/>
                    </w:rPr>
                    <w:t>ane</w:t>
                  </w:r>
                  <w:r>
                    <w:rPr>
                      <w:rFonts w:cs="Georgia"/>
                      <w:color w:val="000000"/>
                    </w:rPr>
                    <w:t xml:space="preserve">s </w:t>
                  </w:r>
                  <w:r>
                    <w:rPr>
                      <w:rFonts w:cs="Georgia"/>
                      <w:color w:val="000000"/>
                      <w:spacing w:val="-1"/>
                    </w:rPr>
                    <w:t>lé</w:t>
                  </w:r>
                  <w:r>
                    <w:rPr>
                      <w:rFonts w:cs="Georgia"/>
                      <w:color w:val="000000"/>
                    </w:rPr>
                    <w:t>g</w:t>
                  </w:r>
                  <w:r>
                    <w:rPr>
                      <w:rFonts w:cs="Georgia"/>
                      <w:color w:val="000000"/>
                      <w:spacing w:val="-1"/>
                    </w:rPr>
                    <w:t>a</w:t>
                  </w:r>
                  <w:r>
                    <w:rPr>
                      <w:rFonts w:cs="Georgia"/>
                      <w:color w:val="000000"/>
                    </w:rPr>
                    <w:t>ux</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co</w:t>
                  </w:r>
                  <w:r>
                    <w:rPr>
                      <w:rFonts w:cs="Georgia"/>
                      <w:color w:val="000000"/>
                      <w:spacing w:val="-1"/>
                    </w:rPr>
                    <w:t>n</w:t>
                  </w:r>
                  <w:r>
                    <w:rPr>
                      <w:rFonts w:cs="Georgia"/>
                      <w:color w:val="000000"/>
                      <w:spacing w:val="1"/>
                    </w:rPr>
                    <w:t>c</w:t>
                  </w:r>
                  <w:r>
                    <w:rPr>
                      <w:rFonts w:cs="Georgia"/>
                      <w:color w:val="000000"/>
                      <w:spacing w:val="-1"/>
                    </w:rPr>
                    <w:t>e</w:t>
                  </w:r>
                  <w:r>
                    <w:rPr>
                      <w:rFonts w:cs="Georgia"/>
                      <w:color w:val="000000"/>
                      <w:spacing w:val="1"/>
                    </w:rPr>
                    <w:t>rt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 xml:space="preserve">, </w:t>
                  </w:r>
                  <w:r>
                    <w:rPr>
                      <w:rFonts w:cs="Georgia"/>
                      <w:color w:val="000000"/>
                      <w:spacing w:val="-3"/>
                    </w:rPr>
                    <w:t>e</w:t>
                  </w:r>
                  <w:r>
                    <w:rPr>
                      <w:rFonts w:cs="Georgia"/>
                      <w:color w:val="000000"/>
                      <w:spacing w:val="1"/>
                    </w:rPr>
                    <w:t>s</w:t>
                  </w:r>
                  <w:r>
                    <w:rPr>
                      <w:rFonts w:cs="Georgia"/>
                      <w:color w:val="000000"/>
                    </w:rPr>
                    <w:t xml:space="preserve">t </w:t>
                  </w:r>
                  <w:r>
                    <w:rPr>
                      <w:rFonts w:cs="Georgia"/>
                      <w:color w:val="000000"/>
                      <w:spacing w:val="1"/>
                    </w:rPr>
                    <w:t>r</w:t>
                  </w:r>
                  <w:r>
                    <w:rPr>
                      <w:rFonts w:cs="Georgia"/>
                      <w:color w:val="000000"/>
                      <w:spacing w:val="-1"/>
                    </w:rPr>
                    <w:t>eq</w:t>
                  </w:r>
                  <w:r>
                    <w:rPr>
                      <w:rFonts w:cs="Georgia"/>
                      <w:color w:val="000000"/>
                    </w:rPr>
                    <w:t>ui</w:t>
                  </w:r>
                  <w:r>
                    <w:rPr>
                      <w:rFonts w:cs="Georgia"/>
                      <w:color w:val="000000"/>
                      <w:spacing w:val="1"/>
                    </w:rPr>
                    <w:t>s</w:t>
                  </w:r>
                  <w:r>
                    <w:rPr>
                      <w:rFonts w:cs="Georgia"/>
                      <w:color w:val="000000"/>
                      <w:spacing w:val="-1"/>
                    </w:rPr>
                    <w:t>e.</w:t>
                  </w:r>
                </w:p>
                <w:p>
                  <w:pPr>
                    <w:widowControl w:val="0"/>
                    <w:autoSpaceDE w:val="0"/>
                    <w:autoSpaceDN w:val="0"/>
                    <w:adjustRightInd w:val="0"/>
                    <w:spacing w:before="7" w:line="240" w:lineRule="exact"/>
                    <w:jc w:val="both"/>
                    <w:rPr>
                      <w:rFonts w:cs="Georgia"/>
                      <w:color w:val="000000"/>
                    </w:rPr>
                  </w:pPr>
                </w:p>
                <w:p>
                  <w:pPr>
                    <w:widowControl w:val="0"/>
                    <w:autoSpaceDE w:val="0"/>
                    <w:autoSpaceDN w:val="0"/>
                    <w:adjustRightInd w:val="0"/>
                    <w:jc w:val="both"/>
                    <w:rPr>
                      <w:rFonts w:cs="Georgia"/>
                      <w:color w:val="000000"/>
                    </w:rPr>
                  </w:pPr>
                  <w:r>
                    <w:rPr>
                      <w:rFonts w:cs="Georgia"/>
                      <w:color w:val="000000"/>
                    </w:rPr>
                    <w:t>D</w:t>
                  </w:r>
                  <w:r>
                    <w:rPr>
                      <w:rFonts w:cs="Georgia"/>
                      <w:color w:val="000000"/>
                      <w:spacing w:val="-1"/>
                    </w:rPr>
                    <w:t>an</w:t>
                  </w:r>
                  <w:r>
                    <w:rPr>
                      <w:rFonts w:cs="Georgia"/>
                      <w:color w:val="000000"/>
                    </w:rPr>
                    <w:t>s</w:t>
                  </w:r>
                  <w:r>
                    <w:rPr>
                      <w:rFonts w:cs="Georgia"/>
                      <w:color w:val="000000"/>
                      <w:spacing w:val="2"/>
                    </w:rPr>
                    <w:t xml:space="preserve"> </w:t>
                  </w:r>
                  <w:r>
                    <w:rPr>
                      <w:rFonts w:cs="Georgia"/>
                      <w:color w:val="000000"/>
                      <w:spacing w:val="1"/>
                    </w:rPr>
                    <w:t>ch</w:t>
                  </w:r>
                  <w:r>
                    <w:rPr>
                      <w:rFonts w:cs="Georgia"/>
                      <w:color w:val="000000"/>
                      <w:spacing w:val="-1"/>
                    </w:rPr>
                    <w:t>aq</w:t>
                  </w:r>
                  <w:r>
                    <w:rPr>
                      <w:rFonts w:cs="Georgia"/>
                      <w:color w:val="000000"/>
                    </w:rPr>
                    <w:t xml:space="preserve">ue </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ss</w:t>
                  </w:r>
                  <w:r>
                    <w:rPr>
                      <w:rFonts w:cs="Georgia"/>
                      <w:color w:val="000000"/>
                      <w:spacing w:val="-1"/>
                    </w:rPr>
                    <w:t>e</w:t>
                  </w:r>
                  <w:r>
                    <w:rPr>
                      <w:rFonts w:cs="Georgia"/>
                      <w:color w:val="000000"/>
                      <w:spacing w:val="-3"/>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rPr>
                    <w:t>d’</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spacing w:val="1"/>
                    </w:rPr>
                    <w:t>is</w:t>
                  </w:r>
                  <w:r>
                    <w:rPr>
                      <w:rFonts w:cs="Georgia"/>
                      <w:color w:val="000000"/>
                    </w:rPr>
                    <w:t xml:space="preserve">é </w:t>
                  </w:r>
                  <w:r>
                    <w:rPr>
                      <w:rFonts w:cs="Georgia"/>
                      <w:color w:val="000000"/>
                      <w:spacing w:val="1"/>
                    </w:rPr>
                    <w:t>so</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a</w:t>
                  </w:r>
                  <w:r>
                    <w:rPr>
                      <w:rFonts w:cs="Georgia"/>
                      <w:color w:val="000000"/>
                      <w:spacing w:val="1"/>
                    </w:rPr>
                    <w:t>ss</w:t>
                  </w:r>
                  <w:r>
                    <w:rPr>
                      <w:rFonts w:cs="Georgia"/>
                      <w:color w:val="000000"/>
                      <w:spacing w:val="-2"/>
                    </w:rPr>
                    <w:t>u</w:t>
                  </w:r>
                  <w:r>
                    <w:rPr>
                      <w:rFonts w:cs="Georgia"/>
                      <w:color w:val="000000"/>
                      <w:spacing w:val="1"/>
                    </w:rPr>
                    <w:t>r</w:t>
                  </w:r>
                  <w:r>
                    <w:rPr>
                      <w:rFonts w:cs="Georgia"/>
                      <w:color w:val="000000"/>
                      <w:spacing w:val="-1"/>
                    </w:rPr>
                    <w:t>é</w:t>
                  </w:r>
                  <w:r>
                    <w:rPr>
                      <w:rFonts w:cs="Georgia"/>
                      <w:color w:val="000000"/>
                      <w:spacing w:val="1"/>
                    </w:rPr>
                    <w:t>s</w:t>
                  </w:r>
                  <w:r>
                    <w:rPr>
                      <w:rFonts w:cs="Georgia"/>
                      <w:color w:val="000000"/>
                    </w:rPr>
                    <w:t>,</w:t>
                  </w:r>
                  <w:r>
                    <w:rPr>
                      <w:rFonts w:cs="Georgia"/>
                      <w:color w:val="000000"/>
                      <w:spacing w:val="2"/>
                    </w:rPr>
                    <w:t xml:space="preserve"> </w:t>
                  </w:r>
                  <w:r>
                    <w:rPr>
                      <w:rFonts w:cs="Georgia"/>
                      <w:color w:val="000000"/>
                    </w:rPr>
                    <w:t>d</w:t>
                  </w:r>
                  <w:r>
                    <w:rPr>
                      <w:rFonts w:cs="Georgia"/>
                      <w:color w:val="000000"/>
                      <w:spacing w:val="-1"/>
                    </w:rPr>
                    <w:t>an</w:t>
                  </w:r>
                  <w:r>
                    <w:rPr>
                      <w:rFonts w:cs="Georgia"/>
                      <w:color w:val="000000"/>
                    </w:rPr>
                    <w:t xml:space="preserve">s </w:t>
                  </w:r>
                  <w:r>
                    <w:rPr>
                      <w:rFonts w:cs="Georgia"/>
                      <w:color w:val="000000"/>
                      <w:spacing w:val="-1"/>
                    </w:rPr>
                    <w:t>le</w:t>
                  </w:r>
                  <w:r>
                    <w:rPr>
                      <w:rFonts w:cs="Georgia"/>
                      <w:color w:val="000000"/>
                    </w:rPr>
                    <w:t>s</w:t>
                  </w:r>
                  <w:r>
                    <w:rPr>
                      <w:rFonts w:cs="Georgia"/>
                      <w:color w:val="000000"/>
                      <w:spacing w:val="2"/>
                    </w:rPr>
                    <w:t xml:space="preserve"> </w:t>
                  </w:r>
                  <w:r>
                    <w:rPr>
                      <w:rFonts w:cs="Georgia"/>
                      <w:color w:val="000000"/>
                      <w:spacing w:val="-1"/>
                    </w:rPr>
                    <w:t>l</w:t>
                  </w:r>
                  <w:r>
                    <w:rPr>
                      <w:rFonts w:cs="Georgia"/>
                      <w:color w:val="000000"/>
                    </w:rPr>
                    <w:t>imi</w:t>
                  </w:r>
                  <w:r>
                    <w:rPr>
                      <w:rFonts w:cs="Georgia"/>
                      <w:color w:val="000000"/>
                      <w:spacing w:val="1"/>
                    </w:rPr>
                    <w:t>t</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du</w:t>
                  </w:r>
                  <w:r>
                    <w:rPr>
                      <w:rFonts w:cs="Georgia"/>
                      <w:color w:val="000000"/>
                      <w:spacing w:val="2"/>
                    </w:rPr>
                    <w:t xml:space="preserve"> </w:t>
                  </w:r>
                  <w:r>
                    <w:rPr>
                      <w:rFonts w:cs="Georgia"/>
                      <w:color w:val="000000"/>
                      <w:spacing w:val="1"/>
                    </w:rPr>
                    <w:t>c</w:t>
                  </w:r>
                  <w:r>
                    <w:rPr>
                      <w:rFonts w:cs="Georgia"/>
                      <w:color w:val="000000"/>
                      <w:spacing w:val="-1"/>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al</w:t>
                  </w:r>
                  <w:r>
                    <w:rPr>
                      <w:rFonts w:cs="Georgia"/>
                      <w:color w:val="000000"/>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rPr>
                    <w:t>u</w:t>
                  </w:r>
                  <w:r>
                    <w:rPr>
                      <w:rFonts w:cs="Georgia"/>
                      <w:color w:val="000000"/>
                      <w:spacing w:val="-2"/>
                    </w:rPr>
                    <w:t>t</w:t>
                  </w:r>
                  <w:r>
                    <w:rPr>
                      <w:rFonts w:cs="Georgia"/>
                      <w:color w:val="000000"/>
                    </w:rPr>
                    <w:t>i</w:t>
                  </w:r>
                  <w:r>
                    <w:rPr>
                      <w:rFonts w:cs="Georgia"/>
                      <w:color w:val="000000"/>
                      <w:spacing w:val="-1"/>
                    </w:rPr>
                    <w:t>l</w:t>
                  </w:r>
                  <w:r>
                    <w:rPr>
                      <w:rFonts w:cs="Georgia"/>
                      <w:color w:val="000000"/>
                    </w:rPr>
                    <w:t>i</w:t>
                  </w:r>
                  <w:r>
                    <w:rPr>
                      <w:rFonts w:cs="Georgia"/>
                      <w:color w:val="000000"/>
                      <w:spacing w:val="1"/>
                    </w:rPr>
                    <w:t>s</w:t>
                  </w:r>
                  <w:r>
                    <w:rPr>
                      <w:rFonts w:cs="Georgia"/>
                      <w:color w:val="000000"/>
                      <w:spacing w:val="-1"/>
                    </w:rPr>
                    <w:t>a</w:t>
                  </w:r>
                  <w:r>
                    <w:rPr>
                      <w:rFonts w:cs="Georgia"/>
                      <w:color w:val="000000"/>
                      <w:spacing w:val="1"/>
                    </w:rPr>
                    <w:t>b</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e</w:t>
                  </w:r>
                  <w:r>
                    <w:rPr>
                      <w:rFonts w:cs="Georgia"/>
                      <w:color w:val="000000"/>
                    </w:rPr>
                    <w:t>t</w:t>
                  </w:r>
                  <w:r>
                    <w:rPr>
                      <w:rFonts w:cs="Georgia"/>
                      <w:color w:val="000000"/>
                      <w:spacing w:val="3"/>
                    </w:rPr>
                    <w:t xml:space="preserve"> </w:t>
                  </w:r>
                  <w:r>
                    <w:rPr>
                      <w:rFonts w:cs="Georgia"/>
                      <w:color w:val="000000"/>
                      <w:spacing w:val="-1"/>
                    </w:rPr>
                    <w:t>ap</w:t>
                  </w:r>
                  <w:r>
                    <w:rPr>
                      <w:rFonts w:cs="Georgia"/>
                      <w:color w:val="000000"/>
                      <w:spacing w:val="-2"/>
                    </w:rPr>
                    <w:t>r</w:t>
                  </w:r>
                  <w:r>
                    <w:rPr>
                      <w:rFonts w:cs="Georgia"/>
                      <w:color w:val="000000"/>
                      <w:spacing w:val="-1"/>
                    </w:rPr>
                    <w:t>è</w:t>
                  </w:r>
                  <w:r>
                    <w:rPr>
                      <w:rFonts w:cs="Georgia"/>
                      <w:color w:val="000000"/>
                    </w:rPr>
                    <w:t>s</w:t>
                  </w:r>
                  <w:r>
                    <w:rPr>
                      <w:rFonts w:cs="Georgia"/>
                      <w:color w:val="000000"/>
                      <w:spacing w:val="3"/>
                    </w:rPr>
                    <w:t xml:space="preserve"> </w:t>
                  </w:r>
                  <w:r>
                    <w:rPr>
                      <w:rFonts w:cs="Georgia"/>
                      <w:color w:val="000000"/>
                      <w:spacing w:val="-1"/>
                    </w:rPr>
                    <w:t>a</w:t>
                  </w:r>
                  <w:r>
                    <w:rPr>
                      <w:rFonts w:cs="Georgia"/>
                      <w:color w:val="000000"/>
                      <w:spacing w:val="1"/>
                    </w:rPr>
                    <w:t>vo</w:t>
                  </w:r>
                  <w:r>
                    <w:rPr>
                      <w:rFonts w:cs="Georgia"/>
                      <w:color w:val="000000"/>
                    </w:rPr>
                    <w:t xml:space="preserve">ir </w:t>
                  </w:r>
                  <w:r>
                    <w:rPr>
                      <w:rFonts w:cs="Georgia"/>
                      <w:color w:val="000000"/>
                      <w:spacing w:val="1"/>
                    </w:rPr>
                    <w:t>o</w:t>
                  </w:r>
                  <w:r>
                    <w:rPr>
                      <w:rFonts w:cs="Georgia"/>
                      <w:color w:val="000000"/>
                      <w:spacing w:val="-2"/>
                    </w:rPr>
                    <w:t>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rPr>
                    <w:t>é</w:t>
                  </w:r>
                  <w:r>
                    <w:rPr>
                      <w:rFonts w:cs="Georgia"/>
                      <w:color w:val="000000"/>
                      <w:spacing w:val="1"/>
                    </w:rPr>
                    <w:t xml:space="preserve"> t</w:t>
                  </w:r>
                  <w:r>
                    <w:rPr>
                      <w:rFonts w:cs="Georgia"/>
                      <w:color w:val="000000"/>
                      <w:spacing w:val="-1"/>
                    </w:rPr>
                    <w:t>o</w:t>
                  </w:r>
                  <w:r>
                    <w:rPr>
                      <w:rFonts w:cs="Georgia"/>
                      <w:color w:val="000000"/>
                    </w:rPr>
                    <w:t>us</w:t>
                  </w:r>
                  <w:r>
                    <w:rPr>
                      <w:rFonts w:cs="Georgia"/>
                      <w:color w:val="000000"/>
                      <w:spacing w:val="3"/>
                    </w:rPr>
                    <w:t xml:space="preserve"> </w:t>
                  </w:r>
                  <w:r>
                    <w:rPr>
                      <w:rFonts w:cs="Georgia"/>
                      <w:color w:val="000000"/>
                      <w:spacing w:val="-1"/>
                    </w:rPr>
                    <w:t>le</w:t>
                  </w:r>
                  <w:r>
                    <w:rPr>
                      <w:rFonts w:cs="Georgia"/>
                      <w:color w:val="000000"/>
                    </w:rPr>
                    <w:t>s</w:t>
                  </w:r>
                  <w:r>
                    <w:rPr>
                      <w:rFonts w:cs="Georgia"/>
                      <w:color w:val="000000"/>
                      <w:spacing w:val="3"/>
                    </w:rPr>
                    <w:t xml:space="preserve"> </w:t>
                  </w:r>
                  <w:r>
                    <w:rPr>
                      <w:rFonts w:cs="Georgia"/>
                      <w:color w:val="000000"/>
                      <w:spacing w:val="1"/>
                    </w:rPr>
                    <w:t>c</w:t>
                  </w:r>
                  <w:r>
                    <w:rPr>
                      <w:rFonts w:cs="Georgia"/>
                      <w:color w:val="000000"/>
                      <w:spacing w:val="-1"/>
                    </w:rPr>
                    <w:t>o</w:t>
                  </w:r>
                  <w:r>
                    <w:rPr>
                      <w:rFonts w:cs="Georgia"/>
                      <w:color w:val="000000"/>
                    </w:rPr>
                    <w:t>u</w:t>
                  </w:r>
                  <w:r>
                    <w:rPr>
                      <w:rFonts w:cs="Georgia"/>
                      <w:color w:val="000000"/>
                      <w:spacing w:val="1"/>
                    </w:rPr>
                    <w:t>r</w:t>
                  </w:r>
                  <w:r>
                    <w:rPr>
                      <w:rFonts w:cs="Georgia"/>
                      <w:color w:val="000000"/>
                    </w:rPr>
                    <w:t xml:space="preserve">s </w:t>
                  </w:r>
                  <w:r>
                    <w:rPr>
                      <w:rFonts w:cs="Georgia"/>
                      <w:color w:val="000000"/>
                      <w:spacing w:val="1"/>
                    </w:rPr>
                    <w:t>pr</w:t>
                  </w:r>
                  <w:r>
                    <w:rPr>
                      <w:rFonts w:cs="Georgia"/>
                      <w:color w:val="000000"/>
                      <w:spacing w:val="-1"/>
                    </w:rPr>
                    <w:t>é</w:t>
                  </w:r>
                  <w:r>
                    <w:rPr>
                      <w:rFonts w:cs="Georgia"/>
                      <w:color w:val="000000"/>
                      <w:spacing w:val="-2"/>
                    </w:rPr>
                    <w:t>v</w:t>
                  </w:r>
                  <w:r>
                    <w:rPr>
                      <w:rFonts w:cs="Georgia"/>
                      <w:color w:val="000000"/>
                    </w:rPr>
                    <w:t>us</w:t>
                  </w:r>
                  <w:r>
                    <w:rPr>
                      <w:rFonts w:cs="Georgia"/>
                      <w:color w:val="000000"/>
                      <w:spacing w:val="3"/>
                    </w:rPr>
                    <w:t xml:space="preserve"> </w:t>
                  </w:r>
                  <w:r>
                    <w:rPr>
                      <w:rFonts w:cs="Georgia"/>
                      <w:color w:val="000000"/>
                      <w:spacing w:val="-1"/>
                    </w:rPr>
                    <w:t>a</w:t>
                  </w:r>
                  <w:r>
                    <w:rPr>
                      <w:rFonts w:cs="Georgia"/>
                      <w:color w:val="000000"/>
                    </w:rPr>
                    <w:t>ux</w:t>
                  </w:r>
                  <w:r>
                    <w:rPr>
                      <w:rFonts w:cs="Georgia"/>
                      <w:color w:val="000000"/>
                      <w:spacing w:val="1"/>
                    </w:rPr>
                    <w:t xml:space="preserve"> </w:t>
                  </w:r>
                  <w:r>
                    <w:rPr>
                      <w:rFonts w:cs="Georgia"/>
                      <w:color w:val="000000"/>
                    </w:rPr>
                    <w:t>g</w:t>
                  </w:r>
                  <w:r>
                    <w:rPr>
                      <w:rFonts w:cs="Georgia"/>
                      <w:color w:val="000000"/>
                      <w:spacing w:val="-2"/>
                    </w:rPr>
                    <w:t>r</w:t>
                  </w:r>
                  <w:r>
                    <w:rPr>
                      <w:rFonts w:cs="Georgia"/>
                      <w:color w:val="000000"/>
                    </w:rPr>
                    <w:t>i</w:t>
                  </w:r>
                  <w:r>
                    <w:rPr>
                      <w:rFonts w:cs="Georgia"/>
                      <w:color w:val="000000"/>
                      <w:spacing w:val="-1"/>
                    </w:rPr>
                    <w:t>lle</w:t>
                  </w:r>
                  <w:r>
                    <w:rPr>
                      <w:rFonts w:cs="Georgia"/>
                      <w:color w:val="000000"/>
                      <w:spacing w:val="1"/>
                    </w:rPr>
                    <w:t>s</w:t>
                  </w:r>
                  <w:r>
                    <w:rPr>
                      <w:rFonts w:cs="Georgia"/>
                      <w:color w:val="000000"/>
                      <w:spacing w:val="-1"/>
                    </w:rPr>
                    <w:t>-</w:t>
                  </w:r>
                  <w:r>
                    <w:rPr>
                      <w:rFonts w:cs="Georgia"/>
                      <w:color w:val="000000"/>
                      <w:spacing w:val="1"/>
                    </w:rPr>
                    <w:t>h</w:t>
                  </w:r>
                  <w:r>
                    <w:rPr>
                      <w:rFonts w:cs="Georgia"/>
                      <w:color w:val="000000"/>
                      <w:spacing w:val="-1"/>
                    </w:rPr>
                    <w:t>o</w:t>
                  </w:r>
                  <w:r>
                    <w:rPr>
                      <w:rFonts w:cs="Georgia"/>
                      <w:color w:val="000000"/>
                      <w:spacing w:val="1"/>
                    </w:rPr>
                    <w:t>r</w:t>
                  </w:r>
                  <w:r>
                    <w:rPr>
                      <w:rFonts w:cs="Georgia"/>
                      <w:color w:val="000000"/>
                      <w:spacing w:val="-1"/>
                    </w:rPr>
                    <w:t>a</w:t>
                  </w:r>
                  <w:r>
                    <w:rPr>
                      <w:rFonts w:cs="Georgia"/>
                      <w:color w:val="000000"/>
                    </w:rPr>
                    <w:t>i</w:t>
                  </w:r>
                  <w:r>
                    <w:rPr>
                      <w:rFonts w:cs="Georgia"/>
                      <w:color w:val="000000"/>
                      <w:spacing w:val="1"/>
                    </w:rPr>
                    <w:t>r</w:t>
                  </w:r>
                  <w:r>
                    <w:rPr>
                      <w:rFonts w:cs="Georgia"/>
                      <w:color w:val="000000"/>
                      <w:spacing w:val="-1"/>
                    </w:rPr>
                    <w:t>e</w:t>
                  </w:r>
                  <w:r>
                    <w:rPr>
                      <w:rFonts w:cs="Georgia"/>
                      <w:color w:val="000000"/>
                      <w:spacing w:val="3"/>
                    </w:rPr>
                    <w:t xml:space="preserve"> </w:t>
                  </w:r>
                  <w:r>
                    <w:rPr>
                      <w:rFonts w:cs="Georgia"/>
                      <w:color w:val="000000"/>
                    </w:rPr>
                    <w:t>d</w:t>
                  </w:r>
                  <w:r>
                    <w:rPr>
                      <w:rFonts w:cs="Georgia"/>
                      <w:color w:val="000000"/>
                      <w:spacing w:val="-3"/>
                    </w:rPr>
                    <w:t>e</w:t>
                  </w:r>
                  <w:r>
                    <w:rPr>
                      <w:rFonts w:cs="Georgia"/>
                      <w:color w:val="000000"/>
                    </w:rPr>
                    <w:t>s</w:t>
                  </w:r>
                  <w:r>
                    <w:rPr>
                      <w:rFonts w:cs="Georgia"/>
                      <w:color w:val="000000"/>
                      <w:spacing w:val="3"/>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spacing w:val="1"/>
                    </w:rPr>
                    <w:t>s </w:t>
                  </w:r>
                  <w:r>
                    <w:rPr>
                      <w:rFonts w:cs="Georgia"/>
                      <w:color w:val="000000"/>
                    </w:rPr>
                    <w:t>:</w:t>
                  </w:r>
                </w:p>
                <w:p>
                  <w:pPr>
                    <w:widowControl w:val="0"/>
                    <w:autoSpaceDE w:val="0"/>
                    <w:autoSpaceDN w:val="0"/>
                    <w:adjustRightInd w:val="0"/>
                    <w:jc w:val="both"/>
                    <w:rPr>
                      <w:rFonts w:cs="Georgia"/>
                      <w:color w:val="000000"/>
                    </w:rPr>
                  </w:pPr>
                </w:p>
                <w:p>
                  <w:pPr>
                    <w:widowControl w:val="0"/>
                    <w:numPr>
                      <w:ilvl w:val="0"/>
                      <w:numId w:val="54"/>
                    </w:numPr>
                    <w:autoSpaceDE w:val="0"/>
                    <w:autoSpaceDN w:val="0"/>
                    <w:adjustRightInd w:val="0"/>
                    <w:ind w:left="927" w:right="45"/>
                    <w:jc w:val="both"/>
                    <w:rPr>
                      <w:rFonts w:cs="Georgia"/>
                      <w:color w:val="000000"/>
                      <w:spacing w:val="1"/>
                    </w:rPr>
                  </w:pPr>
                  <w:r>
                    <w:rPr>
                      <w:rFonts w:cs="Georgia"/>
                      <w:color w:val="000000"/>
                      <w:spacing w:val="-1"/>
                    </w:rPr>
                    <w:t>l</w:t>
                  </w:r>
                  <w:r>
                    <w:rPr>
                      <w:rFonts w:cs="Georgia"/>
                      <w:color w:val="000000"/>
                    </w:rPr>
                    <w:t xml:space="preserve">a </w:t>
                  </w:r>
                  <w:r>
                    <w:rPr>
                      <w:rFonts w:cs="Georgia"/>
                      <w:color w:val="000000"/>
                      <w:spacing w:val="1"/>
                    </w:rPr>
                    <w:t>c</w:t>
                  </w:r>
                  <w:r>
                    <w:rPr>
                      <w:rFonts w:cs="Georgia"/>
                      <w:color w:val="000000"/>
                      <w:spacing w:val="-1"/>
                    </w:rPr>
                    <w:t>o</w:t>
                  </w:r>
                  <w:r>
                    <w:rPr>
                      <w:rFonts w:cs="Georgia"/>
                      <w:color w:val="000000"/>
                      <w:spacing w:val="1"/>
                    </w:rPr>
                    <w:t>or</w:t>
                  </w:r>
                  <w:r>
                    <w:rPr>
                      <w:rFonts w:cs="Georgia"/>
                      <w:color w:val="000000"/>
                    </w:rPr>
                    <w:t>di</w:t>
                  </w:r>
                  <w:r>
                    <w:rPr>
                      <w:rFonts w:cs="Georgia"/>
                      <w:color w:val="000000"/>
                      <w:spacing w:val="-1"/>
                    </w:rPr>
                    <w:t>na</w:t>
                  </w:r>
                  <w:r>
                    <w:rPr>
                      <w:rFonts w:cs="Georgia"/>
                      <w:color w:val="000000"/>
                      <w:spacing w:val="-2"/>
                    </w:rPr>
                    <w:t>t</w:t>
                  </w:r>
                  <w:r>
                    <w:rPr>
                      <w:rFonts w:cs="Georgia"/>
                      <w:color w:val="000000"/>
                    </w:rPr>
                    <w:t>i</w:t>
                  </w:r>
                  <w:r>
                    <w:rPr>
                      <w:rFonts w:cs="Georgia"/>
                      <w:color w:val="000000"/>
                      <w:spacing w:val="1"/>
                    </w:rPr>
                    <w:t>o</w:t>
                  </w:r>
                  <w:r>
                    <w:rPr>
                      <w:rFonts w:cs="Georgia"/>
                      <w:color w:val="000000"/>
                    </w:rPr>
                    <w:t>n d</w:t>
                  </w:r>
                  <w:r>
                    <w:rPr>
                      <w:rFonts w:cs="Georgia"/>
                      <w:color w:val="000000"/>
                      <w:spacing w:val="-1"/>
                    </w:rPr>
                    <w:t>e</w:t>
                  </w:r>
                  <w:r>
                    <w:rPr>
                      <w:rFonts w:cs="Georgia"/>
                      <w:color w:val="000000"/>
                    </w:rPr>
                    <w:t>s</w:t>
                  </w:r>
                  <w:r>
                    <w:rPr>
                      <w:rFonts w:cs="Georgia"/>
                      <w:color w:val="000000"/>
                      <w:spacing w:val="4"/>
                    </w:rPr>
                    <w:t xml:space="preserve"> </w:t>
                  </w:r>
                  <w:r>
                    <w:rPr>
                      <w:rFonts w:cs="Georgia"/>
                      <w:color w:val="000000"/>
                      <w:spacing w:val="-1"/>
                    </w:rPr>
                    <w:t>p</w:t>
                  </w:r>
                  <w:r>
                    <w:rPr>
                      <w:rFonts w:cs="Georgia"/>
                      <w:color w:val="000000"/>
                      <w:spacing w:val="1"/>
                    </w:rPr>
                    <w:t>r</w:t>
                  </w:r>
                  <w:r>
                    <w:rPr>
                      <w:rFonts w:cs="Georgia"/>
                      <w:color w:val="000000"/>
                      <w:spacing w:val="-1"/>
                    </w:rPr>
                    <w:t>o</w:t>
                  </w:r>
                  <w:r>
                    <w:rPr>
                      <w:rFonts w:cs="Georgia"/>
                      <w:color w:val="000000"/>
                    </w:rPr>
                    <w:t>j</w:t>
                  </w:r>
                  <w:r>
                    <w:rPr>
                      <w:rFonts w:cs="Georgia"/>
                      <w:color w:val="000000"/>
                      <w:spacing w:val="-1"/>
                    </w:rPr>
                    <w:t>e</w:t>
                  </w:r>
                  <w:r>
                    <w:rPr>
                      <w:rFonts w:cs="Georgia"/>
                      <w:color w:val="000000"/>
                      <w:spacing w:val="1"/>
                    </w:rPr>
                    <w:t>t</w:t>
                  </w:r>
                  <w:r>
                    <w:rPr>
                      <w:rFonts w:cs="Georgia"/>
                      <w:color w:val="000000"/>
                    </w:rPr>
                    <w:t>s</w:t>
                  </w:r>
                  <w:r>
                    <w:rPr>
                      <w:rFonts w:cs="Georgia"/>
                      <w:color w:val="000000"/>
                      <w:spacing w:val="2"/>
                    </w:rPr>
                    <w:t xml:space="preserve"> </w:t>
                  </w:r>
                  <w:r>
                    <w:rPr>
                      <w:rFonts w:cs="Georgia"/>
                      <w:color w:val="000000"/>
                    </w:rPr>
                    <w:t>d’i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3"/>
                    </w:rPr>
                    <w:t>a</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 ;</w:t>
                  </w:r>
                  <w:r>
                    <w:rPr>
                      <w:rFonts w:cs="Georgia"/>
                      <w:color w:val="000000"/>
                      <w:spacing w:val="1"/>
                    </w:rPr>
                    <w:t xml:space="preserve"> </w:t>
                  </w:r>
                </w:p>
                <w:p>
                  <w:pPr>
                    <w:widowControl w:val="0"/>
                    <w:numPr>
                      <w:ilvl w:val="0"/>
                      <w:numId w:val="54"/>
                    </w:numPr>
                    <w:autoSpaceDE w:val="0"/>
                    <w:autoSpaceDN w:val="0"/>
                    <w:adjustRightInd w:val="0"/>
                    <w:ind w:left="927" w:right="45"/>
                    <w:jc w:val="both"/>
                    <w:rPr>
                      <w:rFonts w:cs="Georgia"/>
                      <w:color w:val="000000"/>
                    </w:rPr>
                  </w:pPr>
                  <w:r>
                    <w:rPr>
                      <w:rFonts w:cs="Georgia"/>
                      <w:color w:val="000000"/>
                      <w:spacing w:val="-1"/>
                    </w:rPr>
                    <w:t>l</w:t>
                  </w:r>
                  <w:r>
                    <w:rPr>
                      <w:rFonts w:cs="Georgia"/>
                      <w:color w:val="000000"/>
                    </w:rPr>
                    <w:t>’</w:t>
                  </w:r>
                  <w:r>
                    <w:rPr>
                      <w:rFonts w:cs="Georgia"/>
                      <w:color w:val="000000"/>
                      <w:spacing w:val="-1"/>
                    </w:rPr>
                    <w:t>a</w:t>
                  </w:r>
                  <w:r>
                    <w:rPr>
                      <w:rFonts w:cs="Georgia"/>
                      <w:color w:val="000000"/>
                      <w:spacing w:val="1"/>
                    </w:rPr>
                    <w:t>cc</w:t>
                  </w:r>
                  <w:r>
                    <w:rPr>
                      <w:rFonts w:cs="Georgia"/>
                      <w:color w:val="000000"/>
                    </w:rPr>
                    <w:t>u</w:t>
                  </w:r>
                  <w:r>
                    <w:rPr>
                      <w:rFonts w:cs="Georgia"/>
                      <w:color w:val="000000"/>
                      <w:spacing w:val="-1"/>
                    </w:rPr>
                    <w:t>e</w:t>
                  </w:r>
                  <w:r>
                    <w:rPr>
                      <w:rFonts w:cs="Georgia"/>
                      <w:color w:val="000000"/>
                    </w:rPr>
                    <w:t>i</w:t>
                  </w:r>
                  <w:r>
                    <w:rPr>
                      <w:rFonts w:cs="Georgia"/>
                      <w:color w:val="000000"/>
                      <w:spacing w:val="-1"/>
                    </w:rPr>
                    <w:t>l</w:t>
                  </w:r>
                  <w:r>
                    <w:rPr>
                      <w:rFonts w:cs="Georgia"/>
                      <w:color w:val="000000"/>
                    </w:rPr>
                    <w:t>,</w:t>
                  </w:r>
                  <w:r>
                    <w:rPr>
                      <w:rFonts w:cs="Georgia"/>
                      <w:color w:val="000000"/>
                      <w:spacing w:val="4"/>
                    </w:rPr>
                    <w:t xml:space="preserve"> </w:t>
                  </w:r>
                  <w:r>
                    <w:rPr>
                      <w:rFonts w:cs="Georgia"/>
                      <w:color w:val="000000"/>
                      <w:spacing w:val="-1"/>
                    </w:rPr>
                    <w:t>l</w:t>
                  </w:r>
                  <w:r>
                    <w:rPr>
                      <w:rFonts w:cs="Georgia"/>
                      <w:color w:val="000000"/>
                      <w:spacing w:val="-2"/>
                    </w:rPr>
                    <w:t>’</w:t>
                  </w:r>
                  <w:r>
                    <w:rPr>
                      <w:rFonts w:cs="Georgia"/>
                      <w:color w:val="000000"/>
                      <w:spacing w:val="1"/>
                    </w:rPr>
                    <w:t>o</w:t>
                  </w:r>
                  <w:r>
                    <w:rPr>
                      <w:rFonts w:cs="Georgia"/>
                      <w:color w:val="000000"/>
                      <w:spacing w:val="-1"/>
                    </w:rPr>
                    <w:t>b</w:t>
                  </w:r>
                  <w:r>
                    <w:rPr>
                      <w:rFonts w:cs="Georgia"/>
                      <w:color w:val="000000"/>
                      <w:spacing w:val="1"/>
                    </w:rPr>
                    <w:t>s</w:t>
                  </w:r>
                  <w:r>
                    <w:rPr>
                      <w:rFonts w:cs="Georgia"/>
                      <w:color w:val="000000"/>
                      <w:spacing w:val="-1"/>
                    </w:rPr>
                    <w:t>e</w:t>
                  </w:r>
                  <w:r>
                    <w:rPr>
                      <w:rFonts w:cs="Georgia"/>
                      <w:color w:val="000000"/>
                      <w:spacing w:val="1"/>
                    </w:rPr>
                    <w:t>rv</w:t>
                  </w:r>
                  <w:r>
                    <w:rPr>
                      <w:rFonts w:cs="Georgia"/>
                      <w:color w:val="000000"/>
                      <w:spacing w:val="-1"/>
                    </w:rPr>
                    <w:t>a</w:t>
                  </w:r>
                  <w:r>
                    <w:rPr>
                      <w:rFonts w:cs="Georgia"/>
                      <w:color w:val="000000"/>
                      <w:spacing w:val="-2"/>
                    </w:rPr>
                    <w:t>t</w:t>
                  </w:r>
                  <w:r>
                    <w:rPr>
                      <w:rFonts w:cs="Georgia"/>
                      <w:color w:val="000000"/>
                    </w:rPr>
                    <w:t>i</w:t>
                  </w:r>
                  <w:r>
                    <w:rPr>
                      <w:rFonts w:cs="Georgia"/>
                      <w:color w:val="000000"/>
                      <w:spacing w:val="1"/>
                    </w:rPr>
                    <w:t>o</w:t>
                  </w:r>
                  <w:r>
                    <w:rPr>
                      <w:rFonts w:cs="Georgia"/>
                      <w:color w:val="000000"/>
                    </w:rPr>
                    <w:t>n</w:t>
                  </w:r>
                  <w:r>
                    <w:rPr>
                      <w:rFonts w:cs="Georgia"/>
                      <w:color w:val="000000"/>
                      <w:spacing w:val="2"/>
                    </w:rPr>
                    <w:t xml:space="preserve"> </w:t>
                  </w:r>
                  <w:r>
                    <w:rPr>
                      <w:rFonts w:cs="Georgia"/>
                      <w:color w:val="000000"/>
                      <w:spacing w:val="-1"/>
                    </w:rPr>
                    <w:t>e</w:t>
                  </w:r>
                  <w:r>
                    <w:rPr>
                      <w:rFonts w:cs="Georgia"/>
                      <w:color w:val="000000"/>
                    </w:rPr>
                    <w:t>t</w:t>
                  </w:r>
                  <w:r>
                    <w:rPr>
                      <w:rFonts w:cs="Georgia"/>
                      <w:color w:val="000000"/>
                      <w:spacing w:val="4"/>
                    </w:rPr>
                    <w:t xml:space="preserve"> </w:t>
                  </w:r>
                  <w:r>
                    <w:rPr>
                      <w:rFonts w:cs="Georgia"/>
                      <w:color w:val="000000"/>
                      <w:spacing w:val="-1"/>
                    </w:rPr>
                    <w:t>l</w:t>
                  </w:r>
                  <w:r>
                    <w:rPr>
                      <w:rFonts w:cs="Georgia"/>
                      <w:color w:val="000000"/>
                    </w:rPr>
                    <w:t xml:space="preserve">a </w:t>
                  </w:r>
                  <w:r>
                    <w:rPr>
                      <w:rFonts w:cs="Georgia"/>
                      <w:color w:val="000000"/>
                      <w:spacing w:val="1"/>
                    </w:rPr>
                    <w:t>pr</w:t>
                  </w:r>
                  <w:r>
                    <w:rPr>
                      <w:rFonts w:cs="Georgia"/>
                      <w:color w:val="000000"/>
                      <w:spacing w:val="-2"/>
                    </w:rPr>
                    <w:t>i</w:t>
                  </w:r>
                  <w:r>
                    <w:rPr>
                      <w:rFonts w:cs="Georgia"/>
                      <w:color w:val="000000"/>
                      <w:spacing w:val="1"/>
                    </w:rPr>
                    <w:t>s</w:t>
                  </w:r>
                  <w:r>
                    <w:rPr>
                      <w:rFonts w:cs="Georgia"/>
                      <w:color w:val="000000"/>
                    </w:rPr>
                    <w:t>e</w:t>
                  </w:r>
                  <w:r>
                    <w:rPr>
                      <w:rFonts w:cs="Georgia"/>
                      <w:color w:val="000000"/>
                      <w:spacing w:val="2"/>
                    </w:rPr>
                    <w:t xml:space="preserve"> </w:t>
                  </w:r>
                  <w:r>
                    <w:rPr>
                      <w:rFonts w:cs="Georgia"/>
                      <w:color w:val="000000"/>
                      <w:spacing w:val="-1"/>
                    </w:rPr>
                    <w:t>e</w:t>
                  </w:r>
                  <w:r>
                    <w:rPr>
                      <w:rFonts w:cs="Georgia"/>
                      <w:color w:val="000000"/>
                    </w:rPr>
                    <w:t>n</w:t>
                  </w:r>
                  <w:r>
                    <w:rPr>
                      <w:rFonts w:cs="Georgia"/>
                      <w:color w:val="000000"/>
                      <w:spacing w:val="2"/>
                    </w:rPr>
                    <w:t xml:space="preserve"> </w:t>
                  </w:r>
                  <w:r>
                    <w:rPr>
                      <w:rFonts w:cs="Georgia"/>
                      <w:color w:val="000000"/>
                      <w:spacing w:val="1"/>
                    </w:rPr>
                    <w:t>ch</w:t>
                  </w:r>
                  <w:r>
                    <w:rPr>
                      <w:rFonts w:cs="Georgia"/>
                      <w:color w:val="000000"/>
                      <w:spacing w:val="-1"/>
                    </w:rPr>
                    <w:t>a</w:t>
                  </w:r>
                  <w:r>
                    <w:rPr>
                      <w:rFonts w:cs="Georgia"/>
                      <w:color w:val="000000"/>
                      <w:spacing w:val="-2"/>
                    </w:rPr>
                    <w:t>r</w:t>
                  </w:r>
                  <w:r>
                    <w:rPr>
                      <w:rFonts w:cs="Georgia"/>
                      <w:color w:val="000000"/>
                    </w:rPr>
                    <w:t>ge</w:t>
                  </w:r>
                  <w:r>
                    <w:rPr>
                      <w:rFonts w:cs="Georgia"/>
                      <w:color w:val="000000"/>
                      <w:spacing w:val="2"/>
                    </w:rPr>
                    <w:t xml:space="preserve"> </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p</w:t>
                  </w:r>
                  <w:r>
                    <w:rPr>
                      <w:rFonts w:cs="Georgia"/>
                      <w:color w:val="000000"/>
                      <w:spacing w:val="1"/>
                    </w:rPr>
                    <w:t>or</w:t>
                  </w:r>
                  <w:r>
                    <w:rPr>
                      <w:rFonts w:cs="Georgia"/>
                      <w:color w:val="000000"/>
                      <w:spacing w:val="-1"/>
                    </w:rPr>
                    <w:t>a</w:t>
                  </w:r>
                  <w:r>
                    <w:rPr>
                      <w:rFonts w:cs="Georgia"/>
                      <w:color w:val="000000"/>
                      <w:spacing w:val="-2"/>
                    </w:rPr>
                    <w:t>i</w:t>
                  </w:r>
                  <w:r>
                    <w:rPr>
                      <w:rFonts w:cs="Georgia"/>
                      <w:color w:val="000000"/>
                      <w:spacing w:val="1"/>
                    </w:rPr>
                    <w:t>r</w:t>
                  </w:r>
                  <w:r>
                    <w:rPr>
                      <w:rFonts w:cs="Georgia"/>
                      <w:color w:val="000000"/>
                    </w:rPr>
                    <w:t>e</w:t>
                  </w:r>
                  <w:r>
                    <w:rPr>
                      <w:rFonts w:cs="Georgia"/>
                      <w:color w:val="000000"/>
                      <w:spacing w:val="2"/>
                    </w:rPr>
                    <w:t xml:space="preserve"> </w:t>
                  </w:r>
                  <w:r>
                    <w:rPr>
                      <w:rFonts w:cs="Georgia"/>
                      <w:color w:val="000000"/>
                    </w:rPr>
                    <w:t>d</w:t>
                  </w:r>
                  <w:r>
                    <w:rPr>
                      <w:rFonts w:cs="Georgia"/>
                      <w:color w:val="000000"/>
                      <w:spacing w:val="-3"/>
                    </w:rPr>
                    <w:t>e</w:t>
                  </w:r>
                  <w:r>
                    <w:rPr>
                      <w:rFonts w:cs="Georgia"/>
                      <w:color w:val="000000"/>
                    </w:rPr>
                    <w:t xml:space="preserve">s </w:t>
                  </w:r>
                  <w:r>
                    <w:rPr>
                      <w:rFonts w:cs="Georgia"/>
                      <w:color w:val="000000"/>
                      <w:spacing w:val="-1"/>
                    </w:rPr>
                    <w:t>n</w:t>
                  </w:r>
                  <w:r>
                    <w:rPr>
                      <w:rFonts w:cs="Georgia"/>
                      <w:color w:val="000000"/>
                      <w:spacing w:val="1"/>
                    </w:rPr>
                    <w:t>o</w:t>
                  </w:r>
                  <w:r>
                    <w:rPr>
                      <w:rFonts w:cs="Georgia"/>
                      <w:color w:val="000000"/>
                    </w:rPr>
                    <w:t>u</w:t>
                  </w:r>
                  <w:r>
                    <w:rPr>
                      <w:rFonts w:cs="Georgia"/>
                      <w:color w:val="000000"/>
                      <w:spacing w:val="1"/>
                    </w:rPr>
                    <w:t>v</w:t>
                  </w:r>
                  <w:r>
                    <w:rPr>
                      <w:rFonts w:cs="Georgia"/>
                      <w:color w:val="000000"/>
                      <w:spacing w:val="-1"/>
                    </w:rPr>
                    <w:t>ea</w:t>
                  </w:r>
                  <w:r>
                    <w:rPr>
                      <w:rFonts w:cs="Georgia"/>
                      <w:color w:val="000000"/>
                    </w:rPr>
                    <w:t xml:space="preserve">ux </w:t>
                  </w:r>
                  <w:r>
                    <w:rPr>
                      <w:rFonts w:cs="Georgia"/>
                      <w:color w:val="000000"/>
                      <w:spacing w:val="-1"/>
                    </w:rPr>
                    <w:t>élè</w:t>
                  </w:r>
                  <w:r>
                    <w:rPr>
                      <w:rFonts w:cs="Georgia"/>
                      <w:color w:val="000000"/>
                      <w:spacing w:val="1"/>
                    </w:rPr>
                    <w:t>v</w:t>
                  </w:r>
                  <w:r>
                    <w:rPr>
                      <w:rFonts w:cs="Georgia"/>
                      <w:color w:val="000000"/>
                      <w:spacing w:val="-1"/>
                    </w:rPr>
                    <w:t>e</w:t>
                  </w:r>
                  <w:r>
                    <w:rPr>
                      <w:rFonts w:cs="Georgia"/>
                      <w:color w:val="000000"/>
                      <w:spacing w:val="1"/>
                    </w:rPr>
                    <w:t>s ;</w:t>
                  </w:r>
                </w:p>
                <w:p>
                  <w:pPr>
                    <w:widowControl w:val="0"/>
                    <w:numPr>
                      <w:ilvl w:val="0"/>
                      <w:numId w:val="54"/>
                    </w:numPr>
                    <w:autoSpaceDE w:val="0"/>
                    <w:autoSpaceDN w:val="0"/>
                    <w:adjustRightInd w:val="0"/>
                    <w:ind w:left="927" w:right="45"/>
                    <w:jc w:val="both"/>
                    <w:rPr>
                      <w:rFonts w:cs="Georgia"/>
                      <w:color w:val="000000"/>
                      <w:spacing w:val="2"/>
                    </w:rPr>
                  </w:pPr>
                  <w:r>
                    <w:rPr>
                      <w:rFonts w:cs="Georgia"/>
                      <w:color w:val="000000"/>
                      <w:spacing w:val="-1"/>
                    </w:rPr>
                    <w:t>l</w:t>
                  </w:r>
                  <w:r>
                    <w:rPr>
                      <w:rFonts w:cs="Georgia"/>
                      <w:color w:val="000000"/>
                    </w:rPr>
                    <w:t>’</w:t>
                  </w:r>
                  <w:r>
                    <w:rPr>
                      <w:rFonts w:cs="Georgia"/>
                      <w:color w:val="000000"/>
                      <w:spacing w:val="-1"/>
                    </w:rPr>
                    <w:t>a</w:t>
                  </w:r>
                  <w:r>
                    <w:rPr>
                      <w:rFonts w:cs="Georgia"/>
                      <w:color w:val="000000"/>
                      <w:spacing w:val="1"/>
                    </w:rPr>
                    <w:t>cc</w:t>
                  </w:r>
                  <w:r>
                    <w:rPr>
                      <w:rFonts w:cs="Georgia"/>
                      <w:color w:val="000000"/>
                      <w:spacing w:val="-1"/>
                    </w:rPr>
                    <w:t>o</w:t>
                  </w:r>
                  <w:r>
                    <w:rPr>
                      <w:rFonts w:cs="Georgia"/>
                      <w:color w:val="000000"/>
                    </w:rPr>
                    <w:t>m</w:t>
                  </w:r>
                  <w:r>
                    <w:rPr>
                      <w:rFonts w:cs="Georgia"/>
                      <w:color w:val="000000"/>
                      <w:spacing w:val="1"/>
                    </w:rPr>
                    <w:t>p</w:t>
                  </w:r>
                  <w:r>
                    <w:rPr>
                      <w:rFonts w:cs="Georgia"/>
                      <w:color w:val="000000"/>
                      <w:spacing w:val="-1"/>
                    </w:rPr>
                    <w:t>a</w:t>
                  </w:r>
                  <w:r>
                    <w:rPr>
                      <w:rFonts w:cs="Georgia"/>
                      <w:color w:val="000000"/>
                    </w:rPr>
                    <w:t>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rPr>
                    <w:t>d’</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e</w:t>
                  </w:r>
                  <w:r>
                    <w:rPr>
                      <w:rFonts w:cs="Georgia"/>
                      <w:color w:val="000000"/>
                    </w:rPr>
                    <w:t>n</w:t>
                  </w:r>
                  <w:r>
                    <w:rPr>
                      <w:rFonts w:cs="Georgia"/>
                      <w:color w:val="000000"/>
                      <w:spacing w:val="1"/>
                    </w:rPr>
                    <w:t xml:space="preserve"> </w:t>
                  </w:r>
                  <w:r>
                    <w:rPr>
                      <w:rFonts w:cs="Georgia"/>
                      <w:color w:val="000000"/>
                    </w:rPr>
                    <w:t>diffi</w:t>
                  </w:r>
                  <w:r>
                    <w:rPr>
                      <w:rFonts w:cs="Georgia"/>
                      <w:color w:val="000000"/>
                      <w:spacing w:val="1"/>
                    </w:rPr>
                    <w:t>c</w:t>
                  </w:r>
                  <w:r>
                    <w:rPr>
                      <w:rFonts w:cs="Georgia"/>
                      <w:color w:val="000000"/>
                    </w:rPr>
                    <w:t>u</w:t>
                  </w:r>
                  <w:r>
                    <w:rPr>
                      <w:rFonts w:cs="Georgia"/>
                      <w:color w:val="000000"/>
                      <w:spacing w:val="-1"/>
                    </w:rPr>
                    <w:t>l</w:t>
                  </w:r>
                  <w:r>
                    <w:rPr>
                      <w:rFonts w:cs="Georgia"/>
                      <w:color w:val="000000"/>
                      <w:spacing w:val="1"/>
                    </w:rPr>
                    <w:t>t</w:t>
                  </w:r>
                  <w:r>
                    <w:rPr>
                      <w:rFonts w:cs="Georgia"/>
                      <w:color w:val="000000"/>
                    </w:rPr>
                    <w:t xml:space="preserve">é </w:t>
                  </w:r>
                  <w:r>
                    <w:rPr>
                      <w:rFonts w:cs="Georgia"/>
                      <w:color w:val="000000"/>
                      <w:spacing w:val="-3"/>
                    </w:rPr>
                    <w:t>m</w:t>
                  </w:r>
                  <w:r>
                    <w:rPr>
                      <w:rFonts w:cs="Georgia"/>
                      <w:color w:val="000000"/>
                      <w:spacing w:val="1"/>
                    </w:rPr>
                    <w:t>o</w:t>
                  </w:r>
                  <w:r>
                    <w:rPr>
                      <w:rFonts w:cs="Georgia"/>
                      <w:color w:val="000000"/>
                    </w:rPr>
                    <w:t>m</w:t>
                  </w:r>
                  <w:r>
                    <w:rPr>
                      <w:rFonts w:cs="Georgia"/>
                      <w:color w:val="000000"/>
                      <w:spacing w:val="-1"/>
                    </w:rPr>
                    <w:t>en</w:t>
                  </w:r>
                  <w:r>
                    <w:rPr>
                      <w:rFonts w:cs="Georgia"/>
                      <w:color w:val="000000"/>
                      <w:spacing w:val="1"/>
                    </w:rPr>
                    <w:t>t</w:t>
                  </w:r>
                  <w:r>
                    <w:rPr>
                      <w:rFonts w:cs="Georgia"/>
                      <w:color w:val="000000"/>
                      <w:spacing w:val="-1"/>
                    </w:rPr>
                    <w:t>anée ;</w:t>
                  </w:r>
                </w:p>
                <w:p>
                  <w:pPr>
                    <w:widowControl w:val="0"/>
                    <w:numPr>
                      <w:ilvl w:val="0"/>
                      <w:numId w:val="54"/>
                    </w:numPr>
                    <w:autoSpaceDE w:val="0"/>
                    <w:autoSpaceDN w:val="0"/>
                    <w:adjustRightInd w:val="0"/>
                    <w:ind w:left="927" w:right="45"/>
                    <w:jc w:val="both"/>
                    <w:rPr>
                      <w:rFonts w:cs="Georgia"/>
                      <w:color w:val="000000"/>
                      <w:spacing w:val="2"/>
                    </w:rPr>
                  </w:pPr>
                  <w:r>
                    <w:rPr>
                      <w:rFonts w:cs="Georgia"/>
                      <w:color w:val="000000"/>
                      <w:spacing w:val="-1"/>
                    </w:rPr>
                    <w:t>l</w:t>
                  </w:r>
                  <w:r>
                    <w:rPr>
                      <w:rFonts w:cs="Georgia"/>
                      <w:color w:val="000000"/>
                    </w:rPr>
                    <w:t>a</w:t>
                  </w:r>
                  <w:r>
                    <w:rPr>
                      <w:rFonts w:cs="Georgia"/>
                      <w:color w:val="000000"/>
                      <w:spacing w:val="1"/>
                    </w:rPr>
                    <w:t xml:space="preserve"> </w:t>
                  </w:r>
                  <w:r>
                    <w:rPr>
                      <w:rFonts w:cs="Georgia"/>
                      <w:color w:val="000000"/>
                    </w:rPr>
                    <w:t>m</w:t>
                  </w:r>
                  <w:r>
                    <w:rPr>
                      <w:rFonts w:cs="Georgia"/>
                      <w:color w:val="000000"/>
                      <w:spacing w:val="-1"/>
                    </w:rPr>
                    <w:t>é</w:t>
                  </w:r>
                  <w:r>
                    <w:rPr>
                      <w:rFonts w:cs="Georgia"/>
                      <w:color w:val="000000"/>
                    </w:rPr>
                    <w:t>di</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1"/>
                    </w:rPr>
                    <w:t>e</w:t>
                  </w:r>
                  <w:r>
                    <w:rPr>
                      <w:rFonts w:cs="Georgia"/>
                      <w:color w:val="000000"/>
                      <w:spacing w:val="1"/>
                    </w:rPr>
                    <w:t>t</w:t>
                  </w:r>
                  <w:r>
                    <w:rPr>
                      <w:rFonts w:cs="Georgia"/>
                      <w:color w:val="000000"/>
                    </w:rPr>
                    <w:t>/</w:t>
                  </w:r>
                  <w:r>
                    <w:rPr>
                      <w:rFonts w:cs="Georgia"/>
                      <w:color w:val="000000"/>
                      <w:spacing w:val="1"/>
                    </w:rPr>
                    <w:t>o</w:t>
                  </w:r>
                  <w:r>
                    <w:rPr>
                      <w:rFonts w:cs="Georgia"/>
                      <w:color w:val="000000"/>
                    </w:rPr>
                    <w:t>u</w:t>
                  </w:r>
                  <w:r>
                    <w:rPr>
                      <w:rFonts w:cs="Georgia"/>
                      <w:color w:val="000000"/>
                      <w:spacing w:val="2"/>
                    </w:rPr>
                    <w:t xml:space="preserve"> </w:t>
                  </w:r>
                  <w:r>
                    <w:rPr>
                      <w:rFonts w:cs="Georgia"/>
                      <w:color w:val="000000"/>
                      <w:spacing w:val="-3"/>
                    </w:rPr>
                    <w:t>l</w:t>
                  </w:r>
                  <w:r>
                    <w:rPr>
                      <w:rFonts w:cs="Georgia"/>
                      <w:color w:val="000000"/>
                    </w:rPr>
                    <w:t xml:space="preserve">a </w:t>
                  </w:r>
                  <w:r>
                    <w:rPr>
                      <w:rFonts w:cs="Georgia"/>
                      <w:color w:val="000000"/>
                      <w:spacing w:val="1"/>
                    </w:rPr>
                    <w:t>c</w:t>
                  </w:r>
                  <w:r>
                    <w:rPr>
                      <w:rFonts w:cs="Georgia"/>
                      <w:color w:val="000000"/>
                      <w:spacing w:val="-1"/>
                    </w:rPr>
                    <w:t>o</w:t>
                  </w:r>
                  <w:r>
                    <w:rPr>
                      <w:rFonts w:cs="Georgia"/>
                      <w:color w:val="000000"/>
                      <w:spacing w:val="1"/>
                    </w:rPr>
                    <w:t>or</w:t>
                  </w:r>
                  <w:r>
                    <w:rPr>
                      <w:rFonts w:cs="Georgia"/>
                      <w:color w:val="000000"/>
                    </w:rPr>
                    <w:t>di</w:t>
                  </w:r>
                  <w:r>
                    <w:rPr>
                      <w:rFonts w:cs="Georgia"/>
                      <w:color w:val="000000"/>
                      <w:spacing w:val="-1"/>
                    </w:rPr>
                    <w:t>na</w:t>
                  </w:r>
                  <w:r>
                    <w:rPr>
                      <w:rFonts w:cs="Georgia"/>
                      <w:color w:val="000000"/>
                      <w:spacing w:val="-2"/>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p</w:t>
                  </w:r>
                  <w:r>
                    <w:rPr>
                      <w:rFonts w:cs="Georgia"/>
                      <w:color w:val="000000"/>
                      <w:spacing w:val="-1"/>
                    </w:rPr>
                    <w:t>é</w:t>
                  </w:r>
                  <w:r>
                    <w:rPr>
                      <w:rFonts w:cs="Georgia"/>
                      <w:color w:val="000000"/>
                    </w:rPr>
                    <w:t>d</w:t>
                  </w:r>
                  <w:r>
                    <w:rPr>
                      <w:rFonts w:cs="Georgia"/>
                      <w:color w:val="000000"/>
                      <w:spacing w:val="-3"/>
                    </w:rPr>
                    <w:t>a</w:t>
                  </w:r>
                  <w:r>
                    <w:rPr>
                      <w:rFonts w:cs="Georgia"/>
                      <w:color w:val="000000"/>
                    </w:rPr>
                    <w:t>g</w:t>
                  </w:r>
                  <w:r>
                    <w:rPr>
                      <w:rFonts w:cs="Georgia"/>
                      <w:color w:val="000000"/>
                      <w:spacing w:val="1"/>
                    </w:rPr>
                    <w:t>o</w:t>
                  </w:r>
                  <w:r>
                    <w:rPr>
                      <w:rFonts w:cs="Georgia"/>
                      <w:color w:val="000000"/>
                      <w:spacing w:val="-2"/>
                    </w:rPr>
                    <w:t>g</w:t>
                  </w:r>
                  <w:r>
                    <w:rPr>
                      <w:rFonts w:cs="Georgia"/>
                      <w:color w:val="000000"/>
                    </w:rPr>
                    <w:t>i</w:t>
                  </w:r>
                  <w:r>
                    <w:rPr>
                      <w:rFonts w:cs="Georgia"/>
                      <w:color w:val="000000"/>
                      <w:spacing w:val="-1"/>
                    </w:rPr>
                    <w:t>q</w:t>
                  </w:r>
                  <w:r>
                    <w:rPr>
                      <w:rFonts w:cs="Georgia"/>
                      <w:color w:val="000000"/>
                    </w:rPr>
                    <w:t>ue</w:t>
                  </w:r>
                </w:p>
                <w:p>
                  <w:pPr>
                    <w:widowControl w:val="0"/>
                    <w:autoSpaceDE w:val="0"/>
                    <w:autoSpaceDN w:val="0"/>
                    <w:adjustRightInd w:val="0"/>
                    <w:ind w:right="45"/>
                    <w:jc w:val="both"/>
                    <w:rPr>
                      <w:rFonts w:cs="Georgia"/>
                      <w:color w:val="000000"/>
                      <w:spacing w:val="2"/>
                    </w:rPr>
                  </w:pPr>
                </w:p>
                <w:p>
                  <w:pPr>
                    <w:widowControl w:val="0"/>
                    <w:autoSpaceDE w:val="0"/>
                    <w:autoSpaceDN w:val="0"/>
                    <w:adjustRightInd w:val="0"/>
                    <w:ind w:right="45"/>
                    <w:jc w:val="both"/>
                    <w:rPr>
                      <w:rFonts w:cs="Georgia"/>
                    </w:rPr>
                  </w:pPr>
                  <w:r>
                    <w:rPr>
                      <w:rFonts w:cs="Georgia"/>
                      <w:color w:val="000000"/>
                    </w:rPr>
                    <w:t>C</w:t>
                  </w:r>
                  <w:r>
                    <w:rPr>
                      <w:rFonts w:cs="Georgia"/>
                      <w:color w:val="000000"/>
                      <w:spacing w:val="-1"/>
                    </w:rPr>
                    <w:t>e</w:t>
                  </w:r>
                  <w:r>
                    <w:rPr>
                      <w:rFonts w:cs="Georgia"/>
                      <w:color w:val="000000"/>
                    </w:rPr>
                    <w:t xml:space="preserve">s </w:t>
                  </w:r>
                  <w:r>
                    <w:rPr>
                      <w:rFonts w:cs="Georgia"/>
                      <w:color w:val="000000"/>
                      <w:spacing w:val="1"/>
                    </w:rPr>
                    <w:t>t</w:t>
                  </w:r>
                  <w:r>
                    <w:rPr>
                      <w:rFonts w:cs="Georgia"/>
                      <w:color w:val="000000"/>
                      <w:spacing w:val="-1"/>
                    </w:rPr>
                    <w:t>â</w:t>
                  </w:r>
                  <w:r>
                    <w:rPr>
                      <w:rFonts w:cs="Georgia"/>
                      <w:color w:val="000000"/>
                      <w:spacing w:val="-2"/>
                    </w:rPr>
                    <w:t>c</w:t>
                  </w:r>
                  <w:r>
                    <w:rPr>
                      <w:rFonts w:cs="Georgia"/>
                      <w:color w:val="000000"/>
                      <w:spacing w:val="1"/>
                    </w:rPr>
                    <w:t>h</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1"/>
                    </w:rPr>
                    <w:t>e</w:t>
                  </w:r>
                  <w:r>
                    <w:rPr>
                      <w:rFonts w:cs="Georgia"/>
                      <w:color w:val="000000"/>
                    </w:rPr>
                    <w:t>u</w:t>
                  </w:r>
                  <w:r>
                    <w:rPr>
                      <w:rFonts w:cs="Georgia"/>
                      <w:color w:val="000000"/>
                      <w:spacing w:val="1"/>
                    </w:rPr>
                    <w:t>v</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1"/>
                    </w:rPr>
                    <w:t>a</w:t>
                  </w:r>
                  <w:r>
                    <w:rPr>
                      <w:rFonts w:cs="Georgia"/>
                      <w:color w:val="000000"/>
                      <w:spacing w:val="1"/>
                    </w:rPr>
                    <w:t>ss</w:t>
                  </w:r>
                  <w:r>
                    <w:rPr>
                      <w:rFonts w:cs="Georgia"/>
                      <w:color w:val="000000"/>
                      <w:spacing w:val="-2"/>
                    </w:rPr>
                    <w:t>u</w:t>
                  </w:r>
                  <w:r>
                    <w:rPr>
                      <w:rFonts w:cs="Georgia"/>
                      <w:color w:val="000000"/>
                      <w:spacing w:val="1"/>
                    </w:rPr>
                    <w:t>r</w:t>
                  </w:r>
                  <w:r>
                    <w:rPr>
                      <w:rFonts w:cs="Georgia"/>
                      <w:color w:val="000000"/>
                      <w:spacing w:val="-1"/>
                    </w:rPr>
                    <w:t>ée</w:t>
                  </w:r>
                  <w:r>
                    <w:rPr>
                      <w:rFonts w:cs="Georgia"/>
                      <w:color w:val="000000"/>
                    </w:rPr>
                    <w:t xml:space="preserve">s </w:t>
                  </w:r>
                  <w:r>
                    <w:rPr>
                      <w:rFonts w:cs="Georgia"/>
                      <w:color w:val="000000"/>
                      <w:spacing w:val="1"/>
                    </w:rPr>
                    <w:t>p</w:t>
                  </w:r>
                  <w:r>
                    <w:rPr>
                      <w:rFonts w:cs="Georgia"/>
                      <w:color w:val="000000"/>
                      <w:spacing w:val="-1"/>
                    </w:rPr>
                    <w:t>a</w:t>
                  </w:r>
                  <w:r>
                    <w:rPr>
                      <w:rFonts w:cs="Georgia"/>
                      <w:color w:val="000000"/>
                    </w:rPr>
                    <w:t>r un</w:t>
                  </w:r>
                  <w:r>
                    <w:rPr>
                      <w:rFonts w:cs="Georgia"/>
                      <w:color w:val="000000"/>
                      <w:spacing w:val="1"/>
                    </w:rPr>
                    <w:t xml:space="preserve"> </w:t>
                  </w:r>
                  <w:r>
                    <w:rPr>
                      <w:rFonts w:cs="Georgia"/>
                      <w:color w:val="000000"/>
                      <w:spacing w:val="-1"/>
                    </w:rPr>
                    <w:t>o</w:t>
                  </w:r>
                  <w:r>
                    <w:rPr>
                      <w:rFonts w:cs="Georgia"/>
                      <w:color w:val="000000"/>
                    </w:rPr>
                    <w:t xml:space="preserve">u </w:t>
                  </w:r>
                  <w:r>
                    <w:rPr>
                      <w:rFonts w:cs="Georgia"/>
                      <w:color w:val="000000"/>
                      <w:spacing w:val="1"/>
                    </w:rPr>
                    <w:t>p</w:t>
                  </w:r>
                  <w:r>
                    <w:rPr>
                      <w:rFonts w:cs="Georgia"/>
                      <w:color w:val="000000"/>
                      <w:spacing w:val="-1"/>
                    </w:rPr>
                    <w:t>l</w:t>
                  </w:r>
                  <w:r>
                    <w:rPr>
                      <w:rFonts w:cs="Georgia"/>
                      <w:color w:val="000000"/>
                    </w:rPr>
                    <w:t>u</w:t>
                  </w:r>
                  <w:r>
                    <w:rPr>
                      <w:rFonts w:cs="Georgia"/>
                      <w:color w:val="000000"/>
                      <w:spacing w:val="1"/>
                    </w:rPr>
                    <w:t>s</w:t>
                  </w:r>
                  <w:r>
                    <w:rPr>
                      <w:rFonts w:cs="Georgia"/>
                      <w:color w:val="000000"/>
                    </w:rPr>
                    <w:t>i</w:t>
                  </w:r>
                  <w:r>
                    <w:rPr>
                      <w:rFonts w:cs="Georgia"/>
                      <w:color w:val="000000"/>
                      <w:spacing w:val="-1"/>
                    </w:rPr>
                    <w:t>e</w:t>
                  </w:r>
                  <w:r>
                    <w:rPr>
                      <w:rFonts w:cs="Georgia"/>
                      <w:color w:val="000000"/>
                      <w:spacing w:val="-2"/>
                    </w:rPr>
                    <w:t>u</w:t>
                  </w:r>
                  <w:r>
                    <w:rPr>
                      <w:rFonts w:cs="Georgia"/>
                      <w:color w:val="000000"/>
                      <w:spacing w:val="1"/>
                    </w:rPr>
                    <w:t>r</w:t>
                  </w:r>
                  <w:r>
                    <w:rPr>
                      <w:rFonts w:cs="Georgia"/>
                      <w:color w:val="000000"/>
                    </w:rPr>
                    <w:t xml:space="preserve">s </w:t>
                  </w:r>
                  <w:r>
                    <w:rPr>
                      <w:rFonts w:cs="Georgia"/>
                      <w:color w:val="000000"/>
                      <w:spacing w:val="-1"/>
                    </w:rPr>
                    <w:t>me</w:t>
                  </w:r>
                  <w:r>
                    <w:rPr>
                      <w:rFonts w:cs="Georgia"/>
                      <w:color w:val="000000"/>
                    </w:rPr>
                    <w:t>m</w:t>
                  </w:r>
                  <w:r>
                    <w:rPr>
                      <w:rFonts w:cs="Georgia"/>
                      <w:color w:val="000000"/>
                      <w:spacing w:val="-1"/>
                    </w:rPr>
                    <w:t>b</w:t>
                  </w:r>
                  <w:r>
                    <w:rPr>
                      <w:rFonts w:cs="Georgia"/>
                      <w:color w:val="000000"/>
                      <w:spacing w:val="1"/>
                    </w:rPr>
                    <w:t>r</w:t>
                  </w:r>
                  <w:r>
                    <w:rPr>
                      <w:rFonts w:cs="Georgia"/>
                      <w:color w:val="000000"/>
                      <w:spacing w:val="-1"/>
                    </w:rPr>
                    <w:t>e</w:t>
                  </w:r>
                  <w:r>
                    <w:rPr>
                      <w:rFonts w:cs="Georgia"/>
                      <w:color w:val="000000"/>
                    </w:rPr>
                    <w:t xml:space="preserve">s </w:t>
                  </w:r>
                  <w:r>
                    <w:rPr>
                      <w:rFonts w:cs="Georgia"/>
                      <w:color w:val="000000"/>
                      <w:spacing w:val="-2"/>
                    </w:rPr>
                    <w:t>d</w:t>
                  </w:r>
                  <w:r>
                    <w:rPr>
                      <w:rFonts w:cs="Georgia"/>
                      <w:color w:val="000000"/>
                    </w:rPr>
                    <w:t xml:space="preserve">u </w:t>
                  </w:r>
                  <w:r>
                    <w:rPr>
                      <w:rFonts w:cs="Georgia"/>
                      <w:color w:val="000000"/>
                      <w:spacing w:val="1"/>
                    </w:rPr>
                    <w:t>p</w:t>
                  </w:r>
                  <w:r>
                    <w:rPr>
                      <w:rFonts w:cs="Georgia"/>
                      <w:color w:val="000000"/>
                      <w:spacing w:val="-1"/>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w:t>
                  </w:r>
                  <w:r>
                    <w:rPr>
                      <w:rFonts w:cs="Georgia"/>
                      <w:color w:val="000000"/>
                    </w:rPr>
                    <w:t>l</w:t>
                  </w:r>
                  <w:r>
                    <w:rPr>
                      <w:rFonts w:cs="Georgia"/>
                      <w:color w:val="000000"/>
                      <w:spacing w:val="-1"/>
                    </w:rPr>
                    <w:t xml:space="preserve"> 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nan</w:t>
                  </w:r>
                  <w:r>
                    <w:rPr>
                      <w:rFonts w:cs="Georgia"/>
                      <w:color w:val="000000"/>
                    </w:rPr>
                    <w:t>t d</w:t>
                  </w:r>
                  <w:r>
                    <w:rPr>
                      <w:rFonts w:cs="Georgia"/>
                      <w:color w:val="000000"/>
                      <w:spacing w:val="-1"/>
                    </w:rPr>
                    <w:t>an</w:t>
                  </w:r>
                  <w:r>
                    <w:rPr>
                      <w:rFonts w:cs="Georgia"/>
                      <w:color w:val="000000"/>
                    </w:rPr>
                    <w:t xml:space="preserve">s </w:t>
                  </w:r>
                  <w:r>
                    <w:rPr>
                      <w:rFonts w:cs="Georgia"/>
                      <w:color w:val="000000"/>
                      <w:spacing w:val="-1"/>
                    </w:rPr>
                    <w:t>l</w:t>
                  </w:r>
                  <w:r>
                    <w:rPr>
                      <w:rFonts w:cs="Georgia"/>
                      <w:color w:val="000000"/>
                    </w:rPr>
                    <w:t>e</w:t>
                  </w:r>
                  <w:r>
                    <w:rPr>
                      <w:rFonts w:cs="Georgia"/>
                      <w:color w:val="000000"/>
                      <w:spacing w:val="-1"/>
                    </w:rPr>
                    <w:t xml:space="preserve"> </w:t>
                  </w:r>
                  <w:r>
                    <w:rPr>
                      <w:rFonts w:cs="Georgia"/>
                      <w:spacing w:val="1"/>
                    </w:rPr>
                    <w:t>r</w:t>
                  </w:r>
                  <w:r>
                    <w:rPr>
                      <w:rFonts w:cs="Georgia"/>
                      <w:spacing w:val="-1"/>
                    </w:rPr>
                    <w:t>e</w:t>
                  </w:r>
                  <w:r>
                    <w:rPr>
                      <w:rFonts w:cs="Georgia"/>
                      <w:spacing w:val="1"/>
                    </w:rPr>
                    <w:t>sp</w:t>
                  </w:r>
                  <w:r>
                    <w:rPr>
                      <w:rFonts w:cs="Georgia"/>
                      <w:spacing w:val="-1"/>
                    </w:rPr>
                    <w:t>e</w:t>
                  </w:r>
                  <w:r>
                    <w:rPr>
                      <w:rFonts w:cs="Georgia"/>
                      <w:spacing w:val="1"/>
                    </w:rPr>
                    <w:t>c</w:t>
                  </w:r>
                  <w:r>
                    <w:rPr>
                      <w:rFonts w:cs="Georgia"/>
                    </w:rPr>
                    <w:t>t d</w:t>
                  </w:r>
                  <w:r>
                    <w:rPr>
                      <w:rFonts w:cs="Georgia"/>
                      <w:spacing w:val="-1"/>
                    </w:rPr>
                    <w:t>e</w:t>
                  </w:r>
                  <w:r>
                    <w:rPr>
                      <w:rFonts w:cs="Georgia"/>
                    </w:rPr>
                    <w:t>s</w:t>
                  </w:r>
                  <w:r>
                    <w:rPr>
                      <w:rFonts w:cs="Georgia"/>
                      <w:spacing w:val="-2"/>
                    </w:rPr>
                    <w:t xml:space="preserve"> </w:t>
                  </w:r>
                  <w:r>
                    <w:rPr>
                      <w:rFonts w:cs="Georgia"/>
                      <w:spacing w:val="1"/>
                    </w:rPr>
                    <w:t>r</w:t>
                  </w:r>
                  <w:r>
                    <w:rPr>
                      <w:rFonts w:cs="Georgia"/>
                      <w:spacing w:val="-1"/>
                    </w:rPr>
                    <w:t>è</w:t>
                  </w:r>
                  <w:r>
                    <w:rPr>
                      <w:rFonts w:cs="Georgia"/>
                    </w:rPr>
                    <w:t>g</w:t>
                  </w:r>
                  <w:r>
                    <w:rPr>
                      <w:rFonts w:cs="Georgia"/>
                      <w:spacing w:val="-1"/>
                    </w:rPr>
                    <w:t>le</w:t>
                  </w:r>
                  <w:r>
                    <w:rPr>
                      <w:rFonts w:cs="Georgia"/>
                    </w:rPr>
                    <w:t xml:space="preserve">s </w:t>
                  </w:r>
                  <w:r>
                    <w:rPr>
                      <w:rFonts w:cs="Georgia"/>
                      <w:spacing w:val="1"/>
                    </w:rPr>
                    <w:t>s</w:t>
                  </w:r>
                  <w:r>
                    <w:rPr>
                      <w:rFonts w:cs="Georgia"/>
                      <w:spacing w:val="-2"/>
                    </w:rPr>
                    <w:t>t</w:t>
                  </w:r>
                  <w:r>
                    <w:rPr>
                      <w:rFonts w:cs="Georgia"/>
                      <w:spacing w:val="-1"/>
                    </w:rPr>
                    <w:t>a</w:t>
                  </w:r>
                  <w:r>
                    <w:rPr>
                      <w:rFonts w:cs="Georgia"/>
                      <w:spacing w:val="1"/>
                    </w:rPr>
                    <w:t>t</w:t>
                  </w:r>
                  <w:r>
                    <w:rPr>
                      <w:rFonts w:cs="Georgia"/>
                    </w:rPr>
                    <w:t>u</w:t>
                  </w:r>
                  <w:r>
                    <w:rPr>
                      <w:rFonts w:cs="Georgia"/>
                      <w:spacing w:val="1"/>
                    </w:rPr>
                    <w:t>t</w:t>
                  </w:r>
                  <w:r>
                    <w:rPr>
                      <w:rFonts w:cs="Georgia"/>
                      <w:spacing w:val="-1"/>
                    </w:rPr>
                    <w:t>a</w:t>
                  </w:r>
                  <w:r>
                    <w:rPr>
                      <w:rFonts w:cs="Georgia"/>
                    </w:rPr>
                    <w:t>i</w:t>
                  </w:r>
                  <w:r>
                    <w:rPr>
                      <w:rFonts w:cs="Georgia"/>
                      <w:spacing w:val="1"/>
                    </w:rPr>
                    <w:t>r</w:t>
                  </w:r>
                  <w:r>
                    <w:rPr>
                      <w:rFonts w:cs="Georgia"/>
                      <w:spacing w:val="-1"/>
                    </w:rPr>
                    <w:t>e</w:t>
                  </w:r>
                  <w:r>
                    <w:rPr>
                      <w:rFonts w:cs="Georgia"/>
                      <w:spacing w:val="-2"/>
                    </w:rPr>
                    <w:t>s</w:t>
                  </w:r>
                  <w:r>
                    <w:rPr>
                      <w:rFonts w:cs="Georgia"/>
                    </w:rPr>
                    <w:t>.</w:t>
                  </w:r>
                </w:p>
                <w:p>
                  <w:pPr>
                    <w:widowControl w:val="0"/>
                    <w:autoSpaceDE w:val="0"/>
                    <w:autoSpaceDN w:val="0"/>
                    <w:adjustRightInd w:val="0"/>
                    <w:spacing w:before="9" w:line="240" w:lineRule="exact"/>
                    <w:jc w:val="both"/>
                    <w:rPr>
                      <w:rFonts w:cs="Georgia"/>
                      <w:color w:val="000000"/>
                    </w:rPr>
                  </w:pPr>
                </w:p>
                <w:p>
                  <w:pPr>
                    <w:pStyle w:val="Titre4"/>
                  </w:pPr>
                  <w:bookmarkStart w:id="1740" w:name="_1.7._Calcul_du"/>
                  <w:bookmarkStart w:id="1741" w:name="_Toc453314319"/>
                  <w:bookmarkStart w:id="1742" w:name="_Toc454980354"/>
                  <w:bookmarkEnd w:id="1740"/>
                  <w:r>
                    <w:t>1.7. Calcul du capital-périodes dans le cadre de l’intégration</w:t>
                  </w:r>
                  <w:bookmarkEnd w:id="1741"/>
                  <w:bookmarkEnd w:id="1742"/>
                </w:p>
                <w:p>
                  <w:pPr>
                    <w:widowControl w:val="0"/>
                    <w:autoSpaceDE w:val="0"/>
                    <w:autoSpaceDN w:val="0"/>
                    <w:adjustRightInd w:val="0"/>
                    <w:spacing w:before="19" w:line="200" w:lineRule="exact"/>
                    <w:jc w:val="both"/>
                    <w:rPr>
                      <w:rFonts w:cs="Georgia"/>
                      <w:color w:val="000000"/>
                    </w:rPr>
                  </w:pPr>
                </w:p>
                <w:p>
                  <w:pPr>
                    <w:widowControl w:val="0"/>
                    <w:autoSpaceDE w:val="0"/>
                    <w:autoSpaceDN w:val="0"/>
                    <w:adjustRightInd w:val="0"/>
                    <w:spacing w:before="36"/>
                    <w:jc w:val="both"/>
                    <w:rPr>
                      <w:rFonts w:cs="Georgia"/>
                      <w:color w:val="000000"/>
                    </w:rPr>
                  </w:pP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1"/>
                    </w:rPr>
                    <w:t>p</w:t>
                  </w:r>
                  <w:r>
                    <w:rPr>
                      <w:rFonts w:cs="Georgia"/>
                      <w:color w:val="000000"/>
                      <w:spacing w:val="-1"/>
                    </w:rPr>
                    <w:t>e</w:t>
                  </w:r>
                  <w:r>
                    <w:rPr>
                      <w:rFonts w:cs="Georgia"/>
                      <w:color w:val="000000"/>
                    </w:rPr>
                    <w:t>ut diff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c</w:t>
                  </w:r>
                  <w:r>
                    <w:rPr>
                      <w:rFonts w:cs="Georgia"/>
                      <w:color w:val="000000"/>
                    </w:rPr>
                    <w:t>i</w:t>
                  </w:r>
                  <w:r>
                    <w:rPr>
                      <w:rFonts w:cs="Georgia"/>
                      <w:color w:val="000000"/>
                      <w:spacing w:val="-3"/>
                    </w:rPr>
                    <w:t>e</w:t>
                  </w:r>
                  <w:r>
                    <w:rPr>
                      <w:rFonts w:cs="Georgia"/>
                      <w:color w:val="000000"/>
                    </w:rPr>
                    <w:t xml:space="preserve">r quatre </w:t>
                  </w:r>
                  <w:r>
                    <w:rPr>
                      <w:rFonts w:cs="Georgia"/>
                      <w:color w:val="000000"/>
                      <w:spacing w:val="1"/>
                    </w:rPr>
                    <w:t>t</w:t>
                  </w:r>
                  <w:r>
                    <w:rPr>
                      <w:rFonts w:cs="Georgia"/>
                      <w:color w:val="000000"/>
                      <w:spacing w:val="-1"/>
                    </w:rPr>
                    <w:t>y</w:t>
                  </w:r>
                  <w:r>
                    <w:rPr>
                      <w:rFonts w:cs="Georgia"/>
                      <w:color w:val="000000"/>
                      <w:spacing w:val="1"/>
                    </w:rPr>
                    <w:t>p</w:t>
                  </w:r>
                  <w:r>
                    <w:rPr>
                      <w:rFonts w:cs="Georgia"/>
                      <w:color w:val="000000"/>
                      <w:spacing w:val="-1"/>
                    </w:rPr>
                    <w:t>e</w:t>
                  </w:r>
                  <w:r>
                    <w:rPr>
                      <w:rFonts w:cs="Georgia"/>
                      <w:color w:val="000000"/>
                    </w:rPr>
                    <w:t>s de</w:t>
                  </w:r>
                  <w:r>
                    <w:rPr>
                      <w:rFonts w:cs="Georgia"/>
                      <w:color w:val="000000"/>
                      <w:spacing w:val="-4"/>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a</w:t>
                  </w:r>
                  <w:r>
                    <w:rPr>
                      <w:rFonts w:cs="Georgia"/>
                      <w:color w:val="000000"/>
                      <w:spacing w:val="1"/>
                    </w:rPr>
                    <w:t>t</w:t>
                  </w:r>
                  <w:r>
                    <w:rPr>
                      <w:rFonts w:cs="Georgia"/>
                      <w:color w:val="000000"/>
                      <w:spacing w:val="-2"/>
                    </w:rPr>
                    <w:t>t</w:t>
                  </w:r>
                  <w:r>
                    <w:rPr>
                      <w:rFonts w:cs="Georgia"/>
                      <w:color w:val="000000"/>
                      <w:spacing w:val="1"/>
                    </w:rPr>
                    <w:t>r</w:t>
                  </w:r>
                  <w:r>
                    <w:rPr>
                      <w:rFonts w:cs="Georgia"/>
                      <w:color w:val="000000"/>
                      <w:spacing w:val="-2"/>
                    </w:rPr>
                    <w:t>i</w:t>
                  </w:r>
                  <w:r>
                    <w:rPr>
                      <w:rFonts w:cs="Georgia"/>
                      <w:color w:val="000000"/>
                      <w:spacing w:val="-1"/>
                    </w:rPr>
                    <w:t>b</w:t>
                  </w:r>
                  <w:r>
                    <w:rPr>
                      <w:rFonts w:cs="Georgia"/>
                      <w:color w:val="000000"/>
                    </w:rPr>
                    <w:t>u</w:t>
                  </w:r>
                  <w:r>
                    <w:rPr>
                      <w:rFonts w:cs="Georgia"/>
                      <w:color w:val="000000"/>
                      <w:spacing w:val="-1"/>
                    </w:rPr>
                    <w:t>ée</w:t>
                  </w:r>
                  <w:r>
                    <w:rPr>
                      <w:rFonts w:cs="Georgia"/>
                      <w:color w:val="000000"/>
                    </w:rPr>
                    <w:t>s d</w:t>
                  </w:r>
                  <w:r>
                    <w:rPr>
                      <w:rFonts w:cs="Georgia"/>
                      <w:color w:val="000000"/>
                      <w:spacing w:val="-1"/>
                    </w:rPr>
                    <w:t>an</w:t>
                  </w:r>
                  <w:r>
                    <w:rPr>
                      <w:rFonts w:cs="Georgia"/>
                      <w:color w:val="000000"/>
                    </w:rPr>
                    <w:t xml:space="preserve">s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c</w:t>
                  </w:r>
                  <w:r>
                    <w:rPr>
                      <w:rFonts w:cs="Georgia"/>
                      <w:color w:val="000000"/>
                      <w:spacing w:val="-1"/>
                    </w:rPr>
                    <w:t>a</w:t>
                  </w:r>
                  <w:r>
                    <w:rPr>
                      <w:rFonts w:cs="Georgia"/>
                      <w:color w:val="000000"/>
                    </w:rPr>
                    <w:t>d</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w:t>
                  </w:r>
                </w:p>
                <w:p>
                  <w:pPr>
                    <w:widowControl w:val="0"/>
                    <w:autoSpaceDE w:val="0"/>
                    <w:autoSpaceDN w:val="0"/>
                    <w:adjustRightInd w:val="0"/>
                    <w:spacing w:before="10" w:line="240" w:lineRule="exact"/>
                    <w:jc w:val="both"/>
                    <w:rPr>
                      <w:rFonts w:cs="Georgia"/>
                      <w:color w:val="000000"/>
                    </w:rPr>
                  </w:pPr>
                </w:p>
                <w:p>
                  <w:pPr>
                    <w:widowControl w:val="0"/>
                    <w:numPr>
                      <w:ilvl w:val="0"/>
                      <w:numId w:val="58"/>
                    </w:numPr>
                    <w:tabs>
                      <w:tab w:val="left" w:pos="840"/>
                    </w:tabs>
                    <w:suppressAutoHyphens/>
                    <w:autoSpaceDE w:val="0"/>
                    <w:autoSpaceDN w:val="0"/>
                    <w:adjustRightInd w:val="0"/>
                    <w:ind w:left="851" w:right="-20" w:hanging="851"/>
                    <w:jc w:val="both"/>
                    <w:rPr>
                      <w:rFonts w:cs="Georgia"/>
                      <w:color w:val="000000"/>
                    </w:rPr>
                  </w:pPr>
                  <w:r>
                    <w:rPr>
                      <w:rFonts w:cs="Georgia"/>
                      <w:color w:val="000000"/>
                      <w:spacing w:val="1"/>
                    </w:rPr>
                    <w:t>L</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rPr>
                    <w:t>d</w:t>
                  </w:r>
                  <w:r>
                    <w:rPr>
                      <w:rFonts w:cs="Georgia"/>
                      <w:color w:val="000000"/>
                      <w:spacing w:val="-3"/>
                    </w:rPr>
                    <w:t>e</w:t>
                  </w:r>
                  <w:r>
                    <w:rPr>
                      <w:rFonts w:cs="Georgia"/>
                      <w:color w:val="000000"/>
                    </w:rPr>
                    <w:t xml:space="preserve">s </w:t>
                  </w:r>
                  <w:r>
                    <w:rPr>
                      <w:rFonts w:cs="Georgia"/>
                      <w:color w:val="000000"/>
                      <w:spacing w:val="1"/>
                    </w:rPr>
                    <w:t>o</w:t>
                  </w:r>
                  <w:r>
                    <w:rPr>
                      <w:rFonts w:cs="Georgia"/>
                      <w:color w:val="000000"/>
                      <w:spacing w:val="-2"/>
                    </w:rPr>
                    <w:t>r</w:t>
                  </w:r>
                  <w:r>
                    <w:rPr>
                      <w:rFonts w:cs="Georgia"/>
                      <w:color w:val="000000"/>
                    </w:rPr>
                    <w:t>g</w:t>
                  </w:r>
                  <w:r>
                    <w:rPr>
                      <w:rFonts w:cs="Georgia"/>
                      <w:color w:val="000000"/>
                      <w:spacing w:val="-1"/>
                    </w:rPr>
                    <w:t>an</w:t>
                  </w:r>
                  <w:r>
                    <w:rPr>
                      <w:rFonts w:cs="Georgia"/>
                      <w:color w:val="000000"/>
                    </w:rPr>
                    <w:t>i</w:t>
                  </w:r>
                  <w:r>
                    <w:rPr>
                      <w:rFonts w:cs="Georgia"/>
                      <w:color w:val="000000"/>
                      <w:spacing w:val="-1"/>
                    </w:rPr>
                    <w:t>q</w:t>
                  </w:r>
                  <w:r>
                    <w:rPr>
                      <w:rFonts w:cs="Georgia"/>
                      <w:color w:val="000000"/>
                    </w:rPr>
                    <w:t>u</w:t>
                  </w:r>
                  <w:r>
                    <w:rPr>
                      <w:rFonts w:cs="Georgia"/>
                      <w:color w:val="000000"/>
                      <w:spacing w:val="-1"/>
                    </w:rPr>
                    <w:t>e</w:t>
                  </w:r>
                  <w:r>
                    <w:rPr>
                      <w:rFonts w:cs="Georgia"/>
                      <w:color w:val="000000"/>
                    </w:rPr>
                    <w:t xml:space="preserve">s </w:t>
                  </w:r>
                  <w:r>
                    <w:rPr>
                      <w:rFonts w:cs="Georgia"/>
                      <w:color w:val="000000"/>
                      <w:spacing w:val="1"/>
                    </w:rPr>
                    <w:t>po</w:t>
                  </w:r>
                  <w:r>
                    <w:rPr>
                      <w:rFonts w:cs="Georgia"/>
                      <w:color w:val="000000"/>
                      <w:spacing w:val="-2"/>
                    </w:rPr>
                    <w:t>u</w:t>
                  </w:r>
                  <w:r>
                    <w:rPr>
                      <w:rFonts w:cs="Georgia"/>
                      <w:color w:val="000000"/>
                    </w:rPr>
                    <w:t xml:space="preserve">r </w:t>
                  </w:r>
                  <w:r>
                    <w:rPr>
                      <w:rFonts w:cs="Georgia"/>
                      <w:color w:val="000000"/>
                      <w:spacing w:val="-1"/>
                    </w:rPr>
                    <w:t>le</w:t>
                  </w:r>
                  <w:r>
                    <w:rPr>
                      <w:rFonts w:cs="Georgia"/>
                      <w:color w:val="000000"/>
                    </w:rPr>
                    <w:t xml:space="preserve">s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 xml:space="preserve">s </w:t>
                  </w:r>
                  <w:r>
                    <w:rPr>
                      <w:rFonts w:cs="Georgia"/>
                      <w:color w:val="000000"/>
                      <w:spacing w:val="-1"/>
                    </w:rPr>
                    <w:t>e</w:t>
                  </w:r>
                  <w:r>
                    <w:rPr>
                      <w:rFonts w:cs="Georgia"/>
                      <w:color w:val="000000"/>
                    </w:rPr>
                    <w:t>n</w:t>
                  </w:r>
                  <w:r>
                    <w:rPr>
                      <w:rFonts w:cs="Georgia"/>
                      <w:color w:val="000000"/>
                      <w:spacing w:val="-1"/>
                    </w:rPr>
                    <w:t xml:space="preserve"> </w:t>
                  </w:r>
                  <w:r>
                    <w:rPr>
                      <w:rFonts w:cs="Georgia"/>
                      <w:color w:val="000000"/>
                    </w:rPr>
                    <w:t>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1"/>
                    </w:rPr>
                    <w:t>t</w:t>
                  </w:r>
                  <w:r>
                    <w:rPr>
                      <w:rFonts w:cs="Georgia"/>
                      <w:color w:val="000000"/>
                      <w:spacing w:val="-1"/>
                    </w:rPr>
                    <w:t>e</w:t>
                  </w:r>
                  <w:r>
                    <w:rPr>
                      <w:rFonts w:cs="Georgia"/>
                      <w:color w:val="000000"/>
                      <w:spacing w:val="-3"/>
                    </w:rPr>
                    <w:t>m</w:t>
                  </w:r>
                  <w:r>
                    <w:rPr>
                      <w:rFonts w:cs="Georgia"/>
                      <w:color w:val="000000"/>
                      <w:spacing w:val="1"/>
                    </w:rPr>
                    <w:t>p</w:t>
                  </w:r>
                  <w:r>
                    <w:rPr>
                      <w:rFonts w:cs="Georgia"/>
                      <w:color w:val="000000"/>
                      <w:spacing w:val="-1"/>
                    </w:rPr>
                    <w:t>o</w:t>
                  </w:r>
                  <w:r>
                    <w:rPr>
                      <w:rFonts w:cs="Georgia"/>
                      <w:color w:val="000000"/>
                      <w:spacing w:val="1"/>
                    </w:rPr>
                    <w:t>r</w:t>
                  </w:r>
                  <w:r>
                    <w:rPr>
                      <w:rFonts w:cs="Georgia"/>
                      <w:color w:val="000000"/>
                      <w:spacing w:val="-1"/>
                    </w:rPr>
                    <w:t>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e</w:t>
                  </w:r>
                  <w:r>
                    <w:rPr>
                      <w:rFonts w:cs="Georgia"/>
                      <w:color w:val="000000"/>
                      <w:spacing w:val="1"/>
                    </w:rPr>
                    <w:t>t</w:t>
                  </w:r>
                  <w:r>
                    <w:rPr>
                      <w:rFonts w:cs="Georgia"/>
                      <w:color w:val="000000"/>
                    </w:rPr>
                    <w:t>/</w:t>
                  </w:r>
                  <w:r>
                    <w:rPr>
                      <w:rFonts w:cs="Georgia"/>
                      <w:color w:val="000000"/>
                      <w:spacing w:val="-1"/>
                    </w:rPr>
                    <w:t>o</w:t>
                  </w:r>
                  <w:r>
                    <w:rPr>
                      <w:rFonts w:cs="Georgia"/>
                      <w:color w:val="000000"/>
                    </w:rPr>
                    <w:t xml:space="preserve">u </w:t>
                  </w:r>
                  <w:r>
                    <w:rPr>
                      <w:rFonts w:cs="Georgia"/>
                      <w:color w:val="000000"/>
                      <w:spacing w:val="1"/>
                    </w:rPr>
                    <w:t>p</w:t>
                  </w:r>
                  <w:r>
                    <w:rPr>
                      <w:rFonts w:cs="Georgia"/>
                      <w:color w:val="000000"/>
                      <w:spacing w:val="-3"/>
                    </w:rPr>
                    <w:t>a</w:t>
                  </w:r>
                  <w:r>
                    <w:rPr>
                      <w:rFonts w:cs="Georgia"/>
                      <w:color w:val="000000"/>
                      <w:spacing w:val="1"/>
                    </w:rPr>
                    <w:t>rt</w:t>
                  </w:r>
                  <w:r>
                    <w:rPr>
                      <w:rFonts w:cs="Georgia"/>
                      <w:color w:val="000000"/>
                    </w:rPr>
                    <w:t>i</w:t>
                  </w:r>
                  <w:r>
                    <w:rPr>
                      <w:rFonts w:cs="Georgia"/>
                      <w:color w:val="000000"/>
                      <w:spacing w:val="-1"/>
                    </w:rPr>
                    <w:t>ell</w:t>
                  </w:r>
                  <w:r>
                    <w:rPr>
                      <w:rFonts w:cs="Georgia"/>
                      <w:color w:val="000000"/>
                    </w:rPr>
                    <w:t>e</w:t>
                  </w:r>
                  <w:r>
                    <w:rPr>
                      <w:rFonts w:cs="Georgia"/>
                      <w:color w:val="000000"/>
                      <w:spacing w:val="-1"/>
                    </w:rPr>
                    <w:t xml:space="preserve"> </w:t>
                  </w:r>
                  <w:r>
                    <w:rPr>
                      <w:rFonts w:cs="Georgia"/>
                      <w:color w:val="000000"/>
                    </w:rPr>
                    <w:t>:</w:t>
                  </w:r>
                </w:p>
                <w:p>
                  <w:pPr>
                    <w:widowControl w:val="0"/>
                    <w:autoSpaceDE w:val="0"/>
                    <w:autoSpaceDN w:val="0"/>
                    <w:adjustRightInd w:val="0"/>
                    <w:spacing w:before="13" w:line="240" w:lineRule="exact"/>
                    <w:jc w:val="both"/>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rPr>
                    <w:t>C</w:t>
                  </w:r>
                  <w:r>
                    <w:rPr>
                      <w:rFonts w:cs="Georgia"/>
                      <w:color w:val="000000"/>
                      <w:spacing w:val="-1"/>
                    </w:rPr>
                    <w:t>e</w:t>
                  </w:r>
                  <w:r>
                    <w:rPr>
                      <w:rFonts w:cs="Georgia"/>
                      <w:color w:val="000000"/>
                    </w:rPr>
                    <w:t xml:space="preserve">s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 xml:space="preserve">s </w:t>
                  </w:r>
                  <w:r>
                    <w:rPr>
                      <w:rFonts w:cs="Georgia"/>
                      <w:color w:val="000000"/>
                      <w:spacing w:val="1"/>
                    </w:rPr>
                    <w:t>so</w:t>
                  </w:r>
                  <w:r>
                    <w:rPr>
                      <w:rFonts w:cs="Georgia"/>
                      <w:color w:val="000000"/>
                      <w:spacing w:val="-1"/>
                    </w:rPr>
                    <w:t>n</w:t>
                  </w:r>
                  <w:r>
                    <w:rPr>
                      <w:rFonts w:cs="Georgia"/>
                      <w:color w:val="000000"/>
                    </w:rPr>
                    <w:t xml:space="preserve">t </w:t>
                  </w:r>
                  <w:r>
                    <w:rPr>
                      <w:rFonts w:cs="Georgia"/>
                      <w:color w:val="000000"/>
                      <w:spacing w:val="1"/>
                    </w:rPr>
                    <w:t>co</w:t>
                  </w:r>
                  <w:r>
                    <w:rPr>
                      <w:rFonts w:cs="Georgia"/>
                      <w:color w:val="000000"/>
                      <w:spacing w:val="-3"/>
                    </w:rPr>
                    <w:t>m</w:t>
                  </w:r>
                  <w:r>
                    <w:rPr>
                      <w:rFonts w:cs="Georgia"/>
                      <w:color w:val="000000"/>
                      <w:spacing w:val="1"/>
                    </w:rPr>
                    <w:t>pt</w:t>
                  </w:r>
                  <w:r>
                    <w:rPr>
                      <w:rFonts w:cs="Georgia"/>
                      <w:color w:val="000000"/>
                      <w:spacing w:val="-3"/>
                    </w:rPr>
                    <w:t>a</w:t>
                  </w:r>
                  <w:r>
                    <w:rPr>
                      <w:rFonts w:cs="Georgia"/>
                      <w:color w:val="000000"/>
                      <w:spacing w:val="1"/>
                    </w:rPr>
                    <w:t>b</w:t>
                  </w:r>
                  <w:r>
                    <w:rPr>
                      <w:rFonts w:cs="Georgia"/>
                      <w:color w:val="000000"/>
                    </w:rPr>
                    <w:t>i</w:t>
                  </w:r>
                  <w:r>
                    <w:rPr>
                      <w:rFonts w:cs="Georgia"/>
                      <w:color w:val="000000"/>
                      <w:spacing w:val="-1"/>
                    </w:rPr>
                    <w:t>l</w:t>
                  </w:r>
                  <w:r>
                    <w:rPr>
                      <w:rFonts w:cs="Georgia"/>
                      <w:color w:val="000000"/>
                    </w:rPr>
                    <w:t>i</w:t>
                  </w:r>
                  <w:r>
                    <w:rPr>
                      <w:rFonts w:cs="Georgia"/>
                      <w:color w:val="000000"/>
                      <w:spacing w:val="1"/>
                    </w:rPr>
                    <w:t>s</w:t>
                  </w:r>
                  <w:r>
                    <w:rPr>
                      <w:rFonts w:cs="Georgia"/>
                      <w:color w:val="000000"/>
                      <w:spacing w:val="-1"/>
                    </w:rPr>
                    <w:t>é</w:t>
                  </w:r>
                  <w:r>
                    <w:rPr>
                      <w:rFonts w:cs="Georgia"/>
                      <w:color w:val="000000"/>
                    </w:rPr>
                    <w:t xml:space="preserve">s </w:t>
                  </w:r>
                  <w:r>
                    <w:rPr>
                      <w:rFonts w:cs="Georgia"/>
                      <w:color w:val="000000"/>
                      <w:spacing w:val="-2"/>
                    </w:rPr>
                    <w:t>c</w:t>
                  </w:r>
                  <w:r>
                    <w:rPr>
                      <w:rFonts w:cs="Georgia"/>
                      <w:color w:val="000000"/>
                      <w:spacing w:val="1"/>
                    </w:rPr>
                    <w:t>o</w:t>
                  </w:r>
                  <w:r>
                    <w:rPr>
                      <w:rFonts w:cs="Georgia"/>
                      <w:color w:val="000000"/>
                    </w:rPr>
                    <w:t xml:space="preserve">mme </w:t>
                  </w:r>
                  <w:r>
                    <w:rPr>
                      <w:rFonts w:cs="Georgia"/>
                      <w:color w:val="000000"/>
                      <w:spacing w:val="-2"/>
                    </w:rPr>
                    <w:t>t</w:t>
                  </w:r>
                  <w:r>
                    <w:rPr>
                      <w:rFonts w:cs="Georgia"/>
                      <w:color w:val="000000"/>
                      <w:spacing w:val="1"/>
                    </w:rPr>
                    <w:t>o</w:t>
                  </w:r>
                  <w:r>
                    <w:rPr>
                      <w:rFonts w:cs="Georgia"/>
                      <w:color w:val="000000"/>
                    </w:rPr>
                    <w:t xml:space="preserve">us </w:t>
                  </w:r>
                  <w:r>
                    <w:rPr>
                      <w:rFonts w:cs="Georgia"/>
                      <w:color w:val="000000"/>
                      <w:spacing w:val="-1"/>
                    </w:rPr>
                    <w:t>le</w:t>
                  </w:r>
                  <w:r>
                    <w:rPr>
                      <w:rFonts w:cs="Georgia"/>
                      <w:color w:val="000000"/>
                    </w:rPr>
                    <w:t>s</w:t>
                  </w:r>
                  <w:r>
                    <w:rPr>
                      <w:rFonts w:cs="Georgia"/>
                      <w:color w:val="000000"/>
                      <w:spacing w:val="3"/>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r</w:t>
                  </w:r>
                  <w:r>
                    <w:rPr>
                      <w:rFonts w:cs="Georgia"/>
                      <w:color w:val="000000"/>
                      <w:spacing w:val="-1"/>
                    </w:rPr>
                    <w:t>é</w:t>
                  </w:r>
                  <w:r>
                    <w:rPr>
                      <w:rFonts w:cs="Georgia"/>
                      <w:color w:val="000000"/>
                    </w:rPr>
                    <w:t>gu</w:t>
                  </w:r>
                  <w:r>
                    <w:rPr>
                      <w:rFonts w:cs="Georgia"/>
                      <w:color w:val="000000"/>
                      <w:spacing w:val="-1"/>
                    </w:rPr>
                    <w:t>l</w:t>
                  </w:r>
                  <w:r>
                    <w:rPr>
                      <w:rFonts w:cs="Georgia"/>
                      <w:color w:val="000000"/>
                    </w:rPr>
                    <w:t>i</w:t>
                  </w:r>
                  <w:r>
                    <w:rPr>
                      <w:rFonts w:cs="Georgia"/>
                      <w:color w:val="000000"/>
                      <w:spacing w:val="-1"/>
                    </w:rPr>
                    <w:t>è</w:t>
                  </w:r>
                  <w:r>
                    <w:rPr>
                      <w:rFonts w:cs="Georgia"/>
                      <w:color w:val="000000"/>
                      <w:spacing w:val="1"/>
                    </w:rPr>
                    <w:t>r</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3"/>
                    </w:rPr>
                    <w:t xml:space="preserve"> </w:t>
                  </w:r>
                  <w:r>
                    <w:rPr>
                      <w:rFonts w:cs="Georgia"/>
                      <w:color w:val="000000"/>
                    </w:rPr>
                    <w:t>i</w:t>
                  </w:r>
                  <w:r>
                    <w:rPr>
                      <w:rFonts w:cs="Georgia"/>
                      <w:color w:val="000000"/>
                      <w:spacing w:val="-1"/>
                    </w:rPr>
                    <w:t>n</w:t>
                  </w:r>
                  <w:r>
                    <w:rPr>
                      <w:rFonts w:cs="Georgia"/>
                      <w:color w:val="000000"/>
                      <w:spacing w:val="1"/>
                    </w:rPr>
                    <w:t>scr</w:t>
                  </w:r>
                  <w:r>
                    <w:rPr>
                      <w:rFonts w:cs="Georgia"/>
                      <w:color w:val="000000"/>
                      <w:spacing w:val="-2"/>
                    </w:rPr>
                    <w:t>i</w:t>
                  </w:r>
                  <w:r>
                    <w:rPr>
                      <w:rFonts w:cs="Georgia"/>
                      <w:color w:val="000000"/>
                      <w:spacing w:val="1"/>
                    </w:rPr>
                    <w:t>t</w:t>
                  </w:r>
                  <w:r>
                    <w:rPr>
                      <w:rFonts w:cs="Georgia"/>
                      <w:color w:val="000000"/>
                    </w:rPr>
                    <w:t xml:space="preserve">s </w:t>
                  </w:r>
                  <w:r>
                    <w:rPr>
                      <w:rFonts w:cs="Georgia"/>
                      <w:color w:val="000000"/>
                      <w:spacing w:val="-1"/>
                    </w:rPr>
                    <w:t>e</w:t>
                  </w:r>
                  <w:r>
                    <w:rPr>
                      <w:rFonts w:cs="Georgia"/>
                      <w:color w:val="000000"/>
                    </w:rPr>
                    <w:t xml:space="preserve">n </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spacing w:val="-1"/>
                    </w:rPr>
                    <w:t>é</w:t>
                  </w:r>
                  <w:r>
                    <w:rPr>
                      <w:rFonts w:cs="Georgia"/>
                      <w:color w:val="000000"/>
                    </w:rPr>
                    <w:t>. I</w:t>
                  </w:r>
                  <w:r>
                    <w:rPr>
                      <w:rFonts w:cs="Georgia"/>
                      <w:color w:val="000000"/>
                      <w:spacing w:val="-1"/>
                    </w:rPr>
                    <w:t>l</w:t>
                  </w:r>
                  <w:r>
                    <w:rPr>
                      <w:rFonts w:cs="Georgia"/>
                      <w:color w:val="000000"/>
                    </w:rPr>
                    <w:t>s</w:t>
                  </w:r>
                  <w:r>
                    <w:rPr>
                      <w:rFonts w:cs="Georgia"/>
                      <w:color w:val="000000"/>
                      <w:spacing w:val="3"/>
                    </w:rPr>
                    <w:t xml:space="preserve">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 xml:space="preserve">t </w:t>
                  </w:r>
                  <w:r>
                    <w:rPr>
                      <w:rFonts w:cs="Georgia"/>
                      <w:color w:val="000000"/>
                      <w:spacing w:val="1"/>
                    </w:rPr>
                    <w:t>pr</w:t>
                  </w:r>
                  <w:r>
                    <w:rPr>
                      <w:rFonts w:cs="Georgia"/>
                      <w:color w:val="000000"/>
                      <w:spacing w:val="-2"/>
                    </w:rPr>
                    <w:t>i</w:t>
                  </w:r>
                  <w:r>
                    <w:rPr>
                      <w:rFonts w:cs="Georgia"/>
                      <w:color w:val="000000"/>
                    </w:rPr>
                    <w:t>s</w:t>
                  </w:r>
                  <w:r>
                    <w:rPr>
                      <w:rFonts w:cs="Georgia"/>
                      <w:color w:val="000000"/>
                      <w:spacing w:val="3"/>
                    </w:rPr>
                    <w:t xml:space="preserve"> </w:t>
                  </w:r>
                  <w:r>
                    <w:rPr>
                      <w:rFonts w:cs="Georgia"/>
                      <w:color w:val="000000"/>
                      <w:spacing w:val="-1"/>
                    </w:rPr>
                    <w:t>e</w:t>
                  </w:r>
                  <w:r>
                    <w:rPr>
                      <w:rFonts w:cs="Georgia"/>
                      <w:color w:val="000000"/>
                    </w:rPr>
                    <w:t>n</w:t>
                  </w:r>
                  <w:r>
                    <w:rPr>
                      <w:rFonts w:cs="Georgia"/>
                      <w:color w:val="000000"/>
                      <w:spacing w:val="1"/>
                    </w:rPr>
                    <w:t xml:space="preserve"> co</w:t>
                  </w:r>
                  <w:r>
                    <w:rPr>
                      <w:rFonts w:cs="Georgia"/>
                      <w:color w:val="000000"/>
                      <w:spacing w:val="-3"/>
                    </w:rPr>
                    <w:t>m</w:t>
                  </w:r>
                  <w:r>
                    <w:rPr>
                      <w:rFonts w:cs="Georgia"/>
                      <w:color w:val="000000"/>
                      <w:spacing w:val="1"/>
                    </w:rPr>
                    <w:t>pt</w:t>
                  </w:r>
                  <w:r>
                    <w:rPr>
                      <w:rFonts w:cs="Georgia"/>
                      <w:color w:val="000000"/>
                    </w:rPr>
                    <w:t>e</w:t>
                  </w:r>
                  <w:r>
                    <w:rPr>
                      <w:rFonts w:cs="Georgia"/>
                      <w:color w:val="000000"/>
                      <w:spacing w:val="1"/>
                    </w:rPr>
                    <w:t xml:space="preserve"> </w:t>
                  </w:r>
                  <w:r>
                    <w:rPr>
                      <w:rFonts w:cs="Georgia"/>
                      <w:color w:val="000000"/>
                      <w:spacing w:val="-1"/>
                    </w:rPr>
                    <w:t>a</w:t>
                  </w:r>
                  <w:r>
                    <w:rPr>
                      <w:rFonts w:cs="Georgia"/>
                      <w:color w:val="000000"/>
                    </w:rPr>
                    <w:t>ux</w:t>
                  </w:r>
                  <w:r>
                    <w:rPr>
                      <w:rFonts w:cs="Georgia"/>
                      <w:color w:val="000000"/>
                      <w:spacing w:val="1"/>
                    </w:rPr>
                    <w:t xml:space="preserve"> </w:t>
                  </w:r>
                  <w:r>
                    <w:rPr>
                      <w:rFonts w:cs="Georgia"/>
                      <w:color w:val="000000"/>
                    </w:rPr>
                    <w:t>di</w:t>
                  </w:r>
                  <w:r>
                    <w:rPr>
                      <w:rFonts w:cs="Georgia"/>
                      <w:color w:val="000000"/>
                      <w:spacing w:val="-2"/>
                    </w:rPr>
                    <w:t>f</w:t>
                  </w:r>
                  <w:r>
                    <w:rPr>
                      <w:rFonts w:cs="Georgia"/>
                      <w:color w:val="000000"/>
                    </w:rPr>
                    <w:t>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spacing w:val="-1"/>
                    </w:rPr>
                    <w:t>e</w:t>
                  </w:r>
                  <w:r>
                    <w:rPr>
                      <w:rFonts w:cs="Georgia"/>
                      <w:color w:val="000000"/>
                    </w:rPr>
                    <w:t>s d</w:t>
                  </w:r>
                  <w:r>
                    <w:rPr>
                      <w:rFonts w:cs="Georgia"/>
                      <w:color w:val="000000"/>
                      <w:spacing w:val="-1"/>
                    </w:rPr>
                    <w:t>a</w:t>
                  </w:r>
                  <w:r>
                    <w:rPr>
                      <w:rFonts w:cs="Georgia"/>
                      <w:color w:val="000000"/>
                      <w:spacing w:val="1"/>
                    </w:rPr>
                    <w:t>t</w:t>
                  </w:r>
                  <w:r>
                    <w:rPr>
                      <w:rFonts w:cs="Georgia"/>
                      <w:color w:val="000000"/>
                      <w:spacing w:val="-1"/>
                    </w:rPr>
                    <w:t>e</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w:t>
                  </w:r>
                  <w:r>
                    <w:rPr>
                      <w:rFonts w:cs="Georgia"/>
                      <w:color w:val="000000"/>
                      <w:spacing w:val="-2"/>
                    </w:rPr>
                    <w:t>c</w:t>
                  </w:r>
                  <w:r>
                    <w:rPr>
                      <w:rFonts w:cs="Georgia"/>
                      <w:color w:val="000000"/>
                      <w:spacing w:val="1"/>
                    </w:rPr>
                    <w:t>o</w:t>
                  </w:r>
                  <w:r>
                    <w:rPr>
                      <w:rFonts w:cs="Georgia"/>
                      <w:color w:val="000000"/>
                      <w:spacing w:val="-3"/>
                    </w:rPr>
                    <w:t>m</w:t>
                  </w:r>
                  <w:r>
                    <w:rPr>
                      <w:rFonts w:cs="Georgia"/>
                      <w:color w:val="000000"/>
                      <w:spacing w:val="1"/>
                    </w:rPr>
                    <w:t>pt</w:t>
                  </w:r>
                  <w:r>
                    <w:rPr>
                      <w:rFonts w:cs="Georgia"/>
                      <w:color w:val="000000"/>
                      <w:spacing w:val="-1"/>
                    </w:rPr>
                    <w:t>a</w:t>
                  </w:r>
                  <w:r>
                    <w:rPr>
                      <w:rFonts w:cs="Georgia"/>
                      <w:color w:val="000000"/>
                    </w:rPr>
                    <w:t>ge</w:t>
                  </w:r>
                  <w:r>
                    <w:rPr>
                      <w:rFonts w:cs="Georgia"/>
                      <w:color w:val="000000"/>
                      <w:spacing w:val="1"/>
                    </w:rPr>
                    <w:t xml:space="preserve"> </w:t>
                  </w:r>
                  <w:r>
                    <w:rPr>
                      <w:rFonts w:cs="Georgia"/>
                      <w:color w:val="000000"/>
                      <w:spacing w:val="-1"/>
                    </w:rPr>
                    <w:t>o</w:t>
                  </w:r>
                  <w:r>
                    <w:rPr>
                      <w:rFonts w:cs="Georgia"/>
                      <w:color w:val="000000"/>
                    </w:rPr>
                    <w:t>u</w:t>
                  </w:r>
                  <w:r>
                    <w:rPr>
                      <w:rFonts w:cs="Georgia"/>
                      <w:color w:val="000000"/>
                      <w:spacing w:val="2"/>
                    </w:rPr>
                    <w:t xml:space="preserve"> </w:t>
                  </w:r>
                  <w:r>
                    <w:rPr>
                      <w:rFonts w:cs="Georgia"/>
                      <w:color w:val="000000"/>
                    </w:rPr>
                    <w:t>de</w:t>
                  </w:r>
                  <w:r>
                    <w:rPr>
                      <w:rFonts w:cs="Georgia"/>
                      <w:color w:val="000000"/>
                      <w:spacing w:val="-1"/>
                    </w:rPr>
                    <w:t xml:space="preserve"> </w:t>
                  </w:r>
                  <w:r>
                    <w:rPr>
                      <w:rFonts w:cs="Georgia"/>
                      <w:color w:val="000000"/>
                      <w:spacing w:val="1"/>
                    </w:rPr>
                    <w:t>r</w:t>
                  </w:r>
                  <w:r>
                    <w:rPr>
                      <w:rFonts w:cs="Georgia"/>
                      <w:color w:val="000000"/>
                      <w:spacing w:val="-1"/>
                    </w:rPr>
                    <w:t>e</w:t>
                  </w:r>
                  <w:r>
                    <w:rPr>
                      <w:rFonts w:cs="Georgia"/>
                      <w:color w:val="000000"/>
                      <w:spacing w:val="1"/>
                    </w:rPr>
                    <w:t>co</w:t>
                  </w:r>
                  <w:r>
                    <w:rPr>
                      <w:rFonts w:cs="Georgia"/>
                      <w:color w:val="000000"/>
                      <w:spacing w:val="-3"/>
                    </w:rPr>
                    <w:t>m</w:t>
                  </w:r>
                  <w:r>
                    <w:rPr>
                      <w:rFonts w:cs="Georgia"/>
                      <w:color w:val="000000"/>
                      <w:spacing w:val="1"/>
                    </w:rPr>
                    <w:t>pt</w:t>
                  </w:r>
                  <w:r>
                    <w:rPr>
                      <w:rFonts w:cs="Georgia"/>
                      <w:color w:val="000000"/>
                      <w:spacing w:val="-1"/>
                    </w:rPr>
                    <w:t>a</w:t>
                  </w:r>
                  <w:r>
                    <w:rPr>
                      <w:rFonts w:cs="Georgia"/>
                      <w:color w:val="000000"/>
                    </w:rPr>
                    <w:t>ge</w:t>
                  </w:r>
                  <w:r>
                    <w:rPr>
                      <w:rFonts w:cs="Georgia"/>
                      <w:color w:val="000000"/>
                      <w:spacing w:val="-1"/>
                    </w:rPr>
                    <w:t xml:space="preserve"> </w:t>
                  </w:r>
                  <w:r>
                    <w:rPr>
                      <w:rFonts w:cs="Georgia"/>
                      <w:color w:val="000000"/>
                      <w:spacing w:val="1"/>
                    </w:rPr>
                    <w:t>(</w:t>
                  </w:r>
                  <w:r>
                    <w:rPr>
                      <w:rFonts w:cs="Georgia"/>
                      <w:color w:val="000000"/>
                      <w:spacing w:val="-1"/>
                    </w:rPr>
                    <w:t>1</w:t>
                  </w:r>
                  <w:r>
                    <w:rPr>
                      <w:rFonts w:cs="Georgia"/>
                      <w:color w:val="000000"/>
                    </w:rPr>
                    <w:t>5</w:t>
                  </w:r>
                  <w:r>
                    <w:rPr>
                      <w:rFonts w:cs="Georgia"/>
                      <w:color w:val="000000"/>
                      <w:spacing w:val="3"/>
                    </w:rPr>
                    <w:t xml:space="preserve"> </w:t>
                  </w:r>
                  <w:r>
                    <w:rPr>
                      <w:rFonts w:cs="Georgia"/>
                      <w:color w:val="000000"/>
                    </w:rPr>
                    <w:t>j</w:t>
                  </w:r>
                  <w:r>
                    <w:rPr>
                      <w:rFonts w:cs="Georgia"/>
                      <w:color w:val="000000"/>
                      <w:spacing w:val="-1"/>
                    </w:rPr>
                    <w:t>an</w:t>
                  </w:r>
                  <w:r>
                    <w:rPr>
                      <w:rFonts w:cs="Georgia"/>
                      <w:color w:val="000000"/>
                      <w:spacing w:val="-2"/>
                    </w:rPr>
                    <w:t>v</w:t>
                  </w:r>
                  <w:r>
                    <w:rPr>
                      <w:rFonts w:cs="Georgia"/>
                      <w:color w:val="000000"/>
                    </w:rPr>
                    <w:t>i</w:t>
                  </w:r>
                  <w:r>
                    <w:rPr>
                      <w:rFonts w:cs="Georgia"/>
                      <w:color w:val="000000"/>
                      <w:spacing w:val="-1"/>
                    </w:rPr>
                    <w:t>e</w:t>
                  </w:r>
                  <w:r>
                    <w:rPr>
                      <w:rFonts w:cs="Georgia"/>
                      <w:color w:val="000000"/>
                      <w:spacing w:val="1"/>
                    </w:rPr>
                    <w:t>r, 3</w:t>
                  </w:r>
                  <w:r>
                    <w:rPr>
                      <w:rFonts w:cs="Georgia"/>
                      <w:color w:val="000000"/>
                    </w:rPr>
                    <w:t>0</w:t>
                  </w:r>
                  <w:r>
                    <w:rPr>
                      <w:rFonts w:cs="Georgia"/>
                      <w:color w:val="000000"/>
                      <w:spacing w:val="1"/>
                    </w:rPr>
                    <w:t xml:space="preserve"> s</w:t>
                  </w:r>
                  <w:r>
                    <w:rPr>
                      <w:rFonts w:cs="Georgia"/>
                      <w:color w:val="000000"/>
                      <w:spacing w:val="-1"/>
                    </w:rPr>
                    <w:t>ep</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b</w:t>
                  </w:r>
                  <w:r>
                    <w:rPr>
                      <w:rFonts w:cs="Georgia"/>
                      <w:color w:val="000000"/>
                      <w:spacing w:val="1"/>
                    </w:rPr>
                    <w:t>r</w:t>
                  </w:r>
                  <w:r>
                    <w:rPr>
                      <w:rFonts w:cs="Georgia"/>
                      <w:color w:val="000000"/>
                      <w:spacing w:val="-1"/>
                    </w:rPr>
                    <w:t>e</w:t>
                  </w:r>
                  <w:r>
                    <w:rPr>
                      <w:rFonts w:cs="Georgia"/>
                      <w:color w:val="000000"/>
                    </w:rPr>
                    <w:t xml:space="preserve">, </w:t>
                  </w:r>
                  <w:r>
                    <w:rPr>
                      <w:rFonts w:cs="Georgia"/>
                      <w:color w:val="000000"/>
                      <w:spacing w:val="1"/>
                    </w:rPr>
                    <w:t>1</w:t>
                  </w:r>
                  <w:r>
                    <w:rPr>
                      <w:rFonts w:cs="Georgia"/>
                      <w:color w:val="000000"/>
                      <w:spacing w:val="-1"/>
                    </w:rPr>
                    <w:t>0</w:t>
                  </w:r>
                  <w:r>
                    <w:rPr>
                      <w:rFonts w:cs="Georgia"/>
                      <w:color w:val="000000"/>
                    </w:rPr>
                    <w:t>%</w:t>
                  </w:r>
                  <w:r>
                    <w:rPr>
                      <w:rFonts w:cs="Georgia"/>
                      <w:color w:val="000000"/>
                      <w:spacing w:val="-1"/>
                    </w:rPr>
                    <w:t>)</w:t>
                  </w:r>
                  <w:r>
                    <w:rPr>
                      <w:rFonts w:cs="Georgia"/>
                      <w:color w:val="000000"/>
                    </w:rPr>
                    <w:t xml:space="preserve">. </w:t>
                  </w:r>
                  <w:r>
                    <w:rPr>
                      <w:rFonts w:cs="Georgia"/>
                      <w:color w:val="000000"/>
                      <w:spacing w:val="-1"/>
                    </w:rPr>
                    <w:t>Le</w:t>
                  </w:r>
                  <w:r>
                    <w:rPr>
                      <w:rFonts w:cs="Georgia"/>
                      <w:color w:val="000000"/>
                    </w:rPr>
                    <w:t>s</w:t>
                  </w:r>
                  <w:r>
                    <w:rPr>
                      <w:rFonts w:cs="Georgia"/>
                      <w:color w:val="000000"/>
                      <w:spacing w:val="3"/>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1"/>
                    </w:rPr>
                    <w:t xml:space="preserve"> </w:t>
                  </w:r>
                  <w:r>
                    <w:rPr>
                      <w:rFonts w:cs="Georgia"/>
                      <w:color w:val="000000"/>
                      <w:spacing w:val="-1"/>
                    </w:rPr>
                    <w:t>q</w:t>
                  </w:r>
                  <w:r>
                    <w:rPr>
                      <w:rFonts w:cs="Georgia"/>
                      <w:color w:val="000000"/>
                    </w:rPr>
                    <w:t>u’i</w:t>
                  </w:r>
                  <w:r>
                    <w:rPr>
                      <w:rFonts w:cs="Georgia"/>
                      <w:color w:val="000000"/>
                      <w:spacing w:val="-1"/>
                    </w:rPr>
                    <w:t>l</w:t>
                  </w:r>
                  <w:r>
                    <w:rPr>
                      <w:rFonts w:cs="Georgia"/>
                      <w:color w:val="000000"/>
                    </w:rPr>
                    <w:t>s</w:t>
                  </w:r>
                  <w:r>
                    <w:rPr>
                      <w:rFonts w:cs="Georgia"/>
                      <w:color w:val="000000"/>
                      <w:spacing w:val="1"/>
                    </w:rPr>
                    <w:t xml:space="preserve"> </w:t>
                  </w:r>
                  <w:r>
                    <w:rPr>
                      <w:rFonts w:cs="Georgia"/>
                      <w:color w:val="000000"/>
                    </w:rPr>
                    <w:t>g</w:t>
                  </w:r>
                  <w:r>
                    <w:rPr>
                      <w:rFonts w:cs="Georgia"/>
                      <w:color w:val="000000"/>
                      <w:spacing w:val="-1"/>
                    </w:rPr>
                    <w:t>énè</w:t>
                  </w:r>
                  <w:r>
                    <w:rPr>
                      <w:rFonts w:cs="Georgia"/>
                      <w:color w:val="000000"/>
                      <w:spacing w:val="-2"/>
                    </w:rPr>
                    <w:t>r</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so</w:t>
                  </w:r>
                  <w:r>
                    <w:rPr>
                      <w:rFonts w:cs="Georgia"/>
                      <w:color w:val="000000"/>
                      <w:spacing w:val="-3"/>
                    </w:rPr>
                    <w:t>n</w:t>
                  </w:r>
                  <w:r>
                    <w:rPr>
                      <w:rFonts w:cs="Georgia"/>
                      <w:color w:val="000000"/>
                    </w:rPr>
                    <w:t>t</w:t>
                  </w:r>
                  <w:r>
                    <w:rPr>
                      <w:rFonts w:cs="Georgia"/>
                      <w:color w:val="000000"/>
                      <w:spacing w:val="3"/>
                    </w:rPr>
                    <w:t xml:space="preserve"> </w:t>
                  </w:r>
                  <w:r>
                    <w:rPr>
                      <w:rFonts w:cs="Georgia"/>
                      <w:color w:val="000000"/>
                      <w:spacing w:val="-2"/>
                    </w:rPr>
                    <w:t>c</w:t>
                  </w:r>
                  <w:r>
                    <w:rPr>
                      <w:rFonts w:cs="Georgia"/>
                      <w:color w:val="000000"/>
                      <w:spacing w:val="1"/>
                    </w:rPr>
                    <w:t>o</w:t>
                  </w:r>
                  <w:r>
                    <w:rPr>
                      <w:rFonts w:cs="Georgia"/>
                      <w:color w:val="000000"/>
                      <w:spacing w:val="-3"/>
                    </w:rPr>
                    <w:t>m</w:t>
                  </w:r>
                  <w:r>
                    <w:rPr>
                      <w:rFonts w:cs="Georgia"/>
                      <w:color w:val="000000"/>
                      <w:spacing w:val="1"/>
                    </w:rPr>
                    <w:t>pr</w:t>
                  </w:r>
                  <w:r>
                    <w:rPr>
                      <w:rFonts w:cs="Georgia"/>
                      <w:color w:val="000000"/>
                      <w:spacing w:val="-2"/>
                    </w:rPr>
                    <w:t>i</w:t>
                  </w:r>
                  <w:r>
                    <w:rPr>
                      <w:rFonts w:cs="Georgia"/>
                      <w:color w:val="000000"/>
                      <w:spacing w:val="1"/>
                    </w:rPr>
                    <w:t>s</w:t>
                  </w:r>
                  <w:r>
                    <w:rPr>
                      <w:rFonts w:cs="Georgia"/>
                      <w:color w:val="000000"/>
                      <w:spacing w:val="-1"/>
                    </w:rPr>
                    <w:t>e</w:t>
                  </w:r>
                  <w:r>
                    <w:rPr>
                      <w:rFonts w:cs="Georgia"/>
                      <w:color w:val="000000"/>
                    </w:rPr>
                    <w:t>s</w:t>
                  </w:r>
                  <w:r>
                    <w:rPr>
                      <w:rFonts w:cs="Georgia"/>
                      <w:color w:val="000000"/>
                      <w:spacing w:val="1"/>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3"/>
                    </w:rPr>
                    <w:t xml:space="preserve"> </w:t>
                  </w:r>
                  <w:r>
                    <w:rPr>
                      <w:rFonts w:cs="Georgia"/>
                      <w:color w:val="000000"/>
                      <w:spacing w:val="-1"/>
                    </w:rPr>
                    <w:t>le</w:t>
                  </w:r>
                  <w:r>
                    <w:rPr>
                      <w:rFonts w:cs="Georgia"/>
                      <w:color w:val="000000"/>
                    </w:rPr>
                    <w:t>s</w:t>
                  </w:r>
                  <w:r>
                    <w:rPr>
                      <w:rFonts w:cs="Georgia"/>
                      <w:color w:val="000000"/>
                      <w:spacing w:val="1"/>
                    </w:rPr>
                    <w:t xml:space="preserve"> c</w:t>
                  </w:r>
                  <w:r>
                    <w:rPr>
                      <w:rFonts w:cs="Georgia"/>
                      <w:color w:val="000000"/>
                      <w:spacing w:val="-1"/>
                    </w:rPr>
                    <w:t>a</w:t>
                  </w:r>
                  <w:r>
                    <w:rPr>
                      <w:rFonts w:cs="Georgia"/>
                      <w:color w:val="000000"/>
                      <w:spacing w:val="1"/>
                    </w:rPr>
                    <w:t>p</w:t>
                  </w:r>
                  <w:r>
                    <w:rPr>
                      <w:rFonts w:cs="Georgia"/>
                      <w:color w:val="000000"/>
                      <w:spacing w:val="-2"/>
                    </w:rPr>
                    <w:t>i</w:t>
                  </w:r>
                  <w:r>
                    <w:rPr>
                      <w:rFonts w:cs="Georgia"/>
                      <w:color w:val="000000"/>
                      <w:spacing w:val="1"/>
                    </w:rPr>
                    <w:t>t</w:t>
                  </w:r>
                  <w:r>
                    <w:rPr>
                      <w:rFonts w:cs="Georgia"/>
                      <w:color w:val="000000"/>
                      <w:spacing w:val="-1"/>
                    </w:rPr>
                    <w:t>a</w:t>
                  </w:r>
                  <w:r>
                    <w:rPr>
                      <w:rFonts w:cs="Georgia"/>
                      <w:color w:val="000000"/>
                    </w:rPr>
                    <w:t>ux</w:t>
                  </w:r>
                  <w:r>
                    <w:rPr>
                      <w:rFonts w:cs="Georgia"/>
                      <w:color w:val="000000"/>
                      <w:spacing w:val="1"/>
                    </w:rPr>
                    <w:t>-p</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 xml:space="preserve">es </w:t>
                  </w:r>
                  <w:r>
                    <w:rPr>
                      <w:rFonts w:cs="Georgia"/>
                      <w:color w:val="000000"/>
                    </w:rPr>
                    <w:t>u</w:t>
                  </w:r>
                  <w:r>
                    <w:rPr>
                      <w:rFonts w:cs="Georgia"/>
                      <w:color w:val="000000"/>
                      <w:spacing w:val="1"/>
                    </w:rPr>
                    <w:t>t</w:t>
                  </w:r>
                  <w:r>
                    <w:rPr>
                      <w:rFonts w:cs="Georgia"/>
                      <w:color w:val="000000"/>
                    </w:rPr>
                    <w:t>i</w:t>
                  </w:r>
                  <w:r>
                    <w:rPr>
                      <w:rFonts w:cs="Georgia"/>
                      <w:color w:val="000000"/>
                      <w:spacing w:val="-1"/>
                    </w:rPr>
                    <w:t>l</w:t>
                  </w:r>
                  <w:r>
                    <w:rPr>
                      <w:rFonts w:cs="Georgia"/>
                      <w:color w:val="000000"/>
                    </w:rPr>
                    <w:t>i</w:t>
                  </w:r>
                  <w:r>
                    <w:rPr>
                      <w:rFonts w:cs="Georgia"/>
                      <w:color w:val="000000"/>
                      <w:spacing w:val="1"/>
                    </w:rPr>
                    <w:t>s</w:t>
                  </w:r>
                  <w:r>
                    <w:rPr>
                      <w:rFonts w:cs="Georgia"/>
                      <w:color w:val="000000"/>
                      <w:spacing w:val="-3"/>
                    </w:rPr>
                    <w:t>a</w:t>
                  </w:r>
                  <w:r>
                    <w:rPr>
                      <w:rFonts w:cs="Georgia"/>
                      <w:color w:val="000000"/>
                      <w:spacing w:val="1"/>
                    </w:rPr>
                    <w:t>b</w:t>
                  </w:r>
                  <w:r>
                    <w:rPr>
                      <w:rFonts w:cs="Georgia"/>
                      <w:color w:val="000000"/>
                      <w:spacing w:val="-1"/>
                    </w:rPr>
                    <w:t>le</w:t>
                  </w:r>
                  <w:r>
                    <w:rPr>
                      <w:rFonts w:cs="Georgia"/>
                      <w:color w:val="000000"/>
                    </w:rPr>
                    <w:t>s d</w:t>
                  </w:r>
                  <w:r>
                    <w:rPr>
                      <w:rFonts w:cs="Georgia"/>
                      <w:color w:val="000000"/>
                      <w:spacing w:val="-1"/>
                    </w:rPr>
                    <w:t>e</w:t>
                  </w:r>
                  <w:r>
                    <w:rPr>
                      <w:rFonts w:cs="Georgia"/>
                      <w:color w:val="000000"/>
                    </w:rPr>
                    <w:t>s diff</w:t>
                  </w:r>
                  <w:r>
                    <w:rPr>
                      <w:rFonts w:cs="Georgia"/>
                      <w:color w:val="000000"/>
                      <w:spacing w:val="-3"/>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spacing w:val="-1"/>
                    </w:rPr>
                    <w:t>e</w:t>
                  </w:r>
                  <w:r>
                    <w:rPr>
                      <w:rFonts w:cs="Georgia"/>
                      <w:color w:val="000000"/>
                    </w:rPr>
                    <w:t xml:space="preserve">s </w:t>
                  </w:r>
                  <w:r>
                    <w:rPr>
                      <w:rFonts w:cs="Georgia"/>
                      <w:color w:val="000000"/>
                      <w:spacing w:val="1"/>
                    </w:rPr>
                    <w:t>c</w:t>
                  </w:r>
                  <w:r>
                    <w:rPr>
                      <w:rFonts w:cs="Georgia"/>
                      <w:color w:val="000000"/>
                      <w:spacing w:val="-1"/>
                    </w:rPr>
                    <w:t>a</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o</w:t>
                  </w:r>
                  <w:r>
                    <w:rPr>
                      <w:rFonts w:cs="Georgia"/>
                      <w:color w:val="000000"/>
                      <w:spacing w:val="1"/>
                    </w:rPr>
                    <w:t>r</w:t>
                  </w:r>
                  <w:r>
                    <w:rPr>
                      <w:rFonts w:cs="Georgia"/>
                      <w:color w:val="000000"/>
                    </w:rPr>
                    <w:t>i</w:t>
                  </w:r>
                  <w:r>
                    <w:rPr>
                      <w:rFonts w:cs="Georgia"/>
                      <w:color w:val="000000"/>
                      <w:spacing w:val="-1"/>
                    </w:rPr>
                    <w:t>e</w:t>
                  </w:r>
                  <w:r>
                    <w:rPr>
                      <w:rFonts w:cs="Georgia"/>
                      <w:color w:val="000000"/>
                    </w:rPr>
                    <w:t>s de</w:t>
                  </w:r>
                  <w:r>
                    <w:rPr>
                      <w:rFonts w:cs="Georgia"/>
                      <w:color w:val="000000"/>
                      <w:spacing w:val="-1"/>
                    </w:rPr>
                    <w:t xml:space="preserve"> </w:t>
                  </w:r>
                  <w:r>
                    <w:rPr>
                      <w:rFonts w:cs="Georgia"/>
                      <w:color w:val="000000"/>
                      <w:spacing w:val="1"/>
                    </w:rPr>
                    <w:t>p</w:t>
                  </w:r>
                  <w:r>
                    <w:rPr>
                      <w:rFonts w:cs="Georgia"/>
                      <w:color w:val="000000"/>
                      <w:spacing w:val="-3"/>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nnel</w:t>
                  </w:r>
                  <w:r>
                    <w:rPr>
                      <w:rFonts w:cs="Georgia"/>
                      <w:color w:val="000000"/>
                    </w:rPr>
                    <w:t>.</w:t>
                  </w:r>
                </w:p>
                <w:p>
                  <w:pPr>
                    <w:widowControl w:val="0"/>
                    <w:autoSpaceDE w:val="0"/>
                    <w:autoSpaceDN w:val="0"/>
                    <w:adjustRightInd w:val="0"/>
                    <w:spacing w:before="7" w:line="240" w:lineRule="exact"/>
                    <w:jc w:val="both"/>
                    <w:rPr>
                      <w:rFonts w:cs="Georgia"/>
                      <w:color w:val="000000"/>
                    </w:rPr>
                  </w:pPr>
                </w:p>
                <w:p>
                  <w:pPr>
                    <w:widowControl w:val="0"/>
                    <w:autoSpaceDE w:val="0"/>
                    <w:autoSpaceDN w:val="0"/>
                    <w:adjustRightInd w:val="0"/>
                    <w:jc w:val="both"/>
                    <w:rPr>
                      <w:rFonts w:cs="Georgia"/>
                      <w:color w:val="000000"/>
                      <w:u w:val="single"/>
                    </w:rPr>
                  </w:pPr>
                  <w:r>
                    <w:rPr>
                      <w:rFonts w:cs="Georgia"/>
                      <w:color w:val="000000"/>
                      <w:u w:val="single"/>
                    </w:rPr>
                    <w:t>C</w:t>
                  </w:r>
                  <w:r>
                    <w:rPr>
                      <w:rFonts w:cs="Georgia"/>
                      <w:color w:val="000000"/>
                      <w:spacing w:val="1"/>
                      <w:u w:val="single"/>
                    </w:rPr>
                    <w:t>o</w:t>
                  </w:r>
                  <w:r>
                    <w:rPr>
                      <w:rFonts w:cs="Georgia"/>
                      <w:color w:val="000000"/>
                      <w:spacing w:val="-1"/>
                      <w:u w:val="single"/>
                    </w:rPr>
                    <w:t>n</w:t>
                  </w:r>
                  <w:r>
                    <w:rPr>
                      <w:rFonts w:cs="Georgia"/>
                      <w:color w:val="000000"/>
                      <w:spacing w:val="1"/>
                      <w:u w:val="single"/>
                    </w:rPr>
                    <w:t>s</w:t>
                  </w:r>
                  <w:r>
                    <w:rPr>
                      <w:rFonts w:cs="Georgia"/>
                      <w:color w:val="000000"/>
                      <w:spacing w:val="-1"/>
                      <w:u w:val="single"/>
                    </w:rPr>
                    <w:t>éq</w:t>
                  </w:r>
                  <w:r>
                    <w:rPr>
                      <w:rFonts w:cs="Georgia"/>
                      <w:color w:val="000000"/>
                      <w:u w:val="single"/>
                    </w:rPr>
                    <w:t>u</w:t>
                  </w:r>
                  <w:r>
                    <w:rPr>
                      <w:rFonts w:cs="Georgia"/>
                      <w:color w:val="000000"/>
                      <w:spacing w:val="-1"/>
                      <w:u w:val="single"/>
                    </w:rPr>
                    <w:t>en</w:t>
                  </w:r>
                  <w:r>
                    <w:rPr>
                      <w:rFonts w:cs="Georgia"/>
                      <w:color w:val="000000"/>
                      <w:spacing w:val="1"/>
                      <w:u w:val="single"/>
                    </w:rPr>
                    <w:t>c</w:t>
                  </w:r>
                  <w:r>
                    <w:rPr>
                      <w:rFonts w:cs="Georgia"/>
                      <w:color w:val="000000"/>
                      <w:spacing w:val="-1"/>
                      <w:u w:val="single"/>
                    </w:rPr>
                    <w:t>e</w:t>
                  </w:r>
                  <w:r>
                    <w:rPr>
                      <w:rFonts w:cs="Georgia"/>
                      <w:color w:val="000000"/>
                      <w:u w:val="single"/>
                    </w:rPr>
                    <w:t>s :</w:t>
                  </w:r>
                </w:p>
                <w:p>
                  <w:pPr>
                    <w:widowControl w:val="0"/>
                    <w:autoSpaceDE w:val="0"/>
                    <w:autoSpaceDN w:val="0"/>
                    <w:adjustRightInd w:val="0"/>
                    <w:jc w:val="both"/>
                    <w:rPr>
                      <w:rFonts w:cs="Georgia"/>
                      <w:color w:val="000000"/>
                      <w:sz w:val="24"/>
                      <w:u w:val="single"/>
                    </w:rPr>
                  </w:pPr>
                </w:p>
                <w:p>
                  <w:pPr>
                    <w:pStyle w:val="Paragraphedeliste"/>
                    <w:widowControl w:val="0"/>
                    <w:numPr>
                      <w:ilvl w:val="0"/>
                      <w:numId w:val="252"/>
                    </w:numPr>
                    <w:autoSpaceDE w:val="0"/>
                    <w:autoSpaceDN w:val="0"/>
                    <w:adjustRightInd w:val="0"/>
                    <w:jc w:val="both"/>
                    <w:rPr>
                      <w:rFonts w:asciiTheme="majorHAnsi" w:hAnsiTheme="majorHAnsi" w:cs="Georgia"/>
                      <w:color w:val="000000"/>
                      <w:sz w:val="22"/>
                      <w:u w:val="single"/>
                    </w:rPr>
                  </w:pPr>
                  <w:r>
                    <w:rPr>
                      <w:rFonts w:asciiTheme="majorHAnsi" w:hAnsiTheme="majorHAnsi" w:cs="Georgia"/>
                      <w:sz w:val="22"/>
                    </w:rPr>
                    <w:t>un</w:t>
                  </w:r>
                  <w:r>
                    <w:rPr>
                      <w:rFonts w:asciiTheme="majorHAnsi" w:hAnsiTheme="majorHAnsi" w:cs="Georgia"/>
                      <w:spacing w:val="8"/>
                      <w:sz w:val="22"/>
                    </w:rPr>
                    <w:t xml:space="preserve"> </w:t>
                  </w:r>
                  <w:r>
                    <w:rPr>
                      <w:rFonts w:asciiTheme="majorHAnsi" w:hAnsiTheme="majorHAnsi" w:cs="Georgia"/>
                      <w:spacing w:val="-1"/>
                      <w:sz w:val="22"/>
                    </w:rPr>
                    <w:t>élè</w:t>
                  </w:r>
                  <w:r>
                    <w:rPr>
                      <w:rFonts w:asciiTheme="majorHAnsi" w:hAnsiTheme="majorHAnsi" w:cs="Georgia"/>
                      <w:spacing w:val="1"/>
                      <w:sz w:val="22"/>
                    </w:rPr>
                    <w:t>v</w:t>
                  </w:r>
                  <w:r>
                    <w:rPr>
                      <w:rFonts w:asciiTheme="majorHAnsi" w:hAnsiTheme="majorHAnsi" w:cs="Georgia"/>
                      <w:sz w:val="22"/>
                    </w:rPr>
                    <w:t>e</w:t>
                  </w:r>
                  <w:r>
                    <w:rPr>
                      <w:rFonts w:asciiTheme="majorHAnsi" w:hAnsiTheme="majorHAnsi" w:cs="Georgia"/>
                      <w:spacing w:val="11"/>
                      <w:sz w:val="22"/>
                    </w:rPr>
                    <w:t xml:space="preserve"> </w:t>
                  </w:r>
                  <w:r>
                    <w:rPr>
                      <w:rFonts w:asciiTheme="majorHAnsi" w:hAnsiTheme="majorHAnsi" w:cs="Georgia"/>
                      <w:spacing w:val="-1"/>
                      <w:sz w:val="22"/>
                    </w:rPr>
                    <w:t>e</w:t>
                  </w:r>
                  <w:r>
                    <w:rPr>
                      <w:rFonts w:asciiTheme="majorHAnsi" w:hAnsiTheme="majorHAnsi" w:cs="Georgia"/>
                      <w:sz w:val="22"/>
                    </w:rPr>
                    <w:t>n</w:t>
                  </w:r>
                  <w:r>
                    <w:rPr>
                      <w:rFonts w:asciiTheme="majorHAnsi" w:hAnsiTheme="majorHAnsi" w:cs="Georgia"/>
                      <w:spacing w:val="8"/>
                      <w:sz w:val="22"/>
                    </w:rPr>
                    <w:t xml:space="preserve"> </w:t>
                  </w:r>
                  <w:r>
                    <w:rPr>
                      <w:rFonts w:asciiTheme="majorHAnsi" w:hAnsiTheme="majorHAnsi" w:cs="Georgia"/>
                      <w:sz w:val="22"/>
                    </w:rPr>
                    <w:t>i</w:t>
                  </w:r>
                  <w:r>
                    <w:rPr>
                      <w:rFonts w:asciiTheme="majorHAnsi" w:hAnsiTheme="majorHAnsi" w:cs="Georgia"/>
                      <w:spacing w:val="-1"/>
                      <w:sz w:val="22"/>
                    </w:rPr>
                    <w:t>n</w:t>
                  </w:r>
                  <w:r>
                    <w:rPr>
                      <w:rFonts w:asciiTheme="majorHAnsi" w:hAnsiTheme="majorHAnsi" w:cs="Georgia"/>
                      <w:spacing w:val="1"/>
                      <w:sz w:val="22"/>
                    </w:rPr>
                    <w:t>t</w:t>
                  </w:r>
                  <w:r>
                    <w:rPr>
                      <w:rFonts w:asciiTheme="majorHAnsi" w:hAnsiTheme="majorHAnsi" w:cs="Georgia"/>
                      <w:spacing w:val="-1"/>
                      <w:sz w:val="22"/>
                    </w:rPr>
                    <w:t>é</w:t>
                  </w:r>
                  <w:r>
                    <w:rPr>
                      <w:rFonts w:asciiTheme="majorHAnsi" w:hAnsiTheme="majorHAnsi" w:cs="Georgia"/>
                      <w:sz w:val="22"/>
                    </w:rPr>
                    <w:t>g</w:t>
                  </w:r>
                  <w:r>
                    <w:rPr>
                      <w:rFonts w:asciiTheme="majorHAnsi" w:hAnsiTheme="majorHAnsi" w:cs="Georgia"/>
                      <w:spacing w:val="1"/>
                      <w:sz w:val="22"/>
                    </w:rPr>
                    <w:t>r</w:t>
                  </w:r>
                  <w:r>
                    <w:rPr>
                      <w:rFonts w:asciiTheme="majorHAnsi" w:hAnsiTheme="majorHAnsi" w:cs="Georgia"/>
                      <w:spacing w:val="-1"/>
                      <w:sz w:val="22"/>
                    </w:rPr>
                    <w:t>a</w:t>
                  </w:r>
                  <w:r>
                    <w:rPr>
                      <w:rFonts w:asciiTheme="majorHAnsi" w:hAnsiTheme="majorHAnsi" w:cs="Georgia"/>
                      <w:spacing w:val="1"/>
                      <w:sz w:val="22"/>
                    </w:rPr>
                    <w:t>t</w:t>
                  </w:r>
                  <w:r>
                    <w:rPr>
                      <w:rFonts w:asciiTheme="majorHAnsi" w:hAnsiTheme="majorHAnsi" w:cs="Georgia"/>
                      <w:sz w:val="22"/>
                    </w:rPr>
                    <w:t>i</w:t>
                  </w:r>
                  <w:r>
                    <w:rPr>
                      <w:rFonts w:asciiTheme="majorHAnsi" w:hAnsiTheme="majorHAnsi" w:cs="Georgia"/>
                      <w:spacing w:val="1"/>
                      <w:sz w:val="22"/>
                    </w:rPr>
                    <w:t>o</w:t>
                  </w:r>
                  <w:r>
                    <w:rPr>
                      <w:rFonts w:asciiTheme="majorHAnsi" w:hAnsiTheme="majorHAnsi" w:cs="Georgia"/>
                      <w:sz w:val="22"/>
                    </w:rPr>
                    <w:t>n</w:t>
                  </w:r>
                  <w:r>
                    <w:rPr>
                      <w:rFonts w:asciiTheme="majorHAnsi" w:hAnsiTheme="majorHAnsi" w:cs="Georgia"/>
                      <w:spacing w:val="8"/>
                      <w:sz w:val="22"/>
                    </w:rPr>
                    <w:t xml:space="preserve"> </w:t>
                  </w:r>
                  <w:r>
                    <w:rPr>
                      <w:rFonts w:asciiTheme="majorHAnsi" w:hAnsiTheme="majorHAnsi" w:cs="Georgia"/>
                      <w:spacing w:val="1"/>
                      <w:sz w:val="22"/>
                    </w:rPr>
                    <w:t>t</w:t>
                  </w:r>
                  <w:r>
                    <w:rPr>
                      <w:rFonts w:asciiTheme="majorHAnsi" w:hAnsiTheme="majorHAnsi" w:cs="Georgia"/>
                      <w:spacing w:val="-1"/>
                      <w:sz w:val="22"/>
                    </w:rPr>
                    <w:t>e</w:t>
                  </w:r>
                  <w:r>
                    <w:rPr>
                      <w:rFonts w:asciiTheme="majorHAnsi" w:hAnsiTheme="majorHAnsi" w:cs="Georgia"/>
                      <w:sz w:val="22"/>
                    </w:rPr>
                    <w:t>m</w:t>
                  </w:r>
                  <w:r>
                    <w:rPr>
                      <w:rFonts w:asciiTheme="majorHAnsi" w:hAnsiTheme="majorHAnsi" w:cs="Georgia"/>
                      <w:spacing w:val="1"/>
                      <w:sz w:val="22"/>
                    </w:rPr>
                    <w:t>p</w:t>
                  </w:r>
                  <w:r>
                    <w:rPr>
                      <w:rFonts w:asciiTheme="majorHAnsi" w:hAnsiTheme="majorHAnsi" w:cs="Georgia"/>
                      <w:spacing w:val="-1"/>
                      <w:sz w:val="22"/>
                    </w:rPr>
                    <w:t>o</w:t>
                  </w:r>
                  <w:r>
                    <w:rPr>
                      <w:rFonts w:asciiTheme="majorHAnsi" w:hAnsiTheme="majorHAnsi" w:cs="Georgia"/>
                      <w:spacing w:val="1"/>
                      <w:sz w:val="22"/>
                    </w:rPr>
                    <w:t>r</w:t>
                  </w:r>
                  <w:r>
                    <w:rPr>
                      <w:rFonts w:asciiTheme="majorHAnsi" w:hAnsiTheme="majorHAnsi" w:cs="Georgia"/>
                      <w:spacing w:val="-1"/>
                      <w:sz w:val="22"/>
                    </w:rPr>
                    <w:t>a</w:t>
                  </w:r>
                  <w:r>
                    <w:rPr>
                      <w:rFonts w:asciiTheme="majorHAnsi" w:hAnsiTheme="majorHAnsi" w:cs="Georgia"/>
                      <w:sz w:val="22"/>
                    </w:rPr>
                    <w:t>i</w:t>
                  </w:r>
                  <w:r>
                    <w:rPr>
                      <w:rFonts w:asciiTheme="majorHAnsi" w:hAnsiTheme="majorHAnsi" w:cs="Georgia"/>
                      <w:spacing w:val="1"/>
                      <w:sz w:val="22"/>
                    </w:rPr>
                    <w:t>r</w:t>
                  </w:r>
                  <w:r>
                    <w:rPr>
                      <w:rFonts w:asciiTheme="majorHAnsi" w:hAnsiTheme="majorHAnsi" w:cs="Georgia"/>
                      <w:sz w:val="22"/>
                    </w:rPr>
                    <w:t>e</w:t>
                  </w:r>
                  <w:r>
                    <w:rPr>
                      <w:rFonts w:asciiTheme="majorHAnsi" w:hAnsiTheme="majorHAnsi" w:cs="Georgia"/>
                      <w:spacing w:val="8"/>
                      <w:sz w:val="22"/>
                    </w:rPr>
                    <w:t xml:space="preserve"> </w:t>
                  </w:r>
                  <w:r>
                    <w:rPr>
                      <w:rFonts w:asciiTheme="majorHAnsi" w:hAnsiTheme="majorHAnsi" w:cs="Georgia"/>
                      <w:spacing w:val="1"/>
                      <w:sz w:val="22"/>
                    </w:rPr>
                    <w:t>t</w:t>
                  </w:r>
                  <w:r>
                    <w:rPr>
                      <w:rFonts w:asciiTheme="majorHAnsi" w:hAnsiTheme="majorHAnsi" w:cs="Georgia"/>
                      <w:spacing w:val="-1"/>
                      <w:sz w:val="22"/>
                    </w:rPr>
                    <w:t>o</w:t>
                  </w:r>
                  <w:r>
                    <w:rPr>
                      <w:rFonts w:asciiTheme="majorHAnsi" w:hAnsiTheme="majorHAnsi" w:cs="Georgia"/>
                      <w:spacing w:val="1"/>
                      <w:sz w:val="22"/>
                    </w:rPr>
                    <w:t>t</w:t>
                  </w:r>
                  <w:r>
                    <w:rPr>
                      <w:rFonts w:asciiTheme="majorHAnsi" w:hAnsiTheme="majorHAnsi" w:cs="Georgia"/>
                      <w:spacing w:val="-1"/>
                      <w:sz w:val="22"/>
                    </w:rPr>
                    <w:t>al</w:t>
                  </w:r>
                  <w:r>
                    <w:rPr>
                      <w:rFonts w:asciiTheme="majorHAnsi" w:hAnsiTheme="majorHAnsi" w:cs="Georgia"/>
                      <w:sz w:val="22"/>
                    </w:rPr>
                    <w:t>e</w:t>
                  </w:r>
                  <w:r>
                    <w:rPr>
                      <w:rFonts w:asciiTheme="majorHAnsi" w:hAnsiTheme="majorHAnsi" w:cs="Georgia"/>
                      <w:spacing w:val="8"/>
                      <w:sz w:val="22"/>
                    </w:rPr>
                    <w:t xml:space="preserve"> </w:t>
                  </w:r>
                  <w:r>
                    <w:rPr>
                      <w:rFonts w:asciiTheme="majorHAnsi" w:hAnsiTheme="majorHAnsi" w:cs="Georgia"/>
                      <w:sz w:val="22"/>
                    </w:rPr>
                    <w:t>i</w:t>
                  </w:r>
                  <w:r>
                    <w:rPr>
                      <w:rFonts w:asciiTheme="majorHAnsi" w:hAnsiTheme="majorHAnsi" w:cs="Georgia"/>
                      <w:spacing w:val="-1"/>
                      <w:sz w:val="22"/>
                    </w:rPr>
                    <w:t>n</w:t>
                  </w:r>
                  <w:r>
                    <w:rPr>
                      <w:rFonts w:asciiTheme="majorHAnsi" w:hAnsiTheme="majorHAnsi" w:cs="Georgia"/>
                      <w:spacing w:val="1"/>
                      <w:sz w:val="22"/>
                    </w:rPr>
                    <w:t>scr</w:t>
                  </w:r>
                  <w:r>
                    <w:rPr>
                      <w:rFonts w:asciiTheme="majorHAnsi" w:hAnsiTheme="majorHAnsi" w:cs="Georgia"/>
                      <w:sz w:val="22"/>
                    </w:rPr>
                    <w:t>it</w:t>
                  </w:r>
                  <w:r>
                    <w:rPr>
                      <w:rFonts w:asciiTheme="majorHAnsi" w:hAnsiTheme="majorHAnsi" w:cs="Georgia"/>
                      <w:spacing w:val="8"/>
                      <w:sz w:val="22"/>
                    </w:rPr>
                    <w:t xml:space="preserve"> </w:t>
                  </w:r>
                  <w:r>
                    <w:rPr>
                      <w:rFonts w:asciiTheme="majorHAnsi" w:hAnsiTheme="majorHAnsi" w:cs="Georgia"/>
                      <w:spacing w:val="-1"/>
                      <w:sz w:val="22"/>
                    </w:rPr>
                    <w:t>a</w:t>
                  </w:r>
                  <w:r>
                    <w:rPr>
                      <w:rFonts w:asciiTheme="majorHAnsi" w:hAnsiTheme="majorHAnsi" w:cs="Georgia"/>
                      <w:sz w:val="22"/>
                    </w:rPr>
                    <w:t>u</w:t>
                  </w:r>
                  <w:r>
                    <w:rPr>
                      <w:rFonts w:asciiTheme="majorHAnsi" w:hAnsiTheme="majorHAnsi" w:cs="Georgia"/>
                      <w:spacing w:val="10"/>
                      <w:sz w:val="22"/>
                    </w:rPr>
                    <w:t xml:space="preserve"> </w:t>
                  </w:r>
                  <w:r>
                    <w:rPr>
                      <w:rFonts w:asciiTheme="majorHAnsi" w:hAnsiTheme="majorHAnsi" w:cs="Georgia"/>
                      <w:spacing w:val="1"/>
                      <w:sz w:val="22"/>
                    </w:rPr>
                    <w:t>1</w:t>
                  </w:r>
                  <w:r>
                    <w:rPr>
                      <w:rFonts w:asciiTheme="majorHAnsi" w:hAnsiTheme="majorHAnsi" w:cs="Georgia"/>
                      <w:sz w:val="22"/>
                    </w:rPr>
                    <w:t>5</w:t>
                  </w:r>
                  <w:r>
                    <w:rPr>
                      <w:rFonts w:asciiTheme="majorHAnsi" w:hAnsiTheme="majorHAnsi" w:cs="Georgia"/>
                      <w:spacing w:val="10"/>
                      <w:sz w:val="22"/>
                    </w:rPr>
                    <w:t xml:space="preserve"> </w:t>
                  </w:r>
                  <w:r>
                    <w:rPr>
                      <w:rFonts w:asciiTheme="majorHAnsi" w:hAnsiTheme="majorHAnsi" w:cs="Georgia"/>
                      <w:sz w:val="22"/>
                    </w:rPr>
                    <w:t>j</w:t>
                  </w:r>
                  <w:r>
                    <w:rPr>
                      <w:rFonts w:asciiTheme="majorHAnsi" w:hAnsiTheme="majorHAnsi" w:cs="Georgia"/>
                      <w:spacing w:val="-1"/>
                      <w:sz w:val="22"/>
                    </w:rPr>
                    <w:t>an</w:t>
                  </w:r>
                  <w:r>
                    <w:rPr>
                      <w:rFonts w:asciiTheme="majorHAnsi" w:hAnsiTheme="majorHAnsi" w:cs="Georgia"/>
                      <w:spacing w:val="1"/>
                      <w:sz w:val="22"/>
                    </w:rPr>
                    <w:t>v</w:t>
                  </w:r>
                  <w:r>
                    <w:rPr>
                      <w:rFonts w:asciiTheme="majorHAnsi" w:hAnsiTheme="majorHAnsi" w:cs="Georgia"/>
                      <w:sz w:val="22"/>
                    </w:rPr>
                    <w:t>i</w:t>
                  </w:r>
                  <w:r>
                    <w:rPr>
                      <w:rFonts w:asciiTheme="majorHAnsi" w:hAnsiTheme="majorHAnsi" w:cs="Georgia"/>
                      <w:spacing w:val="-1"/>
                      <w:sz w:val="22"/>
                    </w:rPr>
                    <w:t>e</w:t>
                  </w:r>
                  <w:r>
                    <w:rPr>
                      <w:rFonts w:asciiTheme="majorHAnsi" w:hAnsiTheme="majorHAnsi" w:cs="Georgia"/>
                      <w:sz w:val="22"/>
                    </w:rPr>
                    <w:t>r</w:t>
                  </w:r>
                  <w:r>
                    <w:rPr>
                      <w:rFonts w:asciiTheme="majorHAnsi" w:hAnsiTheme="majorHAnsi" w:cs="Georgia"/>
                      <w:spacing w:val="10"/>
                      <w:sz w:val="22"/>
                    </w:rPr>
                    <w:t xml:space="preserve"> </w:t>
                  </w:r>
                  <w:r>
                    <w:rPr>
                      <w:rFonts w:asciiTheme="majorHAnsi" w:hAnsiTheme="majorHAnsi" w:cs="Georgia"/>
                      <w:sz w:val="22"/>
                    </w:rPr>
                    <w:t>f</w:t>
                  </w:r>
                  <w:r>
                    <w:rPr>
                      <w:rFonts w:asciiTheme="majorHAnsi" w:hAnsiTheme="majorHAnsi" w:cs="Georgia"/>
                      <w:spacing w:val="-1"/>
                      <w:sz w:val="22"/>
                    </w:rPr>
                    <w:t>a</w:t>
                  </w:r>
                  <w:r>
                    <w:rPr>
                      <w:rFonts w:asciiTheme="majorHAnsi" w:hAnsiTheme="majorHAnsi" w:cs="Georgia"/>
                      <w:sz w:val="22"/>
                    </w:rPr>
                    <w:t>it</w:t>
                  </w:r>
                  <w:r>
                    <w:rPr>
                      <w:rFonts w:asciiTheme="majorHAnsi" w:hAnsiTheme="majorHAnsi" w:cs="Georgia"/>
                      <w:spacing w:val="10"/>
                      <w:sz w:val="22"/>
                    </w:rPr>
                    <w:t xml:space="preserve"> </w:t>
                  </w:r>
                  <w:r>
                    <w:rPr>
                      <w:rFonts w:asciiTheme="majorHAnsi" w:hAnsiTheme="majorHAnsi" w:cs="Georgia"/>
                      <w:spacing w:val="1"/>
                      <w:sz w:val="22"/>
                    </w:rPr>
                    <w:t>p</w:t>
                  </w:r>
                  <w:r>
                    <w:rPr>
                      <w:rFonts w:asciiTheme="majorHAnsi" w:hAnsiTheme="majorHAnsi" w:cs="Georgia"/>
                      <w:spacing w:val="-3"/>
                      <w:sz w:val="22"/>
                    </w:rPr>
                    <w:t>a</w:t>
                  </w:r>
                  <w:r>
                    <w:rPr>
                      <w:rFonts w:asciiTheme="majorHAnsi" w:hAnsiTheme="majorHAnsi" w:cs="Georgia"/>
                      <w:spacing w:val="1"/>
                      <w:sz w:val="22"/>
                    </w:rPr>
                    <w:t>rt</w:t>
                  </w:r>
                  <w:r>
                    <w:rPr>
                      <w:rFonts w:asciiTheme="majorHAnsi" w:hAnsiTheme="majorHAnsi" w:cs="Georgia"/>
                      <w:sz w:val="22"/>
                    </w:rPr>
                    <w:t>ie</w:t>
                  </w:r>
                  <w:r>
                    <w:rPr>
                      <w:rFonts w:asciiTheme="majorHAnsi" w:hAnsiTheme="majorHAnsi" w:cs="Georgia"/>
                      <w:spacing w:val="8"/>
                      <w:sz w:val="22"/>
                    </w:rPr>
                    <w:t xml:space="preserve"> </w:t>
                  </w:r>
                  <w:r>
                    <w:rPr>
                      <w:rFonts w:asciiTheme="majorHAnsi" w:hAnsiTheme="majorHAnsi" w:cs="Georgia"/>
                      <w:sz w:val="22"/>
                    </w:rPr>
                    <w:t>du</w:t>
                  </w:r>
                  <w:r>
                    <w:rPr>
                      <w:rFonts w:asciiTheme="majorHAnsi" w:hAnsiTheme="majorHAnsi" w:cs="Georgia"/>
                      <w:spacing w:val="10"/>
                      <w:sz w:val="22"/>
                    </w:rPr>
                    <w:t xml:space="preserve"> </w:t>
                  </w:r>
                  <w:r>
                    <w:rPr>
                      <w:rFonts w:asciiTheme="majorHAnsi" w:hAnsiTheme="majorHAnsi" w:cs="Georgia"/>
                      <w:spacing w:val="-1"/>
                      <w:sz w:val="22"/>
                    </w:rPr>
                    <w:t>n</w:t>
                  </w:r>
                  <w:r>
                    <w:rPr>
                      <w:rFonts w:asciiTheme="majorHAnsi" w:hAnsiTheme="majorHAnsi" w:cs="Georgia"/>
                      <w:spacing w:val="1"/>
                      <w:sz w:val="22"/>
                    </w:rPr>
                    <w:t>o</w:t>
                  </w:r>
                  <w:r>
                    <w:rPr>
                      <w:rFonts w:asciiTheme="majorHAnsi" w:hAnsiTheme="majorHAnsi" w:cs="Georgia"/>
                      <w:spacing w:val="-3"/>
                      <w:sz w:val="22"/>
                    </w:rPr>
                    <w:t>m</w:t>
                  </w:r>
                  <w:r>
                    <w:rPr>
                      <w:rFonts w:asciiTheme="majorHAnsi" w:hAnsiTheme="majorHAnsi" w:cs="Georgia"/>
                      <w:spacing w:val="1"/>
                      <w:sz w:val="22"/>
                    </w:rPr>
                    <w:t>br</w:t>
                  </w:r>
                  <w:r>
                    <w:rPr>
                      <w:rFonts w:asciiTheme="majorHAnsi" w:hAnsiTheme="majorHAnsi" w:cs="Georgia"/>
                      <w:sz w:val="22"/>
                    </w:rPr>
                    <w:t>e</w:t>
                  </w:r>
                  <w:r>
                    <w:rPr>
                      <w:rFonts w:asciiTheme="majorHAnsi" w:hAnsiTheme="majorHAnsi" w:cs="Georgia"/>
                      <w:spacing w:val="8"/>
                      <w:sz w:val="22"/>
                    </w:rPr>
                    <w:t xml:space="preserve"> </w:t>
                  </w:r>
                  <w:r>
                    <w:rPr>
                      <w:rFonts w:asciiTheme="majorHAnsi" w:hAnsiTheme="majorHAnsi" w:cs="Georgia"/>
                      <w:sz w:val="22"/>
                    </w:rPr>
                    <w:t>d’</w:t>
                  </w:r>
                  <w:r>
                    <w:rPr>
                      <w:rFonts w:asciiTheme="majorHAnsi" w:hAnsiTheme="majorHAnsi" w:cs="Georgia"/>
                      <w:spacing w:val="-1"/>
                      <w:sz w:val="22"/>
                    </w:rPr>
                    <w:t>élè</w:t>
                  </w:r>
                  <w:r>
                    <w:rPr>
                      <w:rFonts w:asciiTheme="majorHAnsi" w:hAnsiTheme="majorHAnsi" w:cs="Georgia"/>
                      <w:spacing w:val="1"/>
                      <w:sz w:val="22"/>
                    </w:rPr>
                    <w:t>v</w:t>
                  </w:r>
                  <w:r>
                    <w:rPr>
                      <w:rFonts w:asciiTheme="majorHAnsi" w:hAnsiTheme="majorHAnsi" w:cs="Georgia"/>
                      <w:spacing w:val="-1"/>
                      <w:sz w:val="22"/>
                    </w:rPr>
                    <w:t>e</w:t>
                  </w:r>
                  <w:r>
                    <w:rPr>
                      <w:rFonts w:asciiTheme="majorHAnsi" w:hAnsiTheme="majorHAnsi" w:cs="Georgia"/>
                      <w:sz w:val="22"/>
                    </w:rPr>
                    <w:t xml:space="preserve">s </w:t>
                  </w:r>
                  <w:r>
                    <w:rPr>
                      <w:rFonts w:asciiTheme="majorHAnsi" w:hAnsiTheme="majorHAnsi" w:cs="Georgia"/>
                      <w:spacing w:val="1"/>
                      <w:sz w:val="22"/>
                    </w:rPr>
                    <w:t>pr</w:t>
                  </w:r>
                  <w:r>
                    <w:rPr>
                      <w:rFonts w:asciiTheme="majorHAnsi" w:hAnsiTheme="majorHAnsi" w:cs="Georgia"/>
                      <w:spacing w:val="-2"/>
                      <w:sz w:val="22"/>
                    </w:rPr>
                    <w:t>i</w:t>
                  </w:r>
                  <w:r>
                    <w:rPr>
                      <w:rFonts w:asciiTheme="majorHAnsi" w:hAnsiTheme="majorHAnsi" w:cs="Georgia"/>
                      <w:sz w:val="22"/>
                    </w:rPr>
                    <w:t>s</w:t>
                  </w:r>
                  <w:r>
                    <w:rPr>
                      <w:rFonts w:asciiTheme="majorHAnsi" w:hAnsiTheme="majorHAnsi" w:cs="Georgia"/>
                      <w:spacing w:val="16"/>
                      <w:sz w:val="22"/>
                    </w:rPr>
                    <w:t xml:space="preserve"> </w:t>
                  </w:r>
                  <w:r>
                    <w:rPr>
                      <w:rFonts w:asciiTheme="majorHAnsi" w:hAnsiTheme="majorHAnsi" w:cs="Georgia"/>
                      <w:spacing w:val="-1"/>
                      <w:sz w:val="22"/>
                    </w:rPr>
                    <w:t>e</w:t>
                  </w:r>
                  <w:r>
                    <w:rPr>
                      <w:rFonts w:asciiTheme="majorHAnsi" w:hAnsiTheme="majorHAnsi" w:cs="Georgia"/>
                      <w:sz w:val="22"/>
                    </w:rPr>
                    <w:t>n</w:t>
                  </w:r>
                  <w:r>
                    <w:rPr>
                      <w:rFonts w:asciiTheme="majorHAnsi" w:hAnsiTheme="majorHAnsi" w:cs="Georgia"/>
                      <w:spacing w:val="14"/>
                      <w:sz w:val="22"/>
                    </w:rPr>
                    <w:t xml:space="preserve"> </w:t>
                  </w:r>
                  <w:r>
                    <w:rPr>
                      <w:rFonts w:asciiTheme="majorHAnsi" w:hAnsiTheme="majorHAnsi" w:cs="Georgia"/>
                      <w:spacing w:val="1"/>
                      <w:sz w:val="22"/>
                    </w:rPr>
                    <w:t>co</w:t>
                  </w:r>
                  <w:r>
                    <w:rPr>
                      <w:rFonts w:asciiTheme="majorHAnsi" w:hAnsiTheme="majorHAnsi" w:cs="Georgia"/>
                      <w:sz w:val="22"/>
                    </w:rPr>
                    <w:t>m</w:t>
                  </w:r>
                  <w:r>
                    <w:rPr>
                      <w:rFonts w:asciiTheme="majorHAnsi" w:hAnsiTheme="majorHAnsi" w:cs="Georgia"/>
                      <w:spacing w:val="1"/>
                      <w:sz w:val="22"/>
                    </w:rPr>
                    <w:t>pt</w:t>
                  </w:r>
                  <w:r>
                    <w:rPr>
                      <w:rFonts w:asciiTheme="majorHAnsi" w:hAnsiTheme="majorHAnsi" w:cs="Georgia"/>
                      <w:sz w:val="22"/>
                    </w:rPr>
                    <w:t>e</w:t>
                  </w:r>
                  <w:r>
                    <w:rPr>
                      <w:rFonts w:asciiTheme="majorHAnsi" w:hAnsiTheme="majorHAnsi" w:cs="Georgia"/>
                      <w:spacing w:val="14"/>
                      <w:sz w:val="22"/>
                    </w:rPr>
                    <w:t xml:space="preserve"> </w:t>
                  </w:r>
                  <w:r>
                    <w:rPr>
                      <w:rFonts w:asciiTheme="majorHAnsi" w:hAnsiTheme="majorHAnsi" w:cs="Georgia"/>
                      <w:spacing w:val="-1"/>
                      <w:sz w:val="22"/>
                    </w:rPr>
                    <w:t>p</w:t>
                  </w:r>
                  <w:r>
                    <w:rPr>
                      <w:rFonts w:asciiTheme="majorHAnsi" w:hAnsiTheme="majorHAnsi" w:cs="Georgia"/>
                      <w:spacing w:val="1"/>
                      <w:sz w:val="22"/>
                    </w:rPr>
                    <w:t>o</w:t>
                  </w:r>
                  <w:r>
                    <w:rPr>
                      <w:rFonts w:asciiTheme="majorHAnsi" w:hAnsiTheme="majorHAnsi" w:cs="Georgia"/>
                      <w:spacing w:val="-2"/>
                      <w:sz w:val="22"/>
                    </w:rPr>
                    <w:t>u</w:t>
                  </w:r>
                  <w:r>
                    <w:rPr>
                      <w:rFonts w:asciiTheme="majorHAnsi" w:hAnsiTheme="majorHAnsi" w:cs="Georgia"/>
                      <w:sz w:val="22"/>
                    </w:rPr>
                    <w:t>r</w:t>
                  </w:r>
                  <w:r>
                    <w:rPr>
                      <w:rFonts w:asciiTheme="majorHAnsi" w:hAnsiTheme="majorHAnsi" w:cs="Georgia"/>
                      <w:spacing w:val="16"/>
                      <w:sz w:val="22"/>
                    </w:rPr>
                    <w:t xml:space="preserve"> </w:t>
                  </w:r>
                  <w:r>
                    <w:rPr>
                      <w:rFonts w:asciiTheme="majorHAnsi" w:hAnsiTheme="majorHAnsi" w:cs="Georgia"/>
                      <w:spacing w:val="-1"/>
                      <w:sz w:val="22"/>
                    </w:rPr>
                    <w:t>l</w:t>
                  </w:r>
                  <w:r>
                    <w:rPr>
                      <w:rFonts w:asciiTheme="majorHAnsi" w:hAnsiTheme="majorHAnsi" w:cs="Georgia"/>
                      <w:sz w:val="22"/>
                    </w:rPr>
                    <w:t>e</w:t>
                  </w:r>
                  <w:r>
                    <w:rPr>
                      <w:rFonts w:asciiTheme="majorHAnsi" w:hAnsiTheme="majorHAnsi" w:cs="Georgia"/>
                      <w:spacing w:val="16"/>
                      <w:sz w:val="22"/>
                    </w:rPr>
                    <w:t xml:space="preserve"> </w:t>
                  </w:r>
                  <w:r>
                    <w:rPr>
                      <w:rFonts w:asciiTheme="majorHAnsi" w:hAnsiTheme="majorHAnsi" w:cs="Georgia"/>
                      <w:sz w:val="22"/>
                    </w:rPr>
                    <w:t>CPU</w:t>
                  </w:r>
                  <w:r>
                    <w:rPr>
                      <w:rFonts w:asciiTheme="majorHAnsi" w:hAnsiTheme="majorHAnsi" w:cs="Georgia"/>
                      <w:spacing w:val="16"/>
                      <w:sz w:val="22"/>
                    </w:rPr>
                    <w:t xml:space="preserve"> </w:t>
                  </w:r>
                  <w:r>
                    <w:rPr>
                      <w:rFonts w:asciiTheme="majorHAnsi" w:hAnsiTheme="majorHAnsi" w:cs="Georgia"/>
                      <w:spacing w:val="-1"/>
                      <w:sz w:val="22"/>
                    </w:rPr>
                    <w:t>ap</w:t>
                  </w:r>
                  <w:r>
                    <w:rPr>
                      <w:rFonts w:asciiTheme="majorHAnsi" w:hAnsiTheme="majorHAnsi" w:cs="Georgia"/>
                      <w:spacing w:val="1"/>
                      <w:sz w:val="22"/>
                    </w:rPr>
                    <w:t>p</w:t>
                  </w:r>
                  <w:r>
                    <w:rPr>
                      <w:rFonts w:asciiTheme="majorHAnsi" w:hAnsiTheme="majorHAnsi" w:cs="Georgia"/>
                      <w:spacing w:val="-1"/>
                      <w:sz w:val="22"/>
                    </w:rPr>
                    <w:t>l</w:t>
                  </w:r>
                  <w:r>
                    <w:rPr>
                      <w:rFonts w:asciiTheme="majorHAnsi" w:hAnsiTheme="majorHAnsi" w:cs="Georgia"/>
                      <w:sz w:val="22"/>
                    </w:rPr>
                    <w:t>i</w:t>
                  </w:r>
                  <w:r>
                    <w:rPr>
                      <w:rFonts w:asciiTheme="majorHAnsi" w:hAnsiTheme="majorHAnsi" w:cs="Georgia"/>
                      <w:spacing w:val="-1"/>
                      <w:sz w:val="22"/>
                    </w:rPr>
                    <w:t>q</w:t>
                  </w:r>
                  <w:r>
                    <w:rPr>
                      <w:rFonts w:asciiTheme="majorHAnsi" w:hAnsiTheme="majorHAnsi" w:cs="Georgia"/>
                      <w:sz w:val="22"/>
                    </w:rPr>
                    <w:t>ué</w:t>
                  </w:r>
                  <w:r>
                    <w:rPr>
                      <w:rFonts w:asciiTheme="majorHAnsi" w:hAnsiTheme="majorHAnsi" w:cs="Georgia"/>
                      <w:spacing w:val="14"/>
                      <w:sz w:val="22"/>
                    </w:rPr>
                    <w:t xml:space="preserve"> </w:t>
                  </w:r>
                  <w:r>
                    <w:rPr>
                      <w:rFonts w:asciiTheme="majorHAnsi" w:hAnsiTheme="majorHAnsi" w:cs="Georgia"/>
                      <w:sz w:val="22"/>
                    </w:rPr>
                    <w:t>à</w:t>
                  </w:r>
                  <w:r>
                    <w:rPr>
                      <w:rFonts w:asciiTheme="majorHAnsi" w:hAnsiTheme="majorHAnsi" w:cs="Georgia"/>
                      <w:spacing w:val="14"/>
                      <w:sz w:val="22"/>
                    </w:rPr>
                    <w:t xml:space="preserve"> </w:t>
                  </w:r>
                  <w:r>
                    <w:rPr>
                      <w:rFonts w:asciiTheme="majorHAnsi" w:hAnsiTheme="majorHAnsi" w:cs="Georgia"/>
                      <w:spacing w:val="1"/>
                      <w:sz w:val="22"/>
                    </w:rPr>
                    <w:t>p</w:t>
                  </w:r>
                  <w:r>
                    <w:rPr>
                      <w:rFonts w:asciiTheme="majorHAnsi" w:hAnsiTheme="majorHAnsi" w:cs="Georgia"/>
                      <w:spacing w:val="-1"/>
                      <w:sz w:val="22"/>
                    </w:rPr>
                    <w:t>a</w:t>
                  </w:r>
                  <w:r>
                    <w:rPr>
                      <w:rFonts w:asciiTheme="majorHAnsi" w:hAnsiTheme="majorHAnsi" w:cs="Georgia"/>
                      <w:spacing w:val="1"/>
                      <w:sz w:val="22"/>
                    </w:rPr>
                    <w:t>rt</w:t>
                  </w:r>
                  <w:r>
                    <w:rPr>
                      <w:rFonts w:asciiTheme="majorHAnsi" w:hAnsiTheme="majorHAnsi" w:cs="Georgia"/>
                      <w:sz w:val="22"/>
                    </w:rPr>
                    <w:t>ir</w:t>
                  </w:r>
                  <w:r>
                    <w:rPr>
                      <w:rFonts w:asciiTheme="majorHAnsi" w:hAnsiTheme="majorHAnsi" w:cs="Georgia"/>
                      <w:spacing w:val="16"/>
                      <w:sz w:val="22"/>
                    </w:rPr>
                    <w:t xml:space="preserve"> </w:t>
                  </w:r>
                  <w:r>
                    <w:rPr>
                      <w:rFonts w:asciiTheme="majorHAnsi" w:hAnsiTheme="majorHAnsi" w:cs="Georgia"/>
                      <w:spacing w:val="-2"/>
                      <w:sz w:val="22"/>
                    </w:rPr>
                    <w:t>d</w:t>
                  </w:r>
                  <w:r>
                    <w:rPr>
                      <w:rFonts w:asciiTheme="majorHAnsi" w:hAnsiTheme="majorHAnsi" w:cs="Georgia"/>
                      <w:sz w:val="22"/>
                    </w:rPr>
                    <w:t>u</w:t>
                  </w:r>
                  <w:r>
                    <w:rPr>
                      <w:rFonts w:asciiTheme="majorHAnsi" w:hAnsiTheme="majorHAnsi" w:cs="Georgia"/>
                      <w:spacing w:val="15"/>
                      <w:sz w:val="22"/>
                    </w:rPr>
                    <w:t xml:space="preserve"> </w:t>
                  </w:r>
                  <w:r>
                    <w:rPr>
                      <w:rFonts w:asciiTheme="majorHAnsi" w:hAnsiTheme="majorHAnsi" w:cs="Georgia"/>
                      <w:spacing w:val="1"/>
                      <w:sz w:val="22"/>
                    </w:rPr>
                    <w:t>1</w:t>
                  </w:r>
                  <w:r>
                    <w:rPr>
                      <w:rFonts w:asciiTheme="majorHAnsi" w:hAnsiTheme="majorHAnsi" w:cs="Georgia"/>
                      <w:position w:val="6"/>
                      <w:sz w:val="22"/>
                    </w:rPr>
                    <w:t xml:space="preserve">er  </w:t>
                  </w:r>
                  <w:r>
                    <w:rPr>
                      <w:rFonts w:asciiTheme="majorHAnsi" w:hAnsiTheme="majorHAnsi" w:cs="Georgia"/>
                      <w:spacing w:val="1"/>
                      <w:sz w:val="22"/>
                    </w:rPr>
                    <w:t>s</w:t>
                  </w:r>
                  <w:r>
                    <w:rPr>
                      <w:rFonts w:asciiTheme="majorHAnsi" w:hAnsiTheme="majorHAnsi" w:cs="Georgia"/>
                      <w:spacing w:val="-1"/>
                      <w:sz w:val="22"/>
                    </w:rPr>
                    <w:t>e</w:t>
                  </w:r>
                  <w:r>
                    <w:rPr>
                      <w:rFonts w:asciiTheme="majorHAnsi" w:hAnsiTheme="majorHAnsi" w:cs="Georgia"/>
                      <w:spacing w:val="1"/>
                      <w:sz w:val="22"/>
                    </w:rPr>
                    <w:t>pt</w:t>
                  </w:r>
                  <w:r>
                    <w:rPr>
                      <w:rFonts w:asciiTheme="majorHAnsi" w:hAnsiTheme="majorHAnsi" w:cs="Georgia"/>
                      <w:spacing w:val="-1"/>
                      <w:sz w:val="22"/>
                    </w:rPr>
                    <w:t>e</w:t>
                  </w:r>
                  <w:r>
                    <w:rPr>
                      <w:rFonts w:asciiTheme="majorHAnsi" w:hAnsiTheme="majorHAnsi" w:cs="Georgia"/>
                      <w:spacing w:val="-3"/>
                      <w:sz w:val="22"/>
                    </w:rPr>
                    <w:t>m</w:t>
                  </w:r>
                  <w:r>
                    <w:rPr>
                      <w:rFonts w:asciiTheme="majorHAnsi" w:hAnsiTheme="majorHAnsi" w:cs="Georgia"/>
                      <w:spacing w:val="1"/>
                      <w:sz w:val="22"/>
                    </w:rPr>
                    <w:t>br</w:t>
                  </w:r>
                  <w:r>
                    <w:rPr>
                      <w:rFonts w:asciiTheme="majorHAnsi" w:hAnsiTheme="majorHAnsi" w:cs="Georgia"/>
                      <w:spacing w:val="-1"/>
                      <w:sz w:val="22"/>
                    </w:rPr>
                    <w:t>e</w:t>
                  </w:r>
                  <w:r>
                    <w:rPr>
                      <w:rFonts w:asciiTheme="majorHAnsi" w:hAnsiTheme="majorHAnsi" w:cs="Georgia"/>
                      <w:sz w:val="22"/>
                    </w:rPr>
                    <w:t>,</w:t>
                  </w:r>
                  <w:r>
                    <w:rPr>
                      <w:rFonts w:asciiTheme="majorHAnsi" w:hAnsiTheme="majorHAnsi" w:cs="Georgia"/>
                      <w:spacing w:val="15"/>
                      <w:sz w:val="22"/>
                    </w:rPr>
                    <w:t xml:space="preserve"> </w:t>
                  </w:r>
                  <w:r>
                    <w:rPr>
                      <w:rFonts w:asciiTheme="majorHAnsi" w:hAnsiTheme="majorHAnsi" w:cs="Georgia"/>
                      <w:sz w:val="22"/>
                    </w:rPr>
                    <w:t>m</w:t>
                  </w:r>
                  <w:r>
                    <w:rPr>
                      <w:rFonts w:asciiTheme="majorHAnsi" w:hAnsiTheme="majorHAnsi" w:cs="Georgia"/>
                      <w:spacing w:val="-1"/>
                      <w:sz w:val="22"/>
                    </w:rPr>
                    <w:t>ê</w:t>
                  </w:r>
                  <w:r>
                    <w:rPr>
                      <w:rFonts w:asciiTheme="majorHAnsi" w:hAnsiTheme="majorHAnsi" w:cs="Georgia"/>
                      <w:sz w:val="22"/>
                    </w:rPr>
                    <w:t>me</w:t>
                  </w:r>
                  <w:r>
                    <w:rPr>
                      <w:rFonts w:asciiTheme="majorHAnsi" w:hAnsiTheme="majorHAnsi" w:cs="Georgia"/>
                      <w:spacing w:val="14"/>
                      <w:sz w:val="22"/>
                    </w:rPr>
                    <w:t xml:space="preserve"> </w:t>
                  </w:r>
                  <w:r>
                    <w:rPr>
                      <w:rFonts w:asciiTheme="majorHAnsi" w:hAnsiTheme="majorHAnsi" w:cs="Georgia"/>
                      <w:spacing w:val="1"/>
                      <w:sz w:val="22"/>
                    </w:rPr>
                    <w:t>s</w:t>
                  </w:r>
                  <w:r>
                    <w:rPr>
                      <w:rFonts w:asciiTheme="majorHAnsi" w:hAnsiTheme="majorHAnsi" w:cs="Georgia"/>
                      <w:sz w:val="22"/>
                    </w:rPr>
                    <w:t>’il</w:t>
                  </w:r>
                  <w:r>
                    <w:rPr>
                      <w:rFonts w:asciiTheme="majorHAnsi" w:hAnsiTheme="majorHAnsi" w:cs="Georgia"/>
                      <w:spacing w:val="14"/>
                      <w:sz w:val="22"/>
                    </w:rPr>
                    <w:t xml:space="preserve"> </w:t>
                  </w:r>
                  <w:r>
                    <w:rPr>
                      <w:rFonts w:asciiTheme="majorHAnsi" w:hAnsiTheme="majorHAnsi" w:cs="Georgia"/>
                      <w:spacing w:val="-1"/>
                      <w:sz w:val="22"/>
                    </w:rPr>
                    <w:t>n</w:t>
                  </w:r>
                  <w:r>
                    <w:rPr>
                      <w:rFonts w:asciiTheme="majorHAnsi" w:hAnsiTheme="majorHAnsi" w:cs="Georgia"/>
                      <w:sz w:val="22"/>
                    </w:rPr>
                    <w:t>’</w:t>
                  </w:r>
                  <w:r>
                    <w:rPr>
                      <w:rFonts w:asciiTheme="majorHAnsi" w:hAnsiTheme="majorHAnsi" w:cs="Georgia"/>
                      <w:spacing w:val="-1"/>
                      <w:sz w:val="22"/>
                    </w:rPr>
                    <w:t>e</w:t>
                  </w:r>
                  <w:r>
                    <w:rPr>
                      <w:rFonts w:asciiTheme="majorHAnsi" w:hAnsiTheme="majorHAnsi" w:cs="Georgia"/>
                      <w:spacing w:val="1"/>
                      <w:sz w:val="22"/>
                    </w:rPr>
                    <w:t>s</w:t>
                  </w:r>
                  <w:r>
                    <w:rPr>
                      <w:rFonts w:asciiTheme="majorHAnsi" w:hAnsiTheme="majorHAnsi" w:cs="Georgia"/>
                      <w:sz w:val="22"/>
                    </w:rPr>
                    <w:t>t</w:t>
                  </w:r>
                  <w:r>
                    <w:rPr>
                      <w:rFonts w:asciiTheme="majorHAnsi" w:hAnsiTheme="majorHAnsi" w:cs="Georgia"/>
                      <w:spacing w:val="16"/>
                      <w:sz w:val="22"/>
                    </w:rPr>
                    <w:t xml:space="preserve"> </w:t>
                  </w:r>
                  <w:r>
                    <w:rPr>
                      <w:rFonts w:asciiTheme="majorHAnsi" w:hAnsiTheme="majorHAnsi" w:cs="Georgia"/>
                      <w:spacing w:val="1"/>
                      <w:sz w:val="22"/>
                    </w:rPr>
                    <w:t>p</w:t>
                  </w:r>
                  <w:r>
                    <w:rPr>
                      <w:rFonts w:asciiTheme="majorHAnsi" w:hAnsiTheme="majorHAnsi" w:cs="Georgia"/>
                      <w:spacing w:val="-1"/>
                      <w:sz w:val="22"/>
                    </w:rPr>
                    <w:t>l</w:t>
                  </w:r>
                  <w:r>
                    <w:rPr>
                      <w:rFonts w:asciiTheme="majorHAnsi" w:hAnsiTheme="majorHAnsi" w:cs="Georgia"/>
                      <w:sz w:val="22"/>
                    </w:rPr>
                    <w:t>us</w:t>
                  </w:r>
                  <w:r>
                    <w:rPr>
                      <w:rFonts w:asciiTheme="majorHAnsi" w:hAnsiTheme="majorHAnsi" w:cs="Georgia"/>
                      <w:spacing w:val="16"/>
                      <w:sz w:val="22"/>
                    </w:rPr>
                    <w:t xml:space="preserve"> </w:t>
                  </w:r>
                  <w:r>
                    <w:rPr>
                      <w:rFonts w:asciiTheme="majorHAnsi" w:hAnsiTheme="majorHAnsi" w:cs="Georgia"/>
                      <w:sz w:val="22"/>
                    </w:rPr>
                    <w:t>i</w:t>
                  </w:r>
                  <w:r>
                    <w:rPr>
                      <w:rFonts w:asciiTheme="majorHAnsi" w:hAnsiTheme="majorHAnsi" w:cs="Georgia"/>
                      <w:spacing w:val="-1"/>
                      <w:sz w:val="22"/>
                    </w:rPr>
                    <w:t>n</w:t>
                  </w:r>
                  <w:r>
                    <w:rPr>
                      <w:rFonts w:asciiTheme="majorHAnsi" w:hAnsiTheme="majorHAnsi" w:cs="Georgia"/>
                      <w:spacing w:val="1"/>
                      <w:sz w:val="22"/>
                    </w:rPr>
                    <w:t>s</w:t>
                  </w:r>
                  <w:r>
                    <w:rPr>
                      <w:rFonts w:asciiTheme="majorHAnsi" w:hAnsiTheme="majorHAnsi" w:cs="Georgia"/>
                      <w:spacing w:val="-2"/>
                      <w:sz w:val="22"/>
                    </w:rPr>
                    <w:t>c</w:t>
                  </w:r>
                  <w:r>
                    <w:rPr>
                      <w:rFonts w:asciiTheme="majorHAnsi" w:hAnsiTheme="majorHAnsi" w:cs="Georgia"/>
                      <w:spacing w:val="1"/>
                      <w:sz w:val="22"/>
                    </w:rPr>
                    <w:t>r</w:t>
                  </w:r>
                  <w:r>
                    <w:rPr>
                      <w:rFonts w:asciiTheme="majorHAnsi" w:hAnsiTheme="majorHAnsi" w:cs="Georgia"/>
                      <w:spacing w:val="-2"/>
                      <w:sz w:val="22"/>
                    </w:rPr>
                    <w:t>i</w:t>
                  </w:r>
                  <w:r>
                    <w:rPr>
                      <w:rFonts w:asciiTheme="majorHAnsi" w:hAnsiTheme="majorHAnsi" w:cs="Georgia"/>
                      <w:sz w:val="22"/>
                    </w:rPr>
                    <w:t>t d</w:t>
                  </w:r>
                  <w:r>
                    <w:rPr>
                      <w:rFonts w:asciiTheme="majorHAnsi" w:hAnsiTheme="majorHAnsi" w:cs="Georgia"/>
                      <w:spacing w:val="-1"/>
                      <w:sz w:val="22"/>
                    </w:rPr>
                    <w:t>an</w:t>
                  </w:r>
                  <w:r>
                    <w:rPr>
                      <w:rFonts w:asciiTheme="majorHAnsi" w:hAnsiTheme="majorHAnsi" w:cs="Georgia"/>
                      <w:sz w:val="22"/>
                    </w:rPr>
                    <w:t xml:space="preserve">s </w:t>
                  </w:r>
                  <w:r>
                    <w:rPr>
                      <w:rFonts w:asciiTheme="majorHAnsi" w:hAnsiTheme="majorHAnsi" w:cs="Georgia"/>
                      <w:spacing w:val="-1"/>
                      <w:sz w:val="22"/>
                    </w:rPr>
                    <w:t>l</w:t>
                  </w:r>
                  <w:r>
                    <w:rPr>
                      <w:rFonts w:asciiTheme="majorHAnsi" w:hAnsiTheme="majorHAnsi" w:cs="Georgia"/>
                      <w:sz w:val="22"/>
                    </w:rPr>
                    <w:t>’</w:t>
                  </w:r>
                  <w:r>
                    <w:rPr>
                      <w:rFonts w:asciiTheme="majorHAnsi" w:hAnsiTheme="majorHAnsi" w:cs="Georgia"/>
                      <w:spacing w:val="-1"/>
                      <w:sz w:val="22"/>
                    </w:rPr>
                    <w:t>é</w:t>
                  </w:r>
                  <w:r>
                    <w:rPr>
                      <w:rFonts w:asciiTheme="majorHAnsi" w:hAnsiTheme="majorHAnsi" w:cs="Georgia"/>
                      <w:spacing w:val="1"/>
                      <w:sz w:val="22"/>
                    </w:rPr>
                    <w:t>t</w:t>
                  </w:r>
                  <w:r>
                    <w:rPr>
                      <w:rFonts w:asciiTheme="majorHAnsi" w:hAnsiTheme="majorHAnsi" w:cs="Georgia"/>
                      <w:spacing w:val="-1"/>
                      <w:sz w:val="22"/>
                    </w:rPr>
                    <w:t>a</w:t>
                  </w:r>
                  <w:r>
                    <w:rPr>
                      <w:rFonts w:asciiTheme="majorHAnsi" w:hAnsiTheme="majorHAnsi" w:cs="Georgia"/>
                      <w:spacing w:val="1"/>
                      <w:sz w:val="22"/>
                    </w:rPr>
                    <w:t>b</w:t>
                  </w:r>
                  <w:r>
                    <w:rPr>
                      <w:rFonts w:asciiTheme="majorHAnsi" w:hAnsiTheme="majorHAnsi" w:cs="Georgia"/>
                      <w:spacing w:val="-1"/>
                      <w:sz w:val="22"/>
                    </w:rPr>
                    <w:t>l</w:t>
                  </w:r>
                  <w:r>
                    <w:rPr>
                      <w:rFonts w:asciiTheme="majorHAnsi" w:hAnsiTheme="majorHAnsi" w:cs="Georgia"/>
                      <w:sz w:val="22"/>
                    </w:rPr>
                    <w:t>i</w:t>
                  </w:r>
                  <w:r>
                    <w:rPr>
                      <w:rFonts w:asciiTheme="majorHAnsi" w:hAnsiTheme="majorHAnsi" w:cs="Georgia"/>
                      <w:spacing w:val="1"/>
                      <w:sz w:val="22"/>
                    </w:rPr>
                    <w:t>ss</w:t>
                  </w:r>
                  <w:r>
                    <w:rPr>
                      <w:rFonts w:asciiTheme="majorHAnsi" w:hAnsiTheme="majorHAnsi" w:cs="Georgia"/>
                      <w:spacing w:val="-1"/>
                      <w:sz w:val="22"/>
                    </w:rPr>
                    <w:t>e</w:t>
                  </w:r>
                  <w:r>
                    <w:rPr>
                      <w:rFonts w:asciiTheme="majorHAnsi" w:hAnsiTheme="majorHAnsi" w:cs="Georgia"/>
                      <w:sz w:val="22"/>
                    </w:rPr>
                    <w:t>m</w:t>
                  </w:r>
                  <w:r>
                    <w:rPr>
                      <w:rFonts w:asciiTheme="majorHAnsi" w:hAnsiTheme="majorHAnsi" w:cs="Georgia"/>
                      <w:spacing w:val="-1"/>
                      <w:sz w:val="22"/>
                    </w:rPr>
                    <w:t>en</w:t>
                  </w:r>
                  <w:r>
                    <w:rPr>
                      <w:rFonts w:asciiTheme="majorHAnsi" w:hAnsiTheme="majorHAnsi" w:cs="Georgia"/>
                      <w:sz w:val="22"/>
                    </w:rPr>
                    <w:t xml:space="preserve">t </w:t>
                  </w:r>
                  <w:r>
                    <w:rPr>
                      <w:rFonts w:asciiTheme="majorHAnsi" w:hAnsiTheme="majorHAnsi" w:cs="Georgia"/>
                      <w:spacing w:val="-1"/>
                      <w:sz w:val="22"/>
                    </w:rPr>
                    <w:t>a</w:t>
                  </w:r>
                  <w:r>
                    <w:rPr>
                      <w:rFonts w:asciiTheme="majorHAnsi" w:hAnsiTheme="majorHAnsi" w:cs="Georgia"/>
                      <w:sz w:val="22"/>
                    </w:rPr>
                    <w:t>u</w:t>
                  </w:r>
                  <w:r>
                    <w:rPr>
                      <w:rFonts w:asciiTheme="majorHAnsi" w:hAnsiTheme="majorHAnsi" w:cs="Georgia"/>
                      <w:spacing w:val="-2"/>
                      <w:sz w:val="22"/>
                    </w:rPr>
                    <w:t xml:space="preserve"> </w:t>
                  </w:r>
                  <w:r>
                    <w:rPr>
                      <w:rFonts w:asciiTheme="majorHAnsi" w:hAnsiTheme="majorHAnsi" w:cs="Georgia"/>
                      <w:spacing w:val="-1"/>
                      <w:sz w:val="22"/>
                    </w:rPr>
                    <w:t>1</w:t>
                  </w:r>
                  <w:r>
                    <w:rPr>
                      <w:rFonts w:asciiTheme="majorHAnsi" w:hAnsiTheme="majorHAnsi" w:cs="Georgia"/>
                      <w:position w:val="6"/>
                      <w:sz w:val="22"/>
                    </w:rPr>
                    <w:t>er</w:t>
                  </w:r>
                  <w:r>
                    <w:rPr>
                      <w:rFonts w:asciiTheme="majorHAnsi" w:hAnsiTheme="majorHAnsi" w:cs="Georgia"/>
                      <w:spacing w:val="18"/>
                      <w:position w:val="6"/>
                      <w:sz w:val="22"/>
                    </w:rPr>
                    <w:t xml:space="preserve"> </w:t>
                  </w:r>
                  <w:r>
                    <w:rPr>
                      <w:rFonts w:asciiTheme="majorHAnsi" w:hAnsiTheme="majorHAnsi" w:cs="Georgia"/>
                      <w:spacing w:val="1"/>
                      <w:sz w:val="22"/>
                    </w:rPr>
                    <w:t>s</w:t>
                  </w:r>
                  <w:r>
                    <w:rPr>
                      <w:rFonts w:asciiTheme="majorHAnsi" w:hAnsiTheme="majorHAnsi" w:cs="Georgia"/>
                      <w:spacing w:val="-1"/>
                      <w:sz w:val="22"/>
                    </w:rPr>
                    <w:t>e</w:t>
                  </w:r>
                  <w:r>
                    <w:rPr>
                      <w:rFonts w:asciiTheme="majorHAnsi" w:hAnsiTheme="majorHAnsi" w:cs="Georgia"/>
                      <w:spacing w:val="1"/>
                      <w:sz w:val="22"/>
                    </w:rPr>
                    <w:t>pt</w:t>
                  </w:r>
                  <w:r>
                    <w:rPr>
                      <w:rFonts w:asciiTheme="majorHAnsi" w:hAnsiTheme="majorHAnsi" w:cs="Georgia"/>
                      <w:spacing w:val="-1"/>
                      <w:sz w:val="22"/>
                    </w:rPr>
                    <w:t>e</w:t>
                  </w:r>
                  <w:r>
                    <w:rPr>
                      <w:rFonts w:asciiTheme="majorHAnsi" w:hAnsiTheme="majorHAnsi" w:cs="Georgia"/>
                      <w:sz w:val="22"/>
                    </w:rPr>
                    <w:t>m</w:t>
                  </w:r>
                  <w:r>
                    <w:rPr>
                      <w:rFonts w:asciiTheme="majorHAnsi" w:hAnsiTheme="majorHAnsi" w:cs="Georgia"/>
                      <w:spacing w:val="-1"/>
                      <w:sz w:val="22"/>
                    </w:rPr>
                    <w:t>b</w:t>
                  </w:r>
                  <w:r>
                    <w:rPr>
                      <w:rFonts w:asciiTheme="majorHAnsi" w:hAnsiTheme="majorHAnsi" w:cs="Georgia"/>
                      <w:spacing w:val="1"/>
                      <w:sz w:val="22"/>
                    </w:rPr>
                    <w:t>r</w:t>
                  </w:r>
                  <w:r>
                    <w:rPr>
                      <w:rFonts w:asciiTheme="majorHAnsi" w:hAnsiTheme="majorHAnsi" w:cs="Georgia"/>
                      <w:spacing w:val="-1"/>
                      <w:sz w:val="22"/>
                    </w:rPr>
                    <w:t>e.  Dans ce cas, cet élève ne fera toutefois plus l’objet du comptage du 30 septembre.</w:t>
                  </w:r>
                </w:p>
                <w:p>
                  <w:pPr>
                    <w:pStyle w:val="Paragraphedeliste"/>
                    <w:widowControl w:val="0"/>
                    <w:numPr>
                      <w:ilvl w:val="0"/>
                      <w:numId w:val="252"/>
                    </w:numPr>
                    <w:autoSpaceDE w:val="0"/>
                    <w:autoSpaceDN w:val="0"/>
                    <w:adjustRightInd w:val="0"/>
                    <w:jc w:val="both"/>
                    <w:rPr>
                      <w:rFonts w:asciiTheme="majorHAnsi" w:hAnsiTheme="majorHAnsi" w:cs="Georgia"/>
                      <w:color w:val="000000"/>
                      <w:sz w:val="22"/>
                      <w:u w:val="single"/>
                    </w:rPr>
                  </w:pPr>
                  <w:r>
                    <w:rPr>
                      <w:rFonts w:asciiTheme="majorHAnsi" w:hAnsiTheme="majorHAnsi" w:cs="Georgia"/>
                      <w:sz w:val="22"/>
                    </w:rPr>
                    <w:t>un</w:t>
                  </w:r>
                  <w:r>
                    <w:rPr>
                      <w:rFonts w:asciiTheme="majorHAnsi" w:hAnsiTheme="majorHAnsi" w:cs="Georgia"/>
                      <w:spacing w:val="16"/>
                      <w:sz w:val="22"/>
                    </w:rPr>
                    <w:t xml:space="preserve"> </w:t>
                  </w:r>
                  <w:r>
                    <w:rPr>
                      <w:rFonts w:asciiTheme="majorHAnsi" w:hAnsiTheme="majorHAnsi" w:cs="Georgia"/>
                      <w:spacing w:val="-1"/>
                      <w:sz w:val="22"/>
                    </w:rPr>
                    <w:t>élè</w:t>
                  </w:r>
                  <w:r>
                    <w:rPr>
                      <w:rFonts w:asciiTheme="majorHAnsi" w:hAnsiTheme="majorHAnsi" w:cs="Georgia"/>
                      <w:spacing w:val="1"/>
                      <w:sz w:val="22"/>
                    </w:rPr>
                    <w:t>v</w:t>
                  </w:r>
                  <w:r>
                    <w:rPr>
                      <w:rFonts w:asciiTheme="majorHAnsi" w:hAnsiTheme="majorHAnsi" w:cs="Georgia"/>
                      <w:sz w:val="22"/>
                    </w:rPr>
                    <w:t>e</w:t>
                  </w:r>
                  <w:r>
                    <w:rPr>
                      <w:rFonts w:asciiTheme="majorHAnsi" w:hAnsiTheme="majorHAnsi" w:cs="Georgia"/>
                      <w:spacing w:val="18"/>
                      <w:sz w:val="22"/>
                    </w:rPr>
                    <w:t xml:space="preserve"> </w:t>
                  </w:r>
                  <w:r>
                    <w:rPr>
                      <w:rFonts w:asciiTheme="majorHAnsi" w:hAnsiTheme="majorHAnsi" w:cs="Georgia"/>
                      <w:spacing w:val="-1"/>
                      <w:sz w:val="22"/>
                    </w:rPr>
                    <w:t>q</w:t>
                  </w:r>
                  <w:r>
                    <w:rPr>
                      <w:rFonts w:asciiTheme="majorHAnsi" w:hAnsiTheme="majorHAnsi" w:cs="Georgia"/>
                      <w:sz w:val="22"/>
                    </w:rPr>
                    <w:t>ui</w:t>
                  </w:r>
                  <w:r>
                    <w:rPr>
                      <w:rFonts w:asciiTheme="majorHAnsi" w:hAnsiTheme="majorHAnsi" w:cs="Georgia"/>
                      <w:spacing w:val="17"/>
                      <w:sz w:val="22"/>
                    </w:rPr>
                    <w:t xml:space="preserve"> </w:t>
                  </w:r>
                  <w:r>
                    <w:rPr>
                      <w:rFonts w:asciiTheme="majorHAnsi" w:hAnsiTheme="majorHAnsi" w:cs="Georgia"/>
                      <w:sz w:val="22"/>
                    </w:rPr>
                    <w:t>d</w:t>
                  </w:r>
                  <w:r>
                    <w:rPr>
                      <w:rFonts w:asciiTheme="majorHAnsi" w:hAnsiTheme="majorHAnsi" w:cs="Georgia"/>
                      <w:spacing w:val="-1"/>
                      <w:sz w:val="22"/>
                    </w:rPr>
                    <w:t>é</w:t>
                  </w:r>
                  <w:r>
                    <w:rPr>
                      <w:rFonts w:asciiTheme="majorHAnsi" w:hAnsiTheme="majorHAnsi" w:cs="Georgia"/>
                      <w:spacing w:val="1"/>
                      <w:sz w:val="22"/>
                    </w:rPr>
                    <w:t>b</w:t>
                  </w:r>
                  <w:r>
                    <w:rPr>
                      <w:rFonts w:asciiTheme="majorHAnsi" w:hAnsiTheme="majorHAnsi" w:cs="Georgia"/>
                      <w:sz w:val="22"/>
                    </w:rPr>
                    <w:t>u</w:t>
                  </w:r>
                  <w:r>
                    <w:rPr>
                      <w:rFonts w:asciiTheme="majorHAnsi" w:hAnsiTheme="majorHAnsi" w:cs="Georgia"/>
                      <w:spacing w:val="1"/>
                      <w:sz w:val="22"/>
                    </w:rPr>
                    <w:t>t</w:t>
                  </w:r>
                  <w:r>
                    <w:rPr>
                      <w:rFonts w:asciiTheme="majorHAnsi" w:hAnsiTheme="majorHAnsi" w:cs="Georgia"/>
                      <w:sz w:val="22"/>
                    </w:rPr>
                    <w:t>e</w:t>
                  </w:r>
                  <w:r>
                    <w:rPr>
                      <w:rFonts w:asciiTheme="majorHAnsi" w:hAnsiTheme="majorHAnsi" w:cs="Georgia"/>
                      <w:spacing w:val="15"/>
                      <w:sz w:val="22"/>
                    </w:rPr>
                    <w:t xml:space="preserve"> </w:t>
                  </w:r>
                  <w:r>
                    <w:rPr>
                      <w:rFonts w:asciiTheme="majorHAnsi" w:hAnsiTheme="majorHAnsi" w:cs="Georgia"/>
                      <w:spacing w:val="1"/>
                      <w:sz w:val="22"/>
                    </w:rPr>
                    <w:t>so</w:t>
                  </w:r>
                  <w:r>
                    <w:rPr>
                      <w:rFonts w:asciiTheme="majorHAnsi" w:hAnsiTheme="majorHAnsi" w:cs="Georgia"/>
                      <w:sz w:val="22"/>
                    </w:rPr>
                    <w:t>n</w:t>
                  </w:r>
                  <w:r>
                    <w:rPr>
                      <w:rFonts w:asciiTheme="majorHAnsi" w:hAnsiTheme="majorHAnsi" w:cs="Georgia"/>
                      <w:spacing w:val="16"/>
                      <w:sz w:val="22"/>
                    </w:rPr>
                    <w:t xml:space="preserve"> </w:t>
                  </w:r>
                  <w:r>
                    <w:rPr>
                      <w:rFonts w:asciiTheme="majorHAnsi" w:hAnsiTheme="majorHAnsi" w:cs="Georgia"/>
                      <w:sz w:val="22"/>
                    </w:rPr>
                    <w:t>i</w:t>
                  </w:r>
                  <w:r>
                    <w:rPr>
                      <w:rFonts w:asciiTheme="majorHAnsi" w:hAnsiTheme="majorHAnsi" w:cs="Georgia"/>
                      <w:spacing w:val="-1"/>
                      <w:sz w:val="22"/>
                    </w:rPr>
                    <w:t>n</w:t>
                  </w:r>
                  <w:r>
                    <w:rPr>
                      <w:rFonts w:asciiTheme="majorHAnsi" w:hAnsiTheme="majorHAnsi" w:cs="Georgia"/>
                      <w:spacing w:val="1"/>
                      <w:sz w:val="22"/>
                    </w:rPr>
                    <w:t>t</w:t>
                  </w:r>
                  <w:r>
                    <w:rPr>
                      <w:rFonts w:asciiTheme="majorHAnsi" w:hAnsiTheme="majorHAnsi" w:cs="Georgia"/>
                      <w:spacing w:val="-1"/>
                      <w:sz w:val="22"/>
                    </w:rPr>
                    <w:t>é</w:t>
                  </w:r>
                  <w:r>
                    <w:rPr>
                      <w:rFonts w:asciiTheme="majorHAnsi" w:hAnsiTheme="majorHAnsi" w:cs="Georgia"/>
                      <w:sz w:val="22"/>
                    </w:rPr>
                    <w:t>g</w:t>
                  </w:r>
                  <w:r>
                    <w:rPr>
                      <w:rFonts w:asciiTheme="majorHAnsi" w:hAnsiTheme="majorHAnsi" w:cs="Georgia"/>
                      <w:spacing w:val="1"/>
                      <w:sz w:val="22"/>
                    </w:rPr>
                    <w:t>r</w:t>
                  </w:r>
                  <w:r>
                    <w:rPr>
                      <w:rFonts w:asciiTheme="majorHAnsi" w:hAnsiTheme="majorHAnsi" w:cs="Georgia"/>
                      <w:spacing w:val="-1"/>
                      <w:sz w:val="22"/>
                    </w:rPr>
                    <w:t>a</w:t>
                  </w:r>
                  <w:r>
                    <w:rPr>
                      <w:rFonts w:asciiTheme="majorHAnsi" w:hAnsiTheme="majorHAnsi" w:cs="Georgia"/>
                      <w:spacing w:val="1"/>
                      <w:sz w:val="22"/>
                    </w:rPr>
                    <w:t>t</w:t>
                  </w:r>
                  <w:r>
                    <w:rPr>
                      <w:rFonts w:asciiTheme="majorHAnsi" w:hAnsiTheme="majorHAnsi" w:cs="Georgia"/>
                      <w:spacing w:val="-2"/>
                      <w:sz w:val="22"/>
                    </w:rPr>
                    <w:t>i</w:t>
                  </w:r>
                  <w:r>
                    <w:rPr>
                      <w:rFonts w:asciiTheme="majorHAnsi" w:hAnsiTheme="majorHAnsi" w:cs="Georgia"/>
                      <w:spacing w:val="1"/>
                      <w:sz w:val="22"/>
                    </w:rPr>
                    <w:t>o</w:t>
                  </w:r>
                  <w:r>
                    <w:rPr>
                      <w:rFonts w:asciiTheme="majorHAnsi" w:hAnsiTheme="majorHAnsi" w:cs="Georgia"/>
                      <w:sz w:val="22"/>
                    </w:rPr>
                    <w:t>n</w:t>
                  </w:r>
                  <w:r>
                    <w:rPr>
                      <w:rFonts w:asciiTheme="majorHAnsi" w:hAnsiTheme="majorHAnsi" w:cs="Georgia"/>
                      <w:spacing w:val="16"/>
                      <w:sz w:val="22"/>
                    </w:rPr>
                    <w:t xml:space="preserve"> </w:t>
                  </w:r>
                  <w:r>
                    <w:rPr>
                      <w:rFonts w:asciiTheme="majorHAnsi" w:hAnsiTheme="majorHAnsi" w:cs="Georgia"/>
                      <w:spacing w:val="1"/>
                      <w:sz w:val="22"/>
                    </w:rPr>
                    <w:t>t</w:t>
                  </w:r>
                  <w:r>
                    <w:rPr>
                      <w:rFonts w:asciiTheme="majorHAnsi" w:hAnsiTheme="majorHAnsi" w:cs="Georgia"/>
                      <w:spacing w:val="-1"/>
                      <w:sz w:val="22"/>
                    </w:rPr>
                    <w:t>e</w:t>
                  </w:r>
                  <w:r>
                    <w:rPr>
                      <w:rFonts w:asciiTheme="majorHAnsi" w:hAnsiTheme="majorHAnsi" w:cs="Georgia"/>
                      <w:sz w:val="22"/>
                    </w:rPr>
                    <w:t>m</w:t>
                  </w:r>
                  <w:r>
                    <w:rPr>
                      <w:rFonts w:asciiTheme="majorHAnsi" w:hAnsiTheme="majorHAnsi" w:cs="Georgia"/>
                      <w:spacing w:val="-1"/>
                      <w:sz w:val="22"/>
                    </w:rPr>
                    <w:t>p</w:t>
                  </w:r>
                  <w:r>
                    <w:rPr>
                      <w:rFonts w:asciiTheme="majorHAnsi" w:hAnsiTheme="majorHAnsi" w:cs="Georgia"/>
                      <w:spacing w:val="1"/>
                      <w:sz w:val="22"/>
                    </w:rPr>
                    <w:t>or</w:t>
                  </w:r>
                  <w:r>
                    <w:rPr>
                      <w:rFonts w:asciiTheme="majorHAnsi" w:hAnsiTheme="majorHAnsi" w:cs="Georgia"/>
                      <w:spacing w:val="-1"/>
                      <w:sz w:val="22"/>
                    </w:rPr>
                    <w:t>a</w:t>
                  </w:r>
                  <w:r>
                    <w:rPr>
                      <w:rFonts w:asciiTheme="majorHAnsi" w:hAnsiTheme="majorHAnsi" w:cs="Georgia"/>
                      <w:sz w:val="22"/>
                    </w:rPr>
                    <w:t>i</w:t>
                  </w:r>
                  <w:r>
                    <w:rPr>
                      <w:rFonts w:asciiTheme="majorHAnsi" w:hAnsiTheme="majorHAnsi" w:cs="Georgia"/>
                      <w:spacing w:val="1"/>
                      <w:sz w:val="22"/>
                    </w:rPr>
                    <w:t>r</w:t>
                  </w:r>
                  <w:r>
                    <w:rPr>
                      <w:rFonts w:asciiTheme="majorHAnsi" w:hAnsiTheme="majorHAnsi" w:cs="Georgia"/>
                      <w:sz w:val="22"/>
                    </w:rPr>
                    <w:t>e</w:t>
                  </w:r>
                  <w:r>
                    <w:rPr>
                      <w:rFonts w:asciiTheme="majorHAnsi" w:hAnsiTheme="majorHAnsi" w:cs="Georgia"/>
                      <w:spacing w:val="15"/>
                      <w:sz w:val="22"/>
                    </w:rPr>
                    <w:t xml:space="preserve"> </w:t>
                  </w:r>
                  <w:r>
                    <w:rPr>
                      <w:rFonts w:asciiTheme="majorHAnsi" w:hAnsiTheme="majorHAnsi" w:cs="Georgia"/>
                      <w:spacing w:val="-2"/>
                      <w:sz w:val="22"/>
                    </w:rPr>
                    <w:t>t</w:t>
                  </w:r>
                  <w:r>
                    <w:rPr>
                      <w:rFonts w:asciiTheme="majorHAnsi" w:hAnsiTheme="majorHAnsi" w:cs="Georgia"/>
                      <w:spacing w:val="1"/>
                      <w:sz w:val="22"/>
                    </w:rPr>
                    <w:t>ot</w:t>
                  </w:r>
                  <w:r>
                    <w:rPr>
                      <w:rFonts w:asciiTheme="majorHAnsi" w:hAnsiTheme="majorHAnsi" w:cs="Georgia"/>
                      <w:spacing w:val="-1"/>
                      <w:sz w:val="22"/>
                    </w:rPr>
                    <w:t>al</w:t>
                  </w:r>
                  <w:r>
                    <w:rPr>
                      <w:rFonts w:asciiTheme="majorHAnsi" w:hAnsiTheme="majorHAnsi" w:cs="Georgia"/>
                      <w:sz w:val="22"/>
                    </w:rPr>
                    <w:t>e</w:t>
                  </w:r>
                  <w:r>
                    <w:rPr>
                      <w:rFonts w:asciiTheme="majorHAnsi" w:hAnsiTheme="majorHAnsi" w:cs="Georgia"/>
                      <w:spacing w:val="15"/>
                      <w:sz w:val="22"/>
                    </w:rPr>
                    <w:t xml:space="preserve"> </w:t>
                  </w:r>
                  <w:r>
                    <w:rPr>
                      <w:rFonts w:asciiTheme="majorHAnsi" w:hAnsiTheme="majorHAnsi" w:cs="Georgia"/>
                      <w:spacing w:val="-1"/>
                      <w:sz w:val="22"/>
                    </w:rPr>
                    <w:t>e</w:t>
                  </w:r>
                  <w:r>
                    <w:rPr>
                      <w:rFonts w:asciiTheme="majorHAnsi" w:hAnsiTheme="majorHAnsi" w:cs="Georgia"/>
                      <w:sz w:val="22"/>
                    </w:rPr>
                    <w:t>n</w:t>
                  </w:r>
                  <w:r>
                    <w:rPr>
                      <w:rFonts w:asciiTheme="majorHAnsi" w:hAnsiTheme="majorHAnsi" w:cs="Georgia"/>
                      <w:spacing w:val="16"/>
                      <w:sz w:val="22"/>
                    </w:rPr>
                    <w:t xml:space="preserve"> </w:t>
                  </w:r>
                  <w:r>
                    <w:rPr>
                      <w:rFonts w:asciiTheme="majorHAnsi" w:hAnsiTheme="majorHAnsi" w:cs="Georgia"/>
                      <w:spacing w:val="1"/>
                      <w:sz w:val="22"/>
                    </w:rPr>
                    <w:t>s</w:t>
                  </w:r>
                  <w:r>
                    <w:rPr>
                      <w:rFonts w:asciiTheme="majorHAnsi" w:hAnsiTheme="majorHAnsi" w:cs="Georgia"/>
                      <w:spacing w:val="-1"/>
                      <w:sz w:val="22"/>
                    </w:rPr>
                    <w:t>e</w:t>
                  </w:r>
                  <w:r>
                    <w:rPr>
                      <w:rFonts w:asciiTheme="majorHAnsi" w:hAnsiTheme="majorHAnsi" w:cs="Georgia"/>
                      <w:spacing w:val="1"/>
                      <w:sz w:val="22"/>
                    </w:rPr>
                    <w:t>pt</w:t>
                  </w:r>
                  <w:r>
                    <w:rPr>
                      <w:rFonts w:asciiTheme="majorHAnsi" w:hAnsiTheme="majorHAnsi" w:cs="Georgia"/>
                      <w:spacing w:val="-1"/>
                      <w:sz w:val="22"/>
                    </w:rPr>
                    <w:t>e</w:t>
                  </w:r>
                  <w:r>
                    <w:rPr>
                      <w:rFonts w:asciiTheme="majorHAnsi" w:hAnsiTheme="majorHAnsi" w:cs="Georgia"/>
                      <w:sz w:val="22"/>
                    </w:rPr>
                    <w:t>m</w:t>
                  </w:r>
                  <w:r>
                    <w:rPr>
                      <w:rFonts w:asciiTheme="majorHAnsi" w:hAnsiTheme="majorHAnsi" w:cs="Georgia"/>
                      <w:spacing w:val="1"/>
                      <w:sz w:val="22"/>
                    </w:rPr>
                    <w:t>br</w:t>
                  </w:r>
                  <w:r>
                    <w:rPr>
                      <w:rFonts w:asciiTheme="majorHAnsi" w:hAnsiTheme="majorHAnsi" w:cs="Georgia"/>
                      <w:sz w:val="22"/>
                    </w:rPr>
                    <w:t>e, et qui n’avait pas déjà fait l’objet du comptage du 15 janvier,</w:t>
                  </w:r>
                  <w:r>
                    <w:rPr>
                      <w:rFonts w:asciiTheme="majorHAnsi" w:hAnsiTheme="majorHAnsi" w:cs="Georgia"/>
                      <w:spacing w:val="15"/>
                      <w:sz w:val="22"/>
                    </w:rPr>
                    <w:t xml:space="preserve"> </w:t>
                  </w:r>
                  <w:r>
                    <w:rPr>
                      <w:rFonts w:asciiTheme="majorHAnsi" w:hAnsiTheme="majorHAnsi" w:cs="Georgia"/>
                      <w:spacing w:val="1"/>
                      <w:sz w:val="22"/>
                    </w:rPr>
                    <w:t>ser</w:t>
                  </w:r>
                  <w:r>
                    <w:rPr>
                      <w:rFonts w:asciiTheme="majorHAnsi" w:hAnsiTheme="majorHAnsi" w:cs="Georgia"/>
                      <w:sz w:val="22"/>
                    </w:rPr>
                    <w:t>a</w:t>
                  </w:r>
                  <w:r>
                    <w:rPr>
                      <w:rFonts w:asciiTheme="majorHAnsi" w:hAnsiTheme="majorHAnsi" w:cs="Georgia"/>
                      <w:spacing w:val="16"/>
                      <w:sz w:val="22"/>
                    </w:rPr>
                    <w:t xml:space="preserve"> </w:t>
                  </w:r>
                  <w:r>
                    <w:rPr>
                      <w:rFonts w:asciiTheme="majorHAnsi" w:hAnsiTheme="majorHAnsi" w:cs="Georgia"/>
                      <w:spacing w:val="1"/>
                      <w:sz w:val="22"/>
                    </w:rPr>
                    <w:t>pr</w:t>
                  </w:r>
                  <w:r>
                    <w:rPr>
                      <w:rFonts w:asciiTheme="majorHAnsi" w:hAnsiTheme="majorHAnsi" w:cs="Georgia"/>
                      <w:sz w:val="22"/>
                    </w:rPr>
                    <w:t>is</w:t>
                  </w:r>
                  <w:r>
                    <w:rPr>
                      <w:rFonts w:asciiTheme="majorHAnsi" w:hAnsiTheme="majorHAnsi" w:cs="Georgia"/>
                      <w:spacing w:val="17"/>
                      <w:sz w:val="22"/>
                    </w:rPr>
                    <w:t xml:space="preserve"> </w:t>
                  </w:r>
                  <w:r>
                    <w:rPr>
                      <w:rFonts w:asciiTheme="majorHAnsi" w:hAnsiTheme="majorHAnsi" w:cs="Georgia"/>
                      <w:spacing w:val="-1"/>
                      <w:sz w:val="22"/>
                    </w:rPr>
                    <w:t>e</w:t>
                  </w:r>
                  <w:r>
                    <w:rPr>
                      <w:rFonts w:asciiTheme="majorHAnsi" w:hAnsiTheme="majorHAnsi" w:cs="Georgia"/>
                      <w:sz w:val="22"/>
                    </w:rPr>
                    <w:t>n</w:t>
                  </w:r>
                  <w:r>
                    <w:rPr>
                      <w:rFonts w:asciiTheme="majorHAnsi" w:hAnsiTheme="majorHAnsi" w:cs="Georgia"/>
                      <w:spacing w:val="16"/>
                      <w:sz w:val="22"/>
                    </w:rPr>
                    <w:t xml:space="preserve"> </w:t>
                  </w:r>
                  <w:r>
                    <w:rPr>
                      <w:rFonts w:asciiTheme="majorHAnsi" w:hAnsiTheme="majorHAnsi" w:cs="Georgia"/>
                      <w:spacing w:val="1"/>
                      <w:sz w:val="22"/>
                    </w:rPr>
                    <w:t>co</w:t>
                  </w:r>
                  <w:r>
                    <w:rPr>
                      <w:rFonts w:asciiTheme="majorHAnsi" w:hAnsiTheme="majorHAnsi" w:cs="Georgia"/>
                      <w:spacing w:val="-3"/>
                      <w:sz w:val="22"/>
                    </w:rPr>
                    <w:t>m</w:t>
                  </w:r>
                  <w:r>
                    <w:rPr>
                      <w:rFonts w:asciiTheme="majorHAnsi" w:hAnsiTheme="majorHAnsi" w:cs="Georgia"/>
                      <w:spacing w:val="1"/>
                      <w:sz w:val="22"/>
                    </w:rPr>
                    <w:t>p</w:t>
                  </w:r>
                  <w:r>
                    <w:rPr>
                      <w:rFonts w:asciiTheme="majorHAnsi" w:hAnsiTheme="majorHAnsi" w:cs="Georgia"/>
                      <w:spacing w:val="-2"/>
                      <w:sz w:val="22"/>
                    </w:rPr>
                    <w:t>t</w:t>
                  </w:r>
                  <w:r>
                    <w:rPr>
                      <w:rFonts w:asciiTheme="majorHAnsi" w:hAnsiTheme="majorHAnsi" w:cs="Georgia"/>
                      <w:sz w:val="22"/>
                    </w:rPr>
                    <w:t xml:space="preserve">e </w:t>
                  </w:r>
                  <w:r>
                    <w:rPr>
                      <w:rFonts w:asciiTheme="majorHAnsi" w:hAnsiTheme="majorHAnsi" w:cs="Georgia"/>
                      <w:spacing w:val="1"/>
                      <w:sz w:val="22"/>
                    </w:rPr>
                    <w:t>po</w:t>
                  </w:r>
                  <w:r>
                    <w:rPr>
                      <w:rFonts w:asciiTheme="majorHAnsi" w:hAnsiTheme="majorHAnsi" w:cs="Georgia"/>
                      <w:spacing w:val="-2"/>
                      <w:sz w:val="22"/>
                    </w:rPr>
                    <w:t>u</w:t>
                  </w:r>
                  <w:r>
                    <w:rPr>
                      <w:rFonts w:asciiTheme="majorHAnsi" w:hAnsiTheme="majorHAnsi" w:cs="Georgia"/>
                      <w:sz w:val="22"/>
                    </w:rPr>
                    <w:t>r</w:t>
                  </w:r>
                  <w:r>
                    <w:rPr>
                      <w:rFonts w:asciiTheme="majorHAnsi" w:hAnsiTheme="majorHAnsi" w:cs="Georgia"/>
                      <w:spacing w:val="3"/>
                      <w:sz w:val="22"/>
                    </w:rPr>
                    <w:t xml:space="preserve"> </w:t>
                  </w:r>
                  <w:r>
                    <w:rPr>
                      <w:rFonts w:asciiTheme="majorHAnsi" w:hAnsiTheme="majorHAnsi" w:cs="Georgia"/>
                      <w:spacing w:val="-1"/>
                      <w:sz w:val="22"/>
                    </w:rPr>
                    <w:t>l</w:t>
                  </w:r>
                  <w:r>
                    <w:rPr>
                      <w:rFonts w:asciiTheme="majorHAnsi" w:hAnsiTheme="majorHAnsi" w:cs="Georgia"/>
                      <w:sz w:val="22"/>
                    </w:rPr>
                    <w:t>e</w:t>
                  </w:r>
                  <w:r>
                    <w:rPr>
                      <w:rFonts w:asciiTheme="majorHAnsi" w:hAnsiTheme="majorHAnsi" w:cs="Georgia"/>
                      <w:spacing w:val="1"/>
                      <w:sz w:val="22"/>
                    </w:rPr>
                    <w:t xml:space="preserve"> c</w:t>
                  </w:r>
                  <w:r>
                    <w:rPr>
                      <w:rFonts w:asciiTheme="majorHAnsi" w:hAnsiTheme="majorHAnsi" w:cs="Georgia"/>
                      <w:spacing w:val="-1"/>
                      <w:sz w:val="22"/>
                    </w:rPr>
                    <w:t>al</w:t>
                  </w:r>
                  <w:r>
                    <w:rPr>
                      <w:rFonts w:asciiTheme="majorHAnsi" w:hAnsiTheme="majorHAnsi" w:cs="Georgia"/>
                      <w:spacing w:val="1"/>
                      <w:sz w:val="22"/>
                    </w:rPr>
                    <w:t>c</w:t>
                  </w:r>
                  <w:r>
                    <w:rPr>
                      <w:rFonts w:asciiTheme="majorHAnsi" w:hAnsiTheme="majorHAnsi" w:cs="Georgia"/>
                      <w:sz w:val="22"/>
                    </w:rPr>
                    <w:t>ul</w:t>
                  </w:r>
                  <w:r>
                    <w:rPr>
                      <w:rFonts w:asciiTheme="majorHAnsi" w:hAnsiTheme="majorHAnsi" w:cs="Georgia"/>
                      <w:spacing w:val="1"/>
                      <w:sz w:val="22"/>
                    </w:rPr>
                    <w:t xml:space="preserve"> </w:t>
                  </w:r>
                  <w:r>
                    <w:rPr>
                      <w:rFonts w:asciiTheme="majorHAnsi" w:hAnsiTheme="majorHAnsi" w:cs="Georgia"/>
                      <w:sz w:val="22"/>
                    </w:rPr>
                    <w:t>du</w:t>
                  </w:r>
                  <w:r>
                    <w:rPr>
                      <w:rFonts w:asciiTheme="majorHAnsi" w:hAnsiTheme="majorHAnsi" w:cs="Georgia"/>
                      <w:spacing w:val="2"/>
                      <w:sz w:val="22"/>
                    </w:rPr>
                    <w:t xml:space="preserve"> </w:t>
                  </w:r>
                  <w:r>
                    <w:rPr>
                      <w:rFonts w:asciiTheme="majorHAnsi" w:hAnsiTheme="majorHAnsi" w:cs="Georgia"/>
                      <w:sz w:val="22"/>
                    </w:rPr>
                    <w:t>C</w:t>
                  </w:r>
                  <w:r>
                    <w:rPr>
                      <w:rFonts w:asciiTheme="majorHAnsi" w:hAnsiTheme="majorHAnsi" w:cs="Georgia"/>
                      <w:spacing w:val="-3"/>
                      <w:sz w:val="22"/>
                    </w:rPr>
                    <w:t>P</w:t>
                  </w:r>
                  <w:r>
                    <w:rPr>
                      <w:rFonts w:asciiTheme="majorHAnsi" w:hAnsiTheme="majorHAnsi" w:cs="Georgia"/>
                      <w:sz w:val="22"/>
                    </w:rPr>
                    <w:t>U</w:t>
                  </w:r>
                  <w:r>
                    <w:rPr>
                      <w:rFonts w:asciiTheme="majorHAnsi" w:hAnsiTheme="majorHAnsi" w:cs="Georgia"/>
                      <w:spacing w:val="1"/>
                      <w:sz w:val="22"/>
                    </w:rPr>
                    <w:t xml:space="preserve"> </w:t>
                  </w:r>
                  <w:r>
                    <w:rPr>
                      <w:rFonts w:asciiTheme="majorHAnsi" w:hAnsiTheme="majorHAnsi" w:cs="Georgia"/>
                      <w:spacing w:val="-1"/>
                      <w:sz w:val="22"/>
                    </w:rPr>
                    <w:t>uniquement</w:t>
                  </w:r>
                  <w:r>
                    <w:rPr>
                      <w:rFonts w:asciiTheme="majorHAnsi" w:hAnsiTheme="majorHAnsi" w:cs="Georgia"/>
                      <w:spacing w:val="1"/>
                      <w:sz w:val="22"/>
                    </w:rPr>
                    <w:t xml:space="preserve"> s</w:t>
                  </w:r>
                  <w:r>
                    <w:rPr>
                      <w:rFonts w:asciiTheme="majorHAnsi" w:hAnsiTheme="majorHAnsi" w:cs="Georgia"/>
                      <w:sz w:val="22"/>
                    </w:rPr>
                    <w:t>i</w:t>
                  </w:r>
                  <w:r>
                    <w:rPr>
                      <w:rFonts w:asciiTheme="majorHAnsi" w:hAnsiTheme="majorHAnsi" w:cs="Georgia"/>
                      <w:spacing w:val="2"/>
                      <w:sz w:val="22"/>
                    </w:rPr>
                    <w:t xml:space="preserve"> </w:t>
                  </w:r>
                  <w:r>
                    <w:rPr>
                      <w:rFonts w:asciiTheme="majorHAnsi" w:hAnsiTheme="majorHAnsi" w:cs="Georgia"/>
                      <w:spacing w:val="-1"/>
                      <w:sz w:val="22"/>
                    </w:rPr>
                    <w:t>l</w:t>
                  </w:r>
                  <w:r>
                    <w:rPr>
                      <w:rFonts w:asciiTheme="majorHAnsi" w:hAnsiTheme="majorHAnsi" w:cs="Georgia"/>
                      <w:sz w:val="22"/>
                    </w:rPr>
                    <w:t>’</w:t>
                  </w:r>
                  <w:r>
                    <w:rPr>
                      <w:rFonts w:asciiTheme="majorHAnsi" w:hAnsiTheme="majorHAnsi" w:cs="Georgia"/>
                      <w:spacing w:val="-1"/>
                      <w:sz w:val="22"/>
                    </w:rPr>
                    <w:t>é</w:t>
                  </w:r>
                  <w:r>
                    <w:rPr>
                      <w:rFonts w:asciiTheme="majorHAnsi" w:hAnsiTheme="majorHAnsi" w:cs="Georgia"/>
                      <w:spacing w:val="1"/>
                      <w:sz w:val="22"/>
                    </w:rPr>
                    <w:t>co</w:t>
                  </w:r>
                  <w:r>
                    <w:rPr>
                      <w:rFonts w:asciiTheme="majorHAnsi" w:hAnsiTheme="majorHAnsi" w:cs="Georgia"/>
                      <w:spacing w:val="-1"/>
                      <w:sz w:val="22"/>
                    </w:rPr>
                    <w:t>l</w:t>
                  </w:r>
                  <w:r>
                    <w:rPr>
                      <w:rFonts w:asciiTheme="majorHAnsi" w:hAnsiTheme="majorHAnsi" w:cs="Georgia"/>
                      <w:sz w:val="22"/>
                    </w:rPr>
                    <w:t>e</w:t>
                  </w:r>
                  <w:r>
                    <w:rPr>
                      <w:rFonts w:asciiTheme="majorHAnsi" w:hAnsiTheme="majorHAnsi" w:cs="Georgia"/>
                      <w:spacing w:val="1"/>
                      <w:sz w:val="22"/>
                    </w:rPr>
                    <w:t xml:space="preserve"> </w:t>
                  </w:r>
                  <w:r>
                    <w:rPr>
                      <w:rFonts w:asciiTheme="majorHAnsi" w:hAnsiTheme="majorHAnsi" w:cs="Georgia"/>
                      <w:sz w:val="22"/>
                    </w:rPr>
                    <w:t>a</w:t>
                  </w:r>
                  <w:r>
                    <w:rPr>
                      <w:rFonts w:asciiTheme="majorHAnsi" w:hAnsiTheme="majorHAnsi" w:cs="Georgia"/>
                      <w:spacing w:val="1"/>
                      <w:sz w:val="22"/>
                    </w:rPr>
                    <w:t xml:space="preserve"> </w:t>
                  </w:r>
                  <w:r>
                    <w:rPr>
                      <w:rFonts w:asciiTheme="majorHAnsi" w:hAnsiTheme="majorHAnsi" w:cs="Georgia"/>
                      <w:sz w:val="22"/>
                    </w:rPr>
                    <w:t>un</w:t>
                  </w:r>
                  <w:r>
                    <w:rPr>
                      <w:rFonts w:asciiTheme="majorHAnsi" w:hAnsiTheme="majorHAnsi" w:cs="Georgia"/>
                      <w:spacing w:val="1"/>
                      <w:sz w:val="22"/>
                    </w:rPr>
                    <w:t xml:space="preserve"> r</w:t>
                  </w:r>
                  <w:r>
                    <w:rPr>
                      <w:rFonts w:asciiTheme="majorHAnsi" w:hAnsiTheme="majorHAnsi" w:cs="Georgia"/>
                      <w:spacing w:val="-1"/>
                      <w:sz w:val="22"/>
                    </w:rPr>
                    <w:t>e</w:t>
                  </w:r>
                  <w:r>
                    <w:rPr>
                      <w:rFonts w:asciiTheme="majorHAnsi" w:hAnsiTheme="majorHAnsi" w:cs="Georgia"/>
                      <w:spacing w:val="1"/>
                      <w:sz w:val="22"/>
                    </w:rPr>
                    <w:t>c</w:t>
                  </w:r>
                  <w:r>
                    <w:rPr>
                      <w:rFonts w:asciiTheme="majorHAnsi" w:hAnsiTheme="majorHAnsi" w:cs="Georgia"/>
                      <w:spacing w:val="-1"/>
                      <w:sz w:val="22"/>
                    </w:rPr>
                    <w:t>o</w:t>
                  </w:r>
                  <w:r>
                    <w:rPr>
                      <w:rFonts w:asciiTheme="majorHAnsi" w:hAnsiTheme="majorHAnsi" w:cs="Georgia"/>
                      <w:sz w:val="22"/>
                    </w:rPr>
                    <w:t>m</w:t>
                  </w:r>
                  <w:r>
                    <w:rPr>
                      <w:rFonts w:asciiTheme="majorHAnsi" w:hAnsiTheme="majorHAnsi" w:cs="Georgia"/>
                      <w:spacing w:val="1"/>
                      <w:sz w:val="22"/>
                    </w:rPr>
                    <w:t>pt</w:t>
                  </w:r>
                  <w:r>
                    <w:rPr>
                      <w:rFonts w:asciiTheme="majorHAnsi" w:hAnsiTheme="majorHAnsi" w:cs="Georgia"/>
                      <w:spacing w:val="-1"/>
                      <w:sz w:val="22"/>
                    </w:rPr>
                    <w:t>a</w:t>
                  </w:r>
                  <w:r>
                    <w:rPr>
                      <w:rFonts w:asciiTheme="majorHAnsi" w:hAnsiTheme="majorHAnsi" w:cs="Georgia"/>
                      <w:sz w:val="22"/>
                    </w:rPr>
                    <w:t>ge</w:t>
                  </w:r>
                  <w:r>
                    <w:rPr>
                      <w:rFonts w:asciiTheme="majorHAnsi" w:hAnsiTheme="majorHAnsi" w:cs="Georgia"/>
                      <w:spacing w:val="1"/>
                      <w:sz w:val="22"/>
                    </w:rPr>
                    <w:t xml:space="preserve"> </w:t>
                  </w:r>
                  <w:r>
                    <w:rPr>
                      <w:rFonts w:asciiTheme="majorHAnsi" w:hAnsiTheme="majorHAnsi" w:cs="Georgia"/>
                      <w:spacing w:val="-2"/>
                      <w:sz w:val="22"/>
                    </w:rPr>
                    <w:t>s</w:t>
                  </w:r>
                  <w:r>
                    <w:rPr>
                      <w:rFonts w:asciiTheme="majorHAnsi" w:hAnsiTheme="majorHAnsi" w:cs="Georgia"/>
                      <w:sz w:val="22"/>
                    </w:rPr>
                    <w:t>ui</w:t>
                  </w:r>
                  <w:r>
                    <w:rPr>
                      <w:rFonts w:asciiTheme="majorHAnsi" w:hAnsiTheme="majorHAnsi" w:cs="Georgia"/>
                      <w:spacing w:val="1"/>
                      <w:sz w:val="22"/>
                    </w:rPr>
                    <w:t>t</w:t>
                  </w:r>
                  <w:r>
                    <w:rPr>
                      <w:rFonts w:asciiTheme="majorHAnsi" w:hAnsiTheme="majorHAnsi" w:cs="Georgia"/>
                      <w:sz w:val="22"/>
                    </w:rPr>
                    <w:t>e</w:t>
                  </w:r>
                  <w:r>
                    <w:rPr>
                      <w:rFonts w:asciiTheme="majorHAnsi" w:hAnsiTheme="majorHAnsi" w:cs="Georgia"/>
                      <w:spacing w:val="1"/>
                      <w:sz w:val="22"/>
                    </w:rPr>
                    <w:t xml:space="preserve"> </w:t>
                  </w:r>
                  <w:r>
                    <w:rPr>
                      <w:rFonts w:asciiTheme="majorHAnsi" w:hAnsiTheme="majorHAnsi" w:cs="Georgia"/>
                      <w:sz w:val="22"/>
                    </w:rPr>
                    <w:t>à</w:t>
                  </w:r>
                  <w:r>
                    <w:rPr>
                      <w:rFonts w:asciiTheme="majorHAnsi" w:hAnsiTheme="majorHAnsi" w:cs="Georgia"/>
                      <w:spacing w:val="1"/>
                      <w:sz w:val="22"/>
                    </w:rPr>
                    <w:t xml:space="preserve"> </w:t>
                  </w:r>
                  <w:r>
                    <w:rPr>
                      <w:rFonts w:asciiTheme="majorHAnsi" w:hAnsiTheme="majorHAnsi" w:cs="Georgia"/>
                      <w:sz w:val="22"/>
                    </w:rPr>
                    <w:t>u</w:t>
                  </w:r>
                  <w:r>
                    <w:rPr>
                      <w:rFonts w:asciiTheme="majorHAnsi" w:hAnsiTheme="majorHAnsi" w:cs="Georgia"/>
                      <w:spacing w:val="-1"/>
                      <w:sz w:val="22"/>
                    </w:rPr>
                    <w:t>n</w:t>
                  </w:r>
                  <w:r>
                    <w:rPr>
                      <w:rFonts w:asciiTheme="majorHAnsi" w:hAnsiTheme="majorHAnsi" w:cs="Georgia"/>
                      <w:sz w:val="22"/>
                    </w:rPr>
                    <w:t>e</w:t>
                  </w:r>
                  <w:r>
                    <w:rPr>
                      <w:rFonts w:asciiTheme="majorHAnsi" w:hAnsiTheme="majorHAnsi" w:cs="Georgia"/>
                      <w:spacing w:val="1"/>
                      <w:sz w:val="22"/>
                    </w:rPr>
                    <w:t xml:space="preserve"> v</w:t>
                  </w:r>
                  <w:r>
                    <w:rPr>
                      <w:rFonts w:asciiTheme="majorHAnsi" w:hAnsiTheme="majorHAnsi" w:cs="Georgia"/>
                      <w:spacing w:val="-1"/>
                      <w:sz w:val="22"/>
                    </w:rPr>
                    <w:t>a</w:t>
                  </w:r>
                  <w:r>
                    <w:rPr>
                      <w:rFonts w:asciiTheme="majorHAnsi" w:hAnsiTheme="majorHAnsi" w:cs="Georgia"/>
                      <w:spacing w:val="1"/>
                      <w:sz w:val="22"/>
                    </w:rPr>
                    <w:t>r</w:t>
                  </w:r>
                  <w:r>
                    <w:rPr>
                      <w:rFonts w:asciiTheme="majorHAnsi" w:hAnsiTheme="majorHAnsi" w:cs="Georgia"/>
                      <w:spacing w:val="-2"/>
                      <w:sz w:val="22"/>
                    </w:rPr>
                    <w:t>i</w:t>
                  </w:r>
                  <w:r>
                    <w:rPr>
                      <w:rFonts w:asciiTheme="majorHAnsi" w:hAnsiTheme="majorHAnsi" w:cs="Georgia"/>
                      <w:spacing w:val="-1"/>
                      <w:sz w:val="22"/>
                    </w:rPr>
                    <w:t>a</w:t>
                  </w:r>
                  <w:r>
                    <w:rPr>
                      <w:rFonts w:asciiTheme="majorHAnsi" w:hAnsiTheme="majorHAnsi" w:cs="Georgia"/>
                      <w:spacing w:val="1"/>
                      <w:sz w:val="22"/>
                    </w:rPr>
                    <w:t>t</w:t>
                  </w:r>
                  <w:r>
                    <w:rPr>
                      <w:rFonts w:asciiTheme="majorHAnsi" w:hAnsiTheme="majorHAnsi" w:cs="Georgia"/>
                      <w:sz w:val="22"/>
                    </w:rPr>
                    <w:t>i</w:t>
                  </w:r>
                  <w:r>
                    <w:rPr>
                      <w:rFonts w:asciiTheme="majorHAnsi" w:hAnsiTheme="majorHAnsi" w:cs="Georgia"/>
                      <w:spacing w:val="1"/>
                      <w:sz w:val="22"/>
                    </w:rPr>
                    <w:t>o</w:t>
                  </w:r>
                  <w:r>
                    <w:rPr>
                      <w:rFonts w:asciiTheme="majorHAnsi" w:hAnsiTheme="majorHAnsi" w:cs="Georgia"/>
                      <w:sz w:val="22"/>
                    </w:rPr>
                    <w:t>n</w:t>
                  </w:r>
                  <w:r>
                    <w:rPr>
                      <w:rFonts w:asciiTheme="majorHAnsi" w:hAnsiTheme="majorHAnsi" w:cs="Georgia"/>
                      <w:spacing w:val="1"/>
                      <w:sz w:val="22"/>
                    </w:rPr>
                    <w:t xml:space="preserve"> </w:t>
                  </w:r>
                  <w:r>
                    <w:rPr>
                      <w:rFonts w:asciiTheme="majorHAnsi" w:hAnsiTheme="majorHAnsi" w:cs="Georgia"/>
                      <w:sz w:val="22"/>
                    </w:rPr>
                    <w:t>de</w:t>
                  </w:r>
                  <w:r>
                    <w:rPr>
                      <w:rFonts w:asciiTheme="majorHAnsi" w:hAnsiTheme="majorHAnsi" w:cs="Georgia"/>
                      <w:spacing w:val="1"/>
                      <w:sz w:val="22"/>
                    </w:rPr>
                    <w:t xml:space="preserve"> 5</w:t>
                  </w:r>
                  <w:r>
                    <w:rPr>
                      <w:rFonts w:asciiTheme="majorHAnsi" w:hAnsiTheme="majorHAnsi" w:cs="Georgia"/>
                      <w:sz w:val="22"/>
                    </w:rPr>
                    <w:t>%</w:t>
                  </w:r>
                  <w:r>
                    <w:rPr>
                      <w:rFonts w:asciiTheme="majorHAnsi" w:hAnsiTheme="majorHAnsi" w:cs="Georgia"/>
                      <w:spacing w:val="2"/>
                      <w:sz w:val="22"/>
                    </w:rPr>
                    <w:t xml:space="preserve"> </w:t>
                  </w:r>
                  <w:r>
                    <w:rPr>
                      <w:rFonts w:asciiTheme="majorHAnsi" w:hAnsiTheme="majorHAnsi" w:cs="Georgia"/>
                      <w:spacing w:val="-1"/>
                      <w:sz w:val="22"/>
                    </w:rPr>
                    <w:t>a</w:t>
                  </w:r>
                  <w:r>
                    <w:rPr>
                      <w:rFonts w:asciiTheme="majorHAnsi" w:hAnsiTheme="majorHAnsi" w:cs="Georgia"/>
                      <w:sz w:val="22"/>
                    </w:rPr>
                    <w:t xml:space="preserve">u </w:t>
                  </w:r>
                  <w:r>
                    <w:rPr>
                      <w:rFonts w:asciiTheme="majorHAnsi" w:hAnsiTheme="majorHAnsi" w:cs="Georgia"/>
                      <w:spacing w:val="1"/>
                      <w:sz w:val="22"/>
                    </w:rPr>
                    <w:t>3</w:t>
                  </w:r>
                  <w:r>
                    <w:rPr>
                      <w:rFonts w:asciiTheme="majorHAnsi" w:hAnsiTheme="majorHAnsi" w:cs="Georgia"/>
                      <w:sz w:val="22"/>
                    </w:rPr>
                    <w:t xml:space="preserve">0 </w:t>
                  </w:r>
                  <w:r>
                    <w:rPr>
                      <w:rFonts w:asciiTheme="majorHAnsi" w:hAnsiTheme="majorHAnsi" w:cs="Georgia"/>
                      <w:spacing w:val="1"/>
                      <w:sz w:val="22"/>
                    </w:rPr>
                    <w:t>s</w:t>
                  </w:r>
                  <w:r>
                    <w:rPr>
                      <w:rFonts w:asciiTheme="majorHAnsi" w:hAnsiTheme="majorHAnsi" w:cs="Georgia"/>
                      <w:spacing w:val="-1"/>
                      <w:sz w:val="22"/>
                    </w:rPr>
                    <w:t>e</w:t>
                  </w:r>
                  <w:r>
                    <w:rPr>
                      <w:rFonts w:asciiTheme="majorHAnsi" w:hAnsiTheme="majorHAnsi" w:cs="Georgia"/>
                      <w:spacing w:val="1"/>
                      <w:sz w:val="22"/>
                    </w:rPr>
                    <w:t>pt</w:t>
                  </w:r>
                  <w:r>
                    <w:rPr>
                      <w:rFonts w:asciiTheme="majorHAnsi" w:hAnsiTheme="majorHAnsi" w:cs="Georgia"/>
                      <w:spacing w:val="-1"/>
                      <w:sz w:val="22"/>
                    </w:rPr>
                    <w:t>e</w:t>
                  </w:r>
                  <w:r>
                    <w:rPr>
                      <w:rFonts w:asciiTheme="majorHAnsi" w:hAnsiTheme="majorHAnsi" w:cs="Georgia"/>
                      <w:spacing w:val="-3"/>
                      <w:sz w:val="22"/>
                    </w:rPr>
                    <w:t>m</w:t>
                  </w:r>
                  <w:r>
                    <w:rPr>
                      <w:rFonts w:asciiTheme="majorHAnsi" w:hAnsiTheme="majorHAnsi" w:cs="Georgia"/>
                      <w:spacing w:val="1"/>
                      <w:sz w:val="22"/>
                    </w:rPr>
                    <w:t>br</w:t>
                  </w:r>
                  <w:r>
                    <w:rPr>
                      <w:rFonts w:asciiTheme="majorHAnsi" w:hAnsiTheme="majorHAnsi" w:cs="Georgia"/>
                      <w:spacing w:val="-1"/>
                      <w:sz w:val="22"/>
                    </w:rPr>
                    <w:t xml:space="preserve">e. </w:t>
                  </w:r>
                </w:p>
                <w:p>
                  <w:pPr>
                    <w:pStyle w:val="Paragraphedeliste"/>
                    <w:widowControl w:val="0"/>
                    <w:numPr>
                      <w:ilvl w:val="0"/>
                      <w:numId w:val="252"/>
                    </w:numPr>
                    <w:autoSpaceDE w:val="0"/>
                    <w:autoSpaceDN w:val="0"/>
                    <w:adjustRightInd w:val="0"/>
                    <w:jc w:val="both"/>
                    <w:rPr>
                      <w:rFonts w:asciiTheme="majorHAnsi" w:hAnsiTheme="majorHAnsi" w:cs="Georgia"/>
                      <w:color w:val="000000"/>
                      <w:sz w:val="22"/>
                      <w:u w:val="single"/>
                    </w:rPr>
                  </w:pPr>
                  <w:r>
                    <w:rPr>
                      <w:rFonts w:asciiTheme="majorHAnsi" w:hAnsiTheme="majorHAnsi" w:cs="Georgia"/>
                      <w:sz w:val="22"/>
                    </w:rPr>
                    <w:t>un</w:t>
                  </w:r>
                  <w:r>
                    <w:rPr>
                      <w:rFonts w:asciiTheme="majorHAnsi" w:hAnsiTheme="majorHAnsi" w:cs="Georgia"/>
                      <w:spacing w:val="47"/>
                      <w:sz w:val="22"/>
                    </w:rPr>
                    <w:t xml:space="preserve"> </w:t>
                  </w:r>
                  <w:r>
                    <w:rPr>
                      <w:rFonts w:asciiTheme="majorHAnsi" w:hAnsiTheme="majorHAnsi" w:cs="Georgia"/>
                      <w:spacing w:val="-1"/>
                      <w:sz w:val="22"/>
                    </w:rPr>
                    <w:t>élè</w:t>
                  </w:r>
                  <w:r>
                    <w:rPr>
                      <w:rFonts w:asciiTheme="majorHAnsi" w:hAnsiTheme="majorHAnsi" w:cs="Georgia"/>
                      <w:spacing w:val="1"/>
                      <w:sz w:val="22"/>
                    </w:rPr>
                    <w:t>v</w:t>
                  </w:r>
                  <w:r>
                    <w:rPr>
                      <w:rFonts w:asciiTheme="majorHAnsi" w:hAnsiTheme="majorHAnsi" w:cs="Georgia"/>
                      <w:sz w:val="22"/>
                    </w:rPr>
                    <w:t>e</w:t>
                  </w:r>
                  <w:r>
                    <w:rPr>
                      <w:rFonts w:asciiTheme="majorHAnsi" w:hAnsiTheme="majorHAnsi" w:cs="Georgia"/>
                      <w:spacing w:val="49"/>
                      <w:sz w:val="22"/>
                    </w:rPr>
                    <w:t xml:space="preserve"> </w:t>
                  </w:r>
                  <w:r>
                    <w:rPr>
                      <w:rFonts w:asciiTheme="majorHAnsi" w:hAnsiTheme="majorHAnsi" w:cs="Georgia"/>
                      <w:spacing w:val="-1"/>
                      <w:sz w:val="22"/>
                    </w:rPr>
                    <w:t>q</w:t>
                  </w:r>
                  <w:r>
                    <w:rPr>
                      <w:rFonts w:asciiTheme="majorHAnsi" w:hAnsiTheme="majorHAnsi" w:cs="Georgia"/>
                      <w:sz w:val="22"/>
                    </w:rPr>
                    <w:t>ui</w:t>
                  </w:r>
                  <w:r>
                    <w:rPr>
                      <w:rFonts w:asciiTheme="majorHAnsi" w:hAnsiTheme="majorHAnsi" w:cs="Georgia"/>
                      <w:spacing w:val="48"/>
                      <w:sz w:val="22"/>
                    </w:rPr>
                    <w:t xml:space="preserve"> </w:t>
                  </w:r>
                  <w:r>
                    <w:rPr>
                      <w:rFonts w:asciiTheme="majorHAnsi" w:hAnsiTheme="majorHAnsi" w:cs="Georgia"/>
                      <w:sz w:val="22"/>
                    </w:rPr>
                    <w:t>d</w:t>
                  </w:r>
                  <w:r>
                    <w:rPr>
                      <w:rFonts w:asciiTheme="majorHAnsi" w:hAnsiTheme="majorHAnsi" w:cs="Georgia"/>
                      <w:spacing w:val="-1"/>
                      <w:sz w:val="22"/>
                    </w:rPr>
                    <w:t>é</w:t>
                  </w:r>
                  <w:r>
                    <w:rPr>
                      <w:rFonts w:asciiTheme="majorHAnsi" w:hAnsiTheme="majorHAnsi" w:cs="Georgia"/>
                      <w:spacing w:val="1"/>
                      <w:sz w:val="22"/>
                    </w:rPr>
                    <w:t>b</w:t>
                  </w:r>
                  <w:r>
                    <w:rPr>
                      <w:rFonts w:asciiTheme="majorHAnsi" w:hAnsiTheme="majorHAnsi" w:cs="Georgia"/>
                      <w:sz w:val="22"/>
                    </w:rPr>
                    <w:t>u</w:t>
                  </w:r>
                  <w:r>
                    <w:rPr>
                      <w:rFonts w:asciiTheme="majorHAnsi" w:hAnsiTheme="majorHAnsi" w:cs="Georgia"/>
                      <w:spacing w:val="1"/>
                      <w:sz w:val="22"/>
                    </w:rPr>
                    <w:t>t</w:t>
                  </w:r>
                  <w:r>
                    <w:rPr>
                      <w:rFonts w:asciiTheme="majorHAnsi" w:hAnsiTheme="majorHAnsi" w:cs="Georgia"/>
                      <w:sz w:val="22"/>
                    </w:rPr>
                    <w:t>e</w:t>
                  </w:r>
                  <w:r>
                    <w:rPr>
                      <w:rFonts w:asciiTheme="majorHAnsi" w:hAnsiTheme="majorHAnsi" w:cs="Georgia"/>
                      <w:spacing w:val="47"/>
                      <w:sz w:val="22"/>
                    </w:rPr>
                    <w:t xml:space="preserve"> </w:t>
                  </w:r>
                  <w:r>
                    <w:rPr>
                      <w:rFonts w:asciiTheme="majorHAnsi" w:hAnsiTheme="majorHAnsi" w:cs="Georgia"/>
                      <w:sz w:val="22"/>
                    </w:rPr>
                    <w:t>u</w:t>
                  </w:r>
                  <w:r>
                    <w:rPr>
                      <w:rFonts w:asciiTheme="majorHAnsi" w:hAnsiTheme="majorHAnsi" w:cs="Georgia"/>
                      <w:spacing w:val="-1"/>
                      <w:sz w:val="22"/>
                    </w:rPr>
                    <w:t>n</w:t>
                  </w:r>
                  <w:r>
                    <w:rPr>
                      <w:rFonts w:asciiTheme="majorHAnsi" w:hAnsiTheme="majorHAnsi" w:cs="Georgia"/>
                      <w:sz w:val="22"/>
                    </w:rPr>
                    <w:t>e</w:t>
                  </w:r>
                  <w:r>
                    <w:rPr>
                      <w:rFonts w:asciiTheme="majorHAnsi" w:hAnsiTheme="majorHAnsi" w:cs="Georgia"/>
                      <w:spacing w:val="47"/>
                      <w:sz w:val="22"/>
                    </w:rPr>
                    <w:t xml:space="preserve"> </w:t>
                  </w:r>
                  <w:r>
                    <w:rPr>
                      <w:rFonts w:asciiTheme="majorHAnsi" w:hAnsiTheme="majorHAnsi" w:cs="Georgia"/>
                      <w:sz w:val="22"/>
                    </w:rPr>
                    <w:t>i</w:t>
                  </w:r>
                  <w:r>
                    <w:rPr>
                      <w:rFonts w:asciiTheme="majorHAnsi" w:hAnsiTheme="majorHAnsi" w:cs="Georgia"/>
                      <w:spacing w:val="-1"/>
                      <w:sz w:val="22"/>
                    </w:rPr>
                    <w:t>n</w:t>
                  </w:r>
                  <w:r>
                    <w:rPr>
                      <w:rFonts w:asciiTheme="majorHAnsi" w:hAnsiTheme="majorHAnsi" w:cs="Georgia"/>
                      <w:spacing w:val="1"/>
                      <w:sz w:val="22"/>
                    </w:rPr>
                    <w:t>t</w:t>
                  </w:r>
                  <w:r>
                    <w:rPr>
                      <w:rFonts w:asciiTheme="majorHAnsi" w:hAnsiTheme="majorHAnsi" w:cs="Georgia"/>
                      <w:spacing w:val="-1"/>
                      <w:sz w:val="22"/>
                    </w:rPr>
                    <w:t>é</w:t>
                  </w:r>
                  <w:r>
                    <w:rPr>
                      <w:rFonts w:asciiTheme="majorHAnsi" w:hAnsiTheme="majorHAnsi" w:cs="Georgia"/>
                      <w:sz w:val="22"/>
                    </w:rPr>
                    <w:t>g</w:t>
                  </w:r>
                  <w:r>
                    <w:rPr>
                      <w:rFonts w:asciiTheme="majorHAnsi" w:hAnsiTheme="majorHAnsi" w:cs="Georgia"/>
                      <w:spacing w:val="1"/>
                      <w:sz w:val="22"/>
                    </w:rPr>
                    <w:t>r</w:t>
                  </w:r>
                  <w:r>
                    <w:rPr>
                      <w:rFonts w:asciiTheme="majorHAnsi" w:hAnsiTheme="majorHAnsi" w:cs="Georgia"/>
                      <w:spacing w:val="-1"/>
                      <w:sz w:val="22"/>
                    </w:rPr>
                    <w:t>a</w:t>
                  </w:r>
                  <w:r>
                    <w:rPr>
                      <w:rFonts w:asciiTheme="majorHAnsi" w:hAnsiTheme="majorHAnsi" w:cs="Georgia"/>
                      <w:spacing w:val="1"/>
                      <w:sz w:val="22"/>
                    </w:rPr>
                    <w:t>t</w:t>
                  </w:r>
                  <w:r>
                    <w:rPr>
                      <w:rFonts w:asciiTheme="majorHAnsi" w:hAnsiTheme="majorHAnsi" w:cs="Georgia"/>
                      <w:sz w:val="22"/>
                    </w:rPr>
                    <w:t>i</w:t>
                  </w:r>
                  <w:r>
                    <w:rPr>
                      <w:rFonts w:asciiTheme="majorHAnsi" w:hAnsiTheme="majorHAnsi" w:cs="Georgia"/>
                      <w:spacing w:val="1"/>
                      <w:sz w:val="22"/>
                    </w:rPr>
                    <w:t>o</w:t>
                  </w:r>
                  <w:r>
                    <w:rPr>
                      <w:rFonts w:asciiTheme="majorHAnsi" w:hAnsiTheme="majorHAnsi" w:cs="Georgia"/>
                      <w:sz w:val="22"/>
                    </w:rPr>
                    <w:t>n</w:t>
                  </w:r>
                  <w:r>
                    <w:rPr>
                      <w:rFonts w:asciiTheme="majorHAnsi" w:hAnsiTheme="majorHAnsi" w:cs="Georgia"/>
                      <w:spacing w:val="47"/>
                      <w:sz w:val="22"/>
                    </w:rPr>
                    <w:t xml:space="preserve"> </w:t>
                  </w:r>
                  <w:r>
                    <w:rPr>
                      <w:rFonts w:asciiTheme="majorHAnsi" w:hAnsiTheme="majorHAnsi" w:cs="Georgia"/>
                      <w:spacing w:val="1"/>
                      <w:sz w:val="22"/>
                    </w:rPr>
                    <w:t>t</w:t>
                  </w:r>
                  <w:r>
                    <w:rPr>
                      <w:rFonts w:asciiTheme="majorHAnsi" w:hAnsiTheme="majorHAnsi" w:cs="Georgia"/>
                      <w:spacing w:val="-1"/>
                      <w:sz w:val="22"/>
                    </w:rPr>
                    <w:t>e</w:t>
                  </w:r>
                  <w:r>
                    <w:rPr>
                      <w:rFonts w:asciiTheme="majorHAnsi" w:hAnsiTheme="majorHAnsi" w:cs="Georgia"/>
                      <w:sz w:val="22"/>
                    </w:rPr>
                    <w:t>m</w:t>
                  </w:r>
                  <w:r>
                    <w:rPr>
                      <w:rFonts w:asciiTheme="majorHAnsi" w:hAnsiTheme="majorHAnsi" w:cs="Georgia"/>
                      <w:spacing w:val="-1"/>
                      <w:sz w:val="22"/>
                    </w:rPr>
                    <w:t>p</w:t>
                  </w:r>
                  <w:r>
                    <w:rPr>
                      <w:rFonts w:asciiTheme="majorHAnsi" w:hAnsiTheme="majorHAnsi" w:cs="Georgia"/>
                      <w:spacing w:val="1"/>
                      <w:sz w:val="22"/>
                    </w:rPr>
                    <w:t>or</w:t>
                  </w:r>
                  <w:r>
                    <w:rPr>
                      <w:rFonts w:asciiTheme="majorHAnsi" w:hAnsiTheme="majorHAnsi" w:cs="Georgia"/>
                      <w:spacing w:val="-1"/>
                      <w:sz w:val="22"/>
                    </w:rPr>
                    <w:t>a</w:t>
                  </w:r>
                  <w:r>
                    <w:rPr>
                      <w:rFonts w:asciiTheme="majorHAnsi" w:hAnsiTheme="majorHAnsi" w:cs="Georgia"/>
                      <w:spacing w:val="-2"/>
                      <w:sz w:val="22"/>
                    </w:rPr>
                    <w:t>ir</w:t>
                  </w:r>
                  <w:r>
                    <w:rPr>
                      <w:rFonts w:asciiTheme="majorHAnsi" w:hAnsiTheme="majorHAnsi" w:cs="Georgia"/>
                      <w:sz w:val="22"/>
                    </w:rPr>
                    <w:t>e</w:t>
                  </w:r>
                  <w:r>
                    <w:rPr>
                      <w:rFonts w:asciiTheme="majorHAnsi" w:hAnsiTheme="majorHAnsi" w:cs="Georgia"/>
                      <w:spacing w:val="47"/>
                      <w:sz w:val="22"/>
                    </w:rPr>
                    <w:t xml:space="preserve"> </w:t>
                  </w:r>
                  <w:r>
                    <w:rPr>
                      <w:rFonts w:asciiTheme="majorHAnsi" w:hAnsiTheme="majorHAnsi" w:cs="Georgia"/>
                      <w:spacing w:val="1"/>
                      <w:sz w:val="22"/>
                    </w:rPr>
                    <w:t>tot</w:t>
                  </w:r>
                  <w:r>
                    <w:rPr>
                      <w:rFonts w:asciiTheme="majorHAnsi" w:hAnsiTheme="majorHAnsi" w:cs="Georgia"/>
                      <w:spacing w:val="-1"/>
                      <w:sz w:val="22"/>
                    </w:rPr>
                    <w:t>al</w:t>
                  </w:r>
                  <w:r>
                    <w:rPr>
                      <w:rFonts w:asciiTheme="majorHAnsi" w:hAnsiTheme="majorHAnsi" w:cs="Georgia"/>
                      <w:sz w:val="22"/>
                    </w:rPr>
                    <w:t>e</w:t>
                  </w:r>
                  <w:r>
                    <w:rPr>
                      <w:rFonts w:asciiTheme="majorHAnsi" w:hAnsiTheme="majorHAnsi" w:cs="Georgia"/>
                      <w:spacing w:val="47"/>
                      <w:sz w:val="22"/>
                    </w:rPr>
                    <w:t xml:space="preserve"> </w:t>
                  </w:r>
                  <w:r>
                    <w:rPr>
                      <w:rFonts w:asciiTheme="majorHAnsi" w:hAnsiTheme="majorHAnsi" w:cs="Georgia"/>
                      <w:spacing w:val="-1"/>
                      <w:sz w:val="22"/>
                    </w:rPr>
                    <w:t>e</w:t>
                  </w:r>
                  <w:r>
                    <w:rPr>
                      <w:rFonts w:asciiTheme="majorHAnsi" w:hAnsiTheme="majorHAnsi" w:cs="Georgia"/>
                      <w:sz w:val="22"/>
                    </w:rPr>
                    <w:t>n</w:t>
                  </w:r>
                  <w:r>
                    <w:rPr>
                      <w:rFonts w:asciiTheme="majorHAnsi" w:hAnsiTheme="majorHAnsi" w:cs="Georgia"/>
                      <w:spacing w:val="47"/>
                      <w:sz w:val="22"/>
                    </w:rPr>
                    <w:t xml:space="preserve"> </w:t>
                  </w:r>
                  <w:r>
                    <w:rPr>
                      <w:rFonts w:asciiTheme="majorHAnsi" w:hAnsiTheme="majorHAnsi" w:cs="Georgia"/>
                      <w:spacing w:val="1"/>
                      <w:sz w:val="22"/>
                    </w:rPr>
                    <w:t>co</w:t>
                  </w:r>
                  <w:r>
                    <w:rPr>
                      <w:rFonts w:asciiTheme="majorHAnsi" w:hAnsiTheme="majorHAnsi" w:cs="Georgia"/>
                      <w:sz w:val="22"/>
                    </w:rPr>
                    <w:t>u</w:t>
                  </w:r>
                  <w:r>
                    <w:rPr>
                      <w:rFonts w:asciiTheme="majorHAnsi" w:hAnsiTheme="majorHAnsi" w:cs="Georgia"/>
                      <w:spacing w:val="1"/>
                      <w:sz w:val="22"/>
                    </w:rPr>
                    <w:t>r</w:t>
                  </w:r>
                  <w:r>
                    <w:rPr>
                      <w:rFonts w:asciiTheme="majorHAnsi" w:hAnsiTheme="majorHAnsi" w:cs="Georgia"/>
                      <w:sz w:val="22"/>
                    </w:rPr>
                    <w:t>s</w:t>
                  </w:r>
                  <w:r>
                    <w:rPr>
                      <w:rFonts w:asciiTheme="majorHAnsi" w:hAnsiTheme="majorHAnsi" w:cs="Georgia"/>
                      <w:spacing w:val="48"/>
                      <w:sz w:val="22"/>
                    </w:rPr>
                    <w:t xml:space="preserve"> </w:t>
                  </w:r>
                  <w:r>
                    <w:rPr>
                      <w:rFonts w:asciiTheme="majorHAnsi" w:hAnsiTheme="majorHAnsi" w:cs="Georgia"/>
                      <w:sz w:val="22"/>
                    </w:rPr>
                    <w:t>d’</w:t>
                  </w:r>
                  <w:r>
                    <w:rPr>
                      <w:rFonts w:asciiTheme="majorHAnsi" w:hAnsiTheme="majorHAnsi" w:cs="Georgia"/>
                      <w:spacing w:val="-1"/>
                      <w:sz w:val="22"/>
                    </w:rPr>
                    <w:t>an</w:t>
                  </w:r>
                  <w:r>
                    <w:rPr>
                      <w:rFonts w:asciiTheme="majorHAnsi" w:hAnsiTheme="majorHAnsi" w:cs="Georgia"/>
                      <w:spacing w:val="-3"/>
                      <w:sz w:val="22"/>
                    </w:rPr>
                    <w:t>n</w:t>
                  </w:r>
                  <w:r>
                    <w:rPr>
                      <w:rFonts w:asciiTheme="majorHAnsi" w:hAnsiTheme="majorHAnsi" w:cs="Georgia"/>
                      <w:spacing w:val="-1"/>
                      <w:sz w:val="22"/>
                    </w:rPr>
                    <w:t>é</w:t>
                  </w:r>
                  <w:r>
                    <w:rPr>
                      <w:rFonts w:asciiTheme="majorHAnsi" w:hAnsiTheme="majorHAnsi" w:cs="Georgia"/>
                      <w:sz w:val="22"/>
                    </w:rPr>
                    <w:t>e, et qui n’avait pas déjà fait l’objet du comptage du 30 septembre,</w:t>
                  </w:r>
                  <w:r>
                    <w:rPr>
                      <w:rFonts w:asciiTheme="majorHAnsi" w:hAnsiTheme="majorHAnsi" w:cs="Georgia"/>
                      <w:spacing w:val="47"/>
                      <w:sz w:val="22"/>
                    </w:rPr>
                    <w:t xml:space="preserve"> </w:t>
                  </w:r>
                  <w:r>
                    <w:rPr>
                      <w:rFonts w:asciiTheme="majorHAnsi" w:hAnsiTheme="majorHAnsi" w:cs="Georgia"/>
                      <w:spacing w:val="-1"/>
                      <w:sz w:val="22"/>
                    </w:rPr>
                    <w:t>n</w:t>
                  </w:r>
                  <w:r>
                    <w:rPr>
                      <w:rFonts w:asciiTheme="majorHAnsi" w:hAnsiTheme="majorHAnsi" w:cs="Georgia"/>
                      <w:sz w:val="22"/>
                    </w:rPr>
                    <w:t>e</w:t>
                  </w:r>
                  <w:r>
                    <w:rPr>
                      <w:rFonts w:asciiTheme="majorHAnsi" w:hAnsiTheme="majorHAnsi" w:cs="Georgia"/>
                      <w:spacing w:val="49"/>
                      <w:sz w:val="22"/>
                    </w:rPr>
                    <w:t xml:space="preserve"> </w:t>
                  </w:r>
                  <w:r>
                    <w:rPr>
                      <w:rFonts w:asciiTheme="majorHAnsi" w:hAnsiTheme="majorHAnsi" w:cs="Georgia"/>
                      <w:spacing w:val="1"/>
                      <w:sz w:val="22"/>
                    </w:rPr>
                    <w:t>s</w:t>
                  </w:r>
                  <w:r>
                    <w:rPr>
                      <w:rFonts w:asciiTheme="majorHAnsi" w:hAnsiTheme="majorHAnsi" w:cs="Georgia"/>
                      <w:spacing w:val="-1"/>
                      <w:sz w:val="22"/>
                    </w:rPr>
                    <w:t>e</w:t>
                  </w:r>
                  <w:r>
                    <w:rPr>
                      <w:rFonts w:asciiTheme="majorHAnsi" w:hAnsiTheme="majorHAnsi" w:cs="Georgia"/>
                      <w:spacing w:val="1"/>
                      <w:sz w:val="22"/>
                    </w:rPr>
                    <w:t>r</w:t>
                  </w:r>
                  <w:r>
                    <w:rPr>
                      <w:rFonts w:asciiTheme="majorHAnsi" w:hAnsiTheme="majorHAnsi" w:cs="Georgia"/>
                      <w:sz w:val="22"/>
                    </w:rPr>
                    <w:t>a</w:t>
                  </w:r>
                  <w:r>
                    <w:rPr>
                      <w:rFonts w:asciiTheme="majorHAnsi" w:hAnsiTheme="majorHAnsi" w:cs="Georgia"/>
                      <w:spacing w:val="47"/>
                      <w:sz w:val="22"/>
                    </w:rPr>
                    <w:t xml:space="preserve"> </w:t>
                  </w:r>
                  <w:r>
                    <w:rPr>
                      <w:rFonts w:asciiTheme="majorHAnsi" w:hAnsiTheme="majorHAnsi" w:cs="Georgia"/>
                      <w:spacing w:val="1"/>
                      <w:sz w:val="22"/>
                    </w:rPr>
                    <w:t>pr</w:t>
                  </w:r>
                  <w:r>
                    <w:rPr>
                      <w:rFonts w:asciiTheme="majorHAnsi" w:hAnsiTheme="majorHAnsi" w:cs="Georgia"/>
                      <w:sz w:val="22"/>
                    </w:rPr>
                    <w:t>is</w:t>
                  </w:r>
                  <w:r>
                    <w:rPr>
                      <w:rFonts w:asciiTheme="majorHAnsi" w:hAnsiTheme="majorHAnsi" w:cs="Georgia"/>
                      <w:spacing w:val="48"/>
                      <w:sz w:val="22"/>
                    </w:rPr>
                    <w:t xml:space="preserve"> </w:t>
                  </w:r>
                  <w:r>
                    <w:rPr>
                      <w:rFonts w:asciiTheme="majorHAnsi" w:hAnsiTheme="majorHAnsi" w:cs="Georgia"/>
                      <w:spacing w:val="-1"/>
                      <w:sz w:val="22"/>
                    </w:rPr>
                    <w:t xml:space="preserve">en </w:t>
                  </w:r>
                  <w:r>
                    <w:rPr>
                      <w:rFonts w:asciiTheme="majorHAnsi" w:hAnsiTheme="majorHAnsi" w:cs="Georgia"/>
                      <w:spacing w:val="1"/>
                      <w:sz w:val="22"/>
                    </w:rPr>
                    <w:t>co</w:t>
                  </w:r>
                  <w:r>
                    <w:rPr>
                      <w:rFonts w:asciiTheme="majorHAnsi" w:hAnsiTheme="majorHAnsi" w:cs="Georgia"/>
                      <w:spacing w:val="-3"/>
                      <w:sz w:val="22"/>
                    </w:rPr>
                    <w:t>m</w:t>
                  </w:r>
                  <w:r>
                    <w:rPr>
                      <w:rFonts w:asciiTheme="majorHAnsi" w:hAnsiTheme="majorHAnsi" w:cs="Georgia"/>
                      <w:spacing w:val="1"/>
                      <w:sz w:val="22"/>
                    </w:rPr>
                    <w:t>pt</w:t>
                  </w:r>
                  <w:r>
                    <w:rPr>
                      <w:rFonts w:asciiTheme="majorHAnsi" w:hAnsiTheme="majorHAnsi" w:cs="Georgia"/>
                      <w:sz w:val="22"/>
                    </w:rPr>
                    <w:t>e</w:t>
                  </w:r>
                  <w:r>
                    <w:rPr>
                      <w:rFonts w:asciiTheme="majorHAnsi" w:hAnsiTheme="majorHAnsi" w:cs="Georgia"/>
                      <w:spacing w:val="-1"/>
                      <w:sz w:val="22"/>
                    </w:rPr>
                    <w:t xml:space="preserve"> </w:t>
                  </w:r>
                  <w:r>
                    <w:rPr>
                      <w:rFonts w:asciiTheme="majorHAnsi" w:hAnsiTheme="majorHAnsi" w:cs="Georgia"/>
                      <w:sz w:val="22"/>
                    </w:rPr>
                    <w:t>d</w:t>
                  </w:r>
                  <w:r>
                    <w:rPr>
                      <w:rFonts w:asciiTheme="majorHAnsi" w:hAnsiTheme="majorHAnsi" w:cs="Georgia"/>
                      <w:spacing w:val="-1"/>
                      <w:sz w:val="22"/>
                    </w:rPr>
                    <w:t>an</w:t>
                  </w:r>
                  <w:r>
                    <w:rPr>
                      <w:rFonts w:asciiTheme="majorHAnsi" w:hAnsiTheme="majorHAnsi" w:cs="Georgia"/>
                      <w:sz w:val="22"/>
                    </w:rPr>
                    <w:t xml:space="preserve">s </w:t>
                  </w:r>
                  <w:r>
                    <w:rPr>
                      <w:rFonts w:asciiTheme="majorHAnsi" w:hAnsiTheme="majorHAnsi" w:cs="Georgia"/>
                      <w:spacing w:val="-1"/>
                      <w:sz w:val="22"/>
                    </w:rPr>
                    <w:t>l</w:t>
                  </w:r>
                  <w:r>
                    <w:rPr>
                      <w:rFonts w:asciiTheme="majorHAnsi" w:hAnsiTheme="majorHAnsi" w:cs="Georgia"/>
                      <w:sz w:val="22"/>
                    </w:rPr>
                    <w:t>e</w:t>
                  </w:r>
                  <w:r>
                    <w:rPr>
                      <w:rFonts w:asciiTheme="majorHAnsi" w:hAnsiTheme="majorHAnsi" w:cs="Georgia"/>
                      <w:spacing w:val="-1"/>
                      <w:sz w:val="22"/>
                    </w:rPr>
                    <w:t xml:space="preserve"> </w:t>
                  </w:r>
                  <w:r>
                    <w:rPr>
                      <w:rFonts w:asciiTheme="majorHAnsi" w:hAnsiTheme="majorHAnsi" w:cs="Georgia"/>
                      <w:sz w:val="22"/>
                    </w:rPr>
                    <w:t>CPU</w:t>
                  </w:r>
                  <w:r>
                    <w:rPr>
                      <w:rFonts w:asciiTheme="majorHAnsi" w:hAnsiTheme="majorHAnsi" w:cs="Georgia"/>
                      <w:spacing w:val="1"/>
                      <w:sz w:val="22"/>
                    </w:rPr>
                    <w:t xml:space="preserve"> </w:t>
                  </w:r>
                  <w:r>
                    <w:rPr>
                      <w:rFonts w:asciiTheme="majorHAnsi" w:hAnsiTheme="majorHAnsi" w:cs="Georgia"/>
                      <w:spacing w:val="-1"/>
                      <w:sz w:val="22"/>
                    </w:rPr>
                    <w:t>q</w:t>
                  </w:r>
                  <w:r>
                    <w:rPr>
                      <w:rFonts w:asciiTheme="majorHAnsi" w:hAnsiTheme="majorHAnsi" w:cs="Georgia"/>
                      <w:sz w:val="22"/>
                    </w:rPr>
                    <w:t>u’</w:t>
                  </w:r>
                  <w:r>
                    <w:rPr>
                      <w:rFonts w:asciiTheme="majorHAnsi" w:hAnsiTheme="majorHAnsi" w:cs="Georgia"/>
                      <w:spacing w:val="-3"/>
                      <w:sz w:val="22"/>
                    </w:rPr>
                    <w:t>e</w:t>
                  </w:r>
                  <w:r>
                    <w:rPr>
                      <w:rFonts w:asciiTheme="majorHAnsi" w:hAnsiTheme="majorHAnsi" w:cs="Georgia"/>
                      <w:sz w:val="22"/>
                    </w:rPr>
                    <w:t>n</w:t>
                  </w:r>
                  <w:r>
                    <w:rPr>
                      <w:rFonts w:asciiTheme="majorHAnsi" w:hAnsiTheme="majorHAnsi" w:cs="Georgia"/>
                      <w:spacing w:val="-1"/>
                      <w:sz w:val="22"/>
                    </w:rPr>
                    <w:t xml:space="preserve"> </w:t>
                  </w:r>
                  <w:r>
                    <w:rPr>
                      <w:rFonts w:asciiTheme="majorHAnsi" w:hAnsiTheme="majorHAnsi" w:cs="Georgia"/>
                      <w:spacing w:val="1"/>
                      <w:sz w:val="22"/>
                    </w:rPr>
                    <w:t>c</w:t>
                  </w:r>
                  <w:r>
                    <w:rPr>
                      <w:rFonts w:asciiTheme="majorHAnsi" w:hAnsiTheme="majorHAnsi" w:cs="Georgia"/>
                      <w:spacing w:val="-1"/>
                      <w:sz w:val="22"/>
                    </w:rPr>
                    <w:t>a</w:t>
                  </w:r>
                  <w:r>
                    <w:rPr>
                      <w:rFonts w:asciiTheme="majorHAnsi" w:hAnsiTheme="majorHAnsi" w:cs="Georgia"/>
                      <w:sz w:val="22"/>
                    </w:rPr>
                    <w:t>s d’u</w:t>
                  </w:r>
                  <w:r>
                    <w:rPr>
                      <w:rFonts w:asciiTheme="majorHAnsi" w:hAnsiTheme="majorHAnsi" w:cs="Georgia"/>
                      <w:spacing w:val="-1"/>
                      <w:sz w:val="22"/>
                    </w:rPr>
                    <w:t>n</w:t>
                  </w:r>
                  <w:r>
                    <w:rPr>
                      <w:rFonts w:asciiTheme="majorHAnsi" w:hAnsiTheme="majorHAnsi" w:cs="Georgia"/>
                      <w:sz w:val="22"/>
                    </w:rPr>
                    <w:t>e</w:t>
                  </w:r>
                  <w:r>
                    <w:rPr>
                      <w:rFonts w:asciiTheme="majorHAnsi" w:hAnsiTheme="majorHAnsi" w:cs="Georgia"/>
                      <w:spacing w:val="-1"/>
                      <w:sz w:val="22"/>
                    </w:rPr>
                    <w:t xml:space="preserve"> a</w:t>
                  </w:r>
                  <w:r>
                    <w:rPr>
                      <w:rFonts w:asciiTheme="majorHAnsi" w:hAnsiTheme="majorHAnsi" w:cs="Georgia"/>
                      <w:sz w:val="22"/>
                    </w:rPr>
                    <w:t>ugm</w:t>
                  </w:r>
                  <w:r>
                    <w:rPr>
                      <w:rFonts w:asciiTheme="majorHAnsi" w:hAnsiTheme="majorHAnsi" w:cs="Georgia"/>
                      <w:spacing w:val="-1"/>
                      <w:sz w:val="22"/>
                    </w:rPr>
                    <w:t>en</w:t>
                  </w:r>
                  <w:r>
                    <w:rPr>
                      <w:rFonts w:asciiTheme="majorHAnsi" w:hAnsiTheme="majorHAnsi" w:cs="Georgia"/>
                      <w:spacing w:val="1"/>
                      <w:sz w:val="22"/>
                    </w:rPr>
                    <w:t>t</w:t>
                  </w:r>
                  <w:r>
                    <w:rPr>
                      <w:rFonts w:asciiTheme="majorHAnsi" w:hAnsiTheme="majorHAnsi" w:cs="Georgia"/>
                      <w:spacing w:val="-1"/>
                      <w:sz w:val="22"/>
                    </w:rPr>
                    <w:t>a</w:t>
                  </w:r>
                  <w:r>
                    <w:rPr>
                      <w:rFonts w:asciiTheme="majorHAnsi" w:hAnsiTheme="majorHAnsi" w:cs="Georgia"/>
                      <w:spacing w:val="1"/>
                      <w:sz w:val="22"/>
                    </w:rPr>
                    <w:t>t</w:t>
                  </w:r>
                  <w:r>
                    <w:rPr>
                      <w:rFonts w:asciiTheme="majorHAnsi" w:hAnsiTheme="majorHAnsi" w:cs="Georgia"/>
                      <w:spacing w:val="-2"/>
                      <w:sz w:val="22"/>
                    </w:rPr>
                    <w:t>i</w:t>
                  </w:r>
                  <w:r>
                    <w:rPr>
                      <w:rFonts w:asciiTheme="majorHAnsi" w:hAnsiTheme="majorHAnsi" w:cs="Georgia"/>
                      <w:spacing w:val="-1"/>
                      <w:sz w:val="22"/>
                    </w:rPr>
                    <w:t>o</w:t>
                  </w:r>
                  <w:r>
                    <w:rPr>
                      <w:rFonts w:asciiTheme="majorHAnsi" w:hAnsiTheme="majorHAnsi" w:cs="Georgia"/>
                      <w:sz w:val="22"/>
                    </w:rPr>
                    <w:t>n</w:t>
                  </w:r>
                  <w:r>
                    <w:rPr>
                      <w:rFonts w:asciiTheme="majorHAnsi" w:hAnsiTheme="majorHAnsi" w:cs="Georgia"/>
                      <w:spacing w:val="-1"/>
                      <w:sz w:val="22"/>
                    </w:rPr>
                    <w:t xml:space="preserve"> </w:t>
                  </w:r>
                  <w:r>
                    <w:rPr>
                      <w:rFonts w:asciiTheme="majorHAnsi" w:hAnsiTheme="majorHAnsi" w:cs="Georgia"/>
                      <w:sz w:val="22"/>
                    </w:rPr>
                    <w:t>de</w:t>
                  </w:r>
                  <w:r>
                    <w:rPr>
                      <w:rFonts w:asciiTheme="majorHAnsi" w:hAnsiTheme="majorHAnsi" w:cs="Georgia"/>
                      <w:spacing w:val="-1"/>
                      <w:sz w:val="22"/>
                    </w:rPr>
                    <w:t xml:space="preserve"> l</w:t>
                  </w:r>
                  <w:r>
                    <w:rPr>
                      <w:rFonts w:asciiTheme="majorHAnsi" w:hAnsiTheme="majorHAnsi" w:cs="Georgia"/>
                      <w:sz w:val="22"/>
                    </w:rPr>
                    <w:t>a</w:t>
                  </w:r>
                  <w:r>
                    <w:rPr>
                      <w:rFonts w:asciiTheme="majorHAnsi" w:hAnsiTheme="majorHAnsi" w:cs="Georgia"/>
                      <w:spacing w:val="-1"/>
                      <w:sz w:val="22"/>
                    </w:rPr>
                    <w:t xml:space="preserve"> </w:t>
                  </w:r>
                  <w:r>
                    <w:rPr>
                      <w:rFonts w:asciiTheme="majorHAnsi" w:hAnsiTheme="majorHAnsi" w:cs="Georgia"/>
                      <w:spacing w:val="1"/>
                      <w:sz w:val="22"/>
                    </w:rPr>
                    <w:t>pop</w:t>
                  </w:r>
                  <w:r>
                    <w:rPr>
                      <w:rFonts w:asciiTheme="majorHAnsi" w:hAnsiTheme="majorHAnsi" w:cs="Georgia"/>
                      <w:sz w:val="22"/>
                    </w:rPr>
                    <w:t>u</w:t>
                  </w:r>
                  <w:r>
                    <w:rPr>
                      <w:rFonts w:asciiTheme="majorHAnsi" w:hAnsiTheme="majorHAnsi" w:cs="Georgia"/>
                      <w:spacing w:val="-1"/>
                      <w:sz w:val="22"/>
                    </w:rPr>
                    <w:t>la</w:t>
                  </w:r>
                  <w:r>
                    <w:rPr>
                      <w:rFonts w:asciiTheme="majorHAnsi" w:hAnsiTheme="majorHAnsi" w:cs="Georgia"/>
                      <w:spacing w:val="1"/>
                      <w:sz w:val="22"/>
                    </w:rPr>
                    <w:t>t</w:t>
                  </w:r>
                  <w:r>
                    <w:rPr>
                      <w:rFonts w:asciiTheme="majorHAnsi" w:hAnsiTheme="majorHAnsi" w:cs="Georgia"/>
                      <w:spacing w:val="-2"/>
                      <w:sz w:val="22"/>
                    </w:rPr>
                    <w:t>i</w:t>
                  </w:r>
                  <w:r>
                    <w:rPr>
                      <w:rFonts w:asciiTheme="majorHAnsi" w:hAnsiTheme="majorHAnsi" w:cs="Georgia"/>
                      <w:spacing w:val="1"/>
                      <w:sz w:val="22"/>
                    </w:rPr>
                    <w:t>o</w:t>
                  </w:r>
                  <w:r>
                    <w:rPr>
                      <w:rFonts w:asciiTheme="majorHAnsi" w:hAnsiTheme="majorHAnsi" w:cs="Georgia"/>
                      <w:sz w:val="22"/>
                    </w:rPr>
                    <w:t>n</w:t>
                  </w:r>
                  <w:r>
                    <w:rPr>
                      <w:rFonts w:asciiTheme="majorHAnsi" w:hAnsiTheme="majorHAnsi" w:cs="Georgia"/>
                      <w:spacing w:val="-1"/>
                      <w:sz w:val="22"/>
                    </w:rPr>
                    <w:t xml:space="preserve"> </w:t>
                  </w:r>
                  <w:r>
                    <w:rPr>
                      <w:rFonts w:asciiTheme="majorHAnsi" w:hAnsiTheme="majorHAnsi" w:cs="Georgia"/>
                      <w:sz w:val="22"/>
                    </w:rPr>
                    <w:t>de</w:t>
                  </w:r>
                  <w:r>
                    <w:rPr>
                      <w:rFonts w:asciiTheme="majorHAnsi" w:hAnsiTheme="majorHAnsi" w:cs="Georgia"/>
                      <w:spacing w:val="-1"/>
                      <w:sz w:val="22"/>
                    </w:rPr>
                    <w:t xml:space="preserve"> </w:t>
                  </w:r>
                  <w:r>
                    <w:rPr>
                      <w:rFonts w:asciiTheme="majorHAnsi" w:hAnsiTheme="majorHAnsi" w:cs="Georgia"/>
                      <w:spacing w:val="1"/>
                      <w:sz w:val="22"/>
                    </w:rPr>
                    <w:t>1</w:t>
                  </w:r>
                  <w:r>
                    <w:rPr>
                      <w:rFonts w:asciiTheme="majorHAnsi" w:hAnsiTheme="majorHAnsi" w:cs="Georgia"/>
                      <w:spacing w:val="-4"/>
                      <w:sz w:val="22"/>
                    </w:rPr>
                    <w:t>0</w:t>
                  </w:r>
                  <w:r>
                    <w:rPr>
                      <w:rFonts w:asciiTheme="majorHAnsi" w:hAnsiTheme="majorHAnsi" w:cs="Georgia"/>
                      <w:sz w:val="22"/>
                    </w:rPr>
                    <w:t>%.</w:t>
                  </w:r>
                  <w:r>
                    <w:rPr>
                      <w:rFonts w:asciiTheme="majorHAnsi" w:hAnsiTheme="majorHAnsi" w:cs="Georgia"/>
                      <w:spacing w:val="-1"/>
                      <w:sz w:val="22"/>
                    </w:rPr>
                    <w:t xml:space="preserve"> </w:t>
                  </w:r>
                </w:p>
                <w:p/>
                <w:p>
                  <w:pPr>
                    <w:pStyle w:val="Paragraphedeliste"/>
                    <w:numPr>
                      <w:ilvl w:val="0"/>
                      <w:numId w:val="58"/>
                    </w:numPr>
                    <w:ind w:left="851" w:hanging="709"/>
                    <w:jc w:val="both"/>
                    <w:rPr>
                      <w:rFonts w:asciiTheme="majorHAnsi" w:hAnsiTheme="majorHAnsi" w:cs="Georgia"/>
                      <w:sz w:val="22"/>
                    </w:rPr>
                  </w:pPr>
                  <w:r>
                    <w:rPr>
                      <w:rFonts w:asciiTheme="majorHAnsi" w:hAnsiTheme="majorHAnsi" w:cs="Georgia"/>
                      <w:spacing w:val="1"/>
                      <w:sz w:val="22"/>
                    </w:rPr>
                    <w:t>L</w:t>
                  </w:r>
                  <w:r>
                    <w:rPr>
                      <w:rFonts w:asciiTheme="majorHAnsi" w:hAnsiTheme="majorHAnsi" w:cs="Georgia"/>
                      <w:spacing w:val="-1"/>
                      <w:sz w:val="22"/>
                    </w:rPr>
                    <w:t>e</w:t>
                  </w:r>
                  <w:r>
                    <w:rPr>
                      <w:rFonts w:asciiTheme="majorHAnsi" w:hAnsiTheme="majorHAnsi" w:cs="Georgia"/>
                      <w:sz w:val="22"/>
                    </w:rPr>
                    <w:t xml:space="preserve">s 4 </w:t>
                  </w:r>
                  <w:r>
                    <w:rPr>
                      <w:rFonts w:asciiTheme="majorHAnsi" w:hAnsiTheme="majorHAnsi" w:cs="Georgia"/>
                      <w:spacing w:val="1"/>
                      <w:sz w:val="22"/>
                    </w:rPr>
                    <w:t>p</w:t>
                  </w:r>
                  <w:r>
                    <w:rPr>
                      <w:rFonts w:asciiTheme="majorHAnsi" w:hAnsiTheme="majorHAnsi" w:cs="Georgia"/>
                      <w:spacing w:val="-1"/>
                      <w:sz w:val="22"/>
                    </w:rPr>
                    <w:t>é</w:t>
                  </w:r>
                  <w:r>
                    <w:rPr>
                      <w:rFonts w:asciiTheme="majorHAnsi" w:hAnsiTheme="majorHAnsi" w:cs="Georgia"/>
                      <w:spacing w:val="-2"/>
                      <w:sz w:val="22"/>
                    </w:rPr>
                    <w:t>r</w:t>
                  </w:r>
                  <w:r>
                    <w:rPr>
                      <w:rFonts w:asciiTheme="majorHAnsi" w:hAnsiTheme="majorHAnsi" w:cs="Georgia"/>
                      <w:sz w:val="22"/>
                    </w:rPr>
                    <w:t>i</w:t>
                  </w:r>
                  <w:r>
                    <w:rPr>
                      <w:rFonts w:asciiTheme="majorHAnsi" w:hAnsiTheme="majorHAnsi" w:cs="Georgia"/>
                      <w:spacing w:val="-1"/>
                      <w:sz w:val="22"/>
                    </w:rPr>
                    <w:t>o</w:t>
                  </w:r>
                  <w:r>
                    <w:rPr>
                      <w:rFonts w:asciiTheme="majorHAnsi" w:hAnsiTheme="majorHAnsi" w:cs="Georgia"/>
                      <w:sz w:val="22"/>
                    </w:rPr>
                    <w:t>d</w:t>
                  </w:r>
                  <w:r>
                    <w:rPr>
                      <w:rFonts w:asciiTheme="majorHAnsi" w:hAnsiTheme="majorHAnsi" w:cs="Georgia"/>
                      <w:spacing w:val="-1"/>
                      <w:sz w:val="22"/>
                    </w:rPr>
                    <w:t>e</w:t>
                  </w:r>
                  <w:r>
                    <w:rPr>
                      <w:rFonts w:asciiTheme="majorHAnsi" w:hAnsiTheme="majorHAnsi" w:cs="Georgia"/>
                      <w:sz w:val="22"/>
                    </w:rPr>
                    <w:t xml:space="preserve">s </w:t>
                  </w:r>
                  <w:r>
                    <w:rPr>
                      <w:rFonts w:asciiTheme="majorHAnsi" w:hAnsiTheme="majorHAnsi" w:cs="Georgia"/>
                      <w:spacing w:val="-1"/>
                      <w:sz w:val="22"/>
                    </w:rPr>
                    <w:t>p</w:t>
                  </w:r>
                  <w:r>
                    <w:rPr>
                      <w:rFonts w:asciiTheme="majorHAnsi" w:hAnsiTheme="majorHAnsi" w:cs="Georgia"/>
                      <w:spacing w:val="1"/>
                      <w:sz w:val="22"/>
                    </w:rPr>
                    <w:t>o</w:t>
                  </w:r>
                  <w:r>
                    <w:rPr>
                      <w:rFonts w:asciiTheme="majorHAnsi" w:hAnsiTheme="majorHAnsi" w:cs="Georgia"/>
                      <w:sz w:val="22"/>
                    </w:rPr>
                    <w:t>ur</w:t>
                  </w:r>
                  <w:r>
                    <w:rPr>
                      <w:rFonts w:asciiTheme="majorHAnsi" w:hAnsiTheme="majorHAnsi" w:cs="Georgia"/>
                      <w:spacing w:val="-2"/>
                      <w:sz w:val="22"/>
                    </w:rPr>
                    <w:t xml:space="preserve"> </w:t>
                  </w:r>
                  <w:r>
                    <w:rPr>
                      <w:rFonts w:asciiTheme="majorHAnsi" w:hAnsiTheme="majorHAnsi" w:cs="Georgia"/>
                      <w:spacing w:val="-1"/>
                      <w:sz w:val="22"/>
                    </w:rPr>
                    <w:t>le</w:t>
                  </w:r>
                  <w:r>
                    <w:rPr>
                      <w:rFonts w:asciiTheme="majorHAnsi" w:hAnsiTheme="majorHAnsi" w:cs="Georgia"/>
                      <w:sz w:val="22"/>
                    </w:rPr>
                    <w:t>s i</w:t>
                  </w:r>
                  <w:r>
                    <w:rPr>
                      <w:rFonts w:asciiTheme="majorHAnsi" w:hAnsiTheme="majorHAnsi" w:cs="Georgia"/>
                      <w:spacing w:val="-1"/>
                      <w:sz w:val="22"/>
                    </w:rPr>
                    <w:t>n</w:t>
                  </w:r>
                  <w:r>
                    <w:rPr>
                      <w:rFonts w:asciiTheme="majorHAnsi" w:hAnsiTheme="majorHAnsi" w:cs="Georgia"/>
                      <w:spacing w:val="1"/>
                      <w:sz w:val="22"/>
                    </w:rPr>
                    <w:t>t</w:t>
                  </w:r>
                  <w:r>
                    <w:rPr>
                      <w:rFonts w:asciiTheme="majorHAnsi" w:hAnsiTheme="majorHAnsi" w:cs="Georgia"/>
                      <w:spacing w:val="-1"/>
                      <w:sz w:val="22"/>
                    </w:rPr>
                    <w:t>é</w:t>
                  </w:r>
                  <w:r>
                    <w:rPr>
                      <w:rFonts w:asciiTheme="majorHAnsi" w:hAnsiTheme="majorHAnsi" w:cs="Georgia"/>
                      <w:sz w:val="22"/>
                    </w:rPr>
                    <w:t>g</w:t>
                  </w:r>
                  <w:r>
                    <w:rPr>
                      <w:rFonts w:asciiTheme="majorHAnsi" w:hAnsiTheme="majorHAnsi" w:cs="Georgia"/>
                      <w:spacing w:val="1"/>
                      <w:sz w:val="22"/>
                    </w:rPr>
                    <w:t>r</w:t>
                  </w:r>
                  <w:r>
                    <w:rPr>
                      <w:rFonts w:asciiTheme="majorHAnsi" w:hAnsiTheme="majorHAnsi" w:cs="Georgia"/>
                      <w:spacing w:val="-1"/>
                      <w:sz w:val="22"/>
                    </w:rPr>
                    <w:t>a</w:t>
                  </w:r>
                  <w:r>
                    <w:rPr>
                      <w:rFonts w:asciiTheme="majorHAnsi" w:hAnsiTheme="majorHAnsi" w:cs="Georgia"/>
                      <w:spacing w:val="1"/>
                      <w:sz w:val="22"/>
                    </w:rPr>
                    <w:t>t</w:t>
                  </w:r>
                  <w:r>
                    <w:rPr>
                      <w:rFonts w:asciiTheme="majorHAnsi" w:hAnsiTheme="majorHAnsi" w:cs="Georgia"/>
                      <w:sz w:val="22"/>
                    </w:rPr>
                    <w:t>i</w:t>
                  </w:r>
                  <w:r>
                    <w:rPr>
                      <w:rFonts w:asciiTheme="majorHAnsi" w:hAnsiTheme="majorHAnsi" w:cs="Georgia"/>
                      <w:spacing w:val="1"/>
                      <w:sz w:val="22"/>
                    </w:rPr>
                    <w:t>o</w:t>
                  </w:r>
                  <w:r>
                    <w:rPr>
                      <w:rFonts w:asciiTheme="majorHAnsi" w:hAnsiTheme="majorHAnsi" w:cs="Georgia"/>
                      <w:spacing w:val="-3"/>
                      <w:sz w:val="22"/>
                    </w:rPr>
                    <w:t>n</w:t>
                  </w:r>
                  <w:r>
                    <w:rPr>
                      <w:rFonts w:asciiTheme="majorHAnsi" w:hAnsiTheme="majorHAnsi" w:cs="Georgia"/>
                      <w:sz w:val="22"/>
                    </w:rPr>
                    <w:t xml:space="preserve">s </w:t>
                  </w:r>
                  <w:r>
                    <w:rPr>
                      <w:rFonts w:asciiTheme="majorHAnsi" w:hAnsiTheme="majorHAnsi" w:cs="Georgia"/>
                      <w:spacing w:val="1"/>
                      <w:sz w:val="22"/>
                    </w:rPr>
                    <w:t>p</w:t>
                  </w:r>
                  <w:r>
                    <w:rPr>
                      <w:rFonts w:asciiTheme="majorHAnsi" w:hAnsiTheme="majorHAnsi" w:cs="Georgia"/>
                      <w:spacing w:val="-1"/>
                      <w:sz w:val="22"/>
                    </w:rPr>
                    <w:t>e</w:t>
                  </w:r>
                  <w:r>
                    <w:rPr>
                      <w:rFonts w:asciiTheme="majorHAnsi" w:hAnsiTheme="majorHAnsi" w:cs="Georgia"/>
                      <w:spacing w:val="1"/>
                      <w:sz w:val="22"/>
                    </w:rPr>
                    <w:t>r</w:t>
                  </w:r>
                  <w:r>
                    <w:rPr>
                      <w:rFonts w:asciiTheme="majorHAnsi" w:hAnsiTheme="majorHAnsi" w:cs="Georgia"/>
                      <w:sz w:val="22"/>
                    </w:rPr>
                    <w:t>m</w:t>
                  </w:r>
                  <w:r>
                    <w:rPr>
                      <w:rFonts w:asciiTheme="majorHAnsi" w:hAnsiTheme="majorHAnsi" w:cs="Georgia"/>
                      <w:spacing w:val="-1"/>
                      <w:sz w:val="22"/>
                    </w:rPr>
                    <w:t>an</w:t>
                  </w:r>
                  <w:r>
                    <w:rPr>
                      <w:rFonts w:asciiTheme="majorHAnsi" w:hAnsiTheme="majorHAnsi" w:cs="Georgia"/>
                      <w:spacing w:val="-3"/>
                      <w:sz w:val="22"/>
                    </w:rPr>
                    <w:t>e</w:t>
                  </w:r>
                  <w:r>
                    <w:rPr>
                      <w:rFonts w:asciiTheme="majorHAnsi" w:hAnsiTheme="majorHAnsi" w:cs="Georgia"/>
                      <w:spacing w:val="-1"/>
                      <w:sz w:val="22"/>
                    </w:rPr>
                    <w:t>n</w:t>
                  </w:r>
                  <w:r>
                    <w:rPr>
                      <w:rFonts w:asciiTheme="majorHAnsi" w:hAnsiTheme="majorHAnsi" w:cs="Georgia"/>
                      <w:spacing w:val="1"/>
                      <w:sz w:val="22"/>
                    </w:rPr>
                    <w:t>t</w:t>
                  </w:r>
                  <w:r>
                    <w:rPr>
                      <w:rFonts w:asciiTheme="majorHAnsi" w:hAnsiTheme="majorHAnsi" w:cs="Georgia"/>
                      <w:spacing w:val="-1"/>
                      <w:sz w:val="22"/>
                    </w:rPr>
                    <w:t>e</w:t>
                  </w:r>
                  <w:r>
                    <w:rPr>
                      <w:rFonts w:asciiTheme="majorHAnsi" w:hAnsiTheme="majorHAnsi" w:cs="Georgia"/>
                      <w:sz w:val="22"/>
                    </w:rPr>
                    <w:t xml:space="preserve">s </w:t>
                  </w:r>
                  <w:r>
                    <w:rPr>
                      <w:rFonts w:asciiTheme="majorHAnsi" w:hAnsiTheme="majorHAnsi" w:cs="Georgia"/>
                      <w:spacing w:val="1"/>
                      <w:sz w:val="22"/>
                    </w:rPr>
                    <w:t>tot</w:t>
                  </w:r>
                  <w:r>
                    <w:rPr>
                      <w:rFonts w:asciiTheme="majorHAnsi" w:hAnsiTheme="majorHAnsi" w:cs="Georgia"/>
                      <w:spacing w:val="-1"/>
                      <w:sz w:val="22"/>
                    </w:rPr>
                    <w:t>ale</w:t>
                  </w:r>
                  <w:r>
                    <w:rPr>
                      <w:rFonts w:asciiTheme="majorHAnsi" w:hAnsiTheme="majorHAnsi" w:cs="Georgia"/>
                      <w:sz w:val="22"/>
                    </w:rPr>
                    <w:t>s :</w:t>
                  </w:r>
                </w:p>
                <w:p>
                  <w:pPr>
                    <w:jc w:val="both"/>
                    <w:rPr>
                      <w:rFonts w:cs="Georgia"/>
                    </w:rPr>
                  </w:pPr>
                </w:p>
                <w:p>
                  <w:pPr>
                    <w:jc w:val="both"/>
                    <w:rPr>
                      <w:rFonts w:cs="Georgia"/>
                      <w:color w:val="000000"/>
                    </w:rPr>
                  </w:pPr>
                  <w:r>
                    <w:rPr>
                      <w:rFonts w:cs="Georgia"/>
                    </w:rPr>
                    <w:t>C</w:t>
                  </w:r>
                  <w:r>
                    <w:rPr>
                      <w:rFonts w:cs="Georgia"/>
                      <w:spacing w:val="-1"/>
                    </w:rPr>
                    <w:t>e</w:t>
                  </w:r>
                  <w:r>
                    <w:rPr>
                      <w:rFonts w:cs="Georgia"/>
                    </w:rPr>
                    <w:t>s</w:t>
                  </w:r>
                  <w:r>
                    <w:rPr>
                      <w:rFonts w:cs="Georgia"/>
                      <w:spacing w:val="17"/>
                    </w:rPr>
                    <w:t xml:space="preserve"> </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s</w:t>
                  </w:r>
                  <w:r>
                    <w:rPr>
                      <w:rFonts w:cs="Georgia"/>
                      <w:spacing w:val="15"/>
                    </w:rPr>
                    <w:t xml:space="preserve"> </w:t>
                  </w:r>
                  <w:r>
                    <w:rPr>
                      <w:rFonts w:cs="Georgia"/>
                      <w:spacing w:val="-2"/>
                    </w:rPr>
                    <w:t>s</w:t>
                  </w:r>
                  <w:r>
                    <w:rPr>
                      <w:rFonts w:cs="Georgia"/>
                      <w:spacing w:val="1"/>
                    </w:rPr>
                    <w:t>o</w:t>
                  </w:r>
                  <w:r>
                    <w:rPr>
                      <w:rFonts w:cs="Georgia"/>
                      <w:spacing w:val="-1"/>
                    </w:rPr>
                    <w:t>n</w:t>
                  </w:r>
                  <w:r>
                    <w:rPr>
                      <w:rFonts w:cs="Georgia"/>
                    </w:rPr>
                    <w:t>t</w:t>
                  </w:r>
                  <w:r>
                    <w:rPr>
                      <w:rFonts w:cs="Georgia"/>
                      <w:spacing w:val="17"/>
                    </w:rPr>
                    <w:t xml:space="preserve"> </w:t>
                  </w:r>
                  <w:r>
                    <w:rPr>
                      <w:rFonts w:cs="Georgia"/>
                      <w:spacing w:val="-3"/>
                    </w:rPr>
                    <w:t>a</w:t>
                  </w:r>
                  <w:r>
                    <w:rPr>
                      <w:rFonts w:cs="Georgia"/>
                      <w:spacing w:val="1"/>
                    </w:rPr>
                    <w:t>ttr</w:t>
                  </w:r>
                  <w:r>
                    <w:rPr>
                      <w:rFonts w:cs="Georgia"/>
                      <w:spacing w:val="-2"/>
                    </w:rPr>
                    <w:t>i</w:t>
                  </w:r>
                  <w:r>
                    <w:rPr>
                      <w:rFonts w:cs="Georgia"/>
                      <w:spacing w:val="-1"/>
                    </w:rPr>
                    <w:t>b</w:t>
                  </w:r>
                  <w:r>
                    <w:rPr>
                      <w:rFonts w:cs="Georgia"/>
                    </w:rPr>
                    <w:t>u</w:t>
                  </w:r>
                  <w:r>
                    <w:rPr>
                      <w:rFonts w:cs="Georgia"/>
                      <w:spacing w:val="-1"/>
                    </w:rPr>
                    <w:t>ée</w:t>
                  </w:r>
                  <w:r>
                    <w:rPr>
                      <w:rFonts w:cs="Georgia"/>
                    </w:rPr>
                    <w:t>s</w:t>
                  </w:r>
                  <w:r>
                    <w:rPr>
                      <w:rFonts w:cs="Georgia"/>
                      <w:spacing w:val="17"/>
                    </w:rPr>
                    <w:t xml:space="preserve"> </w:t>
                  </w:r>
                  <w:r>
                    <w:rPr>
                      <w:rFonts w:cs="Georgia"/>
                      <w:spacing w:val="-1"/>
                    </w:rPr>
                    <w:t>ann</w:t>
                  </w:r>
                  <w:r>
                    <w:rPr>
                      <w:rFonts w:cs="Georgia"/>
                    </w:rPr>
                    <w:t>u</w:t>
                  </w:r>
                  <w:r>
                    <w:rPr>
                      <w:rFonts w:cs="Georgia"/>
                      <w:spacing w:val="-1"/>
                    </w:rPr>
                    <w:t>elle</w:t>
                  </w:r>
                  <w:r>
                    <w:rPr>
                      <w:rFonts w:cs="Georgia"/>
                    </w:rPr>
                    <w:t>m</w:t>
                  </w:r>
                  <w:r>
                    <w:rPr>
                      <w:rFonts w:cs="Georgia"/>
                      <w:spacing w:val="-1"/>
                    </w:rPr>
                    <w:t>en</w:t>
                  </w:r>
                  <w:r>
                    <w:rPr>
                      <w:rFonts w:cs="Georgia"/>
                    </w:rPr>
                    <w:t>t</w:t>
                  </w:r>
                  <w:r>
                    <w:rPr>
                      <w:rFonts w:cs="Georgia"/>
                      <w:spacing w:val="17"/>
                    </w:rPr>
                    <w:t xml:space="preserve"> </w:t>
                  </w:r>
                  <w:r>
                    <w:rPr>
                      <w:rFonts w:cs="Georgia"/>
                      <w:spacing w:val="1"/>
                    </w:rPr>
                    <w:t>po</w:t>
                  </w:r>
                  <w:r>
                    <w:rPr>
                      <w:rFonts w:cs="Georgia"/>
                    </w:rPr>
                    <w:t>ur</w:t>
                  </w:r>
                  <w:r>
                    <w:rPr>
                      <w:rFonts w:cs="Georgia"/>
                      <w:spacing w:val="12"/>
                    </w:rPr>
                    <w:t xml:space="preserve"> </w:t>
                  </w:r>
                  <w:r>
                    <w:rPr>
                      <w:rFonts w:cs="Georgia"/>
                      <w:spacing w:val="-1"/>
                    </w:rPr>
                    <w:t>le</w:t>
                  </w:r>
                  <w:r>
                    <w:rPr>
                      <w:rFonts w:cs="Georgia"/>
                    </w:rPr>
                    <w:t>s</w:t>
                  </w:r>
                  <w:r>
                    <w:rPr>
                      <w:rFonts w:cs="Georgia"/>
                      <w:spacing w:val="17"/>
                    </w:rPr>
                    <w:t xml:space="preserve"> </w:t>
                  </w:r>
                  <w:r>
                    <w:rPr>
                      <w:rFonts w:cs="Georgia"/>
                      <w:spacing w:val="-1"/>
                    </w:rPr>
                    <w:t>élè</w:t>
                  </w:r>
                  <w:r>
                    <w:rPr>
                      <w:rFonts w:cs="Georgia"/>
                      <w:spacing w:val="1"/>
                    </w:rPr>
                    <w:t>v</w:t>
                  </w:r>
                  <w:r>
                    <w:rPr>
                      <w:rFonts w:cs="Georgia"/>
                      <w:spacing w:val="-1"/>
                    </w:rPr>
                    <w:t>e</w:t>
                  </w:r>
                  <w:r>
                    <w:rPr>
                      <w:rFonts w:cs="Georgia"/>
                    </w:rPr>
                    <w:t>s</w:t>
                  </w:r>
                  <w:r>
                    <w:rPr>
                      <w:rFonts w:cs="Georgia"/>
                      <w:spacing w:val="17"/>
                    </w:rPr>
                    <w:t xml:space="preserve"> </w:t>
                  </w:r>
                  <w:r>
                    <w:rPr>
                      <w:rFonts w:cs="Georgia"/>
                      <w:spacing w:val="-1"/>
                    </w:rPr>
                    <w:t>e</w:t>
                  </w:r>
                  <w:r>
                    <w:rPr>
                      <w:rFonts w:cs="Georgia"/>
                    </w:rPr>
                    <w:t>n</w:t>
                  </w:r>
                  <w:r>
                    <w:rPr>
                      <w:rFonts w:cs="Georgia"/>
                      <w:spacing w:val="16"/>
                    </w:rPr>
                    <w:t xml:space="preserve"> </w:t>
                  </w:r>
                  <w:r>
                    <w:rPr>
                      <w:rFonts w:cs="Georgia"/>
                    </w:rPr>
                    <w:t>i</w:t>
                  </w:r>
                  <w:r>
                    <w:rPr>
                      <w:rFonts w:cs="Georgia"/>
                      <w:spacing w:val="-1"/>
                    </w:rPr>
                    <w:t>n</w:t>
                  </w:r>
                  <w:r>
                    <w:rPr>
                      <w:rFonts w:cs="Georgia"/>
                      <w:spacing w:val="1"/>
                    </w:rPr>
                    <w:t>t</w:t>
                  </w:r>
                  <w:r>
                    <w:rPr>
                      <w:rFonts w:cs="Georgia"/>
                      <w:spacing w:val="-1"/>
                    </w:rPr>
                    <w:t>é</w:t>
                  </w:r>
                  <w:r>
                    <w:rPr>
                      <w:rFonts w:cs="Georgia"/>
                    </w:rPr>
                    <w:t>g</w:t>
                  </w:r>
                  <w:r>
                    <w:rPr>
                      <w:rFonts w:cs="Georgia"/>
                      <w:spacing w:val="1"/>
                    </w:rPr>
                    <w:t>r</w:t>
                  </w:r>
                  <w:r>
                    <w:rPr>
                      <w:rFonts w:cs="Georgia"/>
                      <w:spacing w:val="-1"/>
                    </w:rPr>
                    <w:t>a</w:t>
                  </w:r>
                  <w:r>
                    <w:rPr>
                      <w:rFonts w:cs="Georgia"/>
                      <w:spacing w:val="1"/>
                    </w:rPr>
                    <w:t>t</w:t>
                  </w:r>
                  <w:r>
                    <w:rPr>
                      <w:rFonts w:cs="Georgia"/>
                      <w:spacing w:val="-2"/>
                    </w:rPr>
                    <w:t>i</w:t>
                  </w:r>
                  <w:r>
                    <w:rPr>
                      <w:rFonts w:cs="Georgia"/>
                      <w:spacing w:val="1"/>
                    </w:rPr>
                    <w:t>o</w:t>
                  </w:r>
                  <w:r>
                    <w:rPr>
                      <w:rFonts w:cs="Georgia"/>
                    </w:rPr>
                    <w:t>n</w:t>
                  </w:r>
                  <w:r>
                    <w:rPr>
                      <w:rFonts w:cs="Georgia"/>
                      <w:spacing w:val="13"/>
                    </w:rPr>
                    <w:t xml:space="preserve"> </w:t>
                  </w:r>
                  <w:r>
                    <w:rPr>
                      <w:rFonts w:cs="Georgia"/>
                      <w:spacing w:val="1"/>
                    </w:rPr>
                    <w:t>p</w:t>
                  </w:r>
                  <w:r>
                    <w:rPr>
                      <w:rFonts w:cs="Georgia"/>
                      <w:spacing w:val="-1"/>
                    </w:rPr>
                    <w:t>e</w:t>
                  </w:r>
                  <w:r>
                    <w:rPr>
                      <w:rFonts w:cs="Georgia"/>
                      <w:spacing w:val="1"/>
                    </w:rPr>
                    <w:t>r</w:t>
                  </w:r>
                  <w:r>
                    <w:rPr>
                      <w:rFonts w:cs="Georgia"/>
                    </w:rPr>
                    <w:t>m</w:t>
                  </w:r>
                  <w:r>
                    <w:rPr>
                      <w:rFonts w:cs="Georgia"/>
                      <w:spacing w:val="-1"/>
                    </w:rPr>
                    <w:t>anen</w:t>
                  </w:r>
                  <w:r>
                    <w:rPr>
                      <w:rFonts w:cs="Georgia"/>
                      <w:spacing w:val="1"/>
                    </w:rPr>
                    <w:t>t</w:t>
                  </w:r>
                  <w:r>
                    <w:rPr>
                      <w:rFonts w:cs="Georgia"/>
                    </w:rPr>
                    <w:t>e</w:t>
                  </w:r>
                  <w:r>
                    <w:rPr>
                      <w:rFonts w:cs="Georgia"/>
                      <w:spacing w:val="15"/>
                    </w:rPr>
                    <w:t xml:space="preserve"> </w:t>
                  </w:r>
                  <w:r>
                    <w:rPr>
                      <w:rFonts w:cs="Georgia"/>
                      <w:spacing w:val="-2"/>
                    </w:rPr>
                    <w:t>t</w:t>
                  </w:r>
                  <w:r>
                    <w:rPr>
                      <w:rFonts w:cs="Georgia"/>
                      <w:spacing w:val="1"/>
                    </w:rPr>
                    <w:t>ot</w:t>
                  </w:r>
                  <w:r>
                    <w:rPr>
                      <w:rFonts w:cs="Georgia"/>
                      <w:spacing w:val="-1"/>
                    </w:rPr>
                    <w:t>al</w:t>
                  </w:r>
                  <w:r>
                    <w:rPr>
                      <w:rFonts w:cs="Georgia"/>
                    </w:rPr>
                    <w:t>e</w:t>
                  </w:r>
                  <w:r>
                    <w:rPr>
                      <w:rFonts w:cs="Georgia"/>
                      <w:spacing w:val="15"/>
                    </w:rPr>
                    <w:t xml:space="preserve"> </w:t>
                  </w:r>
                  <w:r>
                    <w:rPr>
                      <w:rFonts w:cs="Georgia"/>
                    </w:rPr>
                    <w:t>d</w:t>
                  </w:r>
                  <w:r>
                    <w:rPr>
                      <w:rFonts w:cs="Georgia"/>
                      <w:spacing w:val="1"/>
                    </w:rPr>
                    <w:t>o</w:t>
                  </w:r>
                  <w:r>
                    <w:rPr>
                      <w:rFonts w:cs="Georgia"/>
                      <w:spacing w:val="-3"/>
                    </w:rPr>
                    <w:t>n</w:t>
                  </w:r>
                  <w:r>
                    <w:rPr>
                      <w:rFonts w:cs="Georgia"/>
                    </w:rPr>
                    <w:t xml:space="preserve">t </w:t>
                  </w:r>
                  <w:r>
                    <w:rPr>
                      <w:rFonts w:cs="Georgia"/>
                      <w:b/>
                      <w:spacing w:val="-1"/>
                    </w:rPr>
                    <w:t>l</w:t>
                  </w:r>
                  <w:r>
                    <w:rPr>
                      <w:rFonts w:cs="Georgia"/>
                      <w:b/>
                    </w:rPr>
                    <w:t>e</w:t>
                  </w:r>
                  <w:r>
                    <w:rPr>
                      <w:rFonts w:cs="Georgia"/>
                      <w:b/>
                      <w:spacing w:val="23"/>
                    </w:rPr>
                    <w:t xml:space="preserve"> </w:t>
                  </w:r>
                  <w:r>
                    <w:rPr>
                      <w:rFonts w:cs="Georgia"/>
                      <w:b/>
                    </w:rPr>
                    <w:t>d</w:t>
                  </w:r>
                  <w:r>
                    <w:rPr>
                      <w:rFonts w:cs="Georgia"/>
                      <w:b/>
                      <w:spacing w:val="1"/>
                    </w:rPr>
                    <w:t>oss</w:t>
                  </w:r>
                  <w:r>
                    <w:rPr>
                      <w:rFonts w:cs="Georgia"/>
                      <w:b/>
                    </w:rPr>
                    <w:t>i</w:t>
                  </w:r>
                  <w:r>
                    <w:rPr>
                      <w:rFonts w:cs="Georgia"/>
                      <w:b/>
                      <w:spacing w:val="-1"/>
                    </w:rPr>
                    <w:t>e</w:t>
                  </w:r>
                  <w:r>
                    <w:rPr>
                      <w:rFonts w:cs="Georgia"/>
                      <w:b/>
                    </w:rPr>
                    <w:t>r</w:t>
                  </w:r>
                  <w:r>
                    <w:rPr>
                      <w:rFonts w:cs="Georgia"/>
                      <w:b/>
                      <w:spacing w:val="25"/>
                    </w:rPr>
                    <w:t xml:space="preserve"> </w:t>
                  </w:r>
                  <w:r>
                    <w:rPr>
                      <w:rFonts w:cs="Georgia"/>
                      <w:b/>
                      <w:spacing w:val="-1"/>
                    </w:rPr>
                    <w:t>e</w:t>
                  </w:r>
                  <w:r>
                    <w:rPr>
                      <w:rFonts w:cs="Georgia"/>
                      <w:b/>
                      <w:spacing w:val="1"/>
                    </w:rPr>
                    <w:t>s</w:t>
                  </w:r>
                  <w:r>
                    <w:rPr>
                      <w:rFonts w:cs="Georgia"/>
                      <w:b/>
                    </w:rPr>
                    <w:t>t</w:t>
                  </w:r>
                  <w:r>
                    <w:rPr>
                      <w:rFonts w:cs="Georgia"/>
                      <w:b/>
                      <w:spacing w:val="24"/>
                    </w:rPr>
                    <w:t xml:space="preserve"> </w:t>
                  </w:r>
                  <w:r>
                    <w:rPr>
                      <w:rFonts w:cs="Georgia"/>
                      <w:b/>
                      <w:spacing w:val="-1"/>
                    </w:rPr>
                    <w:t>e</w:t>
                  </w:r>
                  <w:r>
                    <w:rPr>
                      <w:rFonts w:cs="Georgia"/>
                      <w:b/>
                    </w:rPr>
                    <w:t>n</w:t>
                  </w:r>
                  <w:r>
                    <w:rPr>
                      <w:rFonts w:cs="Georgia"/>
                      <w:b/>
                      <w:spacing w:val="23"/>
                    </w:rPr>
                    <w:t xml:space="preserve"> </w:t>
                  </w:r>
                  <w:r>
                    <w:rPr>
                      <w:rFonts w:cs="Georgia"/>
                      <w:b/>
                      <w:spacing w:val="1"/>
                    </w:rPr>
                    <w:t>o</w:t>
                  </w:r>
                  <w:r>
                    <w:rPr>
                      <w:rFonts w:cs="Georgia"/>
                      <w:b/>
                      <w:spacing w:val="-2"/>
                    </w:rPr>
                    <w:t>r</w:t>
                  </w:r>
                  <w:r>
                    <w:rPr>
                      <w:rFonts w:cs="Georgia"/>
                      <w:b/>
                    </w:rPr>
                    <w:t>d</w:t>
                  </w:r>
                  <w:r>
                    <w:rPr>
                      <w:rFonts w:cs="Georgia"/>
                      <w:b/>
                      <w:spacing w:val="1"/>
                    </w:rPr>
                    <w:t>r</w:t>
                  </w:r>
                  <w:r>
                    <w:rPr>
                      <w:rFonts w:cs="Georgia"/>
                      <w:b/>
                      <w:spacing w:val="-1"/>
                    </w:rPr>
                    <w:t>e</w:t>
                  </w:r>
                  <w:r>
                    <w:rPr>
                      <w:rFonts w:cs="Georgia"/>
                    </w:rPr>
                    <w:t>.</w:t>
                  </w:r>
                  <w:r>
                    <w:rPr>
                      <w:rFonts w:cs="Georgia"/>
                      <w:spacing w:val="22"/>
                    </w:rPr>
                    <w:t xml:space="preserve">  </w:t>
                  </w:r>
                  <w:r>
                    <w:rPr>
                      <w:rFonts w:cs="Georgia"/>
                    </w:rPr>
                    <w:t>Ce</w:t>
                  </w:r>
                  <w:r>
                    <w:rPr>
                      <w:rFonts w:cs="Georgia"/>
                      <w:spacing w:val="23"/>
                    </w:rPr>
                    <w:t xml:space="preserve"> </w:t>
                  </w:r>
                  <w:r>
                    <w:rPr>
                      <w:rFonts w:cs="Georgia"/>
                      <w:spacing w:val="-1"/>
                    </w:rPr>
                    <w:t>n</w:t>
                  </w:r>
                  <w:r>
                    <w:rPr>
                      <w:rFonts w:cs="Georgia"/>
                      <w:spacing w:val="1"/>
                    </w:rPr>
                    <w:t>o</w:t>
                  </w:r>
                  <w:r>
                    <w:rPr>
                      <w:rFonts w:cs="Georgia"/>
                    </w:rPr>
                    <w:t>m</w:t>
                  </w:r>
                  <w:r>
                    <w:rPr>
                      <w:rFonts w:cs="Georgia"/>
                      <w:spacing w:val="1"/>
                    </w:rPr>
                    <w:t>br</w:t>
                  </w:r>
                  <w:r>
                    <w:rPr>
                      <w:rFonts w:cs="Georgia"/>
                    </w:rPr>
                    <w:t>e</w:t>
                  </w:r>
                  <w:r>
                    <w:rPr>
                      <w:rFonts w:cs="Georgia"/>
                      <w:spacing w:val="23"/>
                    </w:rPr>
                    <w:t xml:space="preserve"> </w:t>
                  </w:r>
                  <w:r>
                    <w:rPr>
                      <w:rFonts w:cs="Georgia"/>
                    </w:rPr>
                    <w:t>de</w:t>
                  </w:r>
                  <w:r>
                    <w:rPr>
                      <w:rFonts w:cs="Georgia"/>
                      <w:spacing w:val="23"/>
                    </w:rPr>
                    <w:t xml:space="preserve"> </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s</w:t>
                  </w:r>
                  <w:r>
                    <w:rPr>
                      <w:rFonts w:cs="Georgia"/>
                      <w:spacing w:val="22"/>
                    </w:rPr>
                    <w:t xml:space="preserve"> </w:t>
                  </w:r>
                  <w:r>
                    <w:rPr>
                      <w:rFonts w:cs="Georgia"/>
                      <w:spacing w:val="-1"/>
                    </w:rPr>
                    <w:t>e</w:t>
                  </w:r>
                  <w:r>
                    <w:rPr>
                      <w:rFonts w:cs="Georgia"/>
                      <w:spacing w:val="1"/>
                    </w:rPr>
                    <w:t>s</w:t>
                  </w:r>
                  <w:r>
                    <w:rPr>
                      <w:rFonts w:cs="Georgia"/>
                    </w:rPr>
                    <w:t>t</w:t>
                  </w:r>
                  <w:r>
                    <w:rPr>
                      <w:rFonts w:cs="Georgia"/>
                      <w:spacing w:val="24"/>
                    </w:rPr>
                    <w:t xml:space="preserve"> </w:t>
                  </w:r>
                  <w:r>
                    <w:rPr>
                      <w:rFonts w:cs="Georgia"/>
                      <w:color w:val="000000"/>
                      <w:spacing w:val="1"/>
                    </w:rPr>
                    <w:t>r</w:t>
                  </w:r>
                  <w:r>
                    <w:rPr>
                      <w:rFonts w:cs="Georgia"/>
                      <w:color w:val="000000"/>
                      <w:spacing w:val="-1"/>
                    </w:rPr>
                    <w:t>e</w:t>
                  </w:r>
                  <w:r>
                    <w:rPr>
                      <w:rFonts w:cs="Georgia"/>
                      <w:color w:val="000000"/>
                      <w:spacing w:val="1"/>
                    </w:rPr>
                    <w:t>c</w:t>
                  </w:r>
                  <w:r>
                    <w:rPr>
                      <w:rFonts w:cs="Georgia"/>
                      <w:color w:val="000000"/>
                      <w:spacing w:val="-1"/>
                    </w:rPr>
                    <w:t>al</w:t>
                  </w:r>
                  <w:r>
                    <w:rPr>
                      <w:rFonts w:cs="Georgia"/>
                      <w:color w:val="000000"/>
                      <w:spacing w:val="1"/>
                    </w:rPr>
                    <w:t>c</w:t>
                  </w:r>
                  <w:r>
                    <w:rPr>
                      <w:rFonts w:cs="Georgia"/>
                      <w:color w:val="000000"/>
                    </w:rPr>
                    <w:t>u</w:t>
                  </w:r>
                  <w:r>
                    <w:rPr>
                      <w:rFonts w:cs="Georgia"/>
                      <w:color w:val="000000"/>
                      <w:spacing w:val="-1"/>
                    </w:rPr>
                    <w:t>l</w:t>
                  </w:r>
                  <w:r>
                    <w:rPr>
                      <w:rFonts w:cs="Georgia"/>
                      <w:color w:val="000000"/>
                    </w:rPr>
                    <w:t>é</w:t>
                  </w:r>
                  <w:r>
                    <w:rPr>
                      <w:rFonts w:cs="Georgia"/>
                      <w:color w:val="000000"/>
                      <w:spacing w:val="23"/>
                    </w:rPr>
                    <w:t xml:space="preserve"> </w:t>
                  </w:r>
                  <w:r>
                    <w:rPr>
                      <w:rFonts w:cs="Georgia"/>
                      <w:color w:val="000000"/>
                      <w:spacing w:val="-1"/>
                    </w:rPr>
                    <w:t>e</w:t>
                  </w:r>
                  <w:r>
                    <w:rPr>
                      <w:rFonts w:cs="Georgia"/>
                      <w:color w:val="000000"/>
                    </w:rPr>
                    <w:t>n</w:t>
                  </w:r>
                  <w:r>
                    <w:rPr>
                      <w:rFonts w:cs="Georgia"/>
                      <w:color w:val="000000"/>
                      <w:spacing w:val="23"/>
                    </w:rPr>
                    <w:t xml:space="preserve"> </w:t>
                  </w:r>
                  <w:r>
                    <w:rPr>
                      <w:rFonts w:cs="Georgia"/>
                      <w:color w:val="000000"/>
                    </w:rPr>
                    <w:t>d</w:t>
                  </w:r>
                  <w:r>
                    <w:rPr>
                      <w:rFonts w:cs="Georgia"/>
                      <w:color w:val="000000"/>
                      <w:spacing w:val="-1"/>
                    </w:rPr>
                    <w:t>é</w:t>
                  </w:r>
                  <w:r>
                    <w:rPr>
                      <w:rFonts w:cs="Georgia"/>
                      <w:color w:val="000000"/>
                      <w:spacing w:val="1"/>
                    </w:rPr>
                    <w:t>b</w:t>
                  </w:r>
                  <w:r>
                    <w:rPr>
                      <w:rFonts w:cs="Georgia"/>
                      <w:color w:val="000000"/>
                    </w:rPr>
                    <w:t>ut</w:t>
                  </w:r>
                  <w:r>
                    <w:rPr>
                      <w:rFonts w:cs="Georgia"/>
                      <w:color w:val="000000"/>
                      <w:spacing w:val="24"/>
                    </w:rPr>
                    <w:t xml:space="preserve"> </w:t>
                  </w:r>
                  <w:r>
                    <w:rPr>
                      <w:rFonts w:cs="Georgia"/>
                      <w:color w:val="000000"/>
                      <w:spacing w:val="-2"/>
                    </w:rPr>
                    <w:t>d</w:t>
                  </w:r>
                  <w:r>
                    <w:rPr>
                      <w:rFonts w:cs="Georgia"/>
                      <w:color w:val="000000"/>
                    </w:rPr>
                    <w:t>e</w:t>
                  </w:r>
                  <w:r>
                    <w:rPr>
                      <w:rFonts w:cs="Georgia"/>
                      <w:color w:val="000000"/>
                      <w:spacing w:val="23"/>
                    </w:rPr>
                    <w:t xml:space="preserve"> </w:t>
                  </w:r>
                  <w:r>
                    <w:rPr>
                      <w:rFonts w:cs="Georgia"/>
                      <w:color w:val="000000"/>
                      <w:spacing w:val="1"/>
                    </w:rPr>
                    <w:t>ch</w:t>
                  </w:r>
                  <w:r>
                    <w:rPr>
                      <w:rFonts w:cs="Georgia"/>
                      <w:color w:val="000000"/>
                      <w:spacing w:val="-1"/>
                    </w:rPr>
                    <w:t>aq</w:t>
                  </w:r>
                  <w:r>
                    <w:rPr>
                      <w:rFonts w:cs="Georgia"/>
                      <w:color w:val="000000"/>
                    </w:rPr>
                    <w:t>ue</w:t>
                  </w:r>
                  <w:r>
                    <w:rPr>
                      <w:rFonts w:cs="Georgia"/>
                      <w:color w:val="000000"/>
                      <w:spacing w:val="23"/>
                    </w:rPr>
                    <w:t xml:space="preserve"> </w:t>
                  </w:r>
                  <w:r>
                    <w:rPr>
                      <w:rFonts w:cs="Georgia"/>
                      <w:color w:val="000000"/>
                      <w:spacing w:val="-1"/>
                    </w:rPr>
                    <w:t>anné</w:t>
                  </w:r>
                  <w:r>
                    <w:rPr>
                      <w:rFonts w:cs="Georgia"/>
                      <w:color w:val="000000"/>
                    </w:rPr>
                    <w:t>e</w:t>
                  </w:r>
                  <w:r>
                    <w:rPr>
                      <w:rFonts w:cs="Georgia"/>
                      <w:color w:val="000000"/>
                      <w:spacing w:val="25"/>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spacing w:val="-1"/>
                    </w:rPr>
                    <w:t xml:space="preserve">e, </w:t>
                  </w:r>
                  <w:r>
                    <w:rPr>
                      <w:rFonts w:cs="Georgia"/>
                      <w:color w:val="000000"/>
                      <w:spacing w:val="1"/>
                    </w:rPr>
                    <w:t>s</w:t>
                  </w:r>
                  <w:r>
                    <w:rPr>
                      <w:rFonts w:cs="Georgia"/>
                      <w:color w:val="000000"/>
                      <w:spacing w:val="-1"/>
                    </w:rPr>
                    <w:t>an</w:t>
                  </w:r>
                  <w:r>
                    <w:rPr>
                      <w:rFonts w:cs="Georgia"/>
                      <w:color w:val="000000"/>
                    </w:rPr>
                    <w:t xml:space="preserve">s </w:t>
                  </w:r>
                  <w:r>
                    <w:rPr>
                      <w:rFonts w:cs="Georgia"/>
                      <w:color w:val="000000"/>
                      <w:spacing w:val="1"/>
                    </w:rPr>
                    <w:t>pr</w:t>
                  </w:r>
                  <w:r>
                    <w:rPr>
                      <w:rFonts w:cs="Georgia"/>
                      <w:color w:val="000000"/>
                      <w:spacing w:val="-1"/>
                    </w:rPr>
                    <w:t>en</w:t>
                  </w:r>
                  <w:r>
                    <w:rPr>
                      <w:rFonts w:cs="Georgia"/>
                      <w:color w:val="000000"/>
                      <w:spacing w:val="-2"/>
                    </w:rPr>
                    <w:t>d</w:t>
                  </w:r>
                  <w:r>
                    <w:rPr>
                      <w:rFonts w:cs="Georgia"/>
                      <w:color w:val="000000"/>
                      <w:spacing w:val="1"/>
                    </w:rPr>
                    <w:t>r</w:t>
                  </w:r>
                  <w:r>
                    <w:rPr>
                      <w:rFonts w:cs="Georgia"/>
                      <w:color w:val="000000"/>
                    </w:rPr>
                    <w:t>e</w:t>
                  </w:r>
                  <w:r>
                    <w:rPr>
                      <w:rFonts w:cs="Georgia"/>
                      <w:color w:val="000000"/>
                      <w:spacing w:val="-1"/>
                    </w:rPr>
                    <w:t xml:space="preserve"> e</w:t>
                  </w:r>
                  <w:r>
                    <w:rPr>
                      <w:rFonts w:cs="Georgia"/>
                      <w:color w:val="000000"/>
                    </w:rPr>
                    <w:t>n</w:t>
                  </w:r>
                  <w:r>
                    <w:rPr>
                      <w:rFonts w:cs="Georgia"/>
                      <w:color w:val="000000"/>
                      <w:spacing w:val="-1"/>
                    </w:rPr>
                    <w:t xml:space="preserve"> </w:t>
                  </w:r>
                  <w:r>
                    <w:rPr>
                      <w:rFonts w:cs="Georgia"/>
                      <w:color w:val="000000"/>
                      <w:spacing w:val="1"/>
                    </w:rPr>
                    <w:t>co</w:t>
                  </w:r>
                  <w:r>
                    <w:rPr>
                      <w:rFonts w:cs="Georgia"/>
                      <w:color w:val="000000"/>
                      <w:spacing w:val="-3"/>
                    </w:rPr>
                    <w:t>m</w:t>
                  </w:r>
                  <w:r>
                    <w:rPr>
                      <w:rFonts w:cs="Georgia"/>
                      <w:color w:val="000000"/>
                      <w:spacing w:val="1"/>
                    </w:rPr>
                    <w:t>pt</w:t>
                  </w:r>
                  <w:r>
                    <w:rPr>
                      <w:rFonts w:cs="Georgia"/>
                      <w:color w:val="000000"/>
                    </w:rPr>
                    <w:t>e</w:t>
                  </w:r>
                  <w:r>
                    <w:rPr>
                      <w:rFonts w:cs="Georgia"/>
                      <w:color w:val="000000"/>
                      <w:spacing w:val="-1"/>
                    </w:rPr>
                    <w:t xml:space="preserve"> l</w:t>
                  </w:r>
                  <w:r>
                    <w:rPr>
                      <w:rFonts w:cs="Georgia"/>
                      <w:color w:val="000000"/>
                    </w:rPr>
                    <w:t>e</w:t>
                  </w:r>
                  <w:r>
                    <w:rPr>
                      <w:rFonts w:cs="Georgia"/>
                      <w:color w:val="000000"/>
                      <w:spacing w:val="-1"/>
                    </w:rPr>
                    <w:t xml:space="preserve"> n</w:t>
                  </w:r>
                  <w:r>
                    <w:rPr>
                      <w:rFonts w:cs="Georgia"/>
                      <w:color w:val="000000"/>
                      <w:spacing w:val="1"/>
                    </w:rPr>
                    <w:t>o</w:t>
                  </w:r>
                  <w:r>
                    <w:rPr>
                      <w:rFonts w:cs="Georgia"/>
                      <w:color w:val="000000"/>
                    </w:rPr>
                    <w:t>m</w:t>
                  </w:r>
                  <w:r>
                    <w:rPr>
                      <w:rFonts w:cs="Georgia"/>
                      <w:color w:val="000000"/>
                      <w:spacing w:val="1"/>
                    </w:rPr>
                    <w:t>br</w:t>
                  </w:r>
                  <w:r>
                    <w:rPr>
                      <w:rFonts w:cs="Georgia"/>
                      <w:color w:val="000000"/>
                    </w:rPr>
                    <w:t>e</w:t>
                  </w:r>
                  <w:r>
                    <w:rPr>
                      <w:rFonts w:cs="Georgia"/>
                      <w:color w:val="000000"/>
                      <w:spacing w:val="-1"/>
                    </w:rPr>
                    <w:t xml:space="preserve"> </w:t>
                  </w:r>
                  <w:r>
                    <w:rPr>
                      <w:rFonts w:cs="Georgia"/>
                      <w:color w:val="000000"/>
                      <w:spacing w:val="-2"/>
                    </w:rPr>
                    <w:t>d</w:t>
                  </w:r>
                  <w:r>
                    <w:rPr>
                      <w:rFonts w:cs="Georgia"/>
                      <w:color w:val="000000"/>
                    </w:rPr>
                    <w:t>’IPT de</w:t>
                  </w:r>
                  <w:r>
                    <w:rPr>
                      <w:rFonts w:cs="Georgia"/>
                      <w:color w:val="000000"/>
                      <w:spacing w:val="-1"/>
                    </w:rPr>
                    <w:t xml:space="preserve"> l</w:t>
                  </w:r>
                  <w:r>
                    <w:rPr>
                      <w:rFonts w:cs="Georgia"/>
                      <w:color w:val="000000"/>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p</w:t>
                  </w:r>
                  <w:r>
                    <w:rPr>
                      <w:rFonts w:cs="Georgia"/>
                      <w:color w:val="000000"/>
                      <w:spacing w:val="1"/>
                    </w:rPr>
                    <w:t>r</w:t>
                  </w:r>
                  <w:r>
                    <w:rPr>
                      <w:rFonts w:cs="Georgia"/>
                      <w:color w:val="000000"/>
                      <w:spacing w:val="-1"/>
                    </w:rPr>
                    <w:t>é</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en</w:t>
                  </w:r>
                  <w:r>
                    <w:rPr>
                      <w:rFonts w:cs="Georgia"/>
                      <w:color w:val="000000"/>
                      <w:spacing w:val="1"/>
                    </w:rPr>
                    <w:t>t</w:t>
                  </w:r>
                  <w:r>
                    <w:rPr>
                      <w:rFonts w:cs="Georgia"/>
                      <w:color w:val="000000"/>
                      <w:spacing w:val="-1"/>
                    </w:rPr>
                    <w:t>e.</w:t>
                  </w:r>
                </w:p>
                <w:p>
                  <w:pPr>
                    <w:widowControl w:val="0"/>
                    <w:autoSpaceDE w:val="0"/>
                    <w:autoSpaceDN w:val="0"/>
                    <w:adjustRightInd w:val="0"/>
                    <w:spacing w:before="7" w:line="240" w:lineRule="exact"/>
                    <w:jc w:val="both"/>
                    <w:rPr>
                      <w:rFonts w:cs="Georgia"/>
                      <w:color w:val="000000"/>
                    </w:rPr>
                  </w:pPr>
                </w:p>
                <w:p>
                  <w:pPr>
                    <w:widowControl w:val="0"/>
                    <w:autoSpaceDE w:val="0"/>
                    <w:autoSpaceDN w:val="0"/>
                    <w:adjustRightInd w:val="0"/>
                    <w:jc w:val="both"/>
                    <w:rPr>
                      <w:rFonts w:cs="Georgia"/>
                      <w:color w:val="000000"/>
                      <w:u w:val="single"/>
                    </w:rPr>
                  </w:pPr>
                  <w:r>
                    <w:rPr>
                      <w:rFonts w:cs="Georgia"/>
                      <w:color w:val="000000"/>
                      <w:u w:val="single"/>
                    </w:rPr>
                    <w:t>C</w:t>
                  </w:r>
                  <w:r>
                    <w:rPr>
                      <w:rFonts w:cs="Georgia"/>
                      <w:color w:val="000000"/>
                      <w:spacing w:val="1"/>
                      <w:u w:val="single"/>
                    </w:rPr>
                    <w:t>o</w:t>
                  </w:r>
                  <w:r>
                    <w:rPr>
                      <w:rFonts w:cs="Georgia"/>
                      <w:color w:val="000000"/>
                      <w:spacing w:val="-1"/>
                      <w:u w:val="single"/>
                    </w:rPr>
                    <w:t>n</w:t>
                  </w:r>
                  <w:r>
                    <w:rPr>
                      <w:rFonts w:cs="Georgia"/>
                      <w:color w:val="000000"/>
                      <w:spacing w:val="1"/>
                      <w:u w:val="single"/>
                    </w:rPr>
                    <w:t>s</w:t>
                  </w:r>
                  <w:r>
                    <w:rPr>
                      <w:rFonts w:cs="Georgia"/>
                      <w:color w:val="000000"/>
                      <w:spacing w:val="-1"/>
                      <w:u w:val="single"/>
                    </w:rPr>
                    <w:t>éq</w:t>
                  </w:r>
                  <w:r>
                    <w:rPr>
                      <w:rFonts w:cs="Georgia"/>
                      <w:color w:val="000000"/>
                      <w:u w:val="single"/>
                    </w:rPr>
                    <w:t>u</w:t>
                  </w:r>
                  <w:r>
                    <w:rPr>
                      <w:rFonts w:cs="Georgia"/>
                      <w:color w:val="000000"/>
                      <w:spacing w:val="-1"/>
                      <w:u w:val="single"/>
                    </w:rPr>
                    <w:t>en</w:t>
                  </w:r>
                  <w:r>
                    <w:rPr>
                      <w:rFonts w:cs="Georgia"/>
                      <w:color w:val="000000"/>
                      <w:spacing w:val="1"/>
                      <w:u w:val="single"/>
                    </w:rPr>
                    <w:t>c</w:t>
                  </w:r>
                  <w:r>
                    <w:rPr>
                      <w:rFonts w:cs="Georgia"/>
                      <w:color w:val="000000"/>
                      <w:spacing w:val="-1"/>
                      <w:u w:val="single"/>
                    </w:rPr>
                    <w:t>e</w:t>
                  </w:r>
                  <w:r>
                    <w:rPr>
                      <w:rFonts w:cs="Georgia"/>
                      <w:color w:val="000000"/>
                      <w:u w:val="single"/>
                    </w:rPr>
                    <w:t>s :</w:t>
                  </w:r>
                </w:p>
                <w:p>
                  <w:pPr>
                    <w:widowControl w:val="0"/>
                    <w:autoSpaceDE w:val="0"/>
                    <w:autoSpaceDN w:val="0"/>
                    <w:adjustRightInd w:val="0"/>
                    <w:jc w:val="both"/>
                    <w:rPr>
                      <w:rFonts w:cs="Georgia"/>
                      <w:color w:val="000000"/>
                      <w:u w:val="single"/>
                    </w:rPr>
                  </w:pPr>
                </w:p>
                <w:p>
                  <w:pPr>
                    <w:widowControl w:val="0"/>
                    <w:numPr>
                      <w:ilvl w:val="1"/>
                      <w:numId w:val="59"/>
                    </w:numPr>
                    <w:tabs>
                      <w:tab w:val="left" w:pos="660"/>
                    </w:tabs>
                    <w:suppressAutoHyphens/>
                    <w:autoSpaceDE w:val="0"/>
                    <w:autoSpaceDN w:val="0"/>
                    <w:adjustRightInd w:val="0"/>
                    <w:spacing w:before="26" w:line="221" w:lineRule="auto"/>
                    <w:ind w:left="397" w:hanging="397"/>
                    <w:jc w:val="both"/>
                    <w:rPr>
                      <w:rFonts w:cs="Georgia"/>
                      <w:color w:val="000000"/>
                    </w:rPr>
                  </w:pPr>
                  <w:r>
                    <w:rPr>
                      <w:rFonts w:cs="Georgia"/>
                      <w:color w:val="000000"/>
                    </w:rPr>
                    <w:t>un élève en intégration permanente totale au 15 janvier ne génère pas 4 périodes pour l’année scolaire suivante.</w:t>
                  </w:r>
                </w:p>
                <w:p>
                  <w:pPr>
                    <w:widowControl w:val="0"/>
                    <w:numPr>
                      <w:ilvl w:val="1"/>
                      <w:numId w:val="59"/>
                    </w:numPr>
                    <w:tabs>
                      <w:tab w:val="left" w:pos="660"/>
                    </w:tabs>
                    <w:suppressAutoHyphens/>
                    <w:autoSpaceDE w:val="0"/>
                    <w:autoSpaceDN w:val="0"/>
                    <w:adjustRightInd w:val="0"/>
                    <w:spacing w:before="29" w:line="221" w:lineRule="auto"/>
                    <w:ind w:left="397" w:hanging="397"/>
                    <w:jc w:val="both"/>
                    <w:rPr>
                      <w:rFonts w:cs="Georgia"/>
                      <w:color w:val="000000"/>
                    </w:rPr>
                  </w:pPr>
                  <w:r>
                    <w:rPr>
                      <w:rFonts w:cs="Georgia"/>
                      <w:color w:val="000000"/>
                    </w:rPr>
                    <w:t>un élève qui débute une intégration permanente totale en septembre génère les 4 périodes pour l’année scolaire en cours.</w:t>
                  </w:r>
                </w:p>
                <w:p>
                  <w:pPr>
                    <w:widowControl w:val="0"/>
                    <w:autoSpaceDE w:val="0"/>
                    <w:autoSpaceDN w:val="0"/>
                    <w:adjustRightInd w:val="0"/>
                    <w:spacing w:before="14" w:line="240" w:lineRule="exact"/>
                    <w:jc w:val="both"/>
                    <w:rPr>
                      <w:rFonts w:cs="Georgia"/>
                      <w:color w:val="000000"/>
                    </w:rPr>
                  </w:pPr>
                </w:p>
                <w:p>
                  <w:pPr>
                    <w:widowControl w:val="0"/>
                    <w:numPr>
                      <w:ilvl w:val="0"/>
                      <w:numId w:val="58"/>
                    </w:numPr>
                    <w:tabs>
                      <w:tab w:val="left" w:pos="840"/>
                    </w:tabs>
                    <w:suppressAutoHyphens/>
                    <w:autoSpaceDE w:val="0"/>
                    <w:autoSpaceDN w:val="0"/>
                    <w:adjustRightInd w:val="0"/>
                    <w:ind w:right="-20" w:hanging="1080"/>
                    <w:jc w:val="both"/>
                    <w:rPr>
                      <w:rFonts w:cs="Georgia"/>
                      <w:color w:val="000000"/>
                    </w:rPr>
                  </w:pPr>
                  <w:r>
                    <w:rPr>
                      <w:rFonts w:cs="Georgia"/>
                      <w:color w:val="000000"/>
                      <w:spacing w:val="1"/>
                    </w:rPr>
                    <w:t>L</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rPr>
                    <w:t>d</w:t>
                  </w:r>
                  <w:r>
                    <w:rPr>
                      <w:rFonts w:cs="Georgia"/>
                      <w:color w:val="000000"/>
                      <w:spacing w:val="-3"/>
                    </w:rPr>
                    <w:t>e</w:t>
                  </w:r>
                  <w:r>
                    <w:rPr>
                      <w:rFonts w:cs="Georgia"/>
                      <w:color w:val="000000"/>
                    </w:rPr>
                    <w:t xml:space="preserve">s complémentaires </w:t>
                  </w:r>
                  <w:r>
                    <w:rPr>
                      <w:rFonts w:cs="Georgia"/>
                      <w:color w:val="000000"/>
                      <w:spacing w:val="1"/>
                    </w:rPr>
                    <w:t>(</w:t>
                  </w:r>
                  <w:r>
                    <w:rPr>
                      <w:rFonts w:cs="Georgia"/>
                      <w:color w:val="000000"/>
                    </w:rPr>
                    <w:t>article 148, alinéas 6 et 7):</w:t>
                  </w:r>
                </w:p>
                <w:p>
                  <w:pPr>
                    <w:widowControl w:val="0"/>
                    <w:autoSpaceDE w:val="0"/>
                    <w:autoSpaceDN w:val="0"/>
                    <w:adjustRightInd w:val="0"/>
                    <w:spacing w:before="9" w:line="240" w:lineRule="exact"/>
                    <w:jc w:val="both"/>
                    <w:rPr>
                      <w:rFonts w:cs="Georgia"/>
                      <w:color w:val="000000"/>
                    </w:rPr>
                  </w:pPr>
                </w:p>
                <w:p>
                  <w:pPr>
                    <w:widowControl w:val="0"/>
                    <w:autoSpaceDE w:val="0"/>
                    <w:autoSpaceDN w:val="0"/>
                    <w:adjustRightInd w:val="0"/>
                    <w:jc w:val="both"/>
                    <w:rPr>
                      <w:rFonts w:cs="Georgia"/>
                      <w:color w:val="000000"/>
                      <w:spacing w:val="-1"/>
                    </w:rPr>
                  </w:pPr>
                  <w:r>
                    <w:rPr>
                      <w:rFonts w:cs="Georgia"/>
                      <w:color w:val="000000"/>
                    </w:rPr>
                    <w:t>C</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so</w:t>
                  </w:r>
                  <w:r>
                    <w:rPr>
                      <w:rFonts w:cs="Georgia"/>
                      <w:color w:val="000000"/>
                      <w:spacing w:val="-1"/>
                    </w:rPr>
                    <w:t>n</w:t>
                  </w:r>
                  <w:r>
                    <w:rPr>
                      <w:rFonts w:cs="Georgia"/>
                      <w:color w:val="000000"/>
                    </w:rPr>
                    <w:t>t f</w:t>
                  </w:r>
                  <w:r>
                    <w:rPr>
                      <w:rFonts w:cs="Georgia"/>
                      <w:color w:val="000000"/>
                      <w:spacing w:val="-1"/>
                    </w:rPr>
                    <w:t>a</w:t>
                  </w:r>
                  <w:r>
                    <w:rPr>
                      <w:rFonts w:cs="Georgia"/>
                      <w:color w:val="000000"/>
                      <w:spacing w:val="1"/>
                    </w:rPr>
                    <w:t>c</w:t>
                  </w:r>
                  <w:r>
                    <w:rPr>
                      <w:rFonts w:cs="Georgia"/>
                      <w:color w:val="000000"/>
                    </w:rPr>
                    <w:t>u</w:t>
                  </w:r>
                  <w:r>
                    <w:rPr>
                      <w:rFonts w:cs="Georgia"/>
                      <w:color w:val="000000"/>
                      <w:spacing w:val="-1"/>
                    </w:rPr>
                    <w:t>l</w:t>
                  </w:r>
                  <w:r>
                    <w:rPr>
                      <w:rFonts w:cs="Georgia"/>
                      <w:color w:val="000000"/>
                      <w:spacing w:val="-2"/>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v</w:t>
                  </w:r>
                  <w:r>
                    <w:rPr>
                      <w:rFonts w:cs="Georgia"/>
                      <w:color w:val="000000"/>
                      <w:spacing w:val="-1"/>
                    </w:rPr>
                    <w:t>e</w:t>
                  </w:r>
                  <w:r>
                    <w:rPr>
                      <w:rFonts w:cs="Georgia"/>
                      <w:color w:val="000000"/>
                      <w:spacing w:val="1"/>
                    </w:rPr>
                    <w:t>s</w:t>
                  </w:r>
                  <w:r>
                    <w:rPr>
                      <w:rFonts w:cs="Georgia"/>
                      <w:color w:val="000000"/>
                    </w:rPr>
                    <w:t>.</w:t>
                  </w:r>
                  <w:r>
                    <w:rPr>
                      <w:rFonts w:cs="Georgia"/>
                      <w:color w:val="000000"/>
                      <w:spacing w:val="2"/>
                    </w:rPr>
                    <w:t xml:space="preserve"> </w:t>
                  </w:r>
                  <w:r>
                    <w:rPr>
                      <w:rFonts w:cs="Georgia"/>
                      <w:color w:val="000000"/>
                    </w:rPr>
                    <w:t>E</w:t>
                  </w:r>
                  <w:r>
                    <w:rPr>
                      <w:rFonts w:cs="Georgia"/>
                      <w:color w:val="000000"/>
                      <w:spacing w:val="-1"/>
                    </w:rPr>
                    <w:t>lle</w:t>
                  </w:r>
                  <w:r>
                    <w:rPr>
                      <w:rFonts w:cs="Georgia"/>
                      <w:color w:val="000000"/>
                    </w:rPr>
                    <w:t>s</w:t>
                  </w:r>
                  <w:r>
                    <w:rPr>
                      <w:rFonts w:cs="Georgia"/>
                      <w:color w:val="000000"/>
                      <w:spacing w:val="3"/>
                    </w:rPr>
                    <w:t xml:space="preserve">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t</w:t>
                  </w:r>
                  <w:r>
                    <w:rPr>
                      <w:rFonts w:cs="Georgia"/>
                      <w:color w:val="000000"/>
                      <w:spacing w:val="3"/>
                    </w:rPr>
                    <w:t xml:space="preserve"> </w:t>
                  </w:r>
                  <w:r>
                    <w:rPr>
                      <w:rFonts w:cs="Georgia"/>
                      <w:color w:val="000000"/>
                      <w:spacing w:val="-1"/>
                    </w:rPr>
                    <w:t>a</w:t>
                  </w:r>
                  <w:r>
                    <w:rPr>
                      <w:rFonts w:cs="Georgia"/>
                      <w:color w:val="000000"/>
                      <w:spacing w:val="-2"/>
                    </w:rPr>
                    <w:t>t</w:t>
                  </w:r>
                  <w:r>
                    <w:rPr>
                      <w:rFonts w:cs="Georgia"/>
                      <w:color w:val="000000"/>
                      <w:spacing w:val="1"/>
                    </w:rPr>
                    <w:t>tr</w:t>
                  </w:r>
                  <w:r>
                    <w:rPr>
                      <w:rFonts w:cs="Georgia"/>
                      <w:color w:val="000000"/>
                      <w:spacing w:val="-2"/>
                    </w:rPr>
                    <w:t>i</w:t>
                  </w:r>
                  <w:r>
                    <w:rPr>
                      <w:rFonts w:cs="Georgia"/>
                      <w:color w:val="000000"/>
                      <w:spacing w:val="1"/>
                    </w:rPr>
                    <w:t>b</w:t>
                  </w:r>
                  <w:r>
                    <w:rPr>
                      <w:rFonts w:cs="Georgia"/>
                      <w:color w:val="000000"/>
                      <w:spacing w:val="-2"/>
                    </w:rPr>
                    <w:t>u</w:t>
                  </w:r>
                  <w:r>
                    <w:rPr>
                      <w:rFonts w:cs="Georgia"/>
                      <w:color w:val="000000"/>
                      <w:spacing w:val="-1"/>
                    </w:rPr>
                    <w:t>ée</w:t>
                  </w:r>
                  <w:r>
                    <w:rPr>
                      <w:rFonts w:cs="Georgia"/>
                      <w:color w:val="000000"/>
                    </w:rPr>
                    <w:t>s</w:t>
                  </w:r>
                  <w:r>
                    <w:rPr>
                      <w:rFonts w:cs="Georgia"/>
                      <w:color w:val="000000"/>
                      <w:spacing w:val="3"/>
                    </w:rPr>
                    <w:t xml:space="preserve"> </w:t>
                  </w:r>
                  <w:r>
                    <w:rPr>
                      <w:rFonts w:cs="Georgia"/>
                      <w:color w:val="000000"/>
                    </w:rPr>
                    <w:t>à</w:t>
                  </w:r>
                  <w:r>
                    <w:rPr>
                      <w:rFonts w:cs="Georgia"/>
                      <w:color w:val="000000"/>
                      <w:spacing w:val="1"/>
                    </w:rPr>
                    <w:t xml:space="preserve"> </w:t>
                  </w:r>
                  <w:r>
                    <w:rPr>
                      <w:rFonts w:cs="Georgia"/>
                      <w:color w:val="000000"/>
                    </w:rPr>
                    <w:t>diff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rPr>
                    <w:t>s</w:t>
                  </w:r>
                  <w:r>
                    <w:rPr>
                      <w:rFonts w:cs="Georgia"/>
                      <w:color w:val="000000"/>
                      <w:spacing w:val="3"/>
                    </w:rPr>
                    <w:t xml:space="preserve"> </w:t>
                  </w:r>
                  <w:r>
                    <w:rPr>
                      <w:rFonts w:cs="Georgia"/>
                      <w:color w:val="000000"/>
                      <w:spacing w:val="-3"/>
                    </w:rPr>
                    <w:t>m</w:t>
                  </w:r>
                  <w:r>
                    <w:rPr>
                      <w:rFonts w:cs="Georgia"/>
                      <w:color w:val="000000"/>
                      <w:spacing w:val="1"/>
                    </w:rPr>
                    <w:t>o</w:t>
                  </w:r>
                  <w:r>
                    <w:rPr>
                      <w:rFonts w:cs="Georgia"/>
                      <w:color w:val="000000"/>
                    </w:rPr>
                    <w:t>m</w:t>
                  </w:r>
                  <w:r>
                    <w:rPr>
                      <w:rFonts w:cs="Georgia"/>
                      <w:color w:val="000000"/>
                      <w:spacing w:val="-1"/>
                    </w:rPr>
                    <w:t>en</w:t>
                  </w:r>
                  <w:r>
                    <w:rPr>
                      <w:rFonts w:cs="Georgia"/>
                      <w:color w:val="000000"/>
                      <w:spacing w:val="-2"/>
                    </w:rPr>
                    <w:t>t</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année</w:t>
                  </w:r>
                  <w:r>
                    <w:rPr>
                      <w:rFonts w:cs="Georgia"/>
                      <w:color w:val="000000"/>
                    </w:rPr>
                    <w:t>.</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1"/>
                    </w:rPr>
                    <w:t xml:space="preserve"> co</w:t>
                  </w:r>
                  <w:r>
                    <w:rPr>
                      <w:rFonts w:cs="Georgia"/>
                      <w:color w:val="000000"/>
                      <w:spacing w:val="-2"/>
                    </w:rPr>
                    <w:t>u</w:t>
                  </w:r>
                  <w:r>
                    <w:rPr>
                      <w:rFonts w:cs="Georgia"/>
                      <w:color w:val="000000"/>
                      <w:spacing w:val="1"/>
                    </w:rPr>
                    <w:t>rr</w:t>
                  </w:r>
                  <w:r>
                    <w:rPr>
                      <w:rFonts w:cs="Georgia"/>
                      <w:color w:val="000000"/>
                    </w:rPr>
                    <w:t>i</w:t>
                  </w:r>
                  <w:r>
                    <w:rPr>
                      <w:rFonts w:cs="Georgia"/>
                      <w:color w:val="000000"/>
                      <w:spacing w:val="-3"/>
                    </w:rPr>
                    <w:t>e</w:t>
                  </w:r>
                  <w:r>
                    <w:rPr>
                      <w:rFonts w:cs="Georgia"/>
                      <w:color w:val="000000"/>
                    </w:rPr>
                    <w:t xml:space="preserve">r </w:t>
                  </w:r>
                  <w:r>
                    <w:rPr>
                      <w:rFonts w:cs="Georgia"/>
                      <w:color w:val="000000"/>
                      <w:spacing w:val="-1"/>
                    </w:rPr>
                    <w:t>ann</w:t>
                  </w:r>
                  <w:r>
                    <w:rPr>
                      <w:rFonts w:cs="Georgia"/>
                      <w:color w:val="000000"/>
                      <w:spacing w:val="1"/>
                    </w:rPr>
                    <w:t>o</w:t>
                  </w:r>
                  <w:r>
                    <w:rPr>
                      <w:rFonts w:cs="Georgia"/>
                      <w:color w:val="000000"/>
                      <w:spacing w:val="-1"/>
                    </w:rPr>
                    <w:t>n</w:t>
                  </w:r>
                  <w:r>
                    <w:rPr>
                      <w:rFonts w:cs="Georgia"/>
                      <w:color w:val="000000"/>
                      <w:spacing w:val="1"/>
                    </w:rPr>
                    <w:t>ç</w:t>
                  </w:r>
                  <w:r>
                    <w:rPr>
                      <w:rFonts w:cs="Georgia"/>
                      <w:color w:val="000000"/>
                      <w:spacing w:val="-1"/>
                    </w:rPr>
                    <w:t>an</w:t>
                  </w:r>
                  <w:r>
                    <w:rPr>
                      <w:rFonts w:cs="Georgia"/>
                      <w:color w:val="000000"/>
                    </w:rPr>
                    <w:t>t</w:t>
                  </w:r>
                  <w:r>
                    <w:rPr>
                      <w:rFonts w:cs="Georgia"/>
                      <w:color w:val="000000"/>
                      <w:spacing w:val="15"/>
                    </w:rPr>
                    <w:t xml:space="preserve"> </w:t>
                  </w:r>
                  <w:r>
                    <w:rPr>
                      <w:rFonts w:cs="Georgia"/>
                      <w:color w:val="000000"/>
                      <w:spacing w:val="-1"/>
                    </w:rPr>
                    <w:t>l</w:t>
                  </w:r>
                  <w:r>
                    <w:rPr>
                      <w:rFonts w:cs="Georgia"/>
                      <w:color w:val="000000"/>
                    </w:rPr>
                    <w:t>a</w:t>
                  </w:r>
                  <w:r>
                    <w:rPr>
                      <w:rFonts w:cs="Georgia"/>
                      <w:color w:val="000000"/>
                      <w:spacing w:val="13"/>
                    </w:rPr>
                    <w:t xml:space="preserve"> </w:t>
                  </w:r>
                  <w:r>
                    <w:rPr>
                      <w:rFonts w:cs="Georgia"/>
                      <w:color w:val="000000"/>
                    </w:rPr>
                    <w:t>d</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s</w:t>
                  </w:r>
                  <w:r>
                    <w:rPr>
                      <w:rFonts w:cs="Georgia"/>
                      <w:color w:val="000000"/>
                      <w:spacing w:val="-2"/>
                    </w:rPr>
                    <w:t>i</w:t>
                  </w:r>
                  <w:r>
                    <w:rPr>
                      <w:rFonts w:cs="Georgia"/>
                      <w:color w:val="000000"/>
                      <w:spacing w:val="1"/>
                    </w:rPr>
                    <w:t>o</w:t>
                  </w:r>
                  <w:r>
                    <w:rPr>
                      <w:rFonts w:cs="Georgia"/>
                      <w:color w:val="000000"/>
                    </w:rPr>
                    <w:t>n</w:t>
                  </w:r>
                  <w:r>
                    <w:rPr>
                      <w:rFonts w:cs="Georgia"/>
                      <w:color w:val="000000"/>
                      <w:spacing w:val="13"/>
                    </w:rPr>
                    <w:t xml:space="preserve"> </w:t>
                  </w:r>
                  <w:r>
                    <w:rPr>
                      <w:rFonts w:cs="Georgia"/>
                      <w:color w:val="000000"/>
                      <w:spacing w:val="-2"/>
                    </w:rPr>
                    <w:t>d</w:t>
                  </w:r>
                  <w:r>
                    <w:rPr>
                      <w:rFonts w:cs="Georgia"/>
                      <w:color w:val="000000"/>
                    </w:rPr>
                    <w:t>u</w:t>
                  </w:r>
                  <w:r>
                    <w:rPr>
                      <w:rFonts w:cs="Georgia"/>
                      <w:color w:val="000000"/>
                      <w:spacing w:val="15"/>
                    </w:rPr>
                    <w:t xml:space="preserve"> </w:t>
                  </w:r>
                  <w:r>
                    <w:rPr>
                      <w:rFonts w:cs="Georgia"/>
                      <w:color w:val="000000"/>
                      <w:spacing w:val="-1"/>
                    </w:rPr>
                    <w:t>M</w:t>
                  </w:r>
                  <w:r>
                    <w:rPr>
                      <w:rFonts w:cs="Georgia"/>
                      <w:color w:val="000000"/>
                    </w:rPr>
                    <w:t>i</w:t>
                  </w:r>
                  <w:r>
                    <w:rPr>
                      <w:rFonts w:cs="Georgia"/>
                      <w:color w:val="000000"/>
                      <w:spacing w:val="-1"/>
                    </w:rPr>
                    <w:t>n</w:t>
                  </w:r>
                  <w:r>
                    <w:rPr>
                      <w:rFonts w:cs="Georgia"/>
                      <w:color w:val="000000"/>
                    </w:rPr>
                    <w:t>i</w:t>
                  </w:r>
                  <w:r>
                    <w:rPr>
                      <w:rFonts w:cs="Georgia"/>
                      <w:color w:val="000000"/>
                      <w:spacing w:val="1"/>
                    </w:rPr>
                    <w:t>s</w:t>
                  </w:r>
                  <w:r>
                    <w:rPr>
                      <w:rFonts w:cs="Georgia"/>
                      <w:color w:val="000000"/>
                      <w:spacing w:val="-2"/>
                    </w:rPr>
                    <w:t>t</w:t>
                  </w:r>
                  <w:r>
                    <w:rPr>
                      <w:rFonts w:cs="Georgia"/>
                      <w:color w:val="000000"/>
                      <w:spacing w:val="1"/>
                    </w:rPr>
                    <w:t>r</w:t>
                  </w:r>
                  <w:r>
                    <w:rPr>
                      <w:rFonts w:cs="Georgia"/>
                      <w:color w:val="000000"/>
                    </w:rPr>
                    <w:t>e</w:t>
                  </w:r>
                  <w:r>
                    <w:rPr>
                      <w:rFonts w:cs="Georgia"/>
                      <w:color w:val="000000"/>
                      <w:spacing w:val="13"/>
                    </w:rPr>
                    <w:t xml:space="preserve"> </w:t>
                  </w:r>
                  <w:r>
                    <w:rPr>
                      <w:rFonts w:cs="Georgia"/>
                      <w:color w:val="000000"/>
                      <w:spacing w:val="-1"/>
                    </w:rPr>
                    <w:t>p</w:t>
                  </w:r>
                  <w:r>
                    <w:rPr>
                      <w:rFonts w:cs="Georgia"/>
                      <w:color w:val="000000"/>
                      <w:spacing w:val="1"/>
                    </w:rPr>
                    <w:t>r</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s</w:t>
                  </w:r>
                  <w:r>
                    <w:rPr>
                      <w:rFonts w:cs="Georgia"/>
                      <w:color w:val="000000"/>
                    </w:rPr>
                    <w:t>e</w:t>
                  </w:r>
                  <w:r>
                    <w:rPr>
                      <w:rFonts w:cs="Georgia"/>
                      <w:color w:val="000000"/>
                      <w:spacing w:val="13"/>
                    </w:rPr>
                    <w:t xml:space="preserve"> </w:t>
                  </w:r>
                  <w:r>
                    <w:rPr>
                      <w:rFonts w:cs="Georgia"/>
                      <w:color w:val="000000"/>
                      <w:spacing w:val="-1"/>
                    </w:rPr>
                    <w:t>l</w:t>
                  </w:r>
                  <w:r>
                    <w:rPr>
                      <w:rFonts w:cs="Georgia"/>
                      <w:color w:val="000000"/>
                    </w:rPr>
                    <w:t>a</w:t>
                  </w:r>
                  <w:r>
                    <w:rPr>
                      <w:rFonts w:cs="Georgia"/>
                      <w:color w:val="000000"/>
                      <w:spacing w:val="13"/>
                    </w:rPr>
                    <w:t xml:space="preserve"> </w:t>
                  </w:r>
                  <w:r>
                    <w:rPr>
                      <w:rFonts w:cs="Georgia"/>
                      <w:color w:val="000000"/>
                      <w:spacing w:val="-2"/>
                    </w:rPr>
                    <w:t>d</w:t>
                  </w:r>
                  <w:r>
                    <w:rPr>
                      <w:rFonts w:cs="Georgia"/>
                      <w:color w:val="000000"/>
                    </w:rPr>
                    <w:t>u</w:t>
                  </w:r>
                  <w:r>
                    <w:rPr>
                      <w:rFonts w:cs="Georgia"/>
                      <w:color w:val="000000"/>
                      <w:spacing w:val="-2"/>
                    </w:rPr>
                    <w:t>r</w:t>
                  </w:r>
                  <w:r>
                    <w:rPr>
                      <w:rFonts w:cs="Georgia"/>
                      <w:color w:val="000000"/>
                      <w:spacing w:val="-1"/>
                    </w:rPr>
                    <w:t>é</w:t>
                  </w:r>
                  <w:r>
                    <w:rPr>
                      <w:rFonts w:cs="Georgia"/>
                      <w:color w:val="000000"/>
                    </w:rPr>
                    <w:t>e</w:t>
                  </w:r>
                  <w:r>
                    <w:rPr>
                      <w:rFonts w:cs="Georgia"/>
                      <w:color w:val="000000"/>
                      <w:spacing w:val="13"/>
                    </w:rPr>
                    <w:t xml:space="preserve"> </w:t>
                  </w:r>
                  <w:r>
                    <w:rPr>
                      <w:rFonts w:cs="Georgia"/>
                      <w:color w:val="000000"/>
                    </w:rPr>
                    <w:t>de</w:t>
                  </w:r>
                  <w:r>
                    <w:rPr>
                      <w:rFonts w:cs="Georgia"/>
                      <w:color w:val="000000"/>
                      <w:spacing w:val="13"/>
                    </w:rPr>
                    <w:t xml:space="preserve"> </w:t>
                  </w:r>
                  <w:r>
                    <w:rPr>
                      <w:rFonts w:cs="Georgia"/>
                      <w:color w:val="000000"/>
                      <w:spacing w:val="1"/>
                    </w:rPr>
                    <w:t>v</w:t>
                  </w:r>
                  <w:r>
                    <w:rPr>
                      <w:rFonts w:cs="Georgia"/>
                      <w:color w:val="000000"/>
                      <w:spacing w:val="-1"/>
                    </w:rPr>
                    <w:t>al</w:t>
                  </w:r>
                  <w:r>
                    <w:rPr>
                      <w:rFonts w:cs="Georgia"/>
                      <w:color w:val="000000"/>
                    </w:rPr>
                    <w:t>i</w:t>
                  </w:r>
                  <w:r>
                    <w:rPr>
                      <w:rFonts w:cs="Georgia"/>
                      <w:color w:val="000000"/>
                      <w:spacing w:val="1"/>
                    </w:rPr>
                    <w:t>d</w:t>
                  </w:r>
                  <w:r>
                    <w:rPr>
                      <w:rFonts w:cs="Georgia"/>
                      <w:color w:val="000000"/>
                    </w:rPr>
                    <w:t>i</w:t>
                  </w:r>
                  <w:r>
                    <w:rPr>
                      <w:rFonts w:cs="Georgia"/>
                      <w:color w:val="000000"/>
                      <w:spacing w:val="1"/>
                    </w:rPr>
                    <w:t>t</w:t>
                  </w:r>
                  <w:r>
                    <w:rPr>
                      <w:rFonts w:cs="Georgia"/>
                      <w:color w:val="000000"/>
                      <w:spacing w:val="-1"/>
                    </w:rPr>
                    <w:t>é</w:t>
                  </w:r>
                  <w:r>
                    <w:rPr>
                      <w:rFonts w:cs="Georgia"/>
                      <w:color w:val="000000"/>
                    </w:rPr>
                    <w:t>.</w:t>
                  </w:r>
                  <w:r>
                    <w:rPr>
                      <w:rFonts w:cs="Georgia"/>
                      <w:color w:val="000000"/>
                      <w:spacing w:val="15"/>
                    </w:rPr>
                    <w:t xml:space="preserve"> </w:t>
                  </w:r>
                  <w:r>
                    <w:rPr>
                      <w:rFonts w:cs="Georgia"/>
                      <w:color w:val="000000"/>
                      <w:spacing w:val="-1"/>
                    </w:rPr>
                    <w:t>En cas de recomptage à la hausse du CPU des enseignants (variation de la population scolaire supérieure à 5%) le 30 septembre, l’établissement perd le bénéfice des périodes complémentaires déjà octroyées.</w:t>
                  </w:r>
                </w:p>
                <w:p>
                  <w:pPr>
                    <w:widowControl w:val="0"/>
                    <w:autoSpaceDE w:val="0"/>
                    <w:autoSpaceDN w:val="0"/>
                    <w:adjustRightInd w:val="0"/>
                    <w:ind w:right="47"/>
                    <w:jc w:val="both"/>
                    <w:rPr>
                      <w:rFonts w:cs="Georgia"/>
                      <w:color w:val="000000"/>
                      <w:spacing w:val="-1"/>
                    </w:rPr>
                  </w:pPr>
                </w:p>
                <w:p>
                  <w:pPr>
                    <w:widowControl w:val="0"/>
                    <w:numPr>
                      <w:ilvl w:val="0"/>
                      <w:numId w:val="58"/>
                    </w:numPr>
                    <w:tabs>
                      <w:tab w:val="left" w:pos="840"/>
                    </w:tabs>
                    <w:suppressAutoHyphens/>
                    <w:autoSpaceDE w:val="0"/>
                    <w:autoSpaceDN w:val="0"/>
                    <w:adjustRightInd w:val="0"/>
                    <w:ind w:right="-20" w:hanging="1080"/>
                    <w:jc w:val="both"/>
                    <w:rPr>
                      <w:rFonts w:cs="Georgia"/>
                      <w:color w:val="000000"/>
                    </w:rPr>
                  </w:pPr>
                  <w:r>
                    <w:rPr>
                      <w:rFonts w:cs="Georgia"/>
                      <w:color w:val="000000"/>
                      <w:spacing w:val="1"/>
                    </w:rPr>
                    <w:t>L</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rPr>
                    <w:t>d</w:t>
                  </w:r>
                  <w:r>
                    <w:rPr>
                      <w:rFonts w:cs="Georgia"/>
                      <w:color w:val="000000"/>
                      <w:spacing w:val="-3"/>
                    </w:rPr>
                    <w:t>e</w:t>
                  </w:r>
                  <w:r>
                    <w:rPr>
                      <w:rFonts w:cs="Georgia"/>
                      <w:color w:val="000000"/>
                    </w:rPr>
                    <w:t xml:space="preserve">s dérogatoires afférentes aux grandes distances </w:t>
                  </w:r>
                  <w:r>
                    <w:rPr>
                      <w:rFonts w:cs="Georgia"/>
                      <w:color w:val="000000"/>
                      <w:spacing w:val="1"/>
                    </w:rPr>
                    <w:t>(</w:t>
                  </w:r>
                  <w:r>
                    <w:rPr>
                      <w:rFonts w:cs="Georgia"/>
                      <w:color w:val="000000"/>
                    </w:rPr>
                    <w:t>article 148, alinéa 8):</w:t>
                  </w:r>
                </w:p>
                <w:p>
                  <w:pPr>
                    <w:widowControl w:val="0"/>
                    <w:tabs>
                      <w:tab w:val="left" w:pos="840"/>
                    </w:tabs>
                    <w:autoSpaceDE w:val="0"/>
                    <w:autoSpaceDN w:val="0"/>
                    <w:adjustRightInd w:val="0"/>
                    <w:ind w:right="-20"/>
                    <w:jc w:val="both"/>
                    <w:rPr>
                      <w:rFonts w:cs="Georgia"/>
                      <w:color w:val="000000"/>
                    </w:rPr>
                  </w:pPr>
                </w:p>
                <w:p>
                  <w:pPr>
                    <w:widowControl w:val="0"/>
                    <w:autoSpaceDE w:val="0"/>
                    <w:autoSpaceDN w:val="0"/>
                    <w:adjustRightInd w:val="0"/>
                    <w:jc w:val="both"/>
                    <w:rPr>
                      <w:rFonts w:cs="Georgia"/>
                      <w:color w:val="000000"/>
                    </w:rPr>
                  </w:pPr>
                  <w:r>
                    <w:rPr>
                      <w:rFonts w:cs="Georgia"/>
                      <w:color w:val="000000"/>
                    </w:rPr>
                    <w:t>C</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so</w:t>
                  </w:r>
                  <w:r>
                    <w:rPr>
                      <w:rFonts w:cs="Georgia"/>
                      <w:color w:val="000000"/>
                      <w:spacing w:val="-1"/>
                    </w:rPr>
                    <w:t>n</w:t>
                  </w:r>
                  <w:r>
                    <w:rPr>
                      <w:rFonts w:cs="Georgia"/>
                      <w:color w:val="000000"/>
                    </w:rPr>
                    <w:t>t f</w:t>
                  </w:r>
                  <w:r>
                    <w:rPr>
                      <w:rFonts w:cs="Georgia"/>
                      <w:color w:val="000000"/>
                      <w:spacing w:val="-1"/>
                    </w:rPr>
                    <w:t>a</w:t>
                  </w:r>
                  <w:r>
                    <w:rPr>
                      <w:rFonts w:cs="Georgia"/>
                      <w:color w:val="000000"/>
                      <w:spacing w:val="1"/>
                    </w:rPr>
                    <w:t>c</w:t>
                  </w:r>
                  <w:r>
                    <w:rPr>
                      <w:rFonts w:cs="Georgia"/>
                      <w:color w:val="000000"/>
                    </w:rPr>
                    <w:t>u</w:t>
                  </w:r>
                  <w:r>
                    <w:rPr>
                      <w:rFonts w:cs="Georgia"/>
                      <w:color w:val="000000"/>
                      <w:spacing w:val="-1"/>
                    </w:rPr>
                    <w:t>l</w:t>
                  </w:r>
                  <w:r>
                    <w:rPr>
                      <w:rFonts w:cs="Georgia"/>
                      <w:color w:val="000000"/>
                      <w:spacing w:val="-2"/>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v</w:t>
                  </w:r>
                  <w:r>
                    <w:rPr>
                      <w:rFonts w:cs="Georgia"/>
                      <w:color w:val="000000"/>
                      <w:spacing w:val="-1"/>
                    </w:rPr>
                    <w:t>e</w:t>
                  </w:r>
                  <w:r>
                    <w:rPr>
                      <w:rFonts w:cs="Georgia"/>
                      <w:color w:val="000000"/>
                      <w:spacing w:val="1"/>
                    </w:rPr>
                    <w:t>s</w:t>
                  </w:r>
                  <w:r>
                    <w:rPr>
                      <w:rFonts w:cs="Georgia"/>
                      <w:color w:val="000000"/>
                    </w:rPr>
                    <w:t>.</w:t>
                  </w:r>
                  <w:r>
                    <w:rPr>
                      <w:rFonts w:cs="Georgia"/>
                      <w:color w:val="000000"/>
                      <w:spacing w:val="2"/>
                    </w:rPr>
                    <w:t xml:space="preserve"> </w:t>
                  </w:r>
                  <w:r>
                    <w:rPr>
                      <w:rFonts w:cs="Georgia"/>
                      <w:color w:val="000000"/>
                    </w:rPr>
                    <w:t>E</w:t>
                  </w:r>
                  <w:r>
                    <w:rPr>
                      <w:rFonts w:cs="Georgia"/>
                      <w:color w:val="000000"/>
                      <w:spacing w:val="-1"/>
                    </w:rPr>
                    <w:t>lle</w:t>
                  </w:r>
                  <w:r>
                    <w:rPr>
                      <w:rFonts w:cs="Georgia"/>
                      <w:color w:val="000000"/>
                    </w:rPr>
                    <w:t>s</w:t>
                  </w:r>
                  <w:r>
                    <w:rPr>
                      <w:rFonts w:cs="Georgia"/>
                      <w:color w:val="000000"/>
                      <w:spacing w:val="3"/>
                    </w:rPr>
                    <w:t xml:space="preserve">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t</w:t>
                  </w:r>
                  <w:r>
                    <w:rPr>
                      <w:rFonts w:cs="Georgia"/>
                      <w:color w:val="000000"/>
                      <w:spacing w:val="3"/>
                    </w:rPr>
                    <w:t xml:space="preserve"> </w:t>
                  </w:r>
                  <w:r>
                    <w:rPr>
                      <w:rFonts w:cs="Georgia"/>
                      <w:color w:val="000000"/>
                      <w:spacing w:val="-1"/>
                    </w:rPr>
                    <w:t>a</w:t>
                  </w:r>
                  <w:r>
                    <w:rPr>
                      <w:rFonts w:cs="Georgia"/>
                      <w:color w:val="000000"/>
                      <w:spacing w:val="-2"/>
                    </w:rPr>
                    <w:t>t</w:t>
                  </w:r>
                  <w:r>
                    <w:rPr>
                      <w:rFonts w:cs="Georgia"/>
                      <w:color w:val="000000"/>
                      <w:spacing w:val="1"/>
                    </w:rPr>
                    <w:t>tr</w:t>
                  </w:r>
                  <w:r>
                    <w:rPr>
                      <w:rFonts w:cs="Georgia"/>
                      <w:color w:val="000000"/>
                      <w:spacing w:val="-2"/>
                    </w:rPr>
                    <w:t>i</w:t>
                  </w:r>
                  <w:r>
                    <w:rPr>
                      <w:rFonts w:cs="Georgia"/>
                      <w:color w:val="000000"/>
                      <w:spacing w:val="1"/>
                    </w:rPr>
                    <w:t>b</w:t>
                  </w:r>
                  <w:r>
                    <w:rPr>
                      <w:rFonts w:cs="Georgia"/>
                      <w:color w:val="000000"/>
                      <w:spacing w:val="-2"/>
                    </w:rPr>
                    <w:t>u</w:t>
                  </w:r>
                  <w:r>
                    <w:rPr>
                      <w:rFonts w:cs="Georgia"/>
                      <w:color w:val="000000"/>
                      <w:spacing w:val="-1"/>
                    </w:rPr>
                    <w:t>ée</w:t>
                  </w:r>
                  <w:r>
                    <w:rPr>
                      <w:rFonts w:cs="Georgia"/>
                      <w:color w:val="000000"/>
                    </w:rPr>
                    <w:t>s</w:t>
                  </w:r>
                  <w:r>
                    <w:rPr>
                      <w:rFonts w:cs="Georgia"/>
                      <w:color w:val="000000"/>
                      <w:spacing w:val="3"/>
                    </w:rPr>
                    <w:t xml:space="preserve"> </w:t>
                  </w:r>
                  <w:r>
                    <w:rPr>
                      <w:rFonts w:cs="Georgia"/>
                      <w:color w:val="000000"/>
                    </w:rPr>
                    <w:t>à</w:t>
                  </w:r>
                  <w:r>
                    <w:rPr>
                      <w:rFonts w:cs="Georgia"/>
                      <w:color w:val="000000"/>
                      <w:spacing w:val="1"/>
                    </w:rPr>
                    <w:t xml:space="preserve"> </w:t>
                  </w:r>
                  <w:r>
                    <w:rPr>
                      <w:rFonts w:cs="Georgia"/>
                      <w:color w:val="000000"/>
                    </w:rPr>
                    <w:t>diff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rPr>
                    <w:t>s</w:t>
                  </w:r>
                  <w:r>
                    <w:rPr>
                      <w:rFonts w:cs="Georgia"/>
                      <w:color w:val="000000"/>
                      <w:spacing w:val="3"/>
                    </w:rPr>
                    <w:t xml:space="preserve"> </w:t>
                  </w:r>
                  <w:r>
                    <w:rPr>
                      <w:rFonts w:cs="Georgia"/>
                      <w:color w:val="000000"/>
                      <w:spacing w:val="-3"/>
                    </w:rPr>
                    <w:t>m</w:t>
                  </w:r>
                  <w:r>
                    <w:rPr>
                      <w:rFonts w:cs="Georgia"/>
                      <w:color w:val="000000"/>
                      <w:spacing w:val="1"/>
                    </w:rPr>
                    <w:t>o</w:t>
                  </w:r>
                  <w:r>
                    <w:rPr>
                      <w:rFonts w:cs="Georgia"/>
                      <w:color w:val="000000"/>
                    </w:rPr>
                    <w:t>m</w:t>
                  </w:r>
                  <w:r>
                    <w:rPr>
                      <w:rFonts w:cs="Georgia"/>
                      <w:color w:val="000000"/>
                      <w:spacing w:val="-1"/>
                    </w:rPr>
                    <w:t>en</w:t>
                  </w:r>
                  <w:r>
                    <w:rPr>
                      <w:rFonts w:cs="Georgia"/>
                      <w:color w:val="000000"/>
                      <w:spacing w:val="-2"/>
                    </w:rPr>
                    <w:t>t</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année en raison de la distance importante qui sépare les deux établissements partenaires de l’intégration</w:t>
                  </w:r>
                  <w:r>
                    <w:rPr>
                      <w:rFonts w:cs="Georgia"/>
                      <w:color w:val="000000"/>
                    </w:rPr>
                    <w:t>.</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1"/>
                    </w:rPr>
                    <w:t xml:space="preserve"> co</w:t>
                  </w:r>
                  <w:r>
                    <w:rPr>
                      <w:rFonts w:cs="Georgia"/>
                      <w:color w:val="000000"/>
                      <w:spacing w:val="-2"/>
                    </w:rPr>
                    <w:t>u</w:t>
                  </w:r>
                  <w:r>
                    <w:rPr>
                      <w:rFonts w:cs="Georgia"/>
                      <w:color w:val="000000"/>
                      <w:spacing w:val="1"/>
                    </w:rPr>
                    <w:t>rr</w:t>
                  </w:r>
                  <w:r>
                    <w:rPr>
                      <w:rFonts w:cs="Georgia"/>
                      <w:color w:val="000000"/>
                    </w:rPr>
                    <w:t>i</w:t>
                  </w:r>
                  <w:r>
                    <w:rPr>
                      <w:rFonts w:cs="Georgia"/>
                      <w:color w:val="000000"/>
                      <w:spacing w:val="-3"/>
                    </w:rPr>
                    <w:t>e</w:t>
                  </w:r>
                  <w:r>
                    <w:rPr>
                      <w:rFonts w:cs="Georgia"/>
                      <w:color w:val="000000"/>
                    </w:rPr>
                    <w:t xml:space="preserve">r </w:t>
                  </w:r>
                  <w:r>
                    <w:rPr>
                      <w:rFonts w:cs="Georgia"/>
                      <w:color w:val="000000"/>
                      <w:spacing w:val="-1"/>
                    </w:rPr>
                    <w:t>ann</w:t>
                  </w:r>
                  <w:r>
                    <w:rPr>
                      <w:rFonts w:cs="Georgia"/>
                      <w:color w:val="000000"/>
                      <w:spacing w:val="1"/>
                    </w:rPr>
                    <w:t>o</w:t>
                  </w:r>
                  <w:r>
                    <w:rPr>
                      <w:rFonts w:cs="Georgia"/>
                      <w:color w:val="000000"/>
                      <w:spacing w:val="-1"/>
                    </w:rPr>
                    <w:t>n</w:t>
                  </w:r>
                  <w:r>
                    <w:rPr>
                      <w:rFonts w:cs="Georgia"/>
                      <w:color w:val="000000"/>
                      <w:spacing w:val="1"/>
                    </w:rPr>
                    <w:t>ç</w:t>
                  </w:r>
                  <w:r>
                    <w:rPr>
                      <w:rFonts w:cs="Georgia"/>
                      <w:color w:val="000000"/>
                      <w:spacing w:val="-1"/>
                    </w:rPr>
                    <w:t>an</w:t>
                  </w:r>
                  <w:r>
                    <w:rPr>
                      <w:rFonts w:cs="Georgia"/>
                      <w:color w:val="000000"/>
                    </w:rPr>
                    <w:t>t</w:t>
                  </w:r>
                  <w:r>
                    <w:rPr>
                      <w:rFonts w:cs="Georgia"/>
                      <w:color w:val="000000"/>
                      <w:spacing w:val="15"/>
                    </w:rPr>
                    <w:t xml:space="preserve"> </w:t>
                  </w:r>
                  <w:r>
                    <w:rPr>
                      <w:rFonts w:cs="Georgia"/>
                      <w:color w:val="000000"/>
                      <w:spacing w:val="-1"/>
                    </w:rPr>
                    <w:t>l</w:t>
                  </w:r>
                  <w:r>
                    <w:rPr>
                      <w:rFonts w:cs="Georgia"/>
                      <w:color w:val="000000"/>
                    </w:rPr>
                    <w:t>a</w:t>
                  </w:r>
                  <w:r>
                    <w:rPr>
                      <w:rFonts w:cs="Georgia"/>
                      <w:color w:val="000000"/>
                      <w:spacing w:val="13"/>
                    </w:rPr>
                    <w:t xml:space="preserve"> </w:t>
                  </w:r>
                  <w:r>
                    <w:rPr>
                      <w:rFonts w:cs="Georgia"/>
                      <w:color w:val="000000"/>
                    </w:rPr>
                    <w:t>d</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s</w:t>
                  </w:r>
                  <w:r>
                    <w:rPr>
                      <w:rFonts w:cs="Georgia"/>
                      <w:color w:val="000000"/>
                      <w:spacing w:val="-2"/>
                    </w:rPr>
                    <w:t>i</w:t>
                  </w:r>
                  <w:r>
                    <w:rPr>
                      <w:rFonts w:cs="Georgia"/>
                      <w:color w:val="000000"/>
                      <w:spacing w:val="1"/>
                    </w:rPr>
                    <w:t>o</w:t>
                  </w:r>
                  <w:r>
                    <w:rPr>
                      <w:rFonts w:cs="Georgia"/>
                      <w:color w:val="000000"/>
                    </w:rPr>
                    <w:t>n</w:t>
                  </w:r>
                  <w:r>
                    <w:rPr>
                      <w:rFonts w:cs="Georgia"/>
                      <w:color w:val="000000"/>
                      <w:spacing w:val="13"/>
                    </w:rPr>
                    <w:t xml:space="preserve"> </w:t>
                  </w:r>
                  <w:r>
                    <w:rPr>
                      <w:rFonts w:cs="Georgia"/>
                      <w:color w:val="000000"/>
                      <w:spacing w:val="-2"/>
                    </w:rPr>
                    <w:t>d</w:t>
                  </w:r>
                  <w:r>
                    <w:rPr>
                      <w:rFonts w:cs="Georgia"/>
                      <w:color w:val="000000"/>
                    </w:rPr>
                    <w:t>u</w:t>
                  </w:r>
                  <w:r>
                    <w:rPr>
                      <w:rFonts w:cs="Georgia"/>
                      <w:color w:val="000000"/>
                      <w:spacing w:val="15"/>
                    </w:rPr>
                    <w:t xml:space="preserve"> </w:t>
                  </w:r>
                  <w:r>
                    <w:rPr>
                      <w:rFonts w:cs="Georgia"/>
                      <w:color w:val="000000"/>
                      <w:spacing w:val="-1"/>
                    </w:rPr>
                    <w:t>M</w:t>
                  </w:r>
                  <w:r>
                    <w:rPr>
                      <w:rFonts w:cs="Georgia"/>
                      <w:color w:val="000000"/>
                    </w:rPr>
                    <w:t>i</w:t>
                  </w:r>
                  <w:r>
                    <w:rPr>
                      <w:rFonts w:cs="Georgia"/>
                      <w:color w:val="000000"/>
                      <w:spacing w:val="-1"/>
                    </w:rPr>
                    <w:t>n</w:t>
                  </w:r>
                  <w:r>
                    <w:rPr>
                      <w:rFonts w:cs="Georgia"/>
                      <w:color w:val="000000"/>
                    </w:rPr>
                    <w:t>i</w:t>
                  </w:r>
                  <w:r>
                    <w:rPr>
                      <w:rFonts w:cs="Georgia"/>
                      <w:color w:val="000000"/>
                      <w:spacing w:val="1"/>
                    </w:rPr>
                    <w:t>s</w:t>
                  </w:r>
                  <w:r>
                    <w:rPr>
                      <w:rFonts w:cs="Georgia"/>
                      <w:color w:val="000000"/>
                      <w:spacing w:val="-2"/>
                    </w:rPr>
                    <w:t>t</w:t>
                  </w:r>
                  <w:r>
                    <w:rPr>
                      <w:rFonts w:cs="Georgia"/>
                      <w:color w:val="000000"/>
                      <w:spacing w:val="1"/>
                    </w:rPr>
                    <w:t>r</w:t>
                  </w:r>
                  <w:r>
                    <w:rPr>
                      <w:rFonts w:cs="Georgia"/>
                      <w:color w:val="000000"/>
                    </w:rPr>
                    <w:t>e</w:t>
                  </w:r>
                  <w:r>
                    <w:rPr>
                      <w:rFonts w:cs="Georgia"/>
                      <w:color w:val="000000"/>
                      <w:spacing w:val="13"/>
                    </w:rPr>
                    <w:t xml:space="preserve"> </w:t>
                  </w:r>
                  <w:r>
                    <w:rPr>
                      <w:rFonts w:cs="Georgia"/>
                      <w:color w:val="000000"/>
                      <w:spacing w:val="-1"/>
                    </w:rPr>
                    <w:t>p</w:t>
                  </w:r>
                  <w:r>
                    <w:rPr>
                      <w:rFonts w:cs="Georgia"/>
                      <w:color w:val="000000"/>
                      <w:spacing w:val="1"/>
                    </w:rPr>
                    <w:t>r</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s</w:t>
                  </w:r>
                  <w:r>
                    <w:rPr>
                      <w:rFonts w:cs="Georgia"/>
                      <w:color w:val="000000"/>
                    </w:rPr>
                    <w:t>e</w:t>
                  </w:r>
                  <w:r>
                    <w:rPr>
                      <w:rFonts w:cs="Georgia"/>
                      <w:color w:val="000000"/>
                      <w:spacing w:val="13"/>
                    </w:rPr>
                    <w:t xml:space="preserve"> </w:t>
                  </w:r>
                  <w:r>
                    <w:rPr>
                      <w:rFonts w:cs="Georgia"/>
                      <w:color w:val="000000"/>
                      <w:spacing w:val="-1"/>
                    </w:rPr>
                    <w:t>l</w:t>
                  </w:r>
                  <w:r>
                    <w:rPr>
                      <w:rFonts w:cs="Georgia"/>
                      <w:color w:val="000000"/>
                    </w:rPr>
                    <w:t>a</w:t>
                  </w:r>
                  <w:r>
                    <w:rPr>
                      <w:rFonts w:cs="Georgia"/>
                      <w:color w:val="000000"/>
                      <w:spacing w:val="13"/>
                    </w:rPr>
                    <w:t xml:space="preserve"> </w:t>
                  </w:r>
                  <w:r>
                    <w:rPr>
                      <w:rFonts w:cs="Georgia"/>
                      <w:color w:val="000000"/>
                      <w:spacing w:val="-2"/>
                    </w:rPr>
                    <w:t>d</w:t>
                  </w:r>
                  <w:r>
                    <w:rPr>
                      <w:rFonts w:cs="Georgia"/>
                      <w:color w:val="000000"/>
                    </w:rPr>
                    <w:t>u</w:t>
                  </w:r>
                  <w:r>
                    <w:rPr>
                      <w:rFonts w:cs="Georgia"/>
                      <w:color w:val="000000"/>
                      <w:spacing w:val="-2"/>
                    </w:rPr>
                    <w:t>r</w:t>
                  </w:r>
                  <w:r>
                    <w:rPr>
                      <w:rFonts w:cs="Georgia"/>
                      <w:color w:val="000000"/>
                      <w:spacing w:val="-1"/>
                    </w:rPr>
                    <w:t>é</w:t>
                  </w:r>
                  <w:r>
                    <w:rPr>
                      <w:rFonts w:cs="Georgia"/>
                      <w:color w:val="000000"/>
                    </w:rPr>
                    <w:t>e</w:t>
                  </w:r>
                  <w:r>
                    <w:rPr>
                      <w:rFonts w:cs="Georgia"/>
                      <w:color w:val="000000"/>
                      <w:spacing w:val="13"/>
                    </w:rPr>
                    <w:t xml:space="preserve"> </w:t>
                  </w:r>
                  <w:r>
                    <w:rPr>
                      <w:rFonts w:cs="Georgia"/>
                      <w:color w:val="000000"/>
                    </w:rPr>
                    <w:t>de</w:t>
                  </w:r>
                  <w:r>
                    <w:rPr>
                      <w:rFonts w:cs="Georgia"/>
                      <w:color w:val="000000"/>
                      <w:spacing w:val="13"/>
                    </w:rPr>
                    <w:t xml:space="preserve"> </w:t>
                  </w:r>
                  <w:r>
                    <w:rPr>
                      <w:rFonts w:cs="Georgia"/>
                      <w:color w:val="000000"/>
                      <w:spacing w:val="1"/>
                    </w:rPr>
                    <w:t>v</w:t>
                  </w:r>
                  <w:r>
                    <w:rPr>
                      <w:rFonts w:cs="Georgia"/>
                      <w:color w:val="000000"/>
                      <w:spacing w:val="-1"/>
                    </w:rPr>
                    <w:t>al</w:t>
                  </w:r>
                  <w:r>
                    <w:rPr>
                      <w:rFonts w:cs="Georgia"/>
                      <w:color w:val="000000"/>
                    </w:rPr>
                    <w:t>i</w:t>
                  </w:r>
                  <w:r>
                    <w:rPr>
                      <w:rFonts w:cs="Georgia"/>
                      <w:color w:val="000000"/>
                      <w:spacing w:val="1"/>
                    </w:rPr>
                    <w:t>d</w:t>
                  </w:r>
                  <w:r>
                    <w:rPr>
                      <w:rFonts w:cs="Georgia"/>
                      <w:color w:val="000000"/>
                    </w:rPr>
                    <w:t>i</w:t>
                  </w:r>
                  <w:r>
                    <w:rPr>
                      <w:rFonts w:cs="Georgia"/>
                      <w:color w:val="000000"/>
                      <w:spacing w:val="1"/>
                    </w:rPr>
                    <w:t>t</w:t>
                  </w:r>
                  <w:r>
                    <w:rPr>
                      <w:rFonts w:cs="Georgia"/>
                      <w:color w:val="000000"/>
                      <w:spacing w:val="-1"/>
                    </w:rPr>
                    <w:t>é</w:t>
                  </w:r>
                  <w:r>
                    <w:rPr>
                      <w:rFonts w:cs="Georgia"/>
                      <w:color w:val="000000"/>
                    </w:rPr>
                    <w:t>. Ces périodes restent acquises en cas de recomptage.</w:t>
                  </w:r>
                </w:p>
                <w:p>
                  <w:pPr>
                    <w:widowControl w:val="0"/>
                    <w:autoSpaceDE w:val="0"/>
                    <w:autoSpaceDN w:val="0"/>
                    <w:adjustRightInd w:val="0"/>
                    <w:spacing w:before="12" w:line="240" w:lineRule="exact"/>
                    <w:jc w:val="both"/>
                    <w:rPr>
                      <w:rFonts w:cs="Georgia"/>
                      <w:color w:val="000000"/>
                    </w:rPr>
                  </w:pPr>
                </w:p>
                <w:p>
                  <w:pPr>
                    <w:pStyle w:val="Titre3"/>
                  </w:pPr>
                  <w:bookmarkStart w:id="1743" w:name="_2.1._Capital-périodes"/>
                  <w:bookmarkStart w:id="1744" w:name="_Toc453314321"/>
                  <w:bookmarkStart w:id="1745" w:name="_Toc454980356"/>
                  <w:bookmarkStart w:id="1746" w:name="_Toc18914434"/>
                  <w:bookmarkEnd w:id="1743"/>
                  <w:r>
                    <w:t>2. Capital-périodes</w:t>
                  </w:r>
                  <w:bookmarkEnd w:id="1744"/>
                  <w:bookmarkEnd w:id="1745"/>
                  <w:bookmarkEnd w:id="1746"/>
                </w:p>
                <w:p>
                  <w:pPr>
                    <w:widowControl w:val="0"/>
                    <w:autoSpaceDE w:val="0"/>
                    <w:autoSpaceDN w:val="0"/>
                    <w:adjustRightInd w:val="0"/>
                    <w:spacing w:before="15" w:line="220" w:lineRule="exact"/>
                    <w:jc w:val="both"/>
                    <w:rPr>
                      <w:rFonts w:cs="Georgia"/>
                      <w:color w:val="000000"/>
                    </w:rPr>
                  </w:pPr>
                </w:p>
                <w:p>
                  <w:pPr>
                    <w:pStyle w:val="Titre4"/>
                  </w:pPr>
                  <w:bookmarkStart w:id="1747" w:name="_2.1._Sont_imputées"/>
                  <w:bookmarkEnd w:id="1747"/>
                  <w:r>
                    <w:t>2.1. So</w:t>
                  </w:r>
                  <w:r>
                    <w:rPr>
                      <w:spacing w:val="-1"/>
                    </w:rPr>
                    <w:t>nt</w:t>
                  </w:r>
                  <w:r>
                    <w:rPr>
                      <w:spacing w:val="1"/>
                    </w:rPr>
                    <w:t xml:space="preserve"> i</w:t>
                  </w:r>
                  <w:r>
                    <w:rPr>
                      <w:spacing w:val="-1"/>
                    </w:rPr>
                    <w:t>m</w:t>
                  </w:r>
                  <w:r>
                    <w:rPr>
                      <w:spacing w:val="1"/>
                    </w:rPr>
                    <w:t>p</w:t>
                  </w:r>
                  <w:r>
                    <w:rPr>
                      <w:spacing w:val="-3"/>
                    </w:rPr>
                    <w:t>u</w:t>
                  </w:r>
                  <w:r>
                    <w:rPr>
                      <w:spacing w:val="-1"/>
                    </w:rPr>
                    <w:t>t</w:t>
                  </w:r>
                  <w:r>
                    <w:rPr>
                      <w:spacing w:val="1"/>
                    </w:rPr>
                    <w:t>ée</w:t>
                  </w:r>
                  <w:r>
                    <w:t>s</w:t>
                  </w:r>
                  <w:r>
                    <w:rPr>
                      <w:spacing w:val="-1"/>
                    </w:rPr>
                    <w:t xml:space="preserve"> </w:t>
                  </w:r>
                  <w:r>
                    <w:t>au</w:t>
                  </w:r>
                  <w:r>
                    <w:rPr>
                      <w:spacing w:val="-2"/>
                    </w:rPr>
                    <w:t xml:space="preserve"> c</w:t>
                  </w:r>
                  <w:r>
                    <w:t>a</w:t>
                  </w:r>
                  <w:r>
                    <w:rPr>
                      <w:spacing w:val="-1"/>
                    </w:rPr>
                    <w:t>p</w:t>
                  </w:r>
                  <w:r>
                    <w:rPr>
                      <w:spacing w:val="1"/>
                    </w:rPr>
                    <w:t>i</w:t>
                  </w:r>
                  <w:r>
                    <w:rPr>
                      <w:spacing w:val="-1"/>
                    </w:rPr>
                    <w:t>t</w:t>
                  </w:r>
                  <w:r>
                    <w:t>a</w:t>
                  </w:r>
                  <w:r>
                    <w:rPr>
                      <w:spacing w:val="1"/>
                    </w:rPr>
                    <w:t>l</w:t>
                  </w:r>
                  <w:r>
                    <w:rPr>
                      <w:spacing w:val="-2"/>
                    </w:rPr>
                    <w:t>-</w:t>
                  </w:r>
                  <w:r>
                    <w:rPr>
                      <w:spacing w:val="-1"/>
                    </w:rPr>
                    <w:t>p</w:t>
                  </w:r>
                  <w:r>
                    <w:rPr>
                      <w:spacing w:val="1"/>
                    </w:rPr>
                    <w:t>é</w:t>
                  </w:r>
                  <w:r>
                    <w:t>r</w:t>
                  </w:r>
                  <w:r>
                    <w:rPr>
                      <w:spacing w:val="1"/>
                    </w:rPr>
                    <w:t>i</w:t>
                  </w:r>
                  <w:r>
                    <w:rPr>
                      <w:spacing w:val="-1"/>
                    </w:rPr>
                    <w:t>o</w:t>
                  </w:r>
                  <w:r>
                    <w:rPr>
                      <w:spacing w:val="-2"/>
                    </w:rPr>
                    <w:t>d</w:t>
                  </w:r>
                  <w:r>
                    <w:rPr>
                      <w:spacing w:val="1"/>
                    </w:rPr>
                    <w:t>e</w:t>
                  </w:r>
                  <w:r>
                    <w:t>s</w:t>
                  </w:r>
                  <w:r>
                    <w:rPr>
                      <w:spacing w:val="-1"/>
                    </w:rPr>
                    <w:t xml:space="preserve"> </w:t>
                  </w:r>
                </w:p>
                <w:p>
                  <w:pPr>
                    <w:widowControl w:val="0"/>
                    <w:tabs>
                      <w:tab w:val="left" w:pos="820"/>
                    </w:tabs>
                    <w:autoSpaceDE w:val="0"/>
                    <w:autoSpaceDN w:val="0"/>
                    <w:adjustRightInd w:val="0"/>
                    <w:spacing w:before="36"/>
                    <w:ind w:right="-20"/>
                    <w:jc w:val="both"/>
                    <w:rPr>
                      <w:rFonts w:cs="Georgia"/>
                      <w:color w:val="000000"/>
                    </w:rPr>
                  </w:pPr>
                </w:p>
                <w:p>
                  <w:pPr>
                    <w:pStyle w:val="Paragraphedeliste"/>
                    <w:widowControl w:val="0"/>
                    <w:numPr>
                      <w:ilvl w:val="0"/>
                      <w:numId w:val="67"/>
                    </w:numPr>
                    <w:autoSpaceDE w:val="0"/>
                    <w:autoSpaceDN w:val="0"/>
                    <w:adjustRightInd w:val="0"/>
                    <w:spacing w:before="1" w:line="250" w:lineRule="exact"/>
                    <w:ind w:left="340" w:hanging="340"/>
                    <w:jc w:val="both"/>
                    <w:rPr>
                      <w:rFonts w:asciiTheme="majorHAnsi" w:hAnsiTheme="majorHAnsi" w:cs="Georgia"/>
                      <w:color w:val="000000"/>
                      <w:sz w:val="22"/>
                      <w:szCs w:val="22"/>
                    </w:rPr>
                  </w:pPr>
                  <w:r>
                    <w:rPr>
                      <w:rFonts w:asciiTheme="majorHAnsi" w:hAnsiTheme="majorHAnsi" w:cs="Georgia"/>
                      <w:color w:val="000000"/>
                      <w:spacing w:val="-1"/>
                      <w:sz w:val="22"/>
                      <w:szCs w:val="22"/>
                    </w:rPr>
                    <w:t>le</w:t>
                  </w:r>
                  <w:r>
                    <w:rPr>
                      <w:rFonts w:asciiTheme="majorHAnsi" w:hAnsiTheme="majorHAnsi" w:cs="Georgia"/>
                      <w:color w:val="000000"/>
                      <w:sz w:val="22"/>
                      <w:szCs w:val="22"/>
                    </w:rPr>
                    <w:t>s</w:t>
                  </w:r>
                  <w:r>
                    <w:rPr>
                      <w:rFonts w:asciiTheme="majorHAnsi" w:hAnsiTheme="majorHAnsi" w:cs="Georgia"/>
                      <w:color w:val="000000"/>
                      <w:spacing w:val="8"/>
                      <w:sz w:val="22"/>
                      <w:szCs w:val="22"/>
                    </w:rPr>
                    <w:t xml:space="preserve"> </w:t>
                  </w:r>
                  <w:r>
                    <w:rPr>
                      <w:rFonts w:asciiTheme="majorHAnsi" w:hAnsiTheme="majorHAnsi" w:cs="Georgia"/>
                      <w:color w:val="000000"/>
                      <w:spacing w:val="1"/>
                      <w:sz w:val="22"/>
                      <w:szCs w:val="22"/>
                    </w:rPr>
                    <w:t>p</w:t>
                  </w:r>
                  <w:r>
                    <w:rPr>
                      <w:rFonts w:asciiTheme="majorHAnsi" w:hAnsiTheme="majorHAnsi" w:cs="Georgia"/>
                      <w:color w:val="000000"/>
                      <w:spacing w:val="-3"/>
                      <w:sz w:val="22"/>
                      <w:szCs w:val="22"/>
                    </w:rPr>
                    <w:t>é</w:t>
                  </w:r>
                  <w:r>
                    <w:rPr>
                      <w:rFonts w:asciiTheme="majorHAnsi" w:hAnsiTheme="majorHAnsi" w:cs="Georgia"/>
                      <w:color w:val="000000"/>
                      <w:spacing w:val="1"/>
                      <w:sz w:val="22"/>
                      <w:szCs w:val="22"/>
                    </w:rPr>
                    <w:t>r</w:t>
                  </w:r>
                  <w:r>
                    <w:rPr>
                      <w:rFonts w:asciiTheme="majorHAnsi" w:hAnsiTheme="majorHAnsi" w:cs="Georgia"/>
                      <w:color w:val="000000"/>
                      <w:sz w:val="22"/>
                      <w:szCs w:val="22"/>
                    </w:rPr>
                    <w:t>i</w:t>
                  </w:r>
                  <w:r>
                    <w:rPr>
                      <w:rFonts w:asciiTheme="majorHAnsi" w:hAnsiTheme="majorHAnsi" w:cs="Georgia"/>
                      <w:color w:val="000000"/>
                      <w:spacing w:val="-1"/>
                      <w:sz w:val="22"/>
                      <w:szCs w:val="22"/>
                    </w:rPr>
                    <w:t>o</w:t>
                  </w:r>
                  <w:r>
                    <w:rPr>
                      <w:rFonts w:asciiTheme="majorHAnsi" w:hAnsiTheme="majorHAnsi" w:cs="Georgia"/>
                      <w:color w:val="000000"/>
                      <w:sz w:val="22"/>
                      <w:szCs w:val="22"/>
                    </w:rPr>
                    <w:t>d</w:t>
                  </w:r>
                  <w:r>
                    <w:rPr>
                      <w:rFonts w:asciiTheme="majorHAnsi" w:hAnsiTheme="majorHAnsi" w:cs="Georgia"/>
                      <w:color w:val="000000"/>
                      <w:spacing w:val="-1"/>
                      <w:sz w:val="22"/>
                      <w:szCs w:val="22"/>
                    </w:rPr>
                    <w:t>e</w:t>
                  </w:r>
                  <w:r>
                    <w:rPr>
                      <w:rFonts w:asciiTheme="majorHAnsi" w:hAnsiTheme="majorHAnsi" w:cs="Georgia"/>
                      <w:color w:val="000000"/>
                      <w:sz w:val="22"/>
                      <w:szCs w:val="22"/>
                    </w:rPr>
                    <w:t>s</w:t>
                  </w:r>
                  <w:r>
                    <w:rPr>
                      <w:rFonts w:asciiTheme="majorHAnsi" w:hAnsiTheme="majorHAnsi" w:cs="Georgia"/>
                      <w:color w:val="000000"/>
                      <w:spacing w:val="8"/>
                      <w:sz w:val="22"/>
                      <w:szCs w:val="22"/>
                    </w:rPr>
                    <w:t xml:space="preserve"> </w:t>
                  </w:r>
                  <w:r>
                    <w:rPr>
                      <w:rFonts w:asciiTheme="majorHAnsi" w:hAnsiTheme="majorHAnsi" w:cs="Georgia"/>
                      <w:color w:val="000000"/>
                      <w:spacing w:val="-1"/>
                      <w:sz w:val="22"/>
                      <w:szCs w:val="22"/>
                    </w:rPr>
                    <w:t>a</w:t>
                  </w:r>
                  <w:r>
                    <w:rPr>
                      <w:rFonts w:asciiTheme="majorHAnsi" w:hAnsiTheme="majorHAnsi" w:cs="Georgia"/>
                      <w:color w:val="000000"/>
                      <w:spacing w:val="-2"/>
                      <w:sz w:val="22"/>
                      <w:szCs w:val="22"/>
                    </w:rPr>
                    <w:t>t</w:t>
                  </w:r>
                  <w:r>
                    <w:rPr>
                      <w:rFonts w:asciiTheme="majorHAnsi" w:hAnsiTheme="majorHAnsi" w:cs="Georgia"/>
                      <w:color w:val="000000"/>
                      <w:spacing w:val="1"/>
                      <w:sz w:val="22"/>
                      <w:szCs w:val="22"/>
                    </w:rPr>
                    <w:t>tr</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b</w:t>
                  </w:r>
                  <w:r>
                    <w:rPr>
                      <w:rFonts w:asciiTheme="majorHAnsi" w:hAnsiTheme="majorHAnsi" w:cs="Georgia"/>
                      <w:color w:val="000000"/>
                      <w:sz w:val="22"/>
                      <w:szCs w:val="22"/>
                    </w:rPr>
                    <w:t>u</w:t>
                  </w:r>
                  <w:r>
                    <w:rPr>
                      <w:rFonts w:asciiTheme="majorHAnsi" w:hAnsiTheme="majorHAnsi" w:cs="Georgia"/>
                      <w:color w:val="000000"/>
                      <w:spacing w:val="-1"/>
                      <w:sz w:val="22"/>
                      <w:szCs w:val="22"/>
                    </w:rPr>
                    <w:t>ée</w:t>
                  </w:r>
                  <w:r>
                    <w:rPr>
                      <w:rFonts w:asciiTheme="majorHAnsi" w:hAnsiTheme="majorHAnsi" w:cs="Georgia"/>
                      <w:color w:val="000000"/>
                      <w:sz w:val="22"/>
                      <w:szCs w:val="22"/>
                    </w:rPr>
                    <w:t>s</w:t>
                  </w:r>
                  <w:r>
                    <w:rPr>
                      <w:rFonts w:asciiTheme="majorHAnsi" w:hAnsiTheme="majorHAnsi" w:cs="Georgia"/>
                      <w:color w:val="000000"/>
                      <w:spacing w:val="8"/>
                      <w:sz w:val="22"/>
                      <w:szCs w:val="22"/>
                    </w:rPr>
                    <w:t xml:space="preserve"> </w:t>
                  </w:r>
                  <w:r>
                    <w:rPr>
                      <w:rFonts w:asciiTheme="majorHAnsi" w:hAnsiTheme="majorHAnsi" w:cs="Georgia"/>
                      <w:color w:val="000000"/>
                      <w:spacing w:val="-1"/>
                      <w:sz w:val="22"/>
                      <w:szCs w:val="22"/>
                    </w:rPr>
                    <w:t>a</w:t>
                  </w:r>
                  <w:r>
                    <w:rPr>
                      <w:rFonts w:asciiTheme="majorHAnsi" w:hAnsiTheme="majorHAnsi" w:cs="Georgia"/>
                      <w:color w:val="000000"/>
                      <w:sz w:val="22"/>
                      <w:szCs w:val="22"/>
                    </w:rPr>
                    <w:t>ux</w:t>
                  </w:r>
                  <w:r>
                    <w:rPr>
                      <w:rFonts w:asciiTheme="majorHAnsi" w:hAnsiTheme="majorHAnsi" w:cs="Georgia"/>
                      <w:color w:val="000000"/>
                      <w:spacing w:val="6"/>
                      <w:sz w:val="22"/>
                      <w:szCs w:val="22"/>
                    </w:rPr>
                    <w:t xml:space="preserve"> </w:t>
                  </w:r>
                  <w:r>
                    <w:rPr>
                      <w:rFonts w:asciiTheme="majorHAnsi" w:hAnsiTheme="majorHAnsi" w:cs="Georgia"/>
                      <w:color w:val="000000"/>
                      <w:sz w:val="22"/>
                      <w:szCs w:val="22"/>
                    </w:rPr>
                    <w:t>m</w:t>
                  </w:r>
                  <w:r>
                    <w:rPr>
                      <w:rFonts w:asciiTheme="majorHAnsi" w:hAnsiTheme="majorHAnsi" w:cs="Georgia"/>
                      <w:color w:val="000000"/>
                      <w:spacing w:val="-1"/>
                      <w:sz w:val="22"/>
                      <w:szCs w:val="22"/>
                    </w:rPr>
                    <w:t>e</w:t>
                  </w:r>
                  <w:r>
                    <w:rPr>
                      <w:rFonts w:asciiTheme="majorHAnsi" w:hAnsiTheme="majorHAnsi" w:cs="Georgia"/>
                      <w:color w:val="000000"/>
                      <w:spacing w:val="-3"/>
                      <w:sz w:val="22"/>
                      <w:szCs w:val="22"/>
                    </w:rPr>
                    <w:t>m</w:t>
                  </w:r>
                  <w:r>
                    <w:rPr>
                      <w:rFonts w:asciiTheme="majorHAnsi" w:hAnsiTheme="majorHAnsi" w:cs="Georgia"/>
                      <w:color w:val="000000"/>
                      <w:spacing w:val="1"/>
                      <w:sz w:val="22"/>
                      <w:szCs w:val="22"/>
                    </w:rPr>
                    <w:t>br</w:t>
                  </w:r>
                  <w:r>
                    <w:rPr>
                      <w:rFonts w:asciiTheme="majorHAnsi" w:hAnsiTheme="majorHAnsi" w:cs="Georgia"/>
                      <w:color w:val="000000"/>
                      <w:spacing w:val="-1"/>
                      <w:sz w:val="22"/>
                      <w:szCs w:val="22"/>
                    </w:rPr>
                    <w:t>e</w:t>
                  </w:r>
                  <w:r>
                    <w:rPr>
                      <w:rFonts w:asciiTheme="majorHAnsi" w:hAnsiTheme="majorHAnsi" w:cs="Georgia"/>
                      <w:color w:val="000000"/>
                      <w:sz w:val="22"/>
                      <w:szCs w:val="22"/>
                    </w:rPr>
                    <w:t>s</w:t>
                  </w:r>
                  <w:r>
                    <w:rPr>
                      <w:rFonts w:asciiTheme="majorHAnsi" w:hAnsiTheme="majorHAnsi" w:cs="Georgia"/>
                      <w:color w:val="000000"/>
                      <w:spacing w:val="5"/>
                      <w:sz w:val="22"/>
                      <w:szCs w:val="22"/>
                    </w:rPr>
                    <w:t xml:space="preserve"> </w:t>
                  </w:r>
                  <w:r>
                    <w:rPr>
                      <w:rFonts w:asciiTheme="majorHAnsi" w:hAnsiTheme="majorHAnsi" w:cs="Georgia"/>
                      <w:color w:val="000000"/>
                      <w:sz w:val="22"/>
                      <w:szCs w:val="22"/>
                    </w:rPr>
                    <w:t>du</w:t>
                  </w:r>
                  <w:r>
                    <w:rPr>
                      <w:rFonts w:asciiTheme="majorHAnsi" w:hAnsiTheme="majorHAnsi" w:cs="Georgia"/>
                      <w:color w:val="000000"/>
                      <w:spacing w:val="5"/>
                      <w:sz w:val="22"/>
                      <w:szCs w:val="22"/>
                    </w:rPr>
                    <w:t xml:space="preserve"> </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r</w:t>
                  </w:r>
                  <w:r>
                    <w:rPr>
                      <w:rFonts w:asciiTheme="majorHAnsi" w:hAnsiTheme="majorHAnsi" w:cs="Georgia"/>
                      <w:color w:val="000000"/>
                      <w:spacing w:val="-2"/>
                      <w:sz w:val="22"/>
                      <w:szCs w:val="22"/>
                    </w:rPr>
                    <w:t>s</w:t>
                  </w:r>
                  <w:r>
                    <w:rPr>
                      <w:rFonts w:asciiTheme="majorHAnsi" w:hAnsiTheme="majorHAnsi" w:cs="Georgia"/>
                      <w:color w:val="000000"/>
                      <w:spacing w:val="-1"/>
                      <w:sz w:val="22"/>
                      <w:szCs w:val="22"/>
                    </w:rPr>
                    <w:t>onne</w:t>
                  </w:r>
                  <w:r>
                    <w:rPr>
                      <w:rFonts w:asciiTheme="majorHAnsi" w:hAnsiTheme="majorHAnsi" w:cs="Georgia"/>
                      <w:color w:val="000000"/>
                      <w:sz w:val="22"/>
                      <w:szCs w:val="22"/>
                    </w:rPr>
                    <w:t>l</w:t>
                  </w:r>
                  <w:r>
                    <w:rPr>
                      <w:rFonts w:asciiTheme="majorHAnsi" w:hAnsiTheme="majorHAnsi" w:cs="Georgia"/>
                      <w:color w:val="000000"/>
                      <w:spacing w:val="6"/>
                      <w:sz w:val="22"/>
                      <w:szCs w:val="22"/>
                    </w:rPr>
                    <w:t xml:space="preserve"> </w:t>
                  </w:r>
                  <w:r>
                    <w:rPr>
                      <w:rFonts w:asciiTheme="majorHAnsi" w:hAnsiTheme="majorHAnsi" w:cs="Georgia"/>
                      <w:color w:val="000000"/>
                      <w:spacing w:val="-1"/>
                      <w:sz w:val="22"/>
                      <w:szCs w:val="22"/>
                    </w:rPr>
                    <w:t>en</w:t>
                  </w:r>
                  <w:r>
                    <w:rPr>
                      <w:rFonts w:asciiTheme="majorHAnsi" w:hAnsiTheme="majorHAnsi" w:cs="Georgia"/>
                      <w:color w:val="000000"/>
                      <w:spacing w:val="1"/>
                      <w:sz w:val="22"/>
                      <w:szCs w:val="22"/>
                    </w:rPr>
                    <w:t>s</w:t>
                  </w:r>
                  <w:r>
                    <w:rPr>
                      <w:rFonts w:asciiTheme="majorHAnsi" w:hAnsiTheme="majorHAnsi" w:cs="Georgia"/>
                      <w:color w:val="000000"/>
                      <w:spacing w:val="-1"/>
                      <w:sz w:val="22"/>
                      <w:szCs w:val="22"/>
                    </w:rPr>
                    <w:t>e</w:t>
                  </w:r>
                  <w:r>
                    <w:rPr>
                      <w:rFonts w:asciiTheme="majorHAnsi" w:hAnsiTheme="majorHAnsi" w:cs="Georgia"/>
                      <w:color w:val="000000"/>
                      <w:sz w:val="22"/>
                      <w:szCs w:val="22"/>
                    </w:rPr>
                    <w:t>ig</w:t>
                  </w:r>
                  <w:r>
                    <w:rPr>
                      <w:rFonts w:asciiTheme="majorHAnsi" w:hAnsiTheme="majorHAnsi" w:cs="Georgia"/>
                      <w:color w:val="000000"/>
                      <w:spacing w:val="-1"/>
                      <w:sz w:val="22"/>
                      <w:szCs w:val="22"/>
                    </w:rPr>
                    <w:t>nan</w:t>
                  </w:r>
                  <w:r>
                    <w:rPr>
                      <w:rFonts w:asciiTheme="majorHAnsi" w:hAnsiTheme="majorHAnsi" w:cs="Georgia"/>
                      <w:color w:val="000000"/>
                      <w:sz w:val="22"/>
                      <w:szCs w:val="22"/>
                    </w:rPr>
                    <w:t>t</w:t>
                  </w:r>
                  <w:r>
                    <w:rPr>
                      <w:rFonts w:asciiTheme="majorHAnsi" w:hAnsiTheme="majorHAnsi" w:cs="Georgia"/>
                      <w:color w:val="000000"/>
                      <w:spacing w:val="8"/>
                      <w:sz w:val="22"/>
                      <w:szCs w:val="22"/>
                    </w:rPr>
                    <w:t xml:space="preserve"> </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1"/>
                      <w:sz w:val="22"/>
                      <w:szCs w:val="22"/>
                    </w:rPr>
                    <w:t>t</w:t>
                  </w:r>
                  <w:r>
                    <w:rPr>
                      <w:rFonts w:asciiTheme="majorHAnsi" w:hAnsiTheme="majorHAnsi" w:cs="Georgia"/>
                      <w:color w:val="000000"/>
                      <w:sz w:val="22"/>
                      <w:szCs w:val="22"/>
                    </w:rPr>
                    <w:t>u</w:t>
                  </w:r>
                  <w:r>
                    <w:rPr>
                      <w:rFonts w:asciiTheme="majorHAnsi" w:hAnsiTheme="majorHAnsi" w:cs="Georgia"/>
                      <w:color w:val="000000"/>
                      <w:spacing w:val="-1"/>
                      <w:sz w:val="22"/>
                      <w:szCs w:val="22"/>
                    </w:rPr>
                    <w:t>la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pacing w:val="-3"/>
                      <w:sz w:val="22"/>
                      <w:szCs w:val="22"/>
                    </w:rPr>
                    <w:t>e</w:t>
                  </w:r>
                  <w:r>
                    <w:rPr>
                      <w:rFonts w:asciiTheme="majorHAnsi" w:hAnsiTheme="majorHAnsi" w:cs="Georgia"/>
                      <w:color w:val="000000"/>
                      <w:sz w:val="22"/>
                      <w:szCs w:val="22"/>
                    </w:rPr>
                    <w:t>s</w:t>
                  </w:r>
                  <w:r>
                    <w:rPr>
                      <w:rFonts w:asciiTheme="majorHAnsi" w:hAnsiTheme="majorHAnsi" w:cs="Georgia"/>
                      <w:color w:val="000000"/>
                      <w:spacing w:val="8"/>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2"/>
                      <w:sz w:val="22"/>
                      <w:szCs w:val="22"/>
                    </w:rPr>
                    <w:t>'</w:t>
                  </w:r>
                  <w:r>
                    <w:rPr>
                      <w:rFonts w:asciiTheme="majorHAnsi" w:hAnsiTheme="majorHAnsi" w:cs="Georgia"/>
                      <w:color w:val="000000"/>
                      <w:sz w:val="22"/>
                      <w:szCs w:val="22"/>
                    </w:rPr>
                    <w:t>u</w:t>
                  </w:r>
                  <w:r>
                    <w:rPr>
                      <w:rFonts w:asciiTheme="majorHAnsi" w:hAnsiTheme="majorHAnsi" w:cs="Georgia"/>
                      <w:color w:val="000000"/>
                      <w:spacing w:val="-1"/>
                      <w:sz w:val="22"/>
                      <w:szCs w:val="22"/>
                    </w:rPr>
                    <w:t>n</w:t>
                  </w:r>
                  <w:r>
                    <w:rPr>
                      <w:rFonts w:asciiTheme="majorHAnsi" w:hAnsiTheme="majorHAnsi" w:cs="Georgia"/>
                      <w:color w:val="000000"/>
                      <w:sz w:val="22"/>
                      <w:szCs w:val="22"/>
                    </w:rPr>
                    <w:t>e</w:t>
                  </w:r>
                  <w:r>
                    <w:rPr>
                      <w:rFonts w:asciiTheme="majorHAnsi" w:hAnsiTheme="majorHAnsi" w:cs="Georgia"/>
                      <w:color w:val="000000"/>
                      <w:spacing w:val="6"/>
                      <w:sz w:val="22"/>
                      <w:szCs w:val="22"/>
                    </w:rPr>
                    <w:t xml:space="preserve"> </w:t>
                  </w:r>
                  <w:r>
                    <w:rPr>
                      <w:rFonts w:asciiTheme="majorHAnsi" w:hAnsiTheme="majorHAnsi" w:cs="Georgia"/>
                      <w:color w:val="000000"/>
                      <w:sz w:val="22"/>
                      <w:szCs w:val="22"/>
                    </w:rPr>
                    <w:t>f</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w:t>
                  </w:r>
                  <w:r>
                    <w:rPr>
                      <w:rFonts w:asciiTheme="majorHAnsi" w:hAnsiTheme="majorHAnsi" w:cs="Georgia"/>
                      <w:color w:val="000000"/>
                      <w:spacing w:val="-2"/>
                      <w:sz w:val="22"/>
                      <w:szCs w:val="22"/>
                    </w:rPr>
                    <w:t>c</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1"/>
                      <w:sz w:val="22"/>
                      <w:szCs w:val="22"/>
                    </w:rPr>
                    <w:t>o</w:t>
                  </w:r>
                  <w:r>
                    <w:rPr>
                      <w:rFonts w:asciiTheme="majorHAnsi" w:hAnsiTheme="majorHAnsi" w:cs="Georgia"/>
                      <w:color w:val="000000"/>
                      <w:sz w:val="22"/>
                      <w:szCs w:val="22"/>
                    </w:rPr>
                    <w:t>n</w:t>
                  </w:r>
                  <w:r>
                    <w:rPr>
                      <w:rFonts w:asciiTheme="majorHAnsi" w:hAnsiTheme="majorHAnsi" w:cs="Georgia"/>
                      <w:color w:val="000000"/>
                      <w:spacing w:val="4"/>
                      <w:sz w:val="22"/>
                      <w:szCs w:val="22"/>
                    </w:rPr>
                    <w:t xml:space="preserve"> </w:t>
                  </w:r>
                  <w:r>
                    <w:rPr>
                      <w:rFonts w:asciiTheme="majorHAnsi" w:hAnsiTheme="majorHAnsi" w:cs="Georgia"/>
                      <w:color w:val="000000"/>
                      <w:sz w:val="22"/>
                      <w:szCs w:val="22"/>
                    </w:rPr>
                    <w:t xml:space="preserve">de </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cr</w:t>
                  </w:r>
                  <w:r>
                    <w:rPr>
                      <w:rFonts w:asciiTheme="majorHAnsi" w:hAnsiTheme="majorHAnsi" w:cs="Georgia"/>
                      <w:color w:val="000000"/>
                      <w:spacing w:val="-2"/>
                      <w:sz w:val="22"/>
                      <w:szCs w:val="22"/>
                    </w:rPr>
                    <w:t>u</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w:t>
                  </w:r>
                  <w:r>
                    <w:rPr>
                      <w:rFonts w:asciiTheme="majorHAnsi" w:hAnsiTheme="majorHAnsi" w:cs="Georgia"/>
                      <w:color w:val="000000"/>
                      <w:sz w:val="22"/>
                      <w:szCs w:val="22"/>
                    </w:rPr>
                    <w:t>m</w:t>
                  </w:r>
                  <w:r>
                    <w:rPr>
                      <w:rFonts w:asciiTheme="majorHAnsi" w:hAnsiTheme="majorHAnsi" w:cs="Georgia"/>
                      <w:color w:val="000000"/>
                      <w:spacing w:val="-1"/>
                      <w:sz w:val="22"/>
                      <w:szCs w:val="22"/>
                    </w:rPr>
                    <w:t>en</w:t>
                  </w:r>
                  <w:r>
                    <w:rPr>
                      <w:rFonts w:asciiTheme="majorHAnsi" w:hAnsiTheme="majorHAnsi" w:cs="Georgia"/>
                      <w:color w:val="000000"/>
                      <w:sz w:val="22"/>
                      <w:szCs w:val="22"/>
                    </w:rPr>
                    <w:t xml:space="preserve">t </w:t>
                  </w:r>
                  <w:r>
                    <w:rPr>
                      <w:rFonts w:asciiTheme="majorHAnsi" w:hAnsiTheme="majorHAnsi" w:cs="Georgia"/>
                      <w:color w:val="000000"/>
                      <w:spacing w:val="1"/>
                      <w:sz w:val="22"/>
                      <w:szCs w:val="22"/>
                    </w:rPr>
                    <w:t>c'</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st</w:t>
                  </w:r>
                  <w:r>
                    <w:rPr>
                      <w:rFonts w:asciiTheme="majorHAnsi" w:hAnsiTheme="majorHAnsi" w:cs="Georgia"/>
                      <w:color w:val="000000"/>
                      <w:spacing w:val="-1"/>
                      <w:sz w:val="22"/>
                      <w:szCs w:val="22"/>
                    </w:rPr>
                    <w:t>-à-</w:t>
                  </w:r>
                  <w:r>
                    <w:rPr>
                      <w:rFonts w:asciiTheme="majorHAnsi" w:hAnsiTheme="majorHAnsi" w:cs="Georgia"/>
                      <w:color w:val="000000"/>
                      <w:sz w:val="22"/>
                      <w:szCs w:val="22"/>
                    </w:rPr>
                    <w:t>di</w:t>
                  </w:r>
                  <w:r>
                    <w:rPr>
                      <w:rFonts w:asciiTheme="majorHAnsi" w:hAnsiTheme="majorHAnsi" w:cs="Georgia"/>
                      <w:color w:val="000000"/>
                      <w:spacing w:val="1"/>
                      <w:sz w:val="22"/>
                      <w:szCs w:val="22"/>
                    </w:rPr>
                    <w:t>r</w:t>
                  </w:r>
                  <w:r>
                    <w:rPr>
                      <w:rFonts w:asciiTheme="majorHAnsi" w:hAnsiTheme="majorHAnsi" w:cs="Georgia"/>
                      <w:color w:val="000000"/>
                      <w:sz w:val="22"/>
                      <w:szCs w:val="22"/>
                    </w:rPr>
                    <w:t>e</w:t>
                  </w:r>
                  <w:r>
                    <w:rPr>
                      <w:rFonts w:asciiTheme="majorHAnsi" w:hAnsiTheme="majorHAnsi" w:cs="Georgia"/>
                      <w:color w:val="000000"/>
                      <w:spacing w:val="-4"/>
                      <w:sz w:val="22"/>
                      <w:szCs w:val="22"/>
                    </w:rPr>
                    <w:t xml:space="preserve"> </w:t>
                  </w:r>
                  <w:r>
                    <w:rPr>
                      <w:rFonts w:asciiTheme="majorHAnsi" w:hAnsiTheme="majorHAnsi" w:cs="Georgia"/>
                      <w:color w:val="000000"/>
                      <w:sz w:val="22"/>
                      <w:szCs w:val="22"/>
                    </w:rPr>
                    <w:t>:</w:t>
                  </w:r>
                </w:p>
                <w:p>
                  <w:pPr>
                    <w:widowControl w:val="0"/>
                    <w:autoSpaceDE w:val="0"/>
                    <w:autoSpaceDN w:val="0"/>
                    <w:adjustRightInd w:val="0"/>
                    <w:ind w:left="567"/>
                    <w:jc w:val="both"/>
                    <w:rPr>
                      <w:rFonts w:cs="Georgia"/>
                    </w:rPr>
                  </w:pPr>
                </w:p>
                <w:p>
                  <w:pPr>
                    <w:widowControl w:val="0"/>
                    <w:numPr>
                      <w:ilvl w:val="2"/>
                      <w:numId w:val="55"/>
                    </w:numPr>
                    <w:tabs>
                      <w:tab w:val="clear" w:pos="2160"/>
                      <w:tab w:val="num" w:pos="1418"/>
                      <w:tab w:val="left" w:pos="1560"/>
                    </w:tabs>
                    <w:autoSpaceDE w:val="0"/>
                    <w:autoSpaceDN w:val="0"/>
                    <w:adjustRightInd w:val="0"/>
                    <w:spacing w:line="248" w:lineRule="exact"/>
                    <w:ind w:left="567" w:right="-20" w:hanging="284"/>
                    <w:jc w:val="both"/>
                    <w:rPr>
                      <w:rFonts w:cs="Georgia"/>
                    </w:rPr>
                  </w:pPr>
                  <w:r>
                    <w:rPr>
                      <w:rFonts w:cs="Georgia"/>
                      <w:spacing w:val="-1"/>
                    </w:rPr>
                    <w:t>a</w:t>
                  </w:r>
                  <w:r>
                    <w:rPr>
                      <w:rFonts w:cs="Georgia"/>
                    </w:rPr>
                    <w:t>ux</w:t>
                  </w:r>
                  <w:r>
                    <w:rPr>
                      <w:rFonts w:cs="Georgia"/>
                      <w:spacing w:val="-1"/>
                    </w:rPr>
                    <w:t xml:space="preserve"> </w:t>
                  </w:r>
                  <w:r>
                    <w:rPr>
                      <w:rFonts w:cs="Georgia"/>
                    </w:rPr>
                    <w:t>i</w:t>
                  </w:r>
                  <w:r>
                    <w:rPr>
                      <w:rFonts w:cs="Georgia"/>
                      <w:spacing w:val="-1"/>
                    </w:rPr>
                    <w:t>n</w:t>
                  </w:r>
                  <w:r>
                    <w:rPr>
                      <w:rFonts w:cs="Georgia"/>
                      <w:spacing w:val="1"/>
                    </w:rPr>
                    <w:t>st</w:t>
                  </w:r>
                  <w:r>
                    <w:rPr>
                      <w:rFonts w:cs="Georgia"/>
                    </w:rPr>
                    <w:t>i</w:t>
                  </w:r>
                  <w:r>
                    <w:rPr>
                      <w:rFonts w:cs="Georgia"/>
                      <w:spacing w:val="1"/>
                    </w:rPr>
                    <w:t>t</w:t>
                  </w:r>
                  <w:r>
                    <w:rPr>
                      <w:rFonts w:cs="Georgia"/>
                      <w:spacing w:val="-2"/>
                    </w:rPr>
                    <w:t>u</w:t>
                  </w:r>
                  <w:r>
                    <w:rPr>
                      <w:rFonts w:cs="Georgia"/>
                      <w:spacing w:val="1"/>
                    </w:rPr>
                    <w:t>t</w:t>
                  </w:r>
                  <w:r>
                    <w:rPr>
                      <w:rFonts w:cs="Georgia"/>
                      <w:spacing w:val="-1"/>
                    </w:rPr>
                    <w:t>e</w:t>
                  </w:r>
                  <w:r>
                    <w:rPr>
                      <w:rFonts w:cs="Georgia"/>
                    </w:rPr>
                    <w:t>u</w:t>
                  </w:r>
                  <w:r>
                    <w:rPr>
                      <w:rFonts w:cs="Georgia"/>
                      <w:spacing w:val="1"/>
                    </w:rPr>
                    <w:t>r</w:t>
                  </w:r>
                  <w:r>
                    <w:rPr>
                      <w:rFonts w:cs="Georgia"/>
                    </w:rPr>
                    <w:t>s</w:t>
                  </w:r>
                  <w:r>
                    <w:rPr>
                      <w:rFonts w:cs="Georgia"/>
                      <w:spacing w:val="1"/>
                    </w:rPr>
                    <w:t xml:space="preserve"> </w:t>
                  </w:r>
                  <w:r>
                    <w:rPr>
                      <w:rFonts w:cs="Georgia"/>
                    </w:rPr>
                    <w:t>m</w:t>
                  </w:r>
                  <w:r>
                    <w:rPr>
                      <w:rFonts w:cs="Georgia"/>
                      <w:spacing w:val="-1"/>
                    </w:rPr>
                    <w:t>a</w:t>
                  </w:r>
                  <w:r>
                    <w:rPr>
                      <w:rFonts w:cs="Georgia"/>
                      <w:spacing w:val="1"/>
                    </w:rPr>
                    <w:t>t</w:t>
                  </w:r>
                  <w:r>
                    <w:rPr>
                      <w:rFonts w:cs="Georgia"/>
                      <w:spacing w:val="-1"/>
                    </w:rPr>
                    <w:t>e</w:t>
                  </w:r>
                  <w:r>
                    <w:rPr>
                      <w:rFonts w:cs="Georgia"/>
                      <w:spacing w:val="1"/>
                    </w:rPr>
                    <w:t>r</w:t>
                  </w:r>
                  <w:r>
                    <w:rPr>
                      <w:rFonts w:cs="Georgia"/>
                      <w:spacing w:val="-1"/>
                    </w:rPr>
                    <w:t>nel</w:t>
                  </w:r>
                  <w:r>
                    <w:rPr>
                      <w:rFonts w:cs="Georgia"/>
                    </w:rPr>
                    <w:t>s et ceux c</w:t>
                  </w:r>
                  <w:r>
                    <w:rPr>
                      <w:rFonts w:cs="Georgia"/>
                      <w:spacing w:val="1"/>
                    </w:rPr>
                    <w:t>h</w:t>
                  </w:r>
                  <w:r>
                    <w:rPr>
                      <w:rFonts w:cs="Georgia"/>
                      <w:spacing w:val="-1"/>
                    </w:rPr>
                    <w:t>a</w:t>
                  </w:r>
                  <w:r>
                    <w:rPr>
                      <w:rFonts w:cs="Georgia"/>
                      <w:spacing w:val="-2"/>
                    </w:rPr>
                    <w:t>r</w:t>
                  </w:r>
                  <w:r>
                    <w:rPr>
                      <w:rFonts w:cs="Georgia"/>
                    </w:rPr>
                    <w:t>g</w:t>
                  </w:r>
                  <w:r>
                    <w:rPr>
                      <w:rFonts w:cs="Georgia"/>
                      <w:spacing w:val="-1"/>
                    </w:rPr>
                    <w:t>é</w:t>
                  </w:r>
                  <w:r>
                    <w:rPr>
                      <w:rFonts w:cs="Georgia"/>
                    </w:rPr>
                    <w:t>s d</w:t>
                  </w:r>
                  <w:r>
                    <w:rPr>
                      <w:rFonts w:cs="Georgia"/>
                      <w:spacing w:val="-1"/>
                    </w:rPr>
                    <w:t>e</w:t>
                  </w:r>
                  <w:r>
                    <w:rPr>
                      <w:rFonts w:cs="Georgia"/>
                    </w:rPr>
                    <w:t xml:space="preserve">s </w:t>
                  </w:r>
                  <w:r>
                    <w:rPr>
                      <w:rFonts w:cs="Georgia"/>
                      <w:spacing w:val="-2"/>
                    </w:rPr>
                    <w:t>c</w:t>
                  </w:r>
                  <w:r>
                    <w:rPr>
                      <w:rFonts w:cs="Georgia"/>
                      <w:spacing w:val="1"/>
                    </w:rPr>
                    <w:t>o</w:t>
                  </w:r>
                  <w:r>
                    <w:rPr>
                      <w:rFonts w:cs="Georgia"/>
                    </w:rPr>
                    <w:t>u</w:t>
                  </w:r>
                  <w:r>
                    <w:rPr>
                      <w:rFonts w:cs="Georgia"/>
                      <w:spacing w:val="-2"/>
                    </w:rPr>
                    <w:t>r</w:t>
                  </w:r>
                  <w:r>
                    <w:rPr>
                      <w:rFonts w:cs="Georgia"/>
                    </w:rPr>
                    <w:t xml:space="preserve">s </w:t>
                  </w:r>
                  <w:r>
                    <w:rPr>
                      <w:rFonts w:cs="Georgia"/>
                      <w:spacing w:val="-1"/>
                    </w:rPr>
                    <w:t>e</w:t>
                  </w:r>
                  <w:r>
                    <w:rPr>
                      <w:rFonts w:cs="Georgia"/>
                    </w:rPr>
                    <w:t>n</w:t>
                  </w:r>
                  <w:r>
                    <w:rPr>
                      <w:rFonts w:cs="Georgia"/>
                      <w:spacing w:val="25"/>
                    </w:rPr>
                    <w:t xml:space="preserve"> </w:t>
                  </w:r>
                  <w:r>
                    <w:rPr>
                      <w:rFonts w:cs="Georgia"/>
                    </w:rPr>
                    <w:t>imm</w:t>
                  </w:r>
                  <w:r>
                    <w:rPr>
                      <w:rFonts w:cs="Georgia"/>
                      <w:spacing w:val="-1"/>
                    </w:rPr>
                    <w:t>e</w:t>
                  </w:r>
                  <w:r>
                    <w:rPr>
                      <w:rFonts w:cs="Georgia"/>
                      <w:spacing w:val="-2"/>
                    </w:rPr>
                    <w:t>r</w:t>
                  </w:r>
                  <w:r>
                    <w:rPr>
                      <w:rFonts w:cs="Georgia"/>
                      <w:spacing w:val="1"/>
                    </w:rPr>
                    <w:t>s</w:t>
                  </w:r>
                  <w:r>
                    <w:rPr>
                      <w:rFonts w:cs="Georgia"/>
                    </w:rPr>
                    <w:t>i</w:t>
                  </w:r>
                  <w:r>
                    <w:rPr>
                      <w:rFonts w:cs="Georgia"/>
                      <w:spacing w:val="-1"/>
                    </w:rPr>
                    <w:t>o</w:t>
                  </w:r>
                  <w:r>
                    <w:rPr>
                      <w:rFonts w:cs="Georgia"/>
                    </w:rPr>
                    <w:t xml:space="preserve">n </w:t>
                  </w:r>
                  <w:r>
                    <w:rPr>
                      <w:rFonts w:cs="Georgia"/>
                      <w:spacing w:val="1"/>
                    </w:rPr>
                    <w:t>(</w:t>
                  </w:r>
                  <w:r>
                    <w:rPr>
                      <w:rFonts w:cs="Georgia"/>
                    </w:rPr>
                    <w:t>d</w:t>
                  </w:r>
                  <w:r>
                    <w:rPr>
                      <w:rFonts w:cs="Georgia"/>
                      <w:spacing w:val="-1"/>
                    </w:rPr>
                    <w:t>a</w:t>
                  </w:r>
                  <w:r>
                    <w:rPr>
                      <w:rFonts w:cs="Georgia"/>
                      <w:spacing w:val="-3"/>
                    </w:rPr>
                    <w:t xml:space="preserve">ns </w:t>
                  </w:r>
                  <w:r>
                    <w:rPr>
                      <w:rFonts w:cs="Georgia"/>
                      <w:spacing w:val="-1"/>
                    </w:rPr>
                    <w:t>l</w:t>
                  </w:r>
                  <w:r>
                    <w:rPr>
                      <w:rFonts w:cs="Georgia"/>
                      <w:spacing w:val="1"/>
                    </w:rPr>
                    <w:t>'</w:t>
                  </w:r>
                  <w:r>
                    <w:rPr>
                      <w:rFonts w:cs="Georgia"/>
                      <w:spacing w:val="-1"/>
                    </w:rPr>
                    <w:t>a</w:t>
                  </w:r>
                  <w:r>
                    <w:rPr>
                      <w:rFonts w:cs="Georgia"/>
                      <w:spacing w:val="1"/>
                    </w:rPr>
                    <w:t>p</w:t>
                  </w:r>
                  <w:r>
                    <w:rPr>
                      <w:rFonts w:cs="Georgia"/>
                      <w:spacing w:val="-1"/>
                    </w:rPr>
                    <w:t>p</w:t>
                  </w:r>
                  <w:r>
                    <w:rPr>
                      <w:rFonts w:cs="Georgia"/>
                      <w:spacing w:val="1"/>
                    </w:rPr>
                    <w:t>r</w:t>
                  </w:r>
                  <w:r>
                    <w:rPr>
                      <w:rFonts w:cs="Georgia"/>
                      <w:spacing w:val="-1"/>
                    </w:rPr>
                    <w:t>en</w:t>
                  </w:r>
                  <w:r>
                    <w:rPr>
                      <w:rFonts w:cs="Georgia"/>
                      <w:spacing w:val="1"/>
                    </w:rPr>
                    <w:t>t</w:t>
                  </w:r>
                  <w:r>
                    <w:rPr>
                      <w:rFonts w:cs="Georgia"/>
                    </w:rPr>
                    <w:t>i</w:t>
                  </w:r>
                  <w:r>
                    <w:rPr>
                      <w:rFonts w:cs="Georgia"/>
                      <w:spacing w:val="1"/>
                    </w:rPr>
                    <w:t>ss</w:t>
                  </w:r>
                  <w:r>
                    <w:rPr>
                      <w:rFonts w:cs="Georgia"/>
                      <w:spacing w:val="-1"/>
                    </w:rPr>
                    <w:t>a</w:t>
                  </w:r>
                  <w:r>
                    <w:rPr>
                      <w:rFonts w:cs="Georgia"/>
                    </w:rPr>
                    <w:t>ge</w:t>
                  </w:r>
                  <w:r>
                    <w:rPr>
                      <w:rFonts w:cs="Georgia"/>
                      <w:spacing w:val="-1"/>
                    </w:rPr>
                    <w:t xml:space="preserve"> </w:t>
                  </w:r>
                  <w:r>
                    <w:rPr>
                      <w:rFonts w:cs="Georgia"/>
                      <w:spacing w:val="-2"/>
                    </w:rPr>
                    <w:t>d</w:t>
                  </w:r>
                  <w:r>
                    <w:rPr>
                      <w:rFonts w:cs="Georgia"/>
                      <w:spacing w:val="1"/>
                    </w:rPr>
                    <w:t>'</w:t>
                  </w:r>
                  <w:r>
                    <w:rPr>
                      <w:rFonts w:cs="Georgia"/>
                    </w:rPr>
                    <w:t>u</w:t>
                  </w:r>
                  <w:r>
                    <w:rPr>
                      <w:rFonts w:cs="Georgia"/>
                      <w:spacing w:val="-1"/>
                    </w:rPr>
                    <w:t>n</w:t>
                  </w:r>
                  <w:r>
                    <w:rPr>
                      <w:rFonts w:cs="Georgia"/>
                    </w:rPr>
                    <w:t>e</w:t>
                  </w:r>
                  <w:r>
                    <w:rPr>
                      <w:rFonts w:cs="Georgia"/>
                      <w:spacing w:val="-1"/>
                    </w:rPr>
                    <w:t xml:space="preserve"> lan</w:t>
                  </w:r>
                  <w:r>
                    <w:rPr>
                      <w:rFonts w:cs="Georgia"/>
                    </w:rPr>
                    <w:t>gue</w:t>
                  </w:r>
                  <w:r>
                    <w:rPr>
                      <w:rFonts w:cs="Georgia"/>
                      <w:spacing w:val="-1"/>
                    </w:rPr>
                    <w:t xml:space="preserve"> </w:t>
                  </w:r>
                  <w:r>
                    <w:rPr>
                      <w:rFonts w:cs="Georgia"/>
                      <w:spacing w:val="1"/>
                    </w:rPr>
                    <w:t>o</w:t>
                  </w:r>
                  <w:r>
                    <w:rPr>
                      <w:rFonts w:cs="Georgia"/>
                    </w:rPr>
                    <w:t xml:space="preserve">u </w:t>
                  </w:r>
                  <w:r>
                    <w:rPr>
                      <w:rFonts w:cs="Georgia"/>
                      <w:spacing w:val="-1"/>
                    </w:rPr>
                    <w:t>e</w:t>
                  </w:r>
                  <w:r>
                    <w:rPr>
                      <w:rFonts w:cs="Georgia"/>
                    </w:rPr>
                    <w:t>n</w:t>
                  </w:r>
                  <w:r>
                    <w:rPr>
                      <w:rFonts w:cs="Georgia"/>
                      <w:spacing w:val="-1"/>
                    </w:rPr>
                    <w:t xml:space="preserve"> lan</w:t>
                  </w:r>
                  <w:r>
                    <w:rPr>
                      <w:rFonts w:cs="Georgia"/>
                    </w:rPr>
                    <w:t>gue</w:t>
                  </w:r>
                  <w:r>
                    <w:rPr>
                      <w:rFonts w:cs="Georgia"/>
                      <w:spacing w:val="-1"/>
                    </w:rPr>
                    <w:t xml:space="preserve"> </w:t>
                  </w:r>
                  <w:r>
                    <w:rPr>
                      <w:rFonts w:cs="Georgia"/>
                    </w:rPr>
                    <w:t>d</w:t>
                  </w:r>
                  <w:r>
                    <w:rPr>
                      <w:rFonts w:cs="Georgia"/>
                      <w:spacing w:val="-1"/>
                    </w:rPr>
                    <w:t>e</w:t>
                  </w:r>
                  <w:r>
                    <w:rPr>
                      <w:rFonts w:cs="Georgia"/>
                    </w:rPr>
                    <w:t xml:space="preserve">s </w:t>
                  </w:r>
                  <w:r>
                    <w:rPr>
                      <w:rFonts w:cs="Georgia"/>
                      <w:spacing w:val="1"/>
                    </w:rPr>
                    <w:t>s</w:t>
                  </w:r>
                  <w:r>
                    <w:rPr>
                      <w:rFonts w:cs="Georgia"/>
                    </w:rPr>
                    <w:t>i</w:t>
                  </w:r>
                  <w:r>
                    <w:rPr>
                      <w:rFonts w:cs="Georgia"/>
                      <w:spacing w:val="-2"/>
                    </w:rPr>
                    <w:t>g</w:t>
                  </w:r>
                  <w:r>
                    <w:rPr>
                      <w:rFonts w:cs="Georgia"/>
                      <w:spacing w:val="-1"/>
                    </w:rPr>
                    <w:t>ne</w:t>
                  </w:r>
                  <w:r>
                    <w:rPr>
                      <w:rFonts w:cs="Georgia"/>
                      <w:spacing w:val="1"/>
                    </w:rPr>
                    <w:t>s</w:t>
                  </w:r>
                  <w:r>
                    <w:rPr>
                      <w:rFonts w:cs="Georgia"/>
                    </w:rPr>
                    <w:t>)</w:t>
                  </w:r>
                  <w:r>
                    <w:rPr>
                      <w:rFonts w:cs="Georgia"/>
                      <w:spacing w:val="1"/>
                    </w:rPr>
                    <w:t xml:space="preserve"> </w:t>
                  </w:r>
                  <w:r>
                    <w:rPr>
                      <w:rFonts w:cs="Georgia"/>
                    </w:rPr>
                    <w:t>;</w:t>
                  </w:r>
                </w:p>
                <w:p>
                  <w:pPr>
                    <w:widowControl w:val="0"/>
                    <w:numPr>
                      <w:ilvl w:val="2"/>
                      <w:numId w:val="55"/>
                    </w:numPr>
                    <w:tabs>
                      <w:tab w:val="clear" w:pos="2160"/>
                      <w:tab w:val="num" w:pos="1418"/>
                      <w:tab w:val="num" w:pos="1560"/>
                    </w:tabs>
                    <w:autoSpaceDE w:val="0"/>
                    <w:autoSpaceDN w:val="0"/>
                    <w:adjustRightInd w:val="0"/>
                    <w:spacing w:before="2"/>
                    <w:ind w:left="567" w:right="-20" w:hanging="284"/>
                    <w:jc w:val="both"/>
                    <w:rPr>
                      <w:rFonts w:cs="Georgia"/>
                    </w:rPr>
                  </w:pPr>
                  <w:r>
                    <w:rPr>
                      <w:rFonts w:cs="Georgia"/>
                      <w:spacing w:val="-1"/>
                    </w:rPr>
                    <w:t>a</w:t>
                  </w:r>
                  <w:r>
                    <w:rPr>
                      <w:rFonts w:cs="Georgia"/>
                    </w:rPr>
                    <w:t>ux</w:t>
                  </w:r>
                  <w:r>
                    <w:rPr>
                      <w:rFonts w:cs="Georgia"/>
                      <w:spacing w:val="-1"/>
                    </w:rPr>
                    <w:t xml:space="preserve"> </w:t>
                  </w:r>
                  <w:r>
                    <w:rPr>
                      <w:rFonts w:cs="Georgia"/>
                    </w:rPr>
                    <w:t>i</w:t>
                  </w:r>
                  <w:r>
                    <w:rPr>
                      <w:rFonts w:cs="Georgia"/>
                      <w:spacing w:val="-1"/>
                    </w:rPr>
                    <w:t>n</w:t>
                  </w:r>
                  <w:r>
                    <w:rPr>
                      <w:rFonts w:cs="Georgia"/>
                      <w:spacing w:val="1"/>
                    </w:rPr>
                    <w:t>st</w:t>
                  </w:r>
                  <w:r>
                    <w:rPr>
                      <w:rFonts w:cs="Georgia"/>
                    </w:rPr>
                    <w:t>i</w:t>
                  </w:r>
                  <w:r>
                    <w:rPr>
                      <w:rFonts w:cs="Georgia"/>
                      <w:spacing w:val="1"/>
                    </w:rPr>
                    <w:t>t</w:t>
                  </w:r>
                  <w:r>
                    <w:rPr>
                      <w:rFonts w:cs="Georgia"/>
                      <w:spacing w:val="-2"/>
                    </w:rPr>
                    <w:t>u</w:t>
                  </w:r>
                  <w:r>
                    <w:rPr>
                      <w:rFonts w:cs="Georgia"/>
                      <w:spacing w:val="1"/>
                    </w:rPr>
                    <w:t>t</w:t>
                  </w:r>
                  <w:r>
                    <w:rPr>
                      <w:rFonts w:cs="Georgia"/>
                      <w:spacing w:val="-1"/>
                    </w:rPr>
                    <w:t>e</w:t>
                  </w:r>
                  <w:r>
                    <w:rPr>
                      <w:rFonts w:cs="Georgia"/>
                    </w:rPr>
                    <w:t>u</w:t>
                  </w:r>
                  <w:r>
                    <w:rPr>
                      <w:rFonts w:cs="Georgia"/>
                      <w:spacing w:val="1"/>
                    </w:rPr>
                    <w:t>r</w:t>
                  </w:r>
                  <w:r>
                    <w:rPr>
                      <w:rFonts w:cs="Georgia"/>
                    </w:rPr>
                    <w:t>s</w:t>
                  </w:r>
                  <w:r>
                    <w:rPr>
                      <w:rFonts w:cs="Georgia"/>
                      <w:spacing w:val="1"/>
                    </w:rPr>
                    <w:t xml:space="preserve"> pr</w:t>
                  </w:r>
                  <w:r>
                    <w:rPr>
                      <w:rFonts w:cs="Georgia"/>
                    </w:rPr>
                    <w:t>im</w:t>
                  </w:r>
                  <w:r>
                    <w:rPr>
                      <w:rFonts w:cs="Georgia"/>
                      <w:spacing w:val="-1"/>
                    </w:rPr>
                    <w:t>a</w:t>
                  </w:r>
                  <w:r>
                    <w:rPr>
                      <w:rFonts w:cs="Georgia"/>
                      <w:spacing w:val="-2"/>
                    </w:rPr>
                    <w:t>i</w:t>
                  </w:r>
                  <w:r>
                    <w:rPr>
                      <w:rFonts w:cs="Georgia"/>
                      <w:spacing w:val="1"/>
                    </w:rPr>
                    <w:t>r</w:t>
                  </w:r>
                  <w:r>
                    <w:rPr>
                      <w:rFonts w:cs="Georgia"/>
                      <w:spacing w:val="-1"/>
                    </w:rPr>
                    <w:t>e</w:t>
                  </w:r>
                  <w:r>
                    <w:rPr>
                      <w:rFonts w:cs="Georgia"/>
                    </w:rPr>
                    <w:t xml:space="preserve">s et ceux </w:t>
                  </w:r>
                  <w:r>
                    <w:rPr>
                      <w:rFonts w:cs="Georgia"/>
                      <w:spacing w:val="-2"/>
                    </w:rPr>
                    <w:t>c</w:t>
                  </w:r>
                  <w:r>
                    <w:rPr>
                      <w:rFonts w:cs="Georgia"/>
                      <w:spacing w:val="1"/>
                    </w:rPr>
                    <w:t>h</w:t>
                  </w:r>
                  <w:r>
                    <w:rPr>
                      <w:rFonts w:cs="Georgia"/>
                      <w:spacing w:val="-1"/>
                    </w:rPr>
                    <w:t>a</w:t>
                  </w:r>
                  <w:r>
                    <w:rPr>
                      <w:rFonts w:cs="Georgia"/>
                      <w:spacing w:val="-2"/>
                    </w:rPr>
                    <w:t>r</w:t>
                  </w:r>
                  <w:r>
                    <w:rPr>
                      <w:rFonts w:cs="Georgia"/>
                    </w:rPr>
                    <w:t>g</w:t>
                  </w:r>
                  <w:r>
                    <w:rPr>
                      <w:rFonts w:cs="Georgia"/>
                      <w:spacing w:val="-1"/>
                    </w:rPr>
                    <w:t>é</w:t>
                  </w:r>
                  <w:r>
                    <w:rPr>
                      <w:rFonts w:cs="Georgia"/>
                    </w:rPr>
                    <w:t xml:space="preserve">s </w:t>
                  </w:r>
                  <w:r>
                    <w:rPr>
                      <w:rFonts w:cs="Georgia"/>
                      <w:spacing w:val="-2"/>
                    </w:rPr>
                    <w:t>d</w:t>
                  </w:r>
                  <w:r>
                    <w:rPr>
                      <w:rFonts w:cs="Georgia"/>
                      <w:spacing w:val="-1"/>
                    </w:rPr>
                    <w:t>e</w:t>
                  </w:r>
                  <w:r>
                    <w:rPr>
                      <w:rFonts w:cs="Georgia"/>
                    </w:rPr>
                    <w:t xml:space="preserve">s </w:t>
                  </w:r>
                  <w:r>
                    <w:rPr>
                      <w:rFonts w:cs="Georgia"/>
                      <w:spacing w:val="1"/>
                    </w:rPr>
                    <w:t>c</w:t>
                  </w:r>
                  <w:r>
                    <w:rPr>
                      <w:rFonts w:cs="Georgia"/>
                      <w:spacing w:val="-1"/>
                    </w:rPr>
                    <w:t>o</w:t>
                  </w:r>
                  <w:r>
                    <w:rPr>
                      <w:rFonts w:cs="Georgia"/>
                    </w:rPr>
                    <w:t>u</w:t>
                  </w:r>
                  <w:r>
                    <w:rPr>
                      <w:rFonts w:cs="Georgia"/>
                      <w:spacing w:val="1"/>
                    </w:rPr>
                    <w:t>r</w:t>
                  </w:r>
                  <w:r>
                    <w:rPr>
                      <w:rFonts w:cs="Georgia"/>
                    </w:rPr>
                    <w:t xml:space="preserve">s </w:t>
                  </w:r>
                  <w:r>
                    <w:rPr>
                      <w:rFonts w:cs="Georgia"/>
                      <w:spacing w:val="-1"/>
                    </w:rPr>
                    <w:t>e</w:t>
                  </w:r>
                  <w:r>
                    <w:rPr>
                      <w:rFonts w:cs="Georgia"/>
                    </w:rPr>
                    <w:t>n imm</w:t>
                  </w:r>
                  <w:r>
                    <w:rPr>
                      <w:rFonts w:cs="Georgia"/>
                      <w:spacing w:val="-1"/>
                    </w:rPr>
                    <w:t>e</w:t>
                  </w:r>
                  <w:r>
                    <w:rPr>
                      <w:rFonts w:cs="Georgia"/>
                      <w:spacing w:val="-2"/>
                    </w:rPr>
                    <w:t>r</w:t>
                  </w:r>
                  <w:r>
                    <w:rPr>
                      <w:rFonts w:cs="Georgia"/>
                      <w:spacing w:val="1"/>
                    </w:rPr>
                    <w:t>s</w:t>
                  </w:r>
                  <w:r>
                    <w:rPr>
                      <w:rFonts w:cs="Georgia"/>
                    </w:rPr>
                    <w:t>i</w:t>
                  </w:r>
                  <w:r>
                    <w:rPr>
                      <w:rFonts w:cs="Georgia"/>
                      <w:spacing w:val="-1"/>
                    </w:rPr>
                    <w:t>o</w:t>
                  </w:r>
                  <w:r>
                    <w:rPr>
                      <w:rFonts w:cs="Georgia"/>
                    </w:rPr>
                    <w:t xml:space="preserve">n </w:t>
                  </w:r>
                  <w:r>
                    <w:rPr>
                      <w:rFonts w:cs="Georgia"/>
                      <w:spacing w:val="1"/>
                    </w:rPr>
                    <w:t>(d</w:t>
                  </w:r>
                  <w:r>
                    <w:rPr>
                      <w:rFonts w:cs="Georgia"/>
                      <w:spacing w:val="-1"/>
                    </w:rPr>
                    <w:t>a</w:t>
                  </w:r>
                  <w:r>
                    <w:rPr>
                      <w:rFonts w:cs="Georgia"/>
                      <w:spacing w:val="-3"/>
                    </w:rPr>
                    <w:t xml:space="preserve">ns </w:t>
                  </w:r>
                  <w:r>
                    <w:rPr>
                      <w:rFonts w:cs="Georgia"/>
                      <w:spacing w:val="-1"/>
                    </w:rPr>
                    <w:t>l</w:t>
                  </w:r>
                  <w:r>
                    <w:rPr>
                      <w:rFonts w:cs="Georgia"/>
                      <w:spacing w:val="1"/>
                    </w:rPr>
                    <w:t>'</w:t>
                  </w:r>
                  <w:r>
                    <w:rPr>
                      <w:rFonts w:cs="Georgia"/>
                      <w:spacing w:val="-1"/>
                    </w:rPr>
                    <w:t>a</w:t>
                  </w:r>
                  <w:r>
                    <w:rPr>
                      <w:rFonts w:cs="Georgia"/>
                      <w:spacing w:val="1"/>
                    </w:rPr>
                    <w:t>p</w:t>
                  </w:r>
                  <w:r>
                    <w:rPr>
                      <w:rFonts w:cs="Georgia"/>
                      <w:spacing w:val="-1"/>
                    </w:rPr>
                    <w:t>p</w:t>
                  </w:r>
                  <w:r>
                    <w:rPr>
                      <w:rFonts w:cs="Georgia"/>
                      <w:spacing w:val="1"/>
                    </w:rPr>
                    <w:t>r</w:t>
                  </w:r>
                  <w:r>
                    <w:rPr>
                      <w:rFonts w:cs="Georgia"/>
                      <w:spacing w:val="-1"/>
                    </w:rPr>
                    <w:t>en</w:t>
                  </w:r>
                  <w:r>
                    <w:rPr>
                      <w:rFonts w:cs="Georgia"/>
                      <w:spacing w:val="1"/>
                    </w:rPr>
                    <w:t>t</w:t>
                  </w:r>
                  <w:r>
                    <w:rPr>
                      <w:rFonts w:cs="Georgia"/>
                    </w:rPr>
                    <w:t>i</w:t>
                  </w:r>
                  <w:r>
                    <w:rPr>
                      <w:rFonts w:cs="Georgia"/>
                      <w:spacing w:val="1"/>
                    </w:rPr>
                    <w:t>ss</w:t>
                  </w:r>
                  <w:r>
                    <w:rPr>
                      <w:rFonts w:cs="Georgia"/>
                      <w:spacing w:val="-1"/>
                    </w:rPr>
                    <w:t>a</w:t>
                  </w:r>
                  <w:r>
                    <w:rPr>
                      <w:rFonts w:cs="Georgia"/>
                    </w:rPr>
                    <w:t>ge</w:t>
                  </w:r>
                  <w:r>
                    <w:rPr>
                      <w:rFonts w:cs="Georgia"/>
                      <w:spacing w:val="-1"/>
                    </w:rPr>
                    <w:t xml:space="preserve"> </w:t>
                  </w:r>
                  <w:r>
                    <w:rPr>
                      <w:rFonts w:cs="Georgia"/>
                      <w:spacing w:val="-2"/>
                    </w:rPr>
                    <w:t>d</w:t>
                  </w:r>
                  <w:r>
                    <w:rPr>
                      <w:rFonts w:cs="Georgia"/>
                      <w:spacing w:val="1"/>
                    </w:rPr>
                    <w:t>'</w:t>
                  </w:r>
                  <w:r>
                    <w:rPr>
                      <w:rFonts w:cs="Georgia"/>
                    </w:rPr>
                    <w:t>u</w:t>
                  </w:r>
                  <w:r>
                    <w:rPr>
                      <w:rFonts w:cs="Georgia"/>
                      <w:spacing w:val="-1"/>
                    </w:rPr>
                    <w:t>n</w:t>
                  </w:r>
                  <w:r>
                    <w:rPr>
                      <w:rFonts w:cs="Georgia"/>
                    </w:rPr>
                    <w:t>e</w:t>
                  </w:r>
                  <w:r>
                    <w:rPr>
                      <w:rFonts w:cs="Georgia"/>
                      <w:spacing w:val="-1"/>
                    </w:rPr>
                    <w:t xml:space="preserve"> lan</w:t>
                  </w:r>
                  <w:r>
                    <w:rPr>
                      <w:rFonts w:cs="Georgia"/>
                    </w:rPr>
                    <w:t>gue</w:t>
                  </w:r>
                  <w:r>
                    <w:rPr>
                      <w:rFonts w:cs="Georgia"/>
                      <w:spacing w:val="-1"/>
                    </w:rPr>
                    <w:t xml:space="preserve"> </w:t>
                  </w:r>
                  <w:r>
                    <w:rPr>
                      <w:rFonts w:cs="Georgia"/>
                      <w:spacing w:val="1"/>
                    </w:rPr>
                    <w:t>o</w:t>
                  </w:r>
                  <w:r>
                    <w:rPr>
                      <w:rFonts w:cs="Georgia"/>
                    </w:rPr>
                    <w:t xml:space="preserve">u </w:t>
                  </w:r>
                  <w:r>
                    <w:rPr>
                      <w:rFonts w:cs="Georgia"/>
                      <w:spacing w:val="-1"/>
                    </w:rPr>
                    <w:t>e</w:t>
                  </w:r>
                  <w:r>
                    <w:rPr>
                      <w:rFonts w:cs="Georgia"/>
                    </w:rPr>
                    <w:t>n</w:t>
                  </w:r>
                  <w:r>
                    <w:rPr>
                      <w:rFonts w:cs="Georgia"/>
                      <w:spacing w:val="-1"/>
                    </w:rPr>
                    <w:t xml:space="preserve"> lan</w:t>
                  </w:r>
                  <w:r>
                    <w:rPr>
                      <w:rFonts w:cs="Georgia"/>
                    </w:rPr>
                    <w:t>gue</w:t>
                  </w:r>
                  <w:r>
                    <w:rPr>
                      <w:rFonts w:cs="Georgia"/>
                      <w:spacing w:val="-1"/>
                    </w:rPr>
                    <w:t xml:space="preserve"> </w:t>
                  </w:r>
                  <w:r>
                    <w:rPr>
                      <w:rFonts w:cs="Georgia"/>
                    </w:rPr>
                    <w:t>d</w:t>
                  </w:r>
                  <w:r>
                    <w:rPr>
                      <w:rFonts w:cs="Georgia"/>
                      <w:spacing w:val="-1"/>
                    </w:rPr>
                    <w:t>e</w:t>
                  </w:r>
                  <w:r>
                    <w:rPr>
                      <w:rFonts w:cs="Georgia"/>
                    </w:rPr>
                    <w:t xml:space="preserve">s </w:t>
                  </w:r>
                  <w:r>
                    <w:rPr>
                      <w:rFonts w:cs="Georgia"/>
                      <w:spacing w:val="1"/>
                    </w:rPr>
                    <w:t>s</w:t>
                  </w:r>
                  <w:r>
                    <w:rPr>
                      <w:rFonts w:cs="Georgia"/>
                    </w:rPr>
                    <w:t>i</w:t>
                  </w:r>
                  <w:r>
                    <w:rPr>
                      <w:rFonts w:cs="Georgia"/>
                      <w:spacing w:val="-2"/>
                    </w:rPr>
                    <w:t>g</w:t>
                  </w:r>
                  <w:r>
                    <w:rPr>
                      <w:rFonts w:cs="Georgia"/>
                      <w:spacing w:val="-1"/>
                    </w:rPr>
                    <w:t>ne</w:t>
                  </w:r>
                  <w:r>
                    <w:rPr>
                      <w:rFonts w:cs="Georgia"/>
                      <w:spacing w:val="1"/>
                    </w:rPr>
                    <w:t>s</w:t>
                  </w:r>
                  <w:r>
                    <w:rPr>
                      <w:rFonts w:cs="Georgia"/>
                    </w:rPr>
                    <w:t>)</w:t>
                  </w:r>
                  <w:r>
                    <w:rPr>
                      <w:rFonts w:cs="Georgia"/>
                      <w:spacing w:val="1"/>
                    </w:rPr>
                    <w:t xml:space="preserve"> </w:t>
                  </w:r>
                  <w:r>
                    <w:rPr>
                      <w:rFonts w:cs="Georgia"/>
                    </w:rPr>
                    <w:t>;</w:t>
                  </w:r>
                  <w:r>
                    <w:rPr>
                      <w:rFonts w:cs="Georgia"/>
                      <w:spacing w:val="14"/>
                    </w:rPr>
                    <w:t xml:space="preserve"> </w:t>
                  </w:r>
                </w:p>
                <w:p>
                  <w:pPr>
                    <w:widowControl w:val="0"/>
                    <w:numPr>
                      <w:ilvl w:val="2"/>
                      <w:numId w:val="55"/>
                    </w:numPr>
                    <w:tabs>
                      <w:tab w:val="clear" w:pos="2160"/>
                      <w:tab w:val="num" w:pos="1134"/>
                      <w:tab w:val="num" w:pos="1418"/>
                      <w:tab w:val="left" w:pos="1560"/>
                    </w:tabs>
                    <w:autoSpaceDE w:val="0"/>
                    <w:autoSpaceDN w:val="0"/>
                    <w:adjustRightInd w:val="0"/>
                    <w:spacing w:line="248" w:lineRule="exact"/>
                    <w:ind w:left="567" w:right="-20" w:hanging="284"/>
                    <w:jc w:val="both"/>
                    <w:rPr>
                      <w:rFonts w:cs="Georgia"/>
                    </w:rPr>
                  </w:pPr>
                  <w:r>
                    <w:rPr>
                      <w:rFonts w:cs="Georgia"/>
                      <w:spacing w:val="-1"/>
                    </w:rPr>
                    <w:t>a</w:t>
                  </w:r>
                  <w:r>
                    <w:rPr>
                      <w:rFonts w:cs="Georgia"/>
                    </w:rPr>
                    <w:t>ux</w:t>
                  </w:r>
                  <w:r>
                    <w:rPr>
                      <w:rFonts w:cs="Georgia"/>
                      <w:spacing w:val="15"/>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w:t>
                  </w:r>
                  <w:r>
                    <w:rPr>
                      <w:rFonts w:cs="Georgia"/>
                      <w:spacing w:val="17"/>
                    </w:rPr>
                    <w:t xml:space="preserve"> </w:t>
                  </w:r>
                  <w:r>
                    <w:rPr>
                      <w:rFonts w:cs="Georgia"/>
                    </w:rPr>
                    <w:t>de</w:t>
                  </w:r>
                  <w:r>
                    <w:rPr>
                      <w:rFonts w:cs="Georgia"/>
                      <w:spacing w:val="15"/>
                    </w:rPr>
                    <w:t xml:space="preserve"> </w:t>
                  </w:r>
                  <w:r>
                    <w:rPr>
                      <w:rFonts w:cs="Georgia"/>
                      <w:spacing w:val="1"/>
                    </w:rPr>
                    <w:t>r</w:t>
                  </w:r>
                  <w:r>
                    <w:rPr>
                      <w:rFonts w:cs="Georgia"/>
                      <w:spacing w:val="-1"/>
                    </w:rPr>
                    <w:t>el</w:t>
                  </w:r>
                  <w:r>
                    <w:rPr>
                      <w:rFonts w:cs="Georgia"/>
                    </w:rPr>
                    <w:t>ig</w:t>
                  </w:r>
                  <w:r>
                    <w:rPr>
                      <w:rFonts w:cs="Georgia"/>
                      <w:spacing w:val="-2"/>
                    </w:rPr>
                    <w:t>i</w:t>
                  </w:r>
                  <w:r>
                    <w:rPr>
                      <w:rFonts w:cs="Georgia"/>
                      <w:spacing w:val="1"/>
                    </w:rPr>
                    <w:t>o</w:t>
                  </w:r>
                  <w:r>
                    <w:rPr>
                      <w:rFonts w:cs="Georgia"/>
                    </w:rPr>
                    <w:t>n</w:t>
                  </w:r>
                  <w:r>
                    <w:rPr>
                      <w:rFonts w:cs="Georgia"/>
                      <w:spacing w:val="16"/>
                    </w:rPr>
                    <w:t xml:space="preserve"> </w:t>
                  </w:r>
                  <w:r>
                    <w:rPr>
                      <w:rFonts w:cs="Georgia"/>
                      <w:spacing w:val="-3"/>
                    </w:rPr>
                    <w:t>e</w:t>
                  </w:r>
                  <w:r>
                    <w:rPr>
                      <w:rFonts w:cs="Georgia"/>
                    </w:rPr>
                    <w:t>t</w:t>
                  </w:r>
                  <w:r>
                    <w:rPr>
                      <w:rFonts w:cs="Georgia"/>
                      <w:spacing w:val="17"/>
                    </w:rPr>
                    <w:t xml:space="preserve"> </w:t>
                  </w:r>
                  <w:r>
                    <w:rPr>
                      <w:rFonts w:cs="Georgia"/>
                    </w:rPr>
                    <w:t>de</w:t>
                  </w:r>
                  <w:r>
                    <w:rPr>
                      <w:rFonts w:cs="Georgia"/>
                      <w:spacing w:val="15"/>
                    </w:rPr>
                    <w:t xml:space="preserve"> </w:t>
                  </w:r>
                  <w:r>
                    <w:rPr>
                      <w:rFonts w:cs="Georgia"/>
                    </w:rPr>
                    <w:t>m</w:t>
                  </w:r>
                  <w:r>
                    <w:rPr>
                      <w:rFonts w:cs="Georgia"/>
                      <w:spacing w:val="-1"/>
                    </w:rPr>
                    <w:t>o</w:t>
                  </w:r>
                  <w:r>
                    <w:rPr>
                      <w:rFonts w:cs="Georgia"/>
                      <w:spacing w:val="1"/>
                    </w:rPr>
                    <w:t>r</w:t>
                  </w:r>
                  <w:r>
                    <w:rPr>
                      <w:rFonts w:cs="Georgia"/>
                      <w:spacing w:val="-1"/>
                    </w:rPr>
                    <w:t>al</w:t>
                  </w:r>
                  <w:r>
                    <w:rPr>
                      <w:rFonts w:cs="Georgia"/>
                    </w:rPr>
                    <w:t>e</w:t>
                  </w:r>
                  <w:r>
                    <w:rPr>
                      <w:rFonts w:cs="Georgia"/>
                      <w:spacing w:val="15"/>
                    </w:rPr>
                    <w:t xml:space="preserve"> </w:t>
                  </w:r>
                  <w:r>
                    <w:rPr>
                      <w:rFonts w:cs="Georgia"/>
                      <w:spacing w:val="-1"/>
                    </w:rPr>
                    <w:t>n</w:t>
                  </w:r>
                  <w:r>
                    <w:rPr>
                      <w:rFonts w:cs="Georgia"/>
                      <w:spacing w:val="1"/>
                    </w:rPr>
                    <w:t>o</w:t>
                  </w:r>
                  <w:r>
                    <w:rPr>
                      <w:rFonts w:cs="Georgia"/>
                    </w:rPr>
                    <w:t>n</w:t>
                  </w:r>
                  <w:r>
                    <w:rPr>
                      <w:rFonts w:cs="Georgia"/>
                      <w:spacing w:val="16"/>
                    </w:rPr>
                    <w:t xml:space="preserve"> </w:t>
                  </w:r>
                  <w:r>
                    <w:rPr>
                      <w:rFonts w:cs="Georgia"/>
                      <w:spacing w:val="1"/>
                    </w:rPr>
                    <w:t>co</w:t>
                  </w:r>
                  <w:r>
                    <w:rPr>
                      <w:rFonts w:cs="Georgia"/>
                      <w:spacing w:val="-1"/>
                    </w:rPr>
                    <w:t>n</w:t>
                  </w:r>
                  <w:r>
                    <w:rPr>
                      <w:rFonts w:cs="Georgia"/>
                    </w:rPr>
                    <w:t>f</w:t>
                  </w:r>
                  <w:r>
                    <w:rPr>
                      <w:rFonts w:cs="Georgia"/>
                      <w:spacing w:val="-1"/>
                    </w:rPr>
                    <w:t>e</w:t>
                  </w:r>
                  <w:r>
                    <w:rPr>
                      <w:rFonts w:cs="Georgia"/>
                      <w:spacing w:val="-2"/>
                    </w:rPr>
                    <w:t>s</w:t>
                  </w:r>
                  <w:r>
                    <w:rPr>
                      <w:rFonts w:cs="Georgia"/>
                      <w:spacing w:val="1"/>
                    </w:rPr>
                    <w:t>s</w:t>
                  </w:r>
                  <w:r>
                    <w:rPr>
                      <w:rFonts w:cs="Georgia"/>
                      <w:spacing w:val="-2"/>
                    </w:rPr>
                    <w:t>i</w:t>
                  </w:r>
                  <w:r>
                    <w:rPr>
                      <w:rFonts w:cs="Georgia"/>
                      <w:spacing w:val="1"/>
                    </w:rPr>
                    <w:t>o</w:t>
                  </w:r>
                  <w:r>
                    <w:rPr>
                      <w:rFonts w:cs="Georgia"/>
                      <w:spacing w:val="-1"/>
                    </w:rPr>
                    <w:t>nnelle et de philosophie et citoyenneté</w:t>
                  </w:r>
                  <w:r>
                    <w:rPr>
                      <w:rFonts w:cs="Georgia"/>
                    </w:rPr>
                    <w:t>,</w:t>
                  </w:r>
                  <w:r>
                    <w:rPr>
                      <w:rFonts w:cs="Georgia"/>
                      <w:spacing w:val="17"/>
                    </w:rPr>
                    <w:t xml:space="preserve"> </w:t>
                  </w:r>
                  <w:r>
                    <w:rPr>
                      <w:rFonts w:cs="Georgia"/>
                      <w:spacing w:val="-1"/>
                    </w:rPr>
                    <w:t>l</w:t>
                  </w:r>
                  <w:r>
                    <w:rPr>
                      <w:rFonts w:cs="Georgia"/>
                      <w:spacing w:val="1"/>
                    </w:rPr>
                    <w:t>ors</w:t>
                  </w:r>
                  <w:r>
                    <w:rPr>
                      <w:rFonts w:cs="Georgia"/>
                      <w:spacing w:val="-1"/>
                    </w:rPr>
                    <w:t>q</w:t>
                  </w:r>
                  <w:r>
                    <w:rPr>
                      <w:rFonts w:cs="Georgia"/>
                    </w:rPr>
                    <w:t>ue</w:t>
                  </w:r>
                  <w:r>
                    <w:rPr>
                      <w:rFonts w:cs="Georgia"/>
                      <w:spacing w:val="15"/>
                    </w:rPr>
                    <w:t xml:space="preserve"> </w:t>
                  </w:r>
                  <w:r>
                    <w:rPr>
                      <w:rFonts w:cs="Georgia"/>
                      <w:spacing w:val="-1"/>
                    </w:rPr>
                    <w:t>l</w:t>
                  </w:r>
                  <w:r>
                    <w:rPr>
                      <w:rFonts w:cs="Georgia"/>
                    </w:rPr>
                    <w:t>e</w:t>
                  </w:r>
                  <w:r>
                    <w:rPr>
                      <w:rFonts w:cs="Georgia"/>
                      <w:spacing w:val="15"/>
                    </w:rPr>
                    <w:t xml:space="preserve"> </w:t>
                  </w:r>
                  <w:r>
                    <w:rPr>
                      <w:rFonts w:cs="Georgia"/>
                      <w:spacing w:val="1"/>
                    </w:rPr>
                    <w:t>co</w:t>
                  </w:r>
                  <w:r>
                    <w:rPr>
                      <w:rFonts w:cs="Georgia"/>
                    </w:rPr>
                    <w:t>u</w:t>
                  </w:r>
                  <w:r>
                    <w:rPr>
                      <w:rFonts w:cs="Georgia"/>
                      <w:spacing w:val="-2"/>
                    </w:rPr>
                    <w:t>r</w:t>
                  </w:r>
                  <w:r>
                    <w:rPr>
                      <w:rFonts w:cs="Georgia"/>
                    </w:rPr>
                    <w:t>s</w:t>
                  </w:r>
                  <w:r>
                    <w:rPr>
                      <w:rFonts w:cs="Georgia"/>
                      <w:spacing w:val="15"/>
                    </w:rPr>
                    <w:t xml:space="preserve"> </w:t>
                  </w:r>
                  <w:r>
                    <w:rPr>
                      <w:rFonts w:cs="Georgia"/>
                    </w:rPr>
                    <w:t>d</w:t>
                  </w:r>
                  <w:r>
                    <w:rPr>
                      <w:rFonts w:cs="Georgia"/>
                      <w:spacing w:val="1"/>
                    </w:rPr>
                    <w:t>o</w:t>
                  </w:r>
                  <w:r>
                    <w:rPr>
                      <w:rFonts w:cs="Georgia"/>
                      <w:spacing w:val="-1"/>
                    </w:rPr>
                    <w:t>n</w:t>
                  </w:r>
                  <w:r>
                    <w:rPr>
                      <w:rFonts w:cs="Georgia"/>
                    </w:rPr>
                    <w:t>t</w:t>
                  </w:r>
                  <w:r>
                    <w:rPr>
                      <w:rFonts w:cs="Georgia"/>
                      <w:spacing w:val="17"/>
                    </w:rPr>
                    <w:t xml:space="preserve"> </w:t>
                  </w:r>
                  <w:r>
                    <w:rPr>
                      <w:rFonts w:cs="Georgia"/>
                    </w:rPr>
                    <w:t>i</w:t>
                  </w:r>
                  <w:r>
                    <w:rPr>
                      <w:rFonts w:cs="Georgia"/>
                      <w:spacing w:val="-1"/>
                    </w:rPr>
                    <w:t>l</w:t>
                  </w:r>
                  <w:r>
                    <w:rPr>
                      <w:rFonts w:cs="Georgia"/>
                    </w:rPr>
                    <w:t xml:space="preserve">s </w:t>
                  </w:r>
                  <w:r>
                    <w:rPr>
                      <w:rFonts w:cs="Georgia"/>
                      <w:spacing w:val="1"/>
                    </w:rPr>
                    <w:t>so</w:t>
                  </w:r>
                  <w:r>
                    <w:rPr>
                      <w:rFonts w:cs="Georgia"/>
                      <w:spacing w:val="-1"/>
                    </w:rPr>
                    <w:t>n</w:t>
                  </w:r>
                  <w:r>
                    <w:rPr>
                      <w:rFonts w:cs="Georgia"/>
                    </w:rPr>
                    <w:t xml:space="preserve">t </w:t>
                  </w:r>
                  <w:r>
                    <w:rPr>
                      <w:rFonts w:cs="Georgia"/>
                      <w:spacing w:val="-2"/>
                    </w:rPr>
                    <w:t>c</w:t>
                  </w:r>
                  <w:r>
                    <w:rPr>
                      <w:rFonts w:cs="Georgia"/>
                      <w:spacing w:val="1"/>
                    </w:rPr>
                    <w:t>h</w:t>
                  </w:r>
                  <w:r>
                    <w:rPr>
                      <w:rFonts w:cs="Georgia"/>
                      <w:spacing w:val="-1"/>
                    </w:rPr>
                    <w:t>a</w:t>
                  </w:r>
                  <w:r>
                    <w:rPr>
                      <w:rFonts w:cs="Georgia"/>
                      <w:spacing w:val="-2"/>
                    </w:rPr>
                    <w:t>r</w:t>
                  </w:r>
                  <w:r>
                    <w:rPr>
                      <w:rFonts w:cs="Georgia"/>
                    </w:rPr>
                    <w:t>g</w:t>
                  </w:r>
                  <w:r>
                    <w:rPr>
                      <w:rFonts w:cs="Georgia"/>
                      <w:spacing w:val="-1"/>
                    </w:rPr>
                    <w:t>é</w:t>
                  </w:r>
                  <w:r>
                    <w:rPr>
                      <w:rFonts w:cs="Georgia"/>
                    </w:rPr>
                    <w:t xml:space="preserve">s </w:t>
                  </w:r>
                  <w:r>
                    <w:rPr>
                      <w:rFonts w:cs="Georgia"/>
                      <w:spacing w:val="-1"/>
                    </w:rPr>
                    <w:t>e</w:t>
                  </w:r>
                  <w:r>
                    <w:rPr>
                      <w:rFonts w:cs="Georgia"/>
                      <w:spacing w:val="1"/>
                    </w:rPr>
                    <w:t>s</w:t>
                  </w:r>
                  <w:r>
                    <w:rPr>
                      <w:rFonts w:cs="Georgia"/>
                    </w:rPr>
                    <w:t>t "</w:t>
                  </w:r>
                  <w:r>
                    <w:rPr>
                      <w:rFonts w:cs="Georgia"/>
                      <w:spacing w:val="-1"/>
                    </w:rPr>
                    <w:t>l</w:t>
                  </w:r>
                  <w:r>
                    <w:rPr>
                      <w:rFonts w:cs="Georgia"/>
                    </w:rPr>
                    <w:t>e</w:t>
                  </w:r>
                  <w:r>
                    <w:rPr>
                      <w:rFonts w:cs="Georgia"/>
                      <w:spacing w:val="-1"/>
                    </w:rPr>
                    <w:t xml:space="preserve"> </w:t>
                  </w:r>
                  <w:r>
                    <w:rPr>
                      <w:rFonts w:cs="Georgia"/>
                      <w:spacing w:val="1"/>
                    </w:rPr>
                    <w:t>c</w:t>
                  </w:r>
                  <w:r>
                    <w:rPr>
                      <w:rFonts w:cs="Georgia"/>
                      <w:spacing w:val="-1"/>
                    </w:rPr>
                    <w:t>o</w:t>
                  </w:r>
                  <w:r>
                    <w:rPr>
                      <w:rFonts w:cs="Georgia"/>
                    </w:rPr>
                    <w:t>u</w:t>
                  </w:r>
                  <w:r>
                    <w:rPr>
                      <w:rFonts w:cs="Georgia"/>
                      <w:spacing w:val="-2"/>
                    </w:rPr>
                    <w:t>r</w:t>
                  </w:r>
                  <w:r>
                    <w:rPr>
                      <w:rFonts w:cs="Georgia"/>
                    </w:rPr>
                    <w:t>s</w:t>
                  </w:r>
                  <w:r>
                    <w:rPr>
                      <w:rFonts w:cs="Georgia"/>
                      <w:spacing w:val="-2"/>
                    </w:rPr>
                    <w:t xml:space="preserve"> </w:t>
                  </w:r>
                  <w:r>
                    <w:rPr>
                      <w:rFonts w:cs="Georgia"/>
                      <w:spacing w:val="1"/>
                    </w:rPr>
                    <w:t>ph</w:t>
                  </w:r>
                  <w:r>
                    <w:rPr>
                      <w:rFonts w:cs="Georgia"/>
                    </w:rPr>
                    <w:t>i</w:t>
                  </w:r>
                  <w:r>
                    <w:rPr>
                      <w:rFonts w:cs="Georgia"/>
                      <w:spacing w:val="-3"/>
                    </w:rPr>
                    <w:t>l</w:t>
                  </w:r>
                  <w:r>
                    <w:rPr>
                      <w:rFonts w:cs="Georgia"/>
                      <w:spacing w:val="1"/>
                    </w:rPr>
                    <w:t>o</w:t>
                  </w:r>
                  <w:r>
                    <w:rPr>
                      <w:rFonts w:cs="Georgia"/>
                      <w:spacing w:val="-2"/>
                    </w:rPr>
                    <w:t>s</w:t>
                  </w:r>
                  <w:r>
                    <w:rPr>
                      <w:rFonts w:cs="Georgia"/>
                      <w:spacing w:val="1"/>
                    </w:rPr>
                    <w:t>o</w:t>
                  </w:r>
                  <w:r>
                    <w:rPr>
                      <w:rFonts w:cs="Georgia"/>
                      <w:spacing w:val="-1"/>
                    </w:rPr>
                    <w:t>p</w:t>
                  </w:r>
                  <w:r>
                    <w:rPr>
                      <w:rFonts w:cs="Georgia"/>
                      <w:spacing w:val="1"/>
                    </w:rPr>
                    <w:t>h</w:t>
                  </w:r>
                  <w:r>
                    <w:rPr>
                      <w:rFonts w:cs="Georgia"/>
                    </w:rPr>
                    <w:t>i</w:t>
                  </w:r>
                  <w:r>
                    <w:rPr>
                      <w:rFonts w:cs="Georgia"/>
                      <w:spacing w:val="-1"/>
                    </w:rPr>
                    <w:t>q</w:t>
                  </w:r>
                  <w:r>
                    <w:rPr>
                      <w:rFonts w:cs="Georgia"/>
                    </w:rPr>
                    <w:t>ue</w:t>
                  </w:r>
                  <w:r>
                    <w:rPr>
                      <w:rFonts w:cs="Georgia"/>
                      <w:spacing w:val="-1"/>
                    </w:rPr>
                    <w:t xml:space="preserve"> l</w:t>
                  </w:r>
                  <w:r>
                    <w:rPr>
                      <w:rFonts w:cs="Georgia"/>
                    </w:rPr>
                    <w:t>e</w:t>
                  </w:r>
                  <w:r>
                    <w:rPr>
                      <w:rFonts w:cs="Georgia"/>
                      <w:spacing w:val="-1"/>
                    </w:rPr>
                    <w:t xml:space="preserve"> </w:t>
                  </w:r>
                  <w:r>
                    <w:rPr>
                      <w:rFonts w:cs="Georgia"/>
                      <w:spacing w:val="1"/>
                    </w:rPr>
                    <w:t>p</w:t>
                  </w:r>
                  <w:r>
                    <w:rPr>
                      <w:rFonts w:cs="Georgia"/>
                      <w:spacing w:val="-1"/>
                    </w:rPr>
                    <w:t>l</w:t>
                  </w:r>
                  <w:r>
                    <w:rPr>
                      <w:rFonts w:cs="Georgia"/>
                    </w:rPr>
                    <w:t xml:space="preserve">us </w:t>
                  </w:r>
                  <w:r>
                    <w:rPr>
                      <w:rFonts w:cs="Georgia"/>
                      <w:spacing w:val="-2"/>
                    </w:rPr>
                    <w:t>su</w:t>
                  </w:r>
                  <w:r>
                    <w:rPr>
                      <w:rFonts w:cs="Georgia"/>
                    </w:rPr>
                    <w:t>i</w:t>
                  </w:r>
                  <w:r>
                    <w:rPr>
                      <w:rFonts w:cs="Georgia"/>
                      <w:spacing w:val="1"/>
                    </w:rPr>
                    <w:t>v</w:t>
                  </w:r>
                  <w:r>
                    <w:rPr>
                      <w:rFonts w:cs="Georgia"/>
                    </w:rPr>
                    <w:t>i" ;</w:t>
                  </w:r>
                </w:p>
                <w:p>
                  <w:pPr>
                    <w:widowControl w:val="0"/>
                    <w:numPr>
                      <w:ilvl w:val="2"/>
                      <w:numId w:val="55"/>
                    </w:numPr>
                    <w:tabs>
                      <w:tab w:val="clear" w:pos="2160"/>
                      <w:tab w:val="num" w:pos="1560"/>
                    </w:tabs>
                    <w:autoSpaceDE w:val="0"/>
                    <w:autoSpaceDN w:val="0"/>
                    <w:adjustRightInd w:val="0"/>
                    <w:ind w:left="567" w:right="-20" w:hanging="284"/>
                    <w:jc w:val="both"/>
                    <w:rPr>
                      <w:rFonts w:cs="Georgia"/>
                    </w:rPr>
                  </w:pPr>
                  <w:r>
                    <w:rPr>
                      <w:rFonts w:cs="Georgia"/>
                      <w:spacing w:val="-1"/>
                    </w:rPr>
                    <w:t>a</w:t>
                  </w:r>
                  <w:r>
                    <w:rPr>
                      <w:rFonts w:cs="Georgia"/>
                    </w:rPr>
                    <w:t>ux</w:t>
                  </w:r>
                  <w:r>
                    <w:rPr>
                      <w:rFonts w:cs="Georgia"/>
                      <w:spacing w:val="-1"/>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1"/>
                    </w:rPr>
                    <w:t xml:space="preserve"> </w:t>
                  </w:r>
                  <w:r>
                    <w:rPr>
                      <w:rFonts w:cs="Georgia"/>
                      <w:spacing w:val="-2"/>
                    </w:rPr>
                    <w:t>seconde langue</w:t>
                  </w:r>
                  <w:r>
                    <w:rPr>
                      <w:rFonts w:cs="Georgia"/>
                      <w:spacing w:val="-1"/>
                    </w:rPr>
                    <w:t> </w:t>
                  </w:r>
                  <w:r>
                    <w:rPr>
                      <w:rFonts w:cs="Georgia"/>
                    </w:rPr>
                    <w:t>: néerlandais ;</w:t>
                  </w:r>
                </w:p>
                <w:p>
                  <w:pPr>
                    <w:widowControl w:val="0"/>
                    <w:numPr>
                      <w:ilvl w:val="2"/>
                      <w:numId w:val="55"/>
                    </w:numPr>
                    <w:tabs>
                      <w:tab w:val="clear" w:pos="2160"/>
                      <w:tab w:val="num" w:pos="1560"/>
                    </w:tabs>
                    <w:autoSpaceDE w:val="0"/>
                    <w:autoSpaceDN w:val="0"/>
                    <w:adjustRightInd w:val="0"/>
                    <w:ind w:left="567" w:right="-20" w:hanging="284"/>
                    <w:jc w:val="both"/>
                    <w:rPr>
                      <w:rFonts w:cs="Georgia"/>
                    </w:rPr>
                  </w:pPr>
                  <w:r>
                    <w:rPr>
                      <w:rFonts w:cs="Georgia"/>
                      <w:spacing w:val="-1"/>
                    </w:rPr>
                    <w:t>a</w:t>
                  </w:r>
                  <w:r>
                    <w:rPr>
                      <w:rFonts w:cs="Georgia"/>
                    </w:rPr>
                    <w:t>ux</w:t>
                  </w:r>
                  <w:r>
                    <w:rPr>
                      <w:rFonts w:cs="Georgia"/>
                      <w:spacing w:val="-1"/>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1"/>
                    </w:rPr>
                    <w:t xml:space="preserve"> </w:t>
                  </w:r>
                  <w:r>
                    <w:rPr>
                      <w:rFonts w:cs="Georgia"/>
                      <w:spacing w:val="-2"/>
                    </w:rPr>
                    <w:t>seconde langue</w:t>
                  </w:r>
                  <w:r>
                    <w:rPr>
                      <w:rFonts w:cs="Georgia"/>
                      <w:spacing w:val="-1"/>
                    </w:rPr>
                    <w:t> </w:t>
                  </w:r>
                  <w:r>
                    <w:rPr>
                      <w:rFonts w:cs="Georgia"/>
                    </w:rPr>
                    <w:t>: anglais ;</w:t>
                  </w:r>
                </w:p>
                <w:p>
                  <w:pPr>
                    <w:widowControl w:val="0"/>
                    <w:numPr>
                      <w:ilvl w:val="2"/>
                      <w:numId w:val="55"/>
                    </w:numPr>
                    <w:tabs>
                      <w:tab w:val="clear" w:pos="2160"/>
                      <w:tab w:val="num" w:pos="1560"/>
                    </w:tabs>
                    <w:autoSpaceDE w:val="0"/>
                    <w:autoSpaceDN w:val="0"/>
                    <w:adjustRightInd w:val="0"/>
                    <w:ind w:left="567" w:right="-20" w:hanging="284"/>
                    <w:jc w:val="both"/>
                    <w:rPr>
                      <w:rFonts w:cs="Georgia"/>
                    </w:rPr>
                  </w:pPr>
                  <w:r>
                    <w:rPr>
                      <w:rFonts w:cs="Georgia"/>
                      <w:spacing w:val="-1"/>
                    </w:rPr>
                    <w:t>a</w:t>
                  </w:r>
                  <w:r>
                    <w:rPr>
                      <w:rFonts w:cs="Georgia"/>
                    </w:rPr>
                    <w:t>ux</w:t>
                  </w:r>
                  <w:r>
                    <w:rPr>
                      <w:rFonts w:cs="Georgia"/>
                      <w:spacing w:val="-1"/>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1"/>
                    </w:rPr>
                    <w:t xml:space="preserve"> </w:t>
                  </w:r>
                  <w:r>
                    <w:rPr>
                      <w:rFonts w:cs="Georgia"/>
                      <w:spacing w:val="-2"/>
                    </w:rPr>
                    <w:t>seconde langue</w:t>
                  </w:r>
                  <w:r>
                    <w:rPr>
                      <w:rFonts w:cs="Georgia"/>
                      <w:spacing w:val="-1"/>
                    </w:rPr>
                    <w:t> </w:t>
                  </w:r>
                  <w:r>
                    <w:rPr>
                      <w:rFonts w:cs="Georgia"/>
                    </w:rPr>
                    <w:t>: allemand ;</w:t>
                  </w:r>
                </w:p>
                <w:p>
                  <w:pPr>
                    <w:widowControl w:val="0"/>
                    <w:numPr>
                      <w:ilvl w:val="2"/>
                      <w:numId w:val="55"/>
                    </w:numPr>
                    <w:tabs>
                      <w:tab w:val="clear" w:pos="2160"/>
                      <w:tab w:val="num" w:pos="1560"/>
                    </w:tabs>
                    <w:autoSpaceDE w:val="0"/>
                    <w:autoSpaceDN w:val="0"/>
                    <w:adjustRightInd w:val="0"/>
                    <w:spacing w:line="250" w:lineRule="exact"/>
                    <w:ind w:left="567" w:right="-20" w:hanging="284"/>
                    <w:jc w:val="both"/>
                    <w:rPr>
                      <w:rFonts w:cs="Georgia"/>
                    </w:rPr>
                  </w:pPr>
                  <w:r>
                    <w:rPr>
                      <w:rFonts w:cs="Georgia"/>
                      <w:spacing w:val="-1"/>
                    </w:rPr>
                    <w:t>a</w:t>
                  </w:r>
                  <w:r>
                    <w:rPr>
                      <w:rFonts w:cs="Georgia"/>
                    </w:rPr>
                    <w:t>ux</w:t>
                  </w:r>
                  <w:r>
                    <w:rPr>
                      <w:rFonts w:cs="Georgia"/>
                      <w:spacing w:val="-1"/>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 xml:space="preserve">s </w:t>
                  </w:r>
                  <w:r>
                    <w:rPr>
                      <w:rFonts w:cs="Georgia"/>
                      <w:spacing w:val="-2"/>
                    </w:rPr>
                    <w:t>d’</w:t>
                  </w:r>
                  <w:r>
                    <w:rPr>
                      <w:rFonts w:cs="Georgia"/>
                      <w:spacing w:val="-1"/>
                    </w:rPr>
                    <w:t>é</w:t>
                  </w:r>
                  <w:r>
                    <w:rPr>
                      <w:rFonts w:cs="Georgia"/>
                    </w:rPr>
                    <w:t>du</w:t>
                  </w:r>
                  <w:r>
                    <w:rPr>
                      <w:rFonts w:cs="Georgia"/>
                      <w:spacing w:val="1"/>
                    </w:rPr>
                    <w:t>c</w:t>
                  </w:r>
                  <w:r>
                    <w:rPr>
                      <w:rFonts w:cs="Georgia"/>
                      <w:spacing w:val="-1"/>
                    </w:rPr>
                    <w:t>a</w:t>
                  </w:r>
                  <w:r>
                    <w:rPr>
                      <w:rFonts w:cs="Georgia"/>
                      <w:spacing w:val="1"/>
                    </w:rPr>
                    <w:t>t</w:t>
                  </w:r>
                  <w:r>
                    <w:rPr>
                      <w:rFonts w:cs="Georgia"/>
                    </w:rPr>
                    <w:t>i</w:t>
                  </w:r>
                  <w:r>
                    <w:rPr>
                      <w:rFonts w:cs="Georgia"/>
                      <w:spacing w:val="1"/>
                    </w:rPr>
                    <w:t>o</w:t>
                  </w:r>
                  <w:r>
                    <w:rPr>
                      <w:rFonts w:cs="Georgia"/>
                    </w:rPr>
                    <w:t>n</w:t>
                  </w:r>
                  <w:r>
                    <w:rPr>
                      <w:rFonts w:cs="Georgia"/>
                      <w:spacing w:val="-4"/>
                    </w:rPr>
                    <w:t xml:space="preserve"> </w:t>
                  </w:r>
                  <w:r>
                    <w:rPr>
                      <w:rFonts w:cs="Georgia"/>
                      <w:spacing w:val="1"/>
                    </w:rPr>
                    <w:t>ph</w:t>
                  </w:r>
                  <w:r>
                    <w:rPr>
                      <w:rFonts w:cs="Georgia"/>
                      <w:spacing w:val="-3"/>
                    </w:rPr>
                    <w:t>y</w:t>
                  </w:r>
                  <w:r>
                    <w:rPr>
                      <w:rFonts w:cs="Georgia"/>
                      <w:spacing w:val="1"/>
                    </w:rPr>
                    <w:t>s</w:t>
                  </w:r>
                  <w:r>
                    <w:rPr>
                      <w:rFonts w:cs="Georgia"/>
                    </w:rPr>
                    <w:t>i</w:t>
                  </w:r>
                  <w:r>
                    <w:rPr>
                      <w:rFonts w:cs="Georgia"/>
                      <w:spacing w:val="-1"/>
                    </w:rPr>
                    <w:t>q</w:t>
                  </w:r>
                  <w:r>
                    <w:rPr>
                      <w:rFonts w:cs="Georgia"/>
                    </w:rPr>
                    <w:t>ue</w:t>
                  </w:r>
                  <w:r>
                    <w:rPr>
                      <w:rFonts w:cs="Georgia"/>
                      <w:spacing w:val="-1"/>
                    </w:rPr>
                    <w:t xml:space="preserve"> </w:t>
                  </w:r>
                  <w:r>
                    <w:rPr>
                      <w:rFonts w:cs="Georgia"/>
                    </w:rPr>
                    <w:t>;</w:t>
                  </w:r>
                </w:p>
                <w:p>
                  <w:pPr>
                    <w:widowControl w:val="0"/>
                    <w:numPr>
                      <w:ilvl w:val="2"/>
                      <w:numId w:val="55"/>
                    </w:numPr>
                    <w:tabs>
                      <w:tab w:val="clear" w:pos="2160"/>
                      <w:tab w:val="num" w:pos="1560"/>
                    </w:tabs>
                    <w:autoSpaceDE w:val="0"/>
                    <w:autoSpaceDN w:val="0"/>
                    <w:adjustRightInd w:val="0"/>
                    <w:spacing w:line="250" w:lineRule="exact"/>
                    <w:ind w:left="567" w:right="-20" w:hanging="284"/>
                    <w:jc w:val="both"/>
                    <w:rPr>
                      <w:rFonts w:cs="Georgia"/>
                    </w:rPr>
                  </w:pPr>
                  <w:r>
                    <w:rPr>
                      <w:rFonts w:cs="Georgia"/>
                      <w:spacing w:val="-1"/>
                    </w:rPr>
                    <w:t>a</w:t>
                  </w:r>
                  <w:r>
                    <w:rPr>
                      <w:rFonts w:cs="Georgia"/>
                    </w:rPr>
                    <w:t>ux</w:t>
                  </w:r>
                  <w:r>
                    <w:rPr>
                      <w:rFonts w:cs="Georgia"/>
                      <w:spacing w:val="-1"/>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2"/>
                    </w:rPr>
                    <w:t xml:space="preserve"> </w:t>
                  </w:r>
                  <w:r>
                    <w:rPr>
                      <w:rFonts w:cs="Georgia"/>
                      <w:spacing w:val="1"/>
                    </w:rPr>
                    <w:t>tr</w:t>
                  </w:r>
                  <w:r>
                    <w:rPr>
                      <w:rFonts w:cs="Georgia"/>
                      <w:spacing w:val="-1"/>
                    </w:rPr>
                    <w:t>a</w:t>
                  </w:r>
                  <w:r>
                    <w:rPr>
                      <w:rFonts w:cs="Georgia"/>
                      <w:spacing w:val="1"/>
                    </w:rPr>
                    <w:t>v</w:t>
                  </w:r>
                  <w:r>
                    <w:rPr>
                      <w:rFonts w:cs="Georgia"/>
                      <w:spacing w:val="-1"/>
                    </w:rPr>
                    <w:t>a</w:t>
                  </w:r>
                  <w:r>
                    <w:rPr>
                      <w:rFonts w:cs="Georgia"/>
                    </w:rPr>
                    <w:t>il</w:t>
                  </w:r>
                  <w:r>
                    <w:rPr>
                      <w:rFonts w:cs="Georgia"/>
                      <w:spacing w:val="-1"/>
                    </w:rPr>
                    <w:t xml:space="preserve"> </w:t>
                  </w:r>
                  <w:r>
                    <w:rPr>
                      <w:rFonts w:cs="Georgia"/>
                    </w:rPr>
                    <w:t>m</w:t>
                  </w:r>
                  <w:r>
                    <w:rPr>
                      <w:rFonts w:cs="Georgia"/>
                      <w:spacing w:val="-1"/>
                    </w:rPr>
                    <w:t>an</w:t>
                  </w:r>
                  <w:r>
                    <w:rPr>
                      <w:rFonts w:cs="Georgia"/>
                    </w:rPr>
                    <w:t>u</w:t>
                  </w:r>
                  <w:r>
                    <w:rPr>
                      <w:rFonts w:cs="Georgia"/>
                      <w:spacing w:val="-1"/>
                    </w:rPr>
                    <w:t>e</w:t>
                  </w:r>
                  <w:r>
                    <w:rPr>
                      <w:rFonts w:cs="Georgia"/>
                    </w:rPr>
                    <w:t>l</w:t>
                  </w:r>
                  <w:r>
                    <w:rPr>
                      <w:rFonts w:cs="Georgia"/>
                      <w:spacing w:val="-1"/>
                    </w:rPr>
                    <w:t xml:space="preserve"> </w:t>
                  </w:r>
                  <w:r>
                    <w:rPr>
                      <w:rFonts w:cs="Georgia"/>
                    </w:rPr>
                    <w:t>;</w:t>
                  </w:r>
                </w:p>
                <w:p>
                  <w:pPr>
                    <w:widowControl w:val="0"/>
                    <w:numPr>
                      <w:ilvl w:val="2"/>
                      <w:numId w:val="55"/>
                    </w:numPr>
                    <w:tabs>
                      <w:tab w:val="clear" w:pos="2160"/>
                      <w:tab w:val="num" w:pos="1560"/>
                    </w:tabs>
                    <w:autoSpaceDE w:val="0"/>
                    <w:autoSpaceDN w:val="0"/>
                    <w:adjustRightInd w:val="0"/>
                    <w:ind w:left="567" w:right="-20" w:hanging="284"/>
                    <w:jc w:val="both"/>
                    <w:rPr>
                      <w:rFonts w:cs="Georgia"/>
                    </w:rPr>
                  </w:pPr>
                  <w:r>
                    <w:rPr>
                      <w:rFonts w:cs="Georgia"/>
                      <w:spacing w:val="-1"/>
                    </w:rPr>
                    <w:t>a</w:t>
                  </w:r>
                  <w:r>
                    <w:rPr>
                      <w:rFonts w:cs="Georgia"/>
                    </w:rPr>
                    <w:t>ux</w:t>
                  </w:r>
                  <w:r>
                    <w:rPr>
                      <w:rFonts w:cs="Georgia"/>
                      <w:spacing w:val="-1"/>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 xml:space="preserve">s </w:t>
                  </w:r>
                  <w:r>
                    <w:rPr>
                      <w:rFonts w:cs="Georgia"/>
                      <w:spacing w:val="-2"/>
                    </w:rPr>
                    <w:t>d’éducation</w:t>
                  </w:r>
                  <w:r>
                    <w:rPr>
                      <w:rFonts w:cs="Georgia"/>
                      <w:spacing w:val="-1"/>
                    </w:rPr>
                    <w:t xml:space="preserve"> </w:t>
                  </w:r>
                  <w:r>
                    <w:rPr>
                      <w:rFonts w:cs="Georgia"/>
                    </w:rPr>
                    <w:t>mu</w:t>
                  </w:r>
                  <w:r>
                    <w:rPr>
                      <w:rFonts w:cs="Georgia"/>
                      <w:spacing w:val="1"/>
                    </w:rPr>
                    <w:t>s</w:t>
                  </w:r>
                  <w:r>
                    <w:rPr>
                      <w:rFonts w:cs="Georgia"/>
                      <w:spacing w:val="-2"/>
                    </w:rPr>
                    <w:t>i</w:t>
                  </w:r>
                  <w:r>
                    <w:rPr>
                      <w:rFonts w:cs="Georgia"/>
                      <w:spacing w:val="1"/>
                    </w:rPr>
                    <w:t>c</w:t>
                  </w:r>
                  <w:r>
                    <w:rPr>
                      <w:rFonts w:cs="Georgia"/>
                      <w:spacing w:val="-1"/>
                    </w:rPr>
                    <w:t>al</w:t>
                  </w:r>
                  <w:r>
                    <w:rPr>
                      <w:rFonts w:cs="Georgia"/>
                      <w:spacing w:val="9"/>
                    </w:rPr>
                    <w:t xml:space="preserve">e </w:t>
                  </w:r>
                  <w:r>
                    <w:rPr>
                      <w:rStyle w:val="Appelnotedebasdep"/>
                      <w:rFonts w:cs="Georgia"/>
                      <w:spacing w:val="9"/>
                    </w:rPr>
                    <w:footnoteReference w:id="105"/>
                  </w:r>
                  <w:r>
                    <w:rPr>
                      <w:rFonts w:cs="Georgia"/>
                      <w:spacing w:val="18"/>
                      <w:position w:val="6"/>
                    </w:rPr>
                    <w:t xml:space="preserve"> </w:t>
                  </w:r>
                  <w:r>
                    <w:rPr>
                      <w:rFonts w:cs="Georgia"/>
                      <w:i/>
                      <w:iCs/>
                      <w:spacing w:val="1"/>
                    </w:rPr>
                    <w:t>(</w:t>
                  </w:r>
                  <w:r>
                    <w:rPr>
                      <w:rFonts w:cs="Georgia"/>
                      <w:i/>
                      <w:iCs/>
                    </w:rPr>
                    <w:t>p</w:t>
                  </w:r>
                  <w:r>
                    <w:rPr>
                      <w:rFonts w:cs="Georgia"/>
                      <w:i/>
                      <w:iCs/>
                      <w:spacing w:val="-1"/>
                    </w:rPr>
                    <w:t>o</w:t>
                  </w:r>
                  <w:r>
                    <w:rPr>
                      <w:rFonts w:cs="Georgia"/>
                      <w:i/>
                      <w:iCs/>
                    </w:rPr>
                    <w:t>ur</w:t>
                  </w:r>
                  <w:r>
                    <w:rPr>
                      <w:rFonts w:cs="Georgia"/>
                      <w:i/>
                      <w:iCs/>
                      <w:spacing w:val="-1"/>
                    </w:rPr>
                    <w:t xml:space="preserve"> l</w:t>
                  </w:r>
                  <w:r>
                    <w:rPr>
                      <w:rFonts w:cs="Georgia"/>
                      <w:i/>
                      <w:iCs/>
                    </w:rPr>
                    <w:t>e</w:t>
                  </w:r>
                  <w:r>
                    <w:rPr>
                      <w:rFonts w:cs="Georgia"/>
                      <w:i/>
                      <w:iCs/>
                      <w:spacing w:val="-1"/>
                    </w:rPr>
                    <w:t xml:space="preserve"> </w:t>
                  </w:r>
                  <w:r>
                    <w:rPr>
                      <w:rFonts w:cs="Georgia"/>
                      <w:i/>
                      <w:iCs/>
                      <w:spacing w:val="1"/>
                    </w:rPr>
                    <w:t>s</w:t>
                  </w:r>
                  <w:r>
                    <w:rPr>
                      <w:rFonts w:cs="Georgia"/>
                      <w:i/>
                      <w:iCs/>
                    </w:rPr>
                    <w:t>ub</w:t>
                  </w:r>
                  <w:r>
                    <w:rPr>
                      <w:rFonts w:cs="Georgia"/>
                      <w:i/>
                      <w:iCs/>
                      <w:spacing w:val="1"/>
                    </w:rPr>
                    <w:t>v</w:t>
                  </w:r>
                  <w:r>
                    <w:rPr>
                      <w:rFonts w:cs="Georgia"/>
                      <w:i/>
                      <w:iCs/>
                      <w:spacing w:val="-1"/>
                    </w:rPr>
                    <w:t>en</w:t>
                  </w:r>
                  <w:r>
                    <w:rPr>
                      <w:rFonts w:cs="Georgia"/>
                      <w:i/>
                      <w:iCs/>
                    </w:rPr>
                    <w:t>t</w:t>
                  </w:r>
                  <w:r>
                    <w:rPr>
                      <w:rFonts w:cs="Georgia"/>
                      <w:i/>
                      <w:iCs/>
                      <w:spacing w:val="-1"/>
                    </w:rPr>
                    <w:t>ionné</w:t>
                  </w:r>
                  <w:r>
                    <w:rPr>
                      <w:rFonts w:cs="Georgia"/>
                      <w:i/>
                      <w:iCs/>
                      <w:spacing w:val="1"/>
                    </w:rPr>
                    <w:t>)</w:t>
                  </w:r>
                </w:p>
                <w:p>
                  <w:pPr>
                    <w:widowControl w:val="0"/>
                    <w:numPr>
                      <w:ilvl w:val="2"/>
                      <w:numId w:val="55"/>
                    </w:numPr>
                    <w:pBdr>
                      <w:right w:val="single" w:sz="4" w:space="4" w:color="auto"/>
                    </w:pBdr>
                    <w:tabs>
                      <w:tab w:val="clear" w:pos="2160"/>
                      <w:tab w:val="num" w:pos="1560"/>
                    </w:tabs>
                    <w:autoSpaceDE w:val="0"/>
                    <w:autoSpaceDN w:val="0"/>
                    <w:adjustRightInd w:val="0"/>
                    <w:ind w:left="567" w:right="-20" w:hanging="284"/>
                    <w:jc w:val="both"/>
                    <w:rPr>
                      <w:rFonts w:cs="Georgia"/>
                    </w:rPr>
                  </w:pPr>
                  <w:r>
                    <w:rPr>
                      <w:rFonts w:cs="Georgia"/>
                      <w:iCs/>
                      <w:spacing w:val="1"/>
                    </w:rPr>
                    <w:t>aux maîtres de psychomotricité</w:t>
                  </w:r>
                </w:p>
                <w:p>
                  <w:pPr>
                    <w:spacing w:line="276" w:lineRule="auto"/>
                    <w:ind w:firstLine="709"/>
                    <w:jc w:val="both"/>
                    <w:rPr>
                      <w:rFonts w:cs="Georgia"/>
                      <w:color w:val="000000"/>
                      <w:spacing w:val="-1"/>
                    </w:rPr>
                  </w:pPr>
                </w:p>
                <w:p>
                  <w:pPr>
                    <w:spacing w:line="276" w:lineRule="auto"/>
                    <w:jc w:val="both"/>
                    <w:rPr>
                      <w:rFonts w:cs="Georgia"/>
                      <w:color w:val="000000"/>
                    </w:rPr>
                  </w:pPr>
                  <w:r>
                    <w:rPr>
                      <w:rFonts w:cs="Georgia"/>
                      <w:color w:val="000000"/>
                      <w:spacing w:val="-1"/>
                    </w:rPr>
                    <w:t>Ainsi</w:t>
                  </w:r>
                  <w:r>
                    <w:rPr>
                      <w:rFonts w:cs="Georgia"/>
                      <w:color w:val="000000"/>
                    </w:rPr>
                    <w:t xml:space="preserve"> </w:t>
                  </w:r>
                  <w:r>
                    <w:rPr>
                      <w:rFonts w:cs="Georgia"/>
                      <w:color w:val="000000"/>
                      <w:spacing w:val="-1"/>
                    </w:rPr>
                    <w:t>q</w:t>
                  </w:r>
                  <w:r>
                    <w:rPr>
                      <w:rFonts w:cs="Georgia"/>
                      <w:color w:val="000000"/>
                    </w:rPr>
                    <w:t>ue</w:t>
                  </w:r>
                  <w:r>
                    <w:rPr>
                      <w:rFonts w:cs="Georgia"/>
                      <w:color w:val="000000"/>
                      <w:spacing w:val="-1"/>
                    </w:rPr>
                    <w:t xml:space="preserve"> le</w:t>
                  </w:r>
                  <w:r>
                    <w:rPr>
                      <w:rFonts w:cs="Georgia"/>
                      <w:color w:val="000000"/>
                    </w:rPr>
                    <w:t xml:space="preserve">s </w:t>
                  </w:r>
                  <w:r>
                    <w:rPr>
                      <w:rFonts w:cs="Georgia"/>
                      <w:color w:val="000000"/>
                      <w:spacing w:val="1"/>
                    </w:rPr>
                    <w:t>pr</w:t>
                  </w:r>
                  <w:r>
                    <w:rPr>
                      <w:rFonts w:cs="Georgia"/>
                      <w:color w:val="000000"/>
                      <w:spacing w:val="-1"/>
                    </w:rPr>
                    <w:t>e</w:t>
                  </w:r>
                  <w:r>
                    <w:rPr>
                      <w:rFonts w:cs="Georgia"/>
                      <w:color w:val="000000"/>
                      <w:spacing w:val="1"/>
                    </w:rPr>
                    <w:t>st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s</w:t>
                  </w:r>
                  <w:r>
                    <w:rPr>
                      <w:rFonts w:cs="Georgia"/>
                      <w:color w:val="000000"/>
                      <w:spacing w:val="-2"/>
                    </w:rPr>
                    <w:t xml:space="preserve"> </w:t>
                  </w:r>
                  <w:r>
                    <w:rPr>
                      <w:rFonts w:cs="Georgia"/>
                      <w:color w:val="000000"/>
                    </w:rPr>
                    <w:t>d</w:t>
                  </w:r>
                  <w:r>
                    <w:rPr>
                      <w:rFonts w:cs="Georgia"/>
                      <w:color w:val="000000"/>
                      <w:spacing w:val="-1"/>
                    </w:rPr>
                    <w:t>e</w:t>
                  </w:r>
                  <w:r>
                    <w:rPr>
                      <w:rFonts w:cs="Georgia"/>
                      <w:color w:val="000000"/>
                    </w:rPr>
                    <w:t>s m</w:t>
                  </w:r>
                  <w:r>
                    <w:rPr>
                      <w:rFonts w:cs="Georgia"/>
                      <w:color w:val="000000"/>
                      <w:spacing w:val="-1"/>
                    </w:rPr>
                    <w:t>e</w:t>
                  </w:r>
                  <w:r>
                    <w:rPr>
                      <w:rFonts w:cs="Georgia"/>
                      <w:color w:val="000000"/>
                    </w:rPr>
                    <w:t>m</w:t>
                  </w:r>
                  <w:r>
                    <w:rPr>
                      <w:rFonts w:cs="Georgia"/>
                      <w:color w:val="000000"/>
                      <w:spacing w:val="-1"/>
                    </w:rPr>
                    <w:t>b</w:t>
                  </w:r>
                  <w:r>
                    <w:rPr>
                      <w:rFonts w:cs="Georgia"/>
                      <w:color w:val="000000"/>
                      <w:spacing w:val="1"/>
                    </w:rPr>
                    <w:t>r</w:t>
                  </w:r>
                  <w:r>
                    <w:rPr>
                      <w:rFonts w:cs="Georgia"/>
                      <w:color w:val="000000"/>
                      <w:spacing w:val="-1"/>
                    </w:rPr>
                    <w:t>e</w:t>
                  </w:r>
                  <w:r>
                    <w:rPr>
                      <w:rFonts w:cs="Georgia"/>
                      <w:color w:val="000000"/>
                    </w:rPr>
                    <w:t>s du</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w:t>
                  </w:r>
                  <w:r>
                    <w:rPr>
                      <w:rFonts w:cs="Georgia"/>
                      <w:color w:val="000000"/>
                    </w:rPr>
                    <w:t>l</w:t>
                  </w:r>
                  <w:r>
                    <w:rPr>
                      <w:rFonts w:cs="Georgia"/>
                      <w:color w:val="000000"/>
                      <w:spacing w:val="-1"/>
                    </w:rPr>
                    <w:t xml:space="preserve"> </w:t>
                  </w:r>
                  <w:r>
                    <w:rPr>
                      <w:rFonts w:cs="Georgia"/>
                      <w:color w:val="000000"/>
                      <w:spacing w:val="1"/>
                    </w:rPr>
                    <w:t>ch</w:t>
                  </w:r>
                  <w:r>
                    <w:rPr>
                      <w:rFonts w:cs="Georgia"/>
                      <w:color w:val="000000"/>
                      <w:spacing w:val="-1"/>
                    </w:rPr>
                    <w:t>a</w:t>
                  </w:r>
                  <w:r>
                    <w:rPr>
                      <w:rFonts w:cs="Georgia"/>
                      <w:color w:val="000000"/>
                      <w:spacing w:val="1"/>
                    </w:rPr>
                    <w:t>r</w:t>
                  </w:r>
                  <w:r>
                    <w:rPr>
                      <w:rFonts w:cs="Georgia"/>
                      <w:color w:val="000000"/>
                    </w:rPr>
                    <w:t>g</w:t>
                  </w:r>
                  <w:r>
                    <w:rPr>
                      <w:rFonts w:cs="Georgia"/>
                      <w:color w:val="000000"/>
                      <w:spacing w:val="-1"/>
                    </w:rPr>
                    <w:t>é</w:t>
                  </w:r>
                  <w:r>
                    <w:rPr>
                      <w:rFonts w:cs="Georgia"/>
                      <w:color w:val="000000"/>
                    </w:rPr>
                    <w:t>s :</w:t>
                  </w:r>
                </w:p>
                <w:p>
                  <w:pPr>
                    <w:widowControl w:val="0"/>
                    <w:numPr>
                      <w:ilvl w:val="2"/>
                      <w:numId w:val="55"/>
                    </w:numPr>
                    <w:tabs>
                      <w:tab w:val="clear" w:pos="2160"/>
                    </w:tabs>
                    <w:autoSpaceDE w:val="0"/>
                    <w:autoSpaceDN w:val="0"/>
                    <w:adjustRightInd w:val="0"/>
                    <w:spacing w:line="250" w:lineRule="exact"/>
                    <w:ind w:left="851" w:right="-20" w:hanging="284"/>
                    <w:jc w:val="both"/>
                    <w:rPr>
                      <w:rFonts w:cs="Georgia"/>
                      <w:color w:val="000000"/>
                      <w:spacing w:val="-1"/>
                    </w:rPr>
                  </w:pPr>
                  <w:r>
                    <w:rPr>
                      <w:rFonts w:cs="Georgia"/>
                      <w:color w:val="000000"/>
                      <w:spacing w:val="-1"/>
                    </w:rPr>
                    <w:t>de l'enseignement individualisé ;</w:t>
                  </w:r>
                </w:p>
                <w:p>
                  <w:pPr>
                    <w:widowControl w:val="0"/>
                    <w:numPr>
                      <w:ilvl w:val="2"/>
                      <w:numId w:val="55"/>
                    </w:numPr>
                    <w:tabs>
                      <w:tab w:val="clear" w:pos="2160"/>
                    </w:tabs>
                    <w:autoSpaceDE w:val="0"/>
                    <w:autoSpaceDN w:val="0"/>
                    <w:adjustRightInd w:val="0"/>
                    <w:spacing w:line="250" w:lineRule="exact"/>
                    <w:ind w:left="851" w:right="-20" w:hanging="284"/>
                    <w:jc w:val="both"/>
                    <w:rPr>
                      <w:rFonts w:cs="Georgia"/>
                      <w:color w:val="000000"/>
                      <w:spacing w:val="-1"/>
                    </w:rPr>
                  </w:pPr>
                  <w:r>
                    <w:rPr>
                      <w:rFonts w:cs="Georgia"/>
                      <w:color w:val="000000"/>
                      <w:spacing w:val="-1"/>
                    </w:rPr>
                    <w:t>des activités éducatives ;</w:t>
                  </w:r>
                </w:p>
                <w:p>
                  <w:pPr>
                    <w:widowControl w:val="0"/>
                    <w:numPr>
                      <w:ilvl w:val="2"/>
                      <w:numId w:val="55"/>
                    </w:numPr>
                    <w:tabs>
                      <w:tab w:val="clear" w:pos="2160"/>
                    </w:tabs>
                    <w:autoSpaceDE w:val="0"/>
                    <w:autoSpaceDN w:val="0"/>
                    <w:adjustRightInd w:val="0"/>
                    <w:spacing w:line="250" w:lineRule="exact"/>
                    <w:ind w:left="851" w:right="-20" w:hanging="284"/>
                    <w:jc w:val="both"/>
                    <w:rPr>
                      <w:rFonts w:cs="Georgia"/>
                      <w:color w:val="000000"/>
                      <w:spacing w:val="-1"/>
                    </w:rPr>
                  </w:pPr>
                  <w:r>
                    <w:rPr>
                      <w:rFonts w:cs="Georgia"/>
                      <w:color w:val="000000"/>
                      <w:spacing w:val="-1"/>
                    </w:rPr>
                    <w:t>de l'enseignement à domicile.</w:t>
                  </w:r>
                </w:p>
                <w:p>
                  <w:pPr>
                    <w:widowControl w:val="0"/>
                    <w:autoSpaceDE w:val="0"/>
                    <w:autoSpaceDN w:val="0"/>
                    <w:adjustRightInd w:val="0"/>
                    <w:spacing w:line="250" w:lineRule="exact"/>
                    <w:ind w:right="-20"/>
                    <w:jc w:val="both"/>
                    <w:rPr>
                      <w:rFonts w:cs="Georgia"/>
                      <w:color w:val="000000"/>
                      <w:spacing w:val="-1"/>
                    </w:rPr>
                  </w:pPr>
                </w:p>
                <w:p>
                  <w:pPr>
                    <w:widowControl w:val="0"/>
                    <w:pBdr>
                      <w:right w:val="single" w:sz="4" w:space="4" w:color="auto"/>
                    </w:pBdr>
                    <w:autoSpaceDE w:val="0"/>
                    <w:autoSpaceDN w:val="0"/>
                    <w:adjustRightInd w:val="0"/>
                    <w:spacing w:before="1" w:line="250" w:lineRule="exact"/>
                    <w:ind w:left="340" w:hanging="340"/>
                    <w:jc w:val="both"/>
                    <w:rPr>
                      <w:rFonts w:cs="Georgia"/>
                      <w:color w:val="00B050"/>
                    </w:rPr>
                  </w:pPr>
                  <w:r>
                    <w:rPr>
                      <w:rFonts w:cs="Georgia"/>
                      <w:b/>
                      <w:bCs/>
                      <w:color w:val="000000"/>
                      <w:spacing w:val="-1"/>
                    </w:rPr>
                    <w:t>b</w:t>
                  </w:r>
                  <w:r>
                    <w:rPr>
                      <w:rFonts w:cs="Georgia"/>
                      <w:b/>
                      <w:bCs/>
                      <w:color w:val="000000"/>
                    </w:rPr>
                    <w:t xml:space="preserve">) </w:t>
                  </w:r>
                  <w:r>
                    <w:rPr>
                      <w:rFonts w:cs="Georgia"/>
                      <w:color w:val="000000"/>
                      <w:spacing w:val="-1"/>
                    </w:rPr>
                    <w:t>l</w:t>
                  </w:r>
                  <w:r>
                    <w:rPr>
                      <w:rFonts w:cs="Georgia"/>
                      <w:color w:val="000000"/>
                    </w:rPr>
                    <w:t>a</w:t>
                  </w:r>
                  <w:r>
                    <w:rPr>
                      <w:rFonts w:cs="Georgia"/>
                      <w:color w:val="000000"/>
                      <w:spacing w:val="8"/>
                    </w:rPr>
                    <w:t xml:space="preserve"> </w:t>
                  </w:r>
                  <w:r>
                    <w:rPr>
                      <w:rFonts w:cs="Georgia"/>
                      <w:color w:val="000000"/>
                      <w:spacing w:val="1"/>
                    </w:rPr>
                    <w:t>ch</w:t>
                  </w:r>
                  <w:r>
                    <w:rPr>
                      <w:rFonts w:cs="Georgia"/>
                      <w:color w:val="000000"/>
                      <w:spacing w:val="-3"/>
                    </w:rPr>
                    <w:t>a</w:t>
                  </w:r>
                  <w:r>
                    <w:rPr>
                      <w:rFonts w:cs="Georgia"/>
                      <w:color w:val="000000"/>
                      <w:spacing w:val="1"/>
                    </w:rPr>
                    <w:t>r</w:t>
                  </w:r>
                  <w:r>
                    <w:rPr>
                      <w:rFonts w:cs="Georgia"/>
                      <w:color w:val="000000"/>
                    </w:rPr>
                    <w:t>ge d'</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q</w:t>
                  </w:r>
                  <w:r>
                    <w:rPr>
                      <w:rFonts w:cs="Georgia"/>
                      <w:color w:val="000000"/>
                    </w:rPr>
                    <w:t xml:space="preserve">ue </w:t>
                  </w:r>
                  <w:r>
                    <w:rPr>
                      <w:rFonts w:cs="Georgia"/>
                      <w:color w:val="000000"/>
                      <w:spacing w:val="-2"/>
                    </w:rPr>
                    <w:t>d</w:t>
                  </w:r>
                  <w:r>
                    <w:rPr>
                      <w:rFonts w:cs="Georgia"/>
                      <w:color w:val="000000"/>
                      <w:spacing w:val="1"/>
                    </w:rPr>
                    <w:t>o</w:t>
                  </w:r>
                  <w:r>
                    <w:rPr>
                      <w:rFonts w:cs="Georgia"/>
                      <w:color w:val="000000"/>
                    </w:rPr>
                    <w:t xml:space="preserve">it </w:t>
                  </w:r>
                  <w:r>
                    <w:rPr>
                      <w:rFonts w:cs="Georgia"/>
                      <w:color w:val="000000"/>
                      <w:spacing w:val="-1"/>
                    </w:rPr>
                    <w:t>exe</w:t>
                  </w:r>
                  <w:r>
                    <w:rPr>
                      <w:rFonts w:cs="Georgia"/>
                      <w:color w:val="000000"/>
                      <w:spacing w:val="1"/>
                    </w:rPr>
                    <w:t>rc</w:t>
                  </w:r>
                  <w:r>
                    <w:rPr>
                      <w:rFonts w:cs="Georgia"/>
                      <w:color w:val="000000"/>
                      <w:spacing w:val="-1"/>
                    </w:rPr>
                    <w:t>e</w:t>
                  </w:r>
                  <w:r>
                    <w:rPr>
                      <w:rFonts w:cs="Georgia"/>
                      <w:color w:val="000000"/>
                    </w:rPr>
                    <w:t xml:space="preserve">r </w:t>
                  </w:r>
                  <w:r>
                    <w:rPr>
                      <w:rFonts w:cs="Georgia"/>
                      <w:color w:val="000000"/>
                      <w:spacing w:val="-1"/>
                    </w:rPr>
                    <w:t>l</w:t>
                  </w:r>
                  <w:r>
                    <w:rPr>
                      <w:rFonts w:cs="Georgia"/>
                      <w:color w:val="000000"/>
                    </w:rPr>
                    <w:t xml:space="preserve">a </w:t>
                  </w:r>
                  <w:r>
                    <w:rPr>
                      <w:rFonts w:cs="Georgia"/>
                      <w:color w:val="000000"/>
                      <w:spacing w:val="1"/>
                    </w:rPr>
                    <w:t>d</w:t>
                  </w:r>
                  <w:r>
                    <w:rPr>
                      <w:rFonts w:cs="Georgia"/>
                      <w:color w:val="000000"/>
                    </w:rPr>
                    <w:t>i</w:t>
                  </w:r>
                  <w:r>
                    <w:rPr>
                      <w:rFonts w:cs="Georgia"/>
                      <w:color w:val="000000"/>
                      <w:spacing w:val="1"/>
                    </w:rPr>
                    <w:t>r</w:t>
                  </w:r>
                  <w:r>
                    <w:rPr>
                      <w:rFonts w:cs="Georgia"/>
                      <w:color w:val="000000"/>
                      <w:spacing w:val="-1"/>
                    </w:rPr>
                    <w:t>e</w:t>
                  </w:r>
                  <w:r>
                    <w:rPr>
                      <w:rFonts w:cs="Georgia"/>
                      <w:color w:val="000000"/>
                      <w:spacing w:val="1"/>
                    </w:rPr>
                    <w:t>c</w:t>
                  </w:r>
                  <w:r>
                    <w:rPr>
                      <w:rFonts w:cs="Georgia"/>
                      <w:color w:val="000000"/>
                      <w:spacing w:val="-2"/>
                    </w:rPr>
                    <w:t>t</w:t>
                  </w:r>
                  <w:r>
                    <w:rPr>
                      <w:rFonts w:cs="Georgia"/>
                      <w:color w:val="000000"/>
                    </w:rPr>
                    <w:t>i</w:t>
                  </w:r>
                  <w:r>
                    <w:rPr>
                      <w:rFonts w:cs="Georgia"/>
                      <w:color w:val="000000"/>
                      <w:spacing w:val="1"/>
                    </w:rPr>
                    <w:t>o</w:t>
                  </w:r>
                  <w:r>
                    <w:rPr>
                      <w:rFonts w:cs="Georgia"/>
                      <w:color w:val="000000"/>
                      <w:spacing w:val="-1"/>
                    </w:rPr>
                    <w:t>n</w:t>
                  </w:r>
                  <w:r>
                    <w:rPr>
                      <w:rFonts w:cs="Georgia"/>
                      <w:color w:val="000000"/>
                    </w:rPr>
                    <w:t xml:space="preserve">. </w:t>
                  </w:r>
                  <w:r>
                    <w:rPr>
                      <w:rFonts w:cs="Georgia"/>
                      <w:color w:val="000000"/>
                      <w:spacing w:val="1"/>
                    </w:rPr>
                    <w:t>(</w:t>
                  </w:r>
                  <w:hyperlink w:anchor="_2.3.5_Enseignement_spécialisé" w:history="1">
                    <w:r>
                      <w:rPr>
                        <w:rStyle w:val="Lienhypertexte"/>
                        <w:rFonts w:cs="Georgia"/>
                        <w:spacing w:val="-3"/>
                      </w:rPr>
                      <w:t>Voir 2.3.5.</w:t>
                    </w:r>
                  </w:hyperlink>
                  <w:r>
                    <w:rPr>
                      <w:rFonts w:cs="Georgia"/>
                      <w:color w:val="0000FF"/>
                      <w:spacing w:val="-3"/>
                      <w:u w:val="single"/>
                    </w:rPr>
                    <w:t xml:space="preserve"> </w:t>
                  </w:r>
                  <w:r>
                    <w:rPr>
                      <w:rFonts w:cs="Georgia"/>
                      <w:color w:val="000000"/>
                      <w:spacing w:val="-2"/>
                    </w:rPr>
                    <w:t>d</w:t>
                  </w:r>
                  <w:r>
                    <w:rPr>
                      <w:rFonts w:cs="Georgia"/>
                      <w:color w:val="000000"/>
                    </w:rPr>
                    <w:t xml:space="preserve">u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w:t>
                  </w:r>
                  <w:r>
                    <w:rPr>
                      <w:rFonts w:cs="Georgia"/>
                      <w:color w:val="000000"/>
                      <w:spacing w:val="-3"/>
                    </w:rPr>
                    <w:t>n</w:t>
                  </w:r>
                  <w:r>
                    <w:rPr>
                      <w:rFonts w:cs="Georgia"/>
                      <w:color w:val="000000"/>
                    </w:rPr>
                    <w:t xml:space="preserve">t </w:t>
                  </w:r>
                  <w:r>
                    <w:rPr>
                      <w:rFonts w:cs="Georgia"/>
                      <w:color w:val="000000"/>
                      <w:spacing w:val="1"/>
                    </w:rPr>
                    <w:t>ch</w:t>
                  </w:r>
                  <w:r>
                    <w:rPr>
                      <w:rFonts w:cs="Georgia"/>
                      <w:color w:val="000000"/>
                      <w:spacing w:val="-1"/>
                    </w:rPr>
                    <w:t>ap</w:t>
                  </w:r>
                  <w:r>
                    <w:rPr>
                      <w:rFonts w:cs="Georgia"/>
                      <w:color w:val="000000"/>
                    </w:rPr>
                    <w:t>i</w:t>
                  </w:r>
                  <w:r>
                    <w:rPr>
                      <w:rFonts w:cs="Georgia"/>
                      <w:color w:val="000000"/>
                      <w:spacing w:val="1"/>
                    </w:rPr>
                    <w:t>tr</w:t>
                  </w:r>
                  <w:r>
                    <w:rPr>
                      <w:rFonts w:cs="Georgia"/>
                      <w:color w:val="000000"/>
                      <w:spacing w:val="-3"/>
                    </w:rPr>
                    <w:t>e</w:t>
                  </w:r>
                  <w:r>
                    <w:rPr>
                      <w:rFonts w:cs="Georgia"/>
                      <w:color w:val="000000"/>
                    </w:rPr>
                    <w:t xml:space="preserve">) </w:t>
                  </w:r>
                </w:p>
                <w:p>
                  <w:pPr>
                    <w:jc w:val="both"/>
                    <w:rPr>
                      <w:rFonts w:cs="Georgia"/>
                      <w:b/>
                      <w:spacing w:val="-1"/>
                    </w:rPr>
                  </w:pPr>
                </w:p>
                <w:p>
                  <w:pPr>
                    <w:pBdr>
                      <w:right w:val="single" w:sz="4" w:space="4" w:color="auto"/>
                    </w:pBdr>
                    <w:jc w:val="both"/>
                    <w:rPr>
                      <w:rFonts w:cs="Georgia"/>
                      <w:b/>
                      <w:spacing w:val="-1"/>
                    </w:rPr>
                  </w:pPr>
                  <w:r>
                    <w:rPr>
                      <w:rFonts w:cs="Georgia"/>
                      <w:b/>
                      <w:spacing w:val="-1"/>
                    </w:rPr>
                    <w:t xml:space="preserve">c) </w:t>
                  </w:r>
                  <w:r>
                    <w:rPr>
                      <w:rFonts w:cs="Georgia"/>
                      <w:spacing w:val="-1"/>
                    </w:rPr>
                    <w:t>les périodes de travail collaboratif.</w:t>
                  </w:r>
                  <w:r>
                    <w:rPr>
                      <w:rFonts w:cs="Georgia"/>
                      <w:b/>
                      <w:spacing w:val="-1"/>
                    </w:rPr>
                    <w:t xml:space="preserve"> </w:t>
                  </w:r>
                </w:p>
                <w:p>
                  <w:pPr>
                    <w:widowControl w:val="0"/>
                    <w:autoSpaceDE w:val="0"/>
                    <w:autoSpaceDN w:val="0"/>
                    <w:adjustRightInd w:val="0"/>
                    <w:spacing w:line="248" w:lineRule="exact"/>
                    <w:ind w:right="-20"/>
                    <w:rPr>
                      <w:rFonts w:cs="Georgia"/>
                      <w:color w:val="000000"/>
                      <w:spacing w:val="-1"/>
                    </w:rPr>
                  </w:pPr>
                </w:p>
                <w:p>
                  <w:pPr>
                    <w:pStyle w:val="Titre4"/>
                    <w:rPr>
                      <w:rFonts w:cs="Georgia"/>
                      <w:bCs/>
                    </w:rPr>
                  </w:pPr>
                  <w:bookmarkStart w:id="1748" w:name="_2.2._Ne_sont"/>
                  <w:bookmarkEnd w:id="1748"/>
                  <w:r>
                    <w:t>2.2. Ne sont pas imputées au capital-périodes</w:t>
                  </w:r>
                </w:p>
                <w:p>
                  <w:pPr>
                    <w:widowControl w:val="0"/>
                    <w:tabs>
                      <w:tab w:val="left" w:pos="920"/>
                    </w:tabs>
                    <w:autoSpaceDE w:val="0"/>
                    <w:autoSpaceDN w:val="0"/>
                    <w:adjustRightInd w:val="0"/>
                    <w:ind w:right="-20"/>
                    <w:jc w:val="both"/>
                    <w:rPr>
                      <w:rFonts w:cs="Georgia"/>
                      <w:color w:val="000000"/>
                    </w:rPr>
                  </w:pPr>
                </w:p>
                <w:p>
                  <w:pPr>
                    <w:pStyle w:val="Paragraphedeliste"/>
                    <w:widowControl w:val="0"/>
                    <w:numPr>
                      <w:ilvl w:val="0"/>
                      <w:numId w:val="68"/>
                    </w:numPr>
                    <w:autoSpaceDE w:val="0"/>
                    <w:autoSpaceDN w:val="0"/>
                    <w:adjustRightInd w:val="0"/>
                    <w:ind w:left="924" w:hanging="357"/>
                    <w:jc w:val="both"/>
                    <w:rPr>
                      <w:rFonts w:asciiTheme="majorHAnsi" w:eastAsiaTheme="minorHAnsi" w:hAnsiTheme="majorHAnsi" w:cs="Georgia"/>
                      <w:spacing w:val="-2"/>
                      <w:sz w:val="22"/>
                      <w:szCs w:val="22"/>
                      <w:lang w:eastAsia="en-US"/>
                    </w:rPr>
                  </w:pPr>
                  <w:r>
                    <w:rPr>
                      <w:rFonts w:asciiTheme="majorHAnsi" w:eastAsiaTheme="minorHAnsi" w:hAnsiTheme="majorHAnsi" w:cs="Georgia"/>
                      <w:spacing w:val="-2"/>
                      <w:sz w:val="22"/>
                      <w:szCs w:val="22"/>
                      <w:lang w:eastAsia="en-US"/>
                    </w:rPr>
                    <w:t>les prestations du directeur, à l'exception de son éventuelle charge d'enseignement ;</w:t>
                  </w:r>
                </w:p>
                <w:p>
                  <w:pPr>
                    <w:pStyle w:val="Paragraphedeliste"/>
                    <w:widowControl w:val="0"/>
                    <w:numPr>
                      <w:ilvl w:val="0"/>
                      <w:numId w:val="68"/>
                    </w:numPr>
                    <w:autoSpaceDE w:val="0"/>
                    <w:autoSpaceDN w:val="0"/>
                    <w:adjustRightInd w:val="0"/>
                    <w:ind w:left="924" w:hanging="357"/>
                    <w:jc w:val="both"/>
                    <w:rPr>
                      <w:rFonts w:asciiTheme="majorHAnsi" w:eastAsiaTheme="minorHAnsi" w:hAnsiTheme="majorHAnsi" w:cs="Georgia"/>
                      <w:spacing w:val="-2"/>
                      <w:sz w:val="22"/>
                      <w:szCs w:val="22"/>
                      <w:lang w:eastAsia="en-US"/>
                    </w:rPr>
                  </w:pPr>
                  <w:r>
                    <w:rPr>
                      <w:rFonts w:asciiTheme="majorHAnsi" w:eastAsiaTheme="minorHAnsi" w:hAnsiTheme="majorHAnsi" w:cs="Georgia"/>
                      <w:spacing w:val="-2"/>
                      <w:sz w:val="22"/>
                      <w:szCs w:val="22"/>
                      <w:lang w:eastAsia="en-US"/>
                    </w:rPr>
                    <w:t>les périodes attribuées aux maîtres de religion et de morale non confessionnelle et de philosophie et de citoyenneté lorsque le cours dont ils sont chargés n'est pas "le cours philosophique le plus suivi" (en ce compris les périodes de direction avec charge d’enseignement).</w:t>
                  </w:r>
                </w:p>
                <w:p>
                  <w:pPr>
                    <w:pStyle w:val="Paragraphedeliste"/>
                    <w:numPr>
                      <w:ilvl w:val="0"/>
                      <w:numId w:val="253"/>
                    </w:numPr>
                    <w:jc w:val="both"/>
                    <w:rPr>
                      <w:rFonts w:asciiTheme="majorHAnsi" w:eastAsiaTheme="minorHAnsi" w:hAnsiTheme="majorHAnsi" w:cs="Georgia"/>
                      <w:spacing w:val="-2"/>
                      <w:sz w:val="22"/>
                      <w:szCs w:val="22"/>
                      <w:lang w:eastAsia="en-US"/>
                    </w:rPr>
                  </w:pPr>
                  <w:r>
                    <w:rPr>
                      <w:rFonts w:asciiTheme="majorHAnsi" w:eastAsiaTheme="minorHAnsi" w:hAnsiTheme="majorHAnsi" w:cs="Georgia"/>
                      <w:spacing w:val="-2"/>
                      <w:sz w:val="22"/>
                      <w:szCs w:val="22"/>
                      <w:lang w:eastAsia="en-US"/>
                    </w:rPr>
                    <w:t xml:space="preserve">les périodes de conseil de classe attribuées aux maîtres de CPC commun. </w:t>
                  </w:r>
                </w:p>
                <w:p>
                  <w:pPr>
                    <w:pStyle w:val="Paragraphedeliste"/>
                    <w:numPr>
                      <w:ilvl w:val="0"/>
                      <w:numId w:val="253"/>
                    </w:numPr>
                    <w:pBdr>
                      <w:right w:val="single" w:sz="4" w:space="4" w:color="auto"/>
                    </w:pBdr>
                    <w:jc w:val="both"/>
                    <w:rPr>
                      <w:rFonts w:asciiTheme="majorHAnsi" w:eastAsiaTheme="minorHAnsi" w:hAnsiTheme="majorHAnsi" w:cs="Georgia"/>
                      <w:spacing w:val="-2"/>
                      <w:sz w:val="22"/>
                      <w:szCs w:val="22"/>
                      <w:lang w:eastAsia="en-US"/>
                    </w:rPr>
                  </w:pPr>
                  <w:r>
                    <w:rPr>
                      <w:rFonts w:asciiTheme="majorHAnsi" w:eastAsiaTheme="minorHAnsi" w:hAnsiTheme="majorHAnsi" w:cs="Georgia"/>
                      <w:spacing w:val="-2"/>
                      <w:sz w:val="22"/>
                      <w:szCs w:val="22"/>
                      <w:lang w:eastAsia="en-US"/>
                    </w:rPr>
                    <w:t>les périodes de conseil de classe.</w:t>
                  </w: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widowControl w:val="0"/>
                    <w:autoSpaceDE w:val="0"/>
                    <w:autoSpaceDN w:val="0"/>
                    <w:adjustRightInd w:val="0"/>
                    <w:rPr>
                      <w:rFonts w:cs="Georgia"/>
                      <w:color w:val="000000"/>
                    </w:rPr>
                  </w:pPr>
                </w:p>
                <w:p>
                  <w:pPr>
                    <w:pStyle w:val="Titre4"/>
                  </w:pPr>
                  <w:bookmarkStart w:id="1749" w:name="_2.2._Calcul_du"/>
                  <w:bookmarkStart w:id="1750" w:name="_Toc453314322"/>
                  <w:bookmarkStart w:id="1751" w:name="_Toc454980357"/>
                  <w:bookmarkEnd w:id="1749"/>
                  <w:r>
                    <w:t>2.3. Calcul du capital-périodes</w:t>
                  </w:r>
                  <w:bookmarkEnd w:id="1750"/>
                  <w:bookmarkEnd w:id="1751"/>
                </w:p>
                <w:p>
                  <w:pPr>
                    <w:widowControl w:val="0"/>
                    <w:autoSpaceDE w:val="0"/>
                    <w:autoSpaceDN w:val="0"/>
                    <w:adjustRightInd w:val="0"/>
                    <w:spacing w:before="7" w:line="240" w:lineRule="exact"/>
                    <w:rPr>
                      <w:rFonts w:cs="Georgia"/>
                      <w:color w:val="000000"/>
                    </w:rPr>
                  </w:pPr>
                </w:p>
                <w:p>
                  <w:pPr>
                    <w:pStyle w:val="Titre5"/>
                  </w:pPr>
                  <w:r>
                    <w:t xml:space="preserve">2.3.1. </w:t>
                  </w:r>
                  <w:r>
                    <w:rPr>
                      <w:spacing w:val="1"/>
                    </w:rPr>
                    <w:t>N</w:t>
                  </w:r>
                  <w:r>
                    <w:rPr>
                      <w:spacing w:val="-1"/>
                    </w:rPr>
                    <w:t>o</w:t>
                  </w:r>
                  <w:r>
                    <w:t>m</w:t>
                  </w:r>
                  <w:r>
                    <w:rPr>
                      <w:spacing w:val="-1"/>
                    </w:rPr>
                    <w:t>b</w:t>
                  </w:r>
                  <w:r>
                    <w:rPr>
                      <w:spacing w:val="1"/>
                    </w:rPr>
                    <w:t>r</w:t>
                  </w:r>
                  <w:r>
                    <w:t>e</w:t>
                  </w:r>
                  <w:r>
                    <w:rPr>
                      <w:spacing w:val="-2"/>
                    </w:rPr>
                    <w:t xml:space="preserve"> </w:t>
                  </w:r>
                  <w:r>
                    <w:t>guide</w:t>
                  </w:r>
                </w:p>
                <w:p>
                  <w:pPr>
                    <w:widowControl w:val="0"/>
                    <w:tabs>
                      <w:tab w:val="left" w:pos="920"/>
                    </w:tabs>
                    <w:autoSpaceDE w:val="0"/>
                    <w:autoSpaceDN w:val="0"/>
                    <w:adjustRightInd w:val="0"/>
                    <w:spacing w:before="36"/>
                    <w:ind w:right="-20"/>
                    <w:rPr>
                      <w:rFonts w:cs="Georgia"/>
                      <w:color w:val="000000"/>
                    </w:rPr>
                  </w:pPr>
                </w:p>
                <w:p>
                  <w:pPr>
                    <w:widowControl w:val="0"/>
                    <w:autoSpaceDE w:val="0"/>
                    <w:autoSpaceDN w:val="0"/>
                    <w:adjustRightInd w:val="0"/>
                    <w:spacing w:line="244" w:lineRule="exact"/>
                    <w:ind w:right="-20"/>
                    <w:rPr>
                      <w:rFonts w:cs="Georgia"/>
                      <w:color w:val="000000"/>
                    </w:rPr>
                  </w:pPr>
                  <w:r>
                    <w:rPr>
                      <w:rFonts w:cs="Georgia"/>
                      <w:color w:val="000000"/>
                      <w:spacing w:val="1"/>
                      <w:position w:val="-1"/>
                    </w:rPr>
                    <w:t>L</w:t>
                  </w:r>
                  <w:r>
                    <w:rPr>
                      <w:rFonts w:cs="Georgia"/>
                      <w:color w:val="000000"/>
                      <w:spacing w:val="-1"/>
                      <w:position w:val="-1"/>
                    </w:rPr>
                    <w:t>e</w:t>
                  </w:r>
                  <w:r>
                    <w:rPr>
                      <w:rFonts w:cs="Georgia"/>
                      <w:color w:val="000000"/>
                      <w:position w:val="-1"/>
                    </w:rPr>
                    <w:t xml:space="preserve">s </w:t>
                  </w:r>
                  <w:r>
                    <w:rPr>
                      <w:rFonts w:cs="Georgia"/>
                      <w:color w:val="000000"/>
                      <w:spacing w:val="-1"/>
                      <w:position w:val="-1"/>
                    </w:rPr>
                    <w:t>n</w:t>
                  </w:r>
                  <w:r>
                    <w:rPr>
                      <w:rFonts w:cs="Georgia"/>
                      <w:color w:val="000000"/>
                      <w:spacing w:val="1"/>
                      <w:position w:val="-1"/>
                    </w:rPr>
                    <w:t>o</w:t>
                  </w:r>
                  <w:r>
                    <w:rPr>
                      <w:rFonts w:cs="Georgia"/>
                      <w:color w:val="000000"/>
                      <w:spacing w:val="-3"/>
                      <w:position w:val="-1"/>
                    </w:rPr>
                    <w:t>m</w:t>
                  </w:r>
                  <w:r>
                    <w:rPr>
                      <w:rFonts w:cs="Georgia"/>
                      <w:color w:val="000000"/>
                      <w:spacing w:val="1"/>
                      <w:position w:val="-1"/>
                    </w:rPr>
                    <w:t>br</w:t>
                  </w:r>
                  <w:r>
                    <w:rPr>
                      <w:rFonts w:cs="Georgia"/>
                      <w:color w:val="000000"/>
                      <w:spacing w:val="-1"/>
                      <w:position w:val="-1"/>
                    </w:rPr>
                    <w:t>e</w:t>
                  </w:r>
                  <w:r>
                    <w:rPr>
                      <w:rFonts w:cs="Georgia"/>
                      <w:color w:val="000000"/>
                      <w:position w:val="-1"/>
                    </w:rPr>
                    <w:t>s</w:t>
                  </w:r>
                  <w:r>
                    <w:rPr>
                      <w:rFonts w:cs="Georgia"/>
                      <w:color w:val="000000"/>
                      <w:spacing w:val="-2"/>
                      <w:position w:val="-1"/>
                    </w:rPr>
                    <w:t xml:space="preserve"> </w:t>
                  </w:r>
                  <w:r>
                    <w:rPr>
                      <w:rFonts w:cs="Georgia"/>
                      <w:color w:val="000000"/>
                      <w:position w:val="-1"/>
                    </w:rPr>
                    <w:t>guid</w:t>
                  </w:r>
                  <w:r>
                    <w:rPr>
                      <w:rFonts w:cs="Georgia"/>
                      <w:color w:val="000000"/>
                      <w:spacing w:val="-3"/>
                      <w:position w:val="-1"/>
                    </w:rPr>
                    <w:t>e</w:t>
                  </w:r>
                  <w:r>
                    <w:rPr>
                      <w:rFonts w:cs="Georgia"/>
                      <w:color w:val="000000"/>
                      <w:position w:val="-1"/>
                    </w:rPr>
                    <w:t xml:space="preserve">s </w:t>
                  </w:r>
                  <w:r>
                    <w:rPr>
                      <w:rFonts w:cs="Georgia"/>
                      <w:color w:val="000000"/>
                      <w:spacing w:val="1"/>
                      <w:position w:val="-1"/>
                    </w:rPr>
                    <w:t>p</w:t>
                  </w:r>
                  <w:r>
                    <w:rPr>
                      <w:rFonts w:cs="Georgia"/>
                      <w:color w:val="000000"/>
                      <w:spacing w:val="-2"/>
                      <w:position w:val="-1"/>
                    </w:rPr>
                    <w:t>r</w:t>
                  </w:r>
                  <w:r>
                    <w:rPr>
                      <w:rFonts w:cs="Georgia"/>
                      <w:color w:val="000000"/>
                      <w:spacing w:val="-1"/>
                      <w:position w:val="-1"/>
                    </w:rPr>
                    <w:t>op</w:t>
                  </w:r>
                  <w:r>
                    <w:rPr>
                      <w:rFonts w:cs="Georgia"/>
                      <w:color w:val="000000"/>
                      <w:spacing w:val="1"/>
                      <w:position w:val="-1"/>
                    </w:rPr>
                    <w:t>r</w:t>
                  </w:r>
                  <w:r>
                    <w:rPr>
                      <w:rFonts w:cs="Georgia"/>
                      <w:color w:val="000000"/>
                      <w:spacing w:val="-1"/>
                      <w:position w:val="-1"/>
                    </w:rPr>
                    <w:t>e</w:t>
                  </w:r>
                  <w:r>
                    <w:rPr>
                      <w:rFonts w:cs="Georgia"/>
                      <w:color w:val="000000"/>
                      <w:position w:val="-1"/>
                    </w:rPr>
                    <w:t>s à</w:t>
                  </w:r>
                  <w:r>
                    <w:rPr>
                      <w:rFonts w:cs="Georgia"/>
                      <w:color w:val="000000"/>
                      <w:spacing w:val="-1"/>
                      <w:position w:val="-1"/>
                    </w:rPr>
                    <w:t xml:space="preserve"> </w:t>
                  </w:r>
                  <w:r>
                    <w:rPr>
                      <w:rFonts w:cs="Georgia"/>
                      <w:color w:val="000000"/>
                      <w:spacing w:val="1"/>
                      <w:position w:val="-1"/>
                    </w:rPr>
                    <w:t>ch</w:t>
                  </w:r>
                  <w:r>
                    <w:rPr>
                      <w:rFonts w:cs="Georgia"/>
                      <w:color w:val="000000"/>
                      <w:spacing w:val="-1"/>
                      <w:position w:val="-1"/>
                    </w:rPr>
                    <w:t>aq</w:t>
                  </w:r>
                  <w:r>
                    <w:rPr>
                      <w:rFonts w:cs="Georgia"/>
                      <w:color w:val="000000"/>
                      <w:position w:val="-1"/>
                    </w:rPr>
                    <w:t>ue</w:t>
                  </w:r>
                  <w:r>
                    <w:rPr>
                      <w:rFonts w:cs="Georgia"/>
                      <w:color w:val="000000"/>
                      <w:spacing w:val="-1"/>
                      <w:position w:val="-1"/>
                    </w:rPr>
                    <w:t xml:space="preserve"> </w:t>
                  </w:r>
                  <w:r>
                    <w:rPr>
                      <w:rFonts w:cs="Georgia"/>
                      <w:color w:val="000000"/>
                      <w:spacing w:val="1"/>
                      <w:position w:val="-1"/>
                    </w:rPr>
                    <w:t>t</w:t>
                  </w:r>
                  <w:r>
                    <w:rPr>
                      <w:rFonts w:cs="Georgia"/>
                      <w:color w:val="000000"/>
                      <w:spacing w:val="-1"/>
                      <w:position w:val="-1"/>
                    </w:rPr>
                    <w:t>y</w:t>
                  </w:r>
                  <w:r>
                    <w:rPr>
                      <w:rFonts w:cs="Georgia"/>
                      <w:color w:val="000000"/>
                      <w:spacing w:val="1"/>
                      <w:position w:val="-1"/>
                    </w:rPr>
                    <w:t>p</w:t>
                  </w:r>
                  <w:r>
                    <w:rPr>
                      <w:rFonts w:cs="Georgia"/>
                      <w:color w:val="000000"/>
                      <w:position w:val="-1"/>
                    </w:rPr>
                    <w:t>e</w:t>
                  </w:r>
                  <w:r>
                    <w:rPr>
                      <w:rFonts w:cs="Georgia"/>
                      <w:color w:val="000000"/>
                      <w:spacing w:val="-1"/>
                      <w:position w:val="-1"/>
                    </w:rPr>
                    <w:t xml:space="preserve"> </w:t>
                  </w:r>
                  <w:r>
                    <w:rPr>
                      <w:rFonts w:cs="Georgia"/>
                      <w:color w:val="000000"/>
                      <w:spacing w:val="-2"/>
                      <w:position w:val="-1"/>
                    </w:rPr>
                    <w:t>d</w:t>
                  </w:r>
                  <w:r>
                    <w:rPr>
                      <w:rFonts w:cs="Georgia"/>
                      <w:color w:val="000000"/>
                      <w:spacing w:val="1"/>
                      <w:position w:val="-1"/>
                    </w:rPr>
                    <w:t>'</w:t>
                  </w:r>
                  <w:r>
                    <w:rPr>
                      <w:rFonts w:cs="Georgia"/>
                      <w:color w:val="000000"/>
                      <w:spacing w:val="-1"/>
                      <w:position w:val="-1"/>
                    </w:rPr>
                    <w:t>en</w:t>
                  </w:r>
                  <w:r>
                    <w:rPr>
                      <w:rFonts w:cs="Georgia"/>
                      <w:color w:val="000000"/>
                      <w:spacing w:val="1"/>
                      <w:position w:val="-1"/>
                    </w:rPr>
                    <w:t>s</w:t>
                  </w:r>
                  <w:r>
                    <w:rPr>
                      <w:rFonts w:cs="Georgia"/>
                      <w:color w:val="000000"/>
                      <w:spacing w:val="-1"/>
                      <w:position w:val="-1"/>
                    </w:rPr>
                    <w:t>e</w:t>
                  </w:r>
                  <w:r>
                    <w:rPr>
                      <w:rFonts w:cs="Georgia"/>
                      <w:color w:val="000000"/>
                      <w:position w:val="-1"/>
                    </w:rPr>
                    <w:t>ig</w:t>
                  </w:r>
                  <w:r>
                    <w:rPr>
                      <w:rFonts w:cs="Georgia"/>
                      <w:color w:val="000000"/>
                      <w:spacing w:val="-1"/>
                      <w:position w:val="-1"/>
                    </w:rPr>
                    <w:t>ne</w:t>
                  </w:r>
                  <w:r>
                    <w:rPr>
                      <w:rFonts w:cs="Georgia"/>
                      <w:color w:val="000000"/>
                      <w:position w:val="-1"/>
                    </w:rPr>
                    <w:t>m</w:t>
                  </w:r>
                  <w:r>
                    <w:rPr>
                      <w:rFonts w:cs="Georgia"/>
                      <w:color w:val="000000"/>
                      <w:spacing w:val="-1"/>
                      <w:position w:val="-1"/>
                    </w:rPr>
                    <w:t>en</w:t>
                  </w:r>
                  <w:r>
                    <w:rPr>
                      <w:rFonts w:cs="Georgia"/>
                      <w:color w:val="000000"/>
                      <w:position w:val="-1"/>
                    </w:rPr>
                    <w:t xml:space="preserve">t </w:t>
                  </w:r>
                  <w:r>
                    <w:rPr>
                      <w:rFonts w:cs="Georgia"/>
                      <w:color w:val="000000"/>
                      <w:spacing w:val="1"/>
                      <w:position w:val="-1"/>
                    </w:rPr>
                    <w:t>so</w:t>
                  </w:r>
                  <w:r>
                    <w:rPr>
                      <w:rFonts w:cs="Georgia"/>
                      <w:color w:val="000000"/>
                      <w:spacing w:val="-1"/>
                      <w:position w:val="-1"/>
                    </w:rPr>
                    <w:t>n</w:t>
                  </w:r>
                  <w:r>
                    <w:rPr>
                      <w:rFonts w:cs="Georgia"/>
                      <w:color w:val="000000"/>
                      <w:position w:val="-1"/>
                    </w:rPr>
                    <w:t>t fi</w:t>
                  </w:r>
                  <w:r>
                    <w:rPr>
                      <w:rFonts w:cs="Georgia"/>
                      <w:color w:val="000000"/>
                      <w:spacing w:val="-1"/>
                      <w:position w:val="-1"/>
                    </w:rPr>
                    <w:t>xé</w:t>
                  </w:r>
                  <w:r>
                    <w:rPr>
                      <w:rFonts w:cs="Georgia"/>
                      <w:color w:val="000000"/>
                      <w:position w:val="-1"/>
                    </w:rPr>
                    <w:t xml:space="preserve">s </w:t>
                  </w:r>
                  <w:r>
                    <w:rPr>
                      <w:rFonts w:cs="Georgia"/>
                      <w:color w:val="000000"/>
                      <w:spacing w:val="-2"/>
                      <w:position w:val="-1"/>
                    </w:rPr>
                    <w:t>c</w:t>
                  </w:r>
                  <w:r>
                    <w:rPr>
                      <w:rFonts w:cs="Georgia"/>
                      <w:color w:val="000000"/>
                      <w:spacing w:val="1"/>
                      <w:position w:val="-1"/>
                    </w:rPr>
                    <w:t>o</w:t>
                  </w:r>
                  <w:r>
                    <w:rPr>
                      <w:rFonts w:cs="Georgia"/>
                      <w:color w:val="000000"/>
                      <w:spacing w:val="-3"/>
                      <w:position w:val="-1"/>
                    </w:rPr>
                    <w:t>m</w:t>
                  </w:r>
                  <w:r>
                    <w:rPr>
                      <w:rFonts w:cs="Georgia"/>
                      <w:color w:val="000000"/>
                      <w:position w:val="-1"/>
                    </w:rPr>
                    <w:t>me</w:t>
                  </w:r>
                  <w:r>
                    <w:rPr>
                      <w:rFonts w:cs="Georgia"/>
                      <w:color w:val="000000"/>
                      <w:spacing w:val="-1"/>
                      <w:position w:val="-1"/>
                    </w:rPr>
                    <w:t xml:space="preserve"> </w:t>
                  </w:r>
                  <w:r>
                    <w:rPr>
                      <w:rFonts w:cs="Georgia"/>
                      <w:color w:val="000000"/>
                      <w:spacing w:val="1"/>
                      <w:position w:val="-1"/>
                    </w:rPr>
                    <w:t>s</w:t>
                  </w:r>
                  <w:r>
                    <w:rPr>
                      <w:rFonts w:cs="Georgia"/>
                      <w:color w:val="000000"/>
                      <w:position w:val="-1"/>
                    </w:rPr>
                    <w:t>uit :</w:t>
                  </w:r>
                </w:p>
                <w:p>
                  <w:pPr>
                    <w:widowControl w:val="0"/>
                    <w:autoSpaceDE w:val="0"/>
                    <w:autoSpaceDN w:val="0"/>
                    <w:adjustRightInd w:val="0"/>
                    <w:spacing w:before="14" w:line="240" w:lineRule="exact"/>
                    <w:rPr>
                      <w:rFonts w:cs="Georgia"/>
                      <w:color w:val="000000"/>
                    </w:rPr>
                  </w:pPr>
                </w:p>
                <w:tbl>
                  <w:tblPr>
                    <w:tblW w:w="9113" w:type="dxa"/>
                    <w:jc w:val="center"/>
                    <w:tblLayout w:type="fixed"/>
                    <w:tblCellMar>
                      <w:left w:w="0" w:type="dxa"/>
                      <w:right w:w="0" w:type="dxa"/>
                    </w:tblCellMar>
                    <w:tblLook w:val="0000" w:firstRow="0" w:lastRow="0" w:firstColumn="0" w:lastColumn="0" w:noHBand="0" w:noVBand="0"/>
                  </w:tblPr>
                  <w:tblGrid>
                    <w:gridCol w:w="2223"/>
                    <w:gridCol w:w="5630"/>
                    <w:gridCol w:w="1260"/>
                  </w:tblGrid>
                  <w:tr>
                    <w:trPr>
                      <w:trHeight w:hRule="exact" w:val="511"/>
                      <w:jc w:val="center"/>
                    </w:trPr>
                    <w:tc>
                      <w:tcPr>
                        <w:tcW w:w="2223"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ind w:right="75"/>
                          <w:jc w:val="center"/>
                          <w:rPr>
                            <w:rFonts w:cs="Georgia"/>
                          </w:rPr>
                        </w:pPr>
                        <w:r>
                          <w:rPr>
                            <w:rFonts w:cs="Georgia"/>
                            <w:b/>
                            <w:bCs/>
                          </w:rPr>
                          <w:t>T</w:t>
                        </w:r>
                        <w:r>
                          <w:rPr>
                            <w:rFonts w:cs="Georgia"/>
                            <w:b/>
                            <w:bCs/>
                            <w:spacing w:val="1"/>
                          </w:rPr>
                          <w:t>y</w:t>
                        </w:r>
                        <w:r>
                          <w:rPr>
                            <w:rFonts w:cs="Georgia"/>
                            <w:b/>
                            <w:bCs/>
                            <w:spacing w:val="-1"/>
                          </w:rPr>
                          <w:t>p</w:t>
                        </w:r>
                        <w:r>
                          <w:rPr>
                            <w:rFonts w:cs="Georgia"/>
                            <w:b/>
                            <w:bCs/>
                            <w:spacing w:val="1"/>
                          </w:rPr>
                          <w:t>e</w:t>
                        </w:r>
                        <w:r>
                          <w:rPr>
                            <w:rFonts w:cs="Georgia"/>
                            <w:b/>
                            <w:bCs/>
                          </w:rPr>
                          <w:t>s</w:t>
                        </w:r>
                      </w:p>
                      <w:p>
                        <w:pPr>
                          <w:widowControl w:val="0"/>
                          <w:autoSpaceDE w:val="0"/>
                          <w:autoSpaceDN w:val="0"/>
                          <w:adjustRightInd w:val="0"/>
                          <w:spacing w:before="2" w:line="249" w:lineRule="exact"/>
                          <w:ind w:right="75"/>
                          <w:jc w:val="center"/>
                        </w:pPr>
                        <w:r>
                          <w:rPr>
                            <w:rFonts w:cs="Georgia"/>
                            <w:b/>
                            <w:bCs/>
                          </w:rPr>
                          <w:t>d</w:t>
                        </w:r>
                        <w:r>
                          <w:rPr>
                            <w:rFonts w:cs="Georgia"/>
                            <w:b/>
                            <w:bCs/>
                            <w:spacing w:val="1"/>
                          </w:rPr>
                          <w:t>'e</w:t>
                        </w:r>
                        <w:r>
                          <w:rPr>
                            <w:rFonts w:cs="Georgia"/>
                            <w:b/>
                            <w:bCs/>
                            <w:spacing w:val="-1"/>
                          </w:rPr>
                          <w:t>n</w:t>
                        </w:r>
                        <w:r>
                          <w:rPr>
                            <w:rFonts w:cs="Georgia"/>
                            <w:b/>
                            <w:bCs/>
                          </w:rPr>
                          <w:t>s</w:t>
                        </w:r>
                        <w:r>
                          <w:rPr>
                            <w:rFonts w:cs="Georgia"/>
                            <w:b/>
                            <w:bCs/>
                            <w:spacing w:val="-1"/>
                          </w:rPr>
                          <w:t>e</w:t>
                        </w:r>
                        <w:r>
                          <w:rPr>
                            <w:rFonts w:cs="Georgia"/>
                            <w:b/>
                            <w:bCs/>
                            <w:spacing w:val="1"/>
                          </w:rPr>
                          <w:t>i</w:t>
                        </w:r>
                        <w:r>
                          <w:rPr>
                            <w:rFonts w:cs="Georgia"/>
                            <w:b/>
                            <w:bCs/>
                          </w:rPr>
                          <w:t>g</w:t>
                        </w:r>
                        <w:r>
                          <w:rPr>
                            <w:rFonts w:cs="Georgia"/>
                            <w:b/>
                            <w:bCs/>
                            <w:spacing w:val="-4"/>
                          </w:rPr>
                          <w:t>n</w:t>
                        </w:r>
                        <w:r>
                          <w:rPr>
                            <w:rFonts w:cs="Georgia"/>
                            <w:b/>
                            <w:bCs/>
                            <w:spacing w:val="1"/>
                          </w:rPr>
                          <w:t>e</w:t>
                        </w:r>
                        <w:r>
                          <w:rPr>
                            <w:rFonts w:cs="Georgia"/>
                            <w:b/>
                            <w:bCs/>
                            <w:spacing w:val="-1"/>
                          </w:rPr>
                          <w:t>m</w:t>
                        </w:r>
                        <w:r>
                          <w:rPr>
                            <w:rFonts w:cs="Georgia"/>
                            <w:b/>
                            <w:bCs/>
                            <w:spacing w:val="1"/>
                          </w:rPr>
                          <w:t>e</w:t>
                        </w:r>
                        <w:r>
                          <w:rPr>
                            <w:rFonts w:cs="Georgia"/>
                            <w:b/>
                            <w:bCs/>
                            <w:spacing w:val="-1"/>
                          </w:rPr>
                          <w:t>nt</w:t>
                        </w:r>
                      </w:p>
                    </w:tc>
                    <w:tc>
                      <w:tcPr>
                        <w:tcW w:w="5630"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jc w:val="center"/>
                        </w:pPr>
                      </w:p>
                    </w:tc>
                    <w:tc>
                      <w:tcPr>
                        <w:tcW w:w="1260"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ind w:right="104"/>
                          <w:jc w:val="center"/>
                          <w:rPr>
                            <w:rFonts w:cs="Georgia"/>
                          </w:rPr>
                        </w:pPr>
                        <w:r>
                          <w:rPr>
                            <w:rFonts w:cs="Georgia"/>
                            <w:b/>
                            <w:bCs/>
                          </w:rPr>
                          <w:t>N</w:t>
                        </w:r>
                        <w:r>
                          <w:rPr>
                            <w:rFonts w:cs="Georgia"/>
                            <w:b/>
                            <w:bCs/>
                            <w:spacing w:val="-1"/>
                          </w:rPr>
                          <w:t>omb</w:t>
                        </w:r>
                        <w:r>
                          <w:rPr>
                            <w:rFonts w:cs="Georgia"/>
                            <w:b/>
                            <w:bCs/>
                          </w:rPr>
                          <w:t>re</w:t>
                        </w:r>
                      </w:p>
                      <w:p>
                        <w:pPr>
                          <w:widowControl w:val="0"/>
                          <w:autoSpaceDE w:val="0"/>
                          <w:autoSpaceDN w:val="0"/>
                          <w:adjustRightInd w:val="0"/>
                          <w:spacing w:before="2" w:line="249" w:lineRule="exact"/>
                          <w:ind w:right="253"/>
                          <w:jc w:val="center"/>
                        </w:pPr>
                        <w:r>
                          <w:rPr>
                            <w:rFonts w:cs="Georgia"/>
                            <w:b/>
                            <w:bCs/>
                          </w:rPr>
                          <w:t>g</w:t>
                        </w:r>
                        <w:r>
                          <w:rPr>
                            <w:rFonts w:cs="Georgia"/>
                            <w:b/>
                            <w:bCs/>
                            <w:spacing w:val="-1"/>
                          </w:rPr>
                          <w:t>u</w:t>
                        </w:r>
                        <w:r>
                          <w:rPr>
                            <w:rFonts w:cs="Georgia"/>
                            <w:b/>
                            <w:bCs/>
                            <w:spacing w:val="1"/>
                          </w:rPr>
                          <w:t>i</w:t>
                        </w:r>
                        <w:r>
                          <w:rPr>
                            <w:rFonts w:cs="Georgia"/>
                            <w:b/>
                            <w:bCs/>
                          </w:rPr>
                          <w:t>de</w:t>
                        </w:r>
                      </w:p>
                    </w:tc>
                  </w:tr>
                  <w:tr>
                    <w:trPr>
                      <w:trHeight w:hRule="exact" w:val="726"/>
                      <w:jc w:val="center"/>
                    </w:trPr>
                    <w:tc>
                      <w:tcPr>
                        <w:tcW w:w="2223"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ind w:right="75"/>
                          <w:jc w:val="center"/>
                        </w:pPr>
                        <w:r>
                          <w:rPr>
                            <w:rFonts w:cs="Georgia"/>
                            <w:b/>
                            <w:bCs/>
                          </w:rPr>
                          <w:t>1</w:t>
                        </w:r>
                        <w:r>
                          <w:rPr>
                            <w:rFonts w:cs="Georgia"/>
                            <w:b/>
                            <w:bCs/>
                            <w:spacing w:val="-1"/>
                          </w:rPr>
                          <w:t xml:space="preserve"> </w:t>
                        </w:r>
                        <w:r>
                          <w:rPr>
                            <w:rFonts w:cs="Georgia"/>
                            <w:b/>
                            <w:bCs/>
                            <w:spacing w:val="1"/>
                          </w:rPr>
                          <w:t>e</w:t>
                        </w:r>
                        <w:r>
                          <w:rPr>
                            <w:rFonts w:cs="Georgia"/>
                            <w:b/>
                            <w:bCs/>
                          </w:rPr>
                          <w:t>t 8</w:t>
                        </w:r>
                      </w:p>
                    </w:tc>
                    <w:tc>
                      <w:tcPr>
                        <w:tcW w:w="5630"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jc w:val="center"/>
                          <w:rPr>
                            <w:rFonts w:cs="Georgia"/>
                          </w:rPr>
                        </w:pPr>
                        <w:r>
                          <w:rPr>
                            <w:rFonts w:cs="Georgia"/>
                          </w:rPr>
                          <w:t>-</w:t>
                        </w:r>
                        <w:r>
                          <w:rPr>
                            <w:rFonts w:cs="Georgia"/>
                            <w:spacing w:val="-1"/>
                          </w:rPr>
                          <w:t xml:space="preserve"> </w:t>
                        </w:r>
                        <w:r>
                          <w:rPr>
                            <w:rFonts w:cs="Georgia"/>
                          </w:rPr>
                          <w:t xml:space="preserve">49 </w:t>
                        </w:r>
                        <w:r>
                          <w:rPr>
                            <w:rFonts w:cs="Georgia"/>
                            <w:spacing w:val="1"/>
                          </w:rPr>
                          <w:t>pr</w:t>
                        </w:r>
                        <w:r>
                          <w:rPr>
                            <w:rFonts w:cs="Georgia"/>
                            <w:spacing w:val="-1"/>
                          </w:rPr>
                          <w:t>e</w:t>
                        </w:r>
                        <w:r>
                          <w:rPr>
                            <w:rFonts w:cs="Georgia"/>
                          </w:rPr>
                          <w:t>mi</w:t>
                        </w:r>
                        <w:r>
                          <w:rPr>
                            <w:rFonts w:cs="Georgia"/>
                            <w:spacing w:val="-1"/>
                          </w:rPr>
                          <w:t>e</w:t>
                        </w:r>
                        <w:r>
                          <w:rPr>
                            <w:rFonts w:cs="Georgia"/>
                            <w:spacing w:val="1"/>
                          </w:rPr>
                          <w:t>r</w:t>
                        </w:r>
                        <w:r>
                          <w:rPr>
                            <w:rFonts w:cs="Georgia"/>
                          </w:rPr>
                          <w:t xml:space="preserve">s </w:t>
                        </w:r>
                        <w:r>
                          <w:rPr>
                            <w:rFonts w:cs="Georgia"/>
                            <w:spacing w:val="-1"/>
                          </w:rPr>
                          <w:t>élè</w:t>
                        </w:r>
                        <w:r>
                          <w:rPr>
                            <w:rFonts w:cs="Georgia"/>
                            <w:spacing w:val="1"/>
                          </w:rPr>
                          <w:t>v</w:t>
                        </w:r>
                        <w:r>
                          <w:rPr>
                            <w:rFonts w:cs="Georgia"/>
                            <w:spacing w:val="-1"/>
                          </w:rPr>
                          <w:t>es</w:t>
                        </w:r>
                      </w:p>
                      <w:p>
                        <w:pPr>
                          <w:widowControl w:val="0"/>
                          <w:autoSpaceDE w:val="0"/>
                          <w:autoSpaceDN w:val="0"/>
                          <w:adjustRightInd w:val="0"/>
                          <w:spacing w:line="248" w:lineRule="exact"/>
                          <w:jc w:val="center"/>
                        </w:pPr>
                        <w:r>
                          <w:rPr>
                            <w:rFonts w:cs="Georgia"/>
                          </w:rPr>
                          <w:t>-</w:t>
                        </w:r>
                        <w:r>
                          <w:rPr>
                            <w:rFonts w:cs="Georgia"/>
                            <w:spacing w:val="-1"/>
                          </w:rPr>
                          <w:t xml:space="preserve"> </w:t>
                        </w:r>
                        <w:r>
                          <w:rPr>
                            <w:rFonts w:cs="Georgia"/>
                          </w:rPr>
                          <w:t>à</w:t>
                        </w:r>
                        <w:r>
                          <w:rPr>
                            <w:rFonts w:cs="Georgia"/>
                            <w:spacing w:val="-1"/>
                          </w:rPr>
                          <w:t xml:space="preserve"> </w:t>
                        </w:r>
                        <w:r>
                          <w:rPr>
                            <w:rFonts w:cs="Georgia"/>
                            <w:spacing w:val="1"/>
                          </w:rPr>
                          <w:t>p</w:t>
                        </w:r>
                        <w:r>
                          <w:rPr>
                            <w:rFonts w:cs="Georgia"/>
                            <w:spacing w:val="-1"/>
                          </w:rPr>
                          <w:t>a</w:t>
                        </w:r>
                        <w:r>
                          <w:rPr>
                            <w:rFonts w:cs="Georgia"/>
                            <w:spacing w:val="1"/>
                          </w:rPr>
                          <w:t>rt</w:t>
                        </w:r>
                        <w:r>
                          <w:rPr>
                            <w:rFonts w:cs="Georgia"/>
                          </w:rPr>
                          <w:t xml:space="preserve">ir </w:t>
                        </w:r>
                        <w:r>
                          <w:rPr>
                            <w:rFonts w:cs="Georgia"/>
                            <w:spacing w:val="-2"/>
                          </w:rPr>
                          <w:t>d</w:t>
                        </w:r>
                        <w:r>
                          <w:rPr>
                            <w:rFonts w:cs="Georgia"/>
                          </w:rPr>
                          <w:t xml:space="preserve">u </w:t>
                        </w:r>
                        <w:r>
                          <w:rPr>
                            <w:rFonts w:cs="Georgia"/>
                            <w:spacing w:val="1"/>
                          </w:rPr>
                          <w:t>5</w:t>
                        </w:r>
                        <w:r>
                          <w:rPr>
                            <w:rFonts w:cs="Georgia"/>
                            <w:spacing w:val="-1"/>
                          </w:rPr>
                          <w:t>0è</w:t>
                        </w:r>
                        <w:r>
                          <w:rPr>
                            <w:rFonts w:cs="Georgia"/>
                          </w:rPr>
                          <w:t>me</w:t>
                        </w:r>
                        <w:r>
                          <w:rPr>
                            <w:rFonts w:cs="Georgia"/>
                            <w:spacing w:val="-1"/>
                          </w:rPr>
                          <w:t xml:space="preserve"> élè</w:t>
                        </w:r>
                        <w:r>
                          <w:rPr>
                            <w:rFonts w:cs="Georgia"/>
                            <w:spacing w:val="1"/>
                          </w:rPr>
                          <w:t>v</w:t>
                        </w:r>
                        <w:r>
                          <w:rPr>
                            <w:rFonts w:cs="Georgia"/>
                          </w:rPr>
                          <w:t>e</w:t>
                        </w:r>
                      </w:p>
                    </w:tc>
                    <w:tc>
                      <w:tcPr>
                        <w:tcW w:w="1260"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ind w:right="506"/>
                          <w:jc w:val="center"/>
                          <w:rPr>
                            <w:rFonts w:cs="Georgia"/>
                          </w:rPr>
                        </w:pPr>
                        <w:r>
                          <w:rPr>
                            <w:rFonts w:cs="Georgia"/>
                          </w:rPr>
                          <w:t>9</w:t>
                        </w:r>
                      </w:p>
                      <w:p>
                        <w:pPr>
                          <w:widowControl w:val="0"/>
                          <w:autoSpaceDE w:val="0"/>
                          <w:autoSpaceDN w:val="0"/>
                          <w:adjustRightInd w:val="0"/>
                          <w:spacing w:line="248" w:lineRule="exact"/>
                          <w:ind w:right="451"/>
                          <w:jc w:val="center"/>
                        </w:pPr>
                        <w:r>
                          <w:rPr>
                            <w:rFonts w:cs="Georgia"/>
                            <w:spacing w:val="1"/>
                          </w:rPr>
                          <w:t>10</w:t>
                        </w:r>
                      </w:p>
                    </w:tc>
                  </w:tr>
                  <w:tr>
                    <w:trPr>
                      <w:trHeight w:hRule="exact" w:val="776"/>
                      <w:jc w:val="center"/>
                    </w:trPr>
                    <w:tc>
                      <w:tcPr>
                        <w:tcW w:w="2223"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ind w:right="75"/>
                          <w:jc w:val="center"/>
                        </w:pPr>
                        <w:r>
                          <w:rPr>
                            <w:rFonts w:cs="Georgia"/>
                            <w:b/>
                            <w:bCs/>
                            <w:spacing w:val="1"/>
                          </w:rPr>
                          <w:t>2</w:t>
                        </w:r>
                        <w:r>
                          <w:rPr>
                            <w:rFonts w:cs="Georgia"/>
                            <w:b/>
                            <w:bCs/>
                          </w:rPr>
                          <w:t>,</w:t>
                        </w:r>
                        <w:r>
                          <w:rPr>
                            <w:rFonts w:cs="Georgia"/>
                            <w:b/>
                            <w:bCs/>
                            <w:spacing w:val="-1"/>
                          </w:rPr>
                          <w:t xml:space="preserve"> </w:t>
                        </w:r>
                        <w:r>
                          <w:rPr>
                            <w:rFonts w:cs="Georgia"/>
                            <w:b/>
                            <w:bCs/>
                          </w:rPr>
                          <w:t>3</w:t>
                        </w:r>
                        <w:r>
                          <w:rPr>
                            <w:rFonts w:cs="Georgia"/>
                            <w:b/>
                            <w:bCs/>
                            <w:spacing w:val="-2"/>
                          </w:rPr>
                          <w:t xml:space="preserve"> </w:t>
                        </w:r>
                        <w:r>
                          <w:rPr>
                            <w:rFonts w:cs="Georgia"/>
                            <w:b/>
                            <w:bCs/>
                            <w:spacing w:val="1"/>
                          </w:rPr>
                          <w:t>e</w:t>
                        </w:r>
                        <w:r>
                          <w:rPr>
                            <w:rFonts w:cs="Georgia"/>
                            <w:b/>
                            <w:bCs/>
                          </w:rPr>
                          <w:t>t 4</w:t>
                        </w:r>
                      </w:p>
                    </w:tc>
                    <w:tc>
                      <w:tcPr>
                        <w:tcW w:w="5630"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jc w:val="center"/>
                          <w:rPr>
                            <w:rFonts w:cs="Georgia"/>
                          </w:rPr>
                        </w:pPr>
                        <w:r>
                          <w:rPr>
                            <w:rFonts w:cs="Georgia"/>
                          </w:rPr>
                          <w:t>-</w:t>
                        </w:r>
                        <w:r>
                          <w:rPr>
                            <w:rFonts w:cs="Georgia"/>
                            <w:spacing w:val="-1"/>
                          </w:rPr>
                          <w:t xml:space="preserve"> </w:t>
                        </w:r>
                        <w:r>
                          <w:rPr>
                            <w:rFonts w:cs="Georgia"/>
                            <w:spacing w:val="1"/>
                          </w:rPr>
                          <w:t>3</w:t>
                        </w:r>
                        <w:r>
                          <w:rPr>
                            <w:rFonts w:cs="Georgia"/>
                          </w:rPr>
                          <w:t xml:space="preserve">4 </w:t>
                        </w:r>
                        <w:r>
                          <w:rPr>
                            <w:rFonts w:cs="Georgia"/>
                            <w:spacing w:val="1"/>
                          </w:rPr>
                          <w:t>pr</w:t>
                        </w:r>
                        <w:r>
                          <w:rPr>
                            <w:rFonts w:cs="Georgia"/>
                            <w:spacing w:val="-1"/>
                          </w:rPr>
                          <w:t>e</w:t>
                        </w:r>
                        <w:r>
                          <w:rPr>
                            <w:rFonts w:cs="Georgia"/>
                          </w:rPr>
                          <w:t>mi</w:t>
                        </w:r>
                        <w:r>
                          <w:rPr>
                            <w:rFonts w:cs="Georgia"/>
                            <w:spacing w:val="-1"/>
                          </w:rPr>
                          <w:t>e</w:t>
                        </w:r>
                        <w:r>
                          <w:rPr>
                            <w:rFonts w:cs="Georgia"/>
                            <w:spacing w:val="-2"/>
                          </w:rPr>
                          <w:t>r</w:t>
                        </w:r>
                        <w:r>
                          <w:rPr>
                            <w:rFonts w:cs="Georgia"/>
                          </w:rPr>
                          <w:t xml:space="preserve">s </w:t>
                        </w:r>
                        <w:r>
                          <w:rPr>
                            <w:rFonts w:cs="Georgia"/>
                            <w:spacing w:val="-1"/>
                          </w:rPr>
                          <w:t>élè</w:t>
                        </w:r>
                        <w:r>
                          <w:rPr>
                            <w:rFonts w:cs="Georgia"/>
                            <w:spacing w:val="1"/>
                          </w:rPr>
                          <w:t>v</w:t>
                        </w:r>
                        <w:r>
                          <w:rPr>
                            <w:rFonts w:cs="Georgia"/>
                            <w:spacing w:val="-1"/>
                          </w:rPr>
                          <w:t>es</w:t>
                        </w:r>
                      </w:p>
                      <w:p>
                        <w:pPr>
                          <w:widowControl w:val="0"/>
                          <w:autoSpaceDE w:val="0"/>
                          <w:autoSpaceDN w:val="0"/>
                          <w:adjustRightInd w:val="0"/>
                          <w:spacing w:before="2" w:line="249" w:lineRule="exact"/>
                          <w:jc w:val="center"/>
                        </w:pPr>
                        <w:r>
                          <w:rPr>
                            <w:rFonts w:cs="Georgia"/>
                          </w:rPr>
                          <w:t>-</w:t>
                        </w:r>
                        <w:r>
                          <w:rPr>
                            <w:rFonts w:cs="Georgia"/>
                            <w:spacing w:val="-1"/>
                          </w:rPr>
                          <w:t xml:space="preserve"> </w:t>
                        </w:r>
                        <w:r>
                          <w:rPr>
                            <w:rFonts w:cs="Georgia"/>
                          </w:rPr>
                          <w:t>à</w:t>
                        </w:r>
                        <w:r>
                          <w:rPr>
                            <w:rFonts w:cs="Georgia"/>
                            <w:spacing w:val="-1"/>
                          </w:rPr>
                          <w:t xml:space="preserve"> </w:t>
                        </w:r>
                        <w:r>
                          <w:rPr>
                            <w:rFonts w:cs="Georgia"/>
                            <w:spacing w:val="1"/>
                          </w:rPr>
                          <w:t>p</w:t>
                        </w:r>
                        <w:r>
                          <w:rPr>
                            <w:rFonts w:cs="Georgia"/>
                            <w:spacing w:val="-1"/>
                          </w:rPr>
                          <w:t>a</w:t>
                        </w:r>
                        <w:r>
                          <w:rPr>
                            <w:rFonts w:cs="Georgia"/>
                            <w:spacing w:val="1"/>
                          </w:rPr>
                          <w:t>rt</w:t>
                        </w:r>
                        <w:r>
                          <w:rPr>
                            <w:rFonts w:cs="Georgia"/>
                          </w:rPr>
                          <w:t xml:space="preserve">ir </w:t>
                        </w:r>
                        <w:r>
                          <w:rPr>
                            <w:rFonts w:cs="Georgia"/>
                            <w:spacing w:val="-2"/>
                          </w:rPr>
                          <w:t>d</w:t>
                        </w:r>
                        <w:r>
                          <w:rPr>
                            <w:rFonts w:cs="Georgia"/>
                          </w:rPr>
                          <w:t xml:space="preserve">u </w:t>
                        </w:r>
                        <w:r>
                          <w:rPr>
                            <w:rFonts w:cs="Georgia"/>
                            <w:spacing w:val="1"/>
                          </w:rPr>
                          <w:t>35</w:t>
                        </w:r>
                        <w:r>
                          <w:rPr>
                            <w:rFonts w:cs="Georgia"/>
                            <w:spacing w:val="-1"/>
                          </w:rPr>
                          <w:t>è</w:t>
                        </w:r>
                        <w:r>
                          <w:rPr>
                            <w:rFonts w:cs="Georgia"/>
                          </w:rPr>
                          <w:t>me</w:t>
                        </w:r>
                        <w:r>
                          <w:rPr>
                            <w:rFonts w:cs="Georgia"/>
                            <w:spacing w:val="-1"/>
                          </w:rPr>
                          <w:t xml:space="preserve"> élè</w:t>
                        </w:r>
                        <w:r>
                          <w:rPr>
                            <w:rFonts w:cs="Georgia"/>
                            <w:spacing w:val="1"/>
                          </w:rPr>
                          <w:t>ve</w:t>
                        </w:r>
                      </w:p>
                    </w:tc>
                    <w:tc>
                      <w:tcPr>
                        <w:tcW w:w="1260"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ind w:right="506"/>
                          <w:jc w:val="center"/>
                          <w:rPr>
                            <w:rFonts w:cs="Georgia"/>
                          </w:rPr>
                        </w:pPr>
                        <w:r>
                          <w:rPr>
                            <w:rFonts w:cs="Georgia"/>
                          </w:rPr>
                          <w:t>6</w:t>
                        </w:r>
                      </w:p>
                      <w:p>
                        <w:pPr>
                          <w:widowControl w:val="0"/>
                          <w:autoSpaceDE w:val="0"/>
                          <w:autoSpaceDN w:val="0"/>
                          <w:adjustRightInd w:val="0"/>
                          <w:spacing w:before="2" w:line="249" w:lineRule="exact"/>
                          <w:ind w:right="513"/>
                          <w:jc w:val="center"/>
                        </w:pPr>
                        <w:r>
                          <w:rPr>
                            <w:rFonts w:cs="Georgia"/>
                          </w:rPr>
                          <w:t>7</w:t>
                        </w:r>
                      </w:p>
                    </w:tc>
                  </w:tr>
                  <w:tr>
                    <w:trPr>
                      <w:trHeight w:hRule="exact" w:val="1973"/>
                      <w:jc w:val="center"/>
                    </w:trPr>
                    <w:tc>
                      <w:tcPr>
                        <w:tcW w:w="2223"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ind w:right="75"/>
                          <w:jc w:val="center"/>
                        </w:pPr>
                        <w:r>
                          <w:rPr>
                            <w:rFonts w:cs="Georgia"/>
                            <w:b/>
                            <w:bCs/>
                          </w:rPr>
                          <w:t>5</w:t>
                        </w:r>
                      </w:p>
                    </w:tc>
                    <w:tc>
                      <w:tcPr>
                        <w:tcW w:w="5630"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51" w:lineRule="exact"/>
                          <w:rPr>
                            <w:rFonts w:cs="Georgia"/>
                          </w:rPr>
                        </w:pPr>
                        <w:r>
                          <w:t xml:space="preserve">  a) </w:t>
                        </w:r>
                        <w:r>
                          <w:rPr>
                            <w:rFonts w:cs="Georgia"/>
                          </w:rPr>
                          <w:t>d</w:t>
                        </w:r>
                        <w:r>
                          <w:rPr>
                            <w:rFonts w:cs="Georgia"/>
                            <w:spacing w:val="-1"/>
                          </w:rPr>
                          <w:t>an</w:t>
                        </w:r>
                        <w:r>
                          <w:rPr>
                            <w:rFonts w:cs="Georgia"/>
                          </w:rPr>
                          <w:t>s u</w:t>
                        </w:r>
                        <w:r>
                          <w:rPr>
                            <w:rFonts w:cs="Georgia"/>
                            <w:spacing w:val="-1"/>
                          </w:rPr>
                          <w:t>n</w:t>
                        </w:r>
                        <w:r>
                          <w:rPr>
                            <w:rFonts w:cs="Georgia"/>
                          </w:rPr>
                          <w:t>e</w:t>
                        </w:r>
                        <w:r>
                          <w:rPr>
                            <w:rFonts w:cs="Georgia"/>
                            <w:spacing w:val="-1"/>
                          </w:rPr>
                          <w:t xml:space="preserve"> é</w:t>
                        </w:r>
                        <w:r>
                          <w:rPr>
                            <w:rFonts w:cs="Georgia"/>
                            <w:spacing w:val="1"/>
                          </w:rPr>
                          <w:t>co</w:t>
                        </w:r>
                        <w:r>
                          <w:rPr>
                            <w:rFonts w:cs="Georgia"/>
                            <w:spacing w:val="-1"/>
                          </w:rPr>
                          <w:t>l</w:t>
                        </w:r>
                        <w:r>
                          <w:rPr>
                            <w:rFonts w:cs="Georgia"/>
                          </w:rPr>
                          <w:t>e</w:t>
                        </w:r>
                        <w:r>
                          <w:rPr>
                            <w:rFonts w:cs="Georgia"/>
                            <w:spacing w:val="-1"/>
                          </w:rPr>
                          <w:t xml:space="preserve"> </w:t>
                        </w:r>
                        <w:r>
                          <w:rPr>
                            <w:rFonts w:cs="Georgia"/>
                          </w:rPr>
                          <w:t>:</w:t>
                        </w:r>
                      </w:p>
                      <w:p>
                        <w:pPr>
                          <w:widowControl w:val="0"/>
                          <w:autoSpaceDE w:val="0"/>
                          <w:autoSpaceDN w:val="0"/>
                          <w:adjustRightInd w:val="0"/>
                          <w:spacing w:before="2"/>
                          <w:jc w:val="center"/>
                          <w:rPr>
                            <w:rFonts w:cs="Georgia"/>
                          </w:rPr>
                        </w:pPr>
                        <w:r>
                          <w:rPr>
                            <w:rFonts w:cs="Georgia"/>
                          </w:rPr>
                          <w:t>-</w:t>
                        </w:r>
                        <w:r>
                          <w:rPr>
                            <w:rFonts w:cs="Georgia"/>
                            <w:spacing w:val="-1"/>
                          </w:rPr>
                          <w:t xml:space="preserve"> </w:t>
                        </w:r>
                        <w:r>
                          <w:rPr>
                            <w:rFonts w:cs="Georgia"/>
                          </w:rPr>
                          <w:t xml:space="preserve">49 </w:t>
                        </w:r>
                        <w:r>
                          <w:rPr>
                            <w:rFonts w:cs="Georgia"/>
                            <w:spacing w:val="1"/>
                          </w:rPr>
                          <w:t>pr</w:t>
                        </w:r>
                        <w:r>
                          <w:rPr>
                            <w:rFonts w:cs="Georgia"/>
                            <w:spacing w:val="-1"/>
                          </w:rPr>
                          <w:t>e</w:t>
                        </w:r>
                        <w:r>
                          <w:rPr>
                            <w:rFonts w:cs="Georgia"/>
                          </w:rPr>
                          <w:t>mi</w:t>
                        </w:r>
                        <w:r>
                          <w:rPr>
                            <w:rFonts w:cs="Georgia"/>
                            <w:spacing w:val="-1"/>
                          </w:rPr>
                          <w:t>e</w:t>
                        </w:r>
                        <w:r>
                          <w:rPr>
                            <w:rFonts w:cs="Georgia"/>
                            <w:spacing w:val="1"/>
                          </w:rPr>
                          <w:t>r</w:t>
                        </w:r>
                        <w:r>
                          <w:rPr>
                            <w:rFonts w:cs="Georgia"/>
                          </w:rPr>
                          <w:t xml:space="preserve">s </w:t>
                        </w:r>
                        <w:r>
                          <w:rPr>
                            <w:rFonts w:cs="Georgia"/>
                            <w:spacing w:val="-1"/>
                          </w:rPr>
                          <w:t>élè</w:t>
                        </w:r>
                        <w:r>
                          <w:rPr>
                            <w:rFonts w:cs="Georgia"/>
                            <w:spacing w:val="1"/>
                          </w:rPr>
                          <w:t>v</w:t>
                        </w:r>
                        <w:r>
                          <w:rPr>
                            <w:rFonts w:cs="Georgia"/>
                            <w:spacing w:val="-1"/>
                          </w:rPr>
                          <w:t>es</w:t>
                        </w:r>
                      </w:p>
                      <w:p>
                        <w:pPr>
                          <w:widowControl w:val="0"/>
                          <w:autoSpaceDE w:val="0"/>
                          <w:autoSpaceDN w:val="0"/>
                          <w:adjustRightInd w:val="0"/>
                          <w:spacing w:line="250" w:lineRule="exact"/>
                          <w:jc w:val="center"/>
                          <w:rPr>
                            <w:rFonts w:cs="Georgia"/>
                          </w:rPr>
                        </w:pPr>
                        <w:r>
                          <w:rPr>
                            <w:rFonts w:cs="Georgia"/>
                          </w:rPr>
                          <w:t>-</w:t>
                        </w:r>
                        <w:r>
                          <w:rPr>
                            <w:rFonts w:cs="Georgia"/>
                            <w:spacing w:val="-1"/>
                          </w:rPr>
                          <w:t xml:space="preserve"> </w:t>
                        </w:r>
                        <w:r>
                          <w:rPr>
                            <w:rFonts w:cs="Georgia"/>
                          </w:rPr>
                          <w:t>à</w:t>
                        </w:r>
                        <w:r>
                          <w:rPr>
                            <w:rFonts w:cs="Georgia"/>
                            <w:spacing w:val="-1"/>
                          </w:rPr>
                          <w:t xml:space="preserve"> </w:t>
                        </w:r>
                        <w:r>
                          <w:rPr>
                            <w:rFonts w:cs="Georgia"/>
                            <w:spacing w:val="1"/>
                          </w:rPr>
                          <w:t>p</w:t>
                        </w:r>
                        <w:r>
                          <w:rPr>
                            <w:rFonts w:cs="Georgia"/>
                            <w:spacing w:val="-1"/>
                          </w:rPr>
                          <w:t>a</w:t>
                        </w:r>
                        <w:r>
                          <w:rPr>
                            <w:rFonts w:cs="Georgia"/>
                            <w:spacing w:val="1"/>
                          </w:rPr>
                          <w:t>rt</w:t>
                        </w:r>
                        <w:r>
                          <w:rPr>
                            <w:rFonts w:cs="Georgia"/>
                          </w:rPr>
                          <w:t xml:space="preserve">ir </w:t>
                        </w:r>
                        <w:r>
                          <w:rPr>
                            <w:rFonts w:cs="Georgia"/>
                            <w:spacing w:val="-2"/>
                          </w:rPr>
                          <w:t>d</w:t>
                        </w:r>
                        <w:r>
                          <w:rPr>
                            <w:rFonts w:cs="Georgia"/>
                          </w:rPr>
                          <w:t xml:space="preserve">u </w:t>
                        </w:r>
                        <w:r>
                          <w:rPr>
                            <w:rFonts w:cs="Georgia"/>
                            <w:spacing w:val="1"/>
                          </w:rPr>
                          <w:t>5</w:t>
                        </w:r>
                        <w:r>
                          <w:rPr>
                            <w:rFonts w:cs="Georgia"/>
                            <w:spacing w:val="-1"/>
                          </w:rPr>
                          <w:t>0è</w:t>
                        </w:r>
                        <w:r>
                          <w:rPr>
                            <w:rFonts w:cs="Georgia"/>
                          </w:rPr>
                          <w:t>me</w:t>
                        </w:r>
                        <w:r>
                          <w:rPr>
                            <w:rFonts w:cs="Georgia"/>
                            <w:spacing w:val="-1"/>
                          </w:rPr>
                          <w:t xml:space="preserve"> élè</w:t>
                        </w:r>
                        <w:r>
                          <w:rPr>
                            <w:rFonts w:cs="Georgia"/>
                            <w:spacing w:val="1"/>
                          </w:rPr>
                          <w:t>v</w:t>
                        </w:r>
                        <w:r>
                          <w:rPr>
                            <w:rFonts w:cs="Georgia"/>
                          </w:rPr>
                          <w:t>e</w:t>
                        </w:r>
                      </w:p>
                      <w:p>
                        <w:pPr>
                          <w:widowControl w:val="0"/>
                          <w:autoSpaceDE w:val="0"/>
                          <w:autoSpaceDN w:val="0"/>
                          <w:adjustRightInd w:val="0"/>
                          <w:spacing w:line="250" w:lineRule="exact"/>
                          <w:rPr>
                            <w:rFonts w:cs="Georgia"/>
                          </w:rPr>
                        </w:pPr>
                        <w:r>
                          <w:rPr>
                            <w:rFonts w:cs="Georgia"/>
                            <w:spacing w:val="1"/>
                          </w:rPr>
                          <w:t xml:space="preserve">  b</w:t>
                        </w:r>
                        <w:r>
                          <w:rPr>
                            <w:rFonts w:cs="Georgia"/>
                          </w:rPr>
                          <w:t>)</w:t>
                        </w:r>
                        <w:r>
                          <w:rPr>
                            <w:rFonts w:cs="Georgia"/>
                            <w:spacing w:val="-1"/>
                          </w:rPr>
                          <w:t xml:space="preserve"> </w:t>
                        </w:r>
                        <w:r>
                          <w:rPr>
                            <w:rFonts w:cs="Georgia"/>
                          </w:rPr>
                          <w:t>d</w:t>
                        </w:r>
                        <w:r>
                          <w:rPr>
                            <w:rFonts w:cs="Georgia"/>
                            <w:spacing w:val="-1"/>
                          </w:rPr>
                          <w:t>an</w:t>
                        </w:r>
                        <w:r>
                          <w:rPr>
                            <w:rFonts w:cs="Georgia"/>
                          </w:rPr>
                          <w:t>s un</w:t>
                        </w:r>
                        <w:r>
                          <w:rPr>
                            <w:rFonts w:cs="Georgia"/>
                            <w:spacing w:val="-1"/>
                          </w:rPr>
                          <w:t xml:space="preserve"> h</w:t>
                        </w:r>
                        <w:r>
                          <w:rPr>
                            <w:rFonts w:cs="Georgia"/>
                            <w:spacing w:val="1"/>
                          </w:rPr>
                          <w:t>ôp</w:t>
                        </w:r>
                        <w:r>
                          <w:rPr>
                            <w:rFonts w:cs="Georgia"/>
                            <w:spacing w:val="-2"/>
                          </w:rPr>
                          <w:t>i</w:t>
                        </w:r>
                        <w:r>
                          <w:rPr>
                            <w:rFonts w:cs="Georgia"/>
                            <w:spacing w:val="1"/>
                          </w:rPr>
                          <w:t>t</w:t>
                        </w:r>
                        <w:r>
                          <w:rPr>
                            <w:rFonts w:cs="Georgia"/>
                            <w:spacing w:val="-1"/>
                          </w:rPr>
                          <w:t>a</w:t>
                        </w:r>
                        <w:r>
                          <w:rPr>
                            <w:rFonts w:cs="Georgia"/>
                          </w:rPr>
                          <w:t>l</w:t>
                        </w:r>
                        <w:r>
                          <w:rPr>
                            <w:rFonts w:cs="Georgia"/>
                            <w:spacing w:val="-1"/>
                          </w:rPr>
                          <w:t xml:space="preserve"> e</w:t>
                        </w:r>
                        <w:r>
                          <w:rPr>
                            <w:rFonts w:cs="Georgia"/>
                            <w:spacing w:val="1"/>
                          </w:rPr>
                          <w:t>t</w:t>
                        </w:r>
                        <w:r>
                          <w:rPr>
                            <w:rFonts w:cs="Georgia"/>
                          </w:rPr>
                          <w:t>/</w:t>
                        </w:r>
                        <w:r>
                          <w:rPr>
                            <w:rFonts w:cs="Georgia"/>
                            <w:spacing w:val="1"/>
                          </w:rPr>
                          <w:t>o</w:t>
                        </w:r>
                        <w:r>
                          <w:rPr>
                            <w:rFonts w:cs="Georgia"/>
                          </w:rPr>
                          <w:t>u</w:t>
                        </w:r>
                        <w:r>
                          <w:rPr>
                            <w:rFonts w:cs="Georgia"/>
                            <w:spacing w:val="-2"/>
                          </w:rPr>
                          <w:t xml:space="preserve"> </w:t>
                        </w:r>
                        <w:r>
                          <w:rPr>
                            <w:rFonts w:cs="Georgia"/>
                          </w:rPr>
                          <w:t>d</w:t>
                        </w:r>
                        <w:r>
                          <w:rPr>
                            <w:rFonts w:cs="Georgia"/>
                            <w:spacing w:val="-1"/>
                          </w:rPr>
                          <w:t>an</w:t>
                        </w:r>
                        <w:r>
                          <w:rPr>
                            <w:rFonts w:cs="Georgia"/>
                          </w:rPr>
                          <w:t>s u</w:t>
                        </w:r>
                        <w:r>
                          <w:rPr>
                            <w:rFonts w:cs="Georgia"/>
                            <w:spacing w:val="-1"/>
                          </w:rPr>
                          <w:t>n</w:t>
                        </w:r>
                        <w:r>
                          <w:rPr>
                            <w:rFonts w:cs="Georgia"/>
                          </w:rPr>
                          <w:t>e</w:t>
                        </w:r>
                        <w:r>
                          <w:rPr>
                            <w:rFonts w:cs="Georgia"/>
                            <w:spacing w:val="-1"/>
                          </w:rPr>
                          <w:t xml:space="preserve"> </w:t>
                        </w:r>
                        <w:r>
                          <w:rPr>
                            <w:rFonts w:cs="Georgia"/>
                          </w:rPr>
                          <w:t>i</w:t>
                        </w:r>
                        <w:r>
                          <w:rPr>
                            <w:rFonts w:cs="Georgia"/>
                            <w:spacing w:val="-1"/>
                          </w:rPr>
                          <w:t>n</w:t>
                        </w:r>
                        <w:r>
                          <w:rPr>
                            <w:rFonts w:cs="Georgia"/>
                            <w:spacing w:val="1"/>
                          </w:rPr>
                          <w:t>st</w:t>
                        </w:r>
                        <w:r>
                          <w:rPr>
                            <w:rFonts w:cs="Georgia"/>
                          </w:rPr>
                          <w:t>i</w:t>
                        </w:r>
                        <w:r>
                          <w:rPr>
                            <w:rFonts w:cs="Georgia"/>
                            <w:spacing w:val="1"/>
                          </w:rPr>
                          <w:t>t</w:t>
                        </w:r>
                        <w:r>
                          <w:rPr>
                            <w:rFonts w:cs="Georgia"/>
                            <w:spacing w:val="-2"/>
                          </w:rPr>
                          <w:t>u</w:t>
                        </w:r>
                        <w:r>
                          <w:rPr>
                            <w:rFonts w:cs="Georgia"/>
                            <w:spacing w:val="1"/>
                          </w:rPr>
                          <w:t>t</w:t>
                        </w:r>
                        <w:r>
                          <w:rPr>
                            <w:rFonts w:cs="Georgia"/>
                            <w:spacing w:val="-2"/>
                          </w:rPr>
                          <w:t>i</w:t>
                        </w:r>
                        <w:r>
                          <w:rPr>
                            <w:rFonts w:cs="Georgia"/>
                            <w:spacing w:val="1"/>
                          </w:rPr>
                          <w:t>o</w:t>
                        </w:r>
                        <w:r>
                          <w:rPr>
                            <w:rFonts w:cs="Georgia"/>
                          </w:rPr>
                          <w:t>n</w:t>
                        </w:r>
                        <w:r>
                          <w:rPr>
                            <w:rFonts w:cs="Georgia"/>
                            <w:spacing w:val="-1"/>
                          </w:rPr>
                          <w:t xml:space="preserve"> </w:t>
                        </w:r>
                        <w:r>
                          <w:rPr>
                            <w:rFonts w:cs="Georgia"/>
                          </w:rPr>
                          <w:t>m</w:t>
                        </w:r>
                        <w:r>
                          <w:rPr>
                            <w:rFonts w:cs="Georgia"/>
                            <w:spacing w:val="-1"/>
                          </w:rPr>
                          <w:t>é</w:t>
                        </w:r>
                        <w:r>
                          <w:rPr>
                            <w:rFonts w:cs="Georgia"/>
                            <w:spacing w:val="-2"/>
                          </w:rPr>
                          <w:t>d</w:t>
                        </w:r>
                        <w:r>
                          <w:rPr>
                            <w:rFonts w:cs="Georgia"/>
                          </w:rPr>
                          <w:t>i</w:t>
                        </w:r>
                        <w:r>
                          <w:rPr>
                            <w:rFonts w:cs="Georgia"/>
                            <w:spacing w:val="1"/>
                          </w:rPr>
                          <w:t>c</w:t>
                        </w:r>
                        <w:r>
                          <w:rPr>
                            <w:rFonts w:cs="Georgia"/>
                            <w:spacing w:val="-1"/>
                          </w:rPr>
                          <w:t>al</w:t>
                        </w:r>
                        <w:r>
                          <w:rPr>
                            <w:rFonts w:cs="Georgia"/>
                          </w:rPr>
                          <w:t>e</w:t>
                        </w:r>
                        <w:r>
                          <w:rPr>
                            <w:rFonts w:cs="Georgia"/>
                            <w:spacing w:val="-1"/>
                          </w:rPr>
                          <w:t xml:space="preserve"> </w:t>
                        </w:r>
                        <w:r>
                          <w:rPr>
                            <w:rFonts w:cs="Georgia"/>
                            <w:spacing w:val="1"/>
                          </w:rPr>
                          <w:t>r</w:t>
                        </w:r>
                        <w:r>
                          <w:rPr>
                            <w:rFonts w:cs="Georgia"/>
                            <w:spacing w:val="-1"/>
                          </w:rPr>
                          <w:t>e</w:t>
                        </w:r>
                        <w:r>
                          <w:rPr>
                            <w:rFonts w:cs="Georgia"/>
                            <w:spacing w:val="1"/>
                          </w:rPr>
                          <w:t>co</w:t>
                        </w:r>
                        <w:r>
                          <w:rPr>
                            <w:rFonts w:cs="Georgia"/>
                            <w:spacing w:val="-1"/>
                          </w:rPr>
                          <w:t>nn</w:t>
                        </w:r>
                        <w:r>
                          <w:rPr>
                            <w:rFonts w:cs="Georgia"/>
                          </w:rPr>
                          <w:t>ue</w:t>
                        </w:r>
                        <w:r>
                          <w:rPr>
                            <w:rFonts w:cs="Georgia"/>
                            <w:spacing w:val="-1"/>
                          </w:rPr>
                          <w:t xml:space="preserve"> </w:t>
                        </w:r>
                        <w:r>
                          <w:rPr>
                            <w:rFonts w:cs="Georgia"/>
                          </w:rPr>
                          <w:t>:</w:t>
                        </w:r>
                      </w:p>
                      <w:p>
                        <w:pPr>
                          <w:widowControl w:val="0"/>
                          <w:autoSpaceDE w:val="0"/>
                          <w:autoSpaceDN w:val="0"/>
                          <w:adjustRightInd w:val="0"/>
                          <w:spacing w:line="250" w:lineRule="exact"/>
                          <w:jc w:val="center"/>
                          <w:rPr>
                            <w:rFonts w:cs="Georgia"/>
                          </w:rPr>
                        </w:pPr>
                        <w:r>
                          <w:rPr>
                            <w:rFonts w:cs="Georgia"/>
                          </w:rPr>
                          <w:t>-</w:t>
                        </w:r>
                        <w:r>
                          <w:rPr>
                            <w:rFonts w:cs="Georgia"/>
                            <w:spacing w:val="-1"/>
                          </w:rPr>
                          <w:t xml:space="preserve"> </w:t>
                        </w:r>
                        <w:r>
                          <w:rPr>
                            <w:rFonts w:cs="Georgia"/>
                            <w:spacing w:val="1"/>
                          </w:rPr>
                          <w:t>3</w:t>
                        </w:r>
                        <w:r>
                          <w:rPr>
                            <w:rFonts w:cs="Georgia"/>
                          </w:rPr>
                          <w:t xml:space="preserve">4 </w:t>
                        </w:r>
                        <w:r>
                          <w:rPr>
                            <w:rFonts w:cs="Georgia"/>
                            <w:spacing w:val="1"/>
                          </w:rPr>
                          <w:t>pr</w:t>
                        </w:r>
                        <w:r>
                          <w:rPr>
                            <w:rFonts w:cs="Georgia"/>
                            <w:spacing w:val="-1"/>
                          </w:rPr>
                          <w:t>e</w:t>
                        </w:r>
                        <w:r>
                          <w:rPr>
                            <w:rFonts w:cs="Georgia"/>
                          </w:rPr>
                          <w:t>mi</w:t>
                        </w:r>
                        <w:r>
                          <w:rPr>
                            <w:rFonts w:cs="Georgia"/>
                            <w:spacing w:val="-1"/>
                          </w:rPr>
                          <w:t>e</w:t>
                        </w:r>
                        <w:r>
                          <w:rPr>
                            <w:rFonts w:cs="Georgia"/>
                            <w:spacing w:val="-2"/>
                          </w:rPr>
                          <w:t>r</w:t>
                        </w:r>
                        <w:r>
                          <w:rPr>
                            <w:rFonts w:cs="Georgia"/>
                          </w:rPr>
                          <w:t xml:space="preserve">s </w:t>
                        </w:r>
                        <w:r>
                          <w:rPr>
                            <w:rFonts w:cs="Georgia"/>
                            <w:spacing w:val="-1"/>
                          </w:rPr>
                          <w:t>élè</w:t>
                        </w:r>
                        <w:r>
                          <w:rPr>
                            <w:rFonts w:cs="Georgia"/>
                            <w:spacing w:val="1"/>
                          </w:rPr>
                          <w:t>v</w:t>
                        </w:r>
                        <w:r>
                          <w:rPr>
                            <w:rFonts w:cs="Georgia"/>
                            <w:spacing w:val="-1"/>
                          </w:rPr>
                          <w:t>es</w:t>
                        </w:r>
                      </w:p>
                      <w:p>
                        <w:pPr>
                          <w:widowControl w:val="0"/>
                          <w:autoSpaceDE w:val="0"/>
                          <w:autoSpaceDN w:val="0"/>
                          <w:adjustRightInd w:val="0"/>
                          <w:spacing w:line="249" w:lineRule="exact"/>
                          <w:jc w:val="center"/>
                        </w:pPr>
                        <w:r>
                          <w:rPr>
                            <w:rFonts w:cs="Georgia"/>
                          </w:rPr>
                          <w:t>-</w:t>
                        </w:r>
                        <w:r>
                          <w:rPr>
                            <w:rFonts w:cs="Georgia"/>
                            <w:spacing w:val="-1"/>
                          </w:rPr>
                          <w:t xml:space="preserve"> </w:t>
                        </w:r>
                        <w:r>
                          <w:rPr>
                            <w:rFonts w:cs="Georgia"/>
                          </w:rPr>
                          <w:t>à</w:t>
                        </w:r>
                        <w:r>
                          <w:rPr>
                            <w:rFonts w:cs="Georgia"/>
                            <w:spacing w:val="-1"/>
                          </w:rPr>
                          <w:t xml:space="preserve"> </w:t>
                        </w:r>
                        <w:r>
                          <w:rPr>
                            <w:rFonts w:cs="Georgia"/>
                            <w:spacing w:val="1"/>
                          </w:rPr>
                          <w:t>p</w:t>
                        </w:r>
                        <w:r>
                          <w:rPr>
                            <w:rFonts w:cs="Georgia"/>
                            <w:spacing w:val="-1"/>
                          </w:rPr>
                          <w:t>a</w:t>
                        </w:r>
                        <w:r>
                          <w:rPr>
                            <w:rFonts w:cs="Georgia"/>
                            <w:spacing w:val="1"/>
                          </w:rPr>
                          <w:t>rt</w:t>
                        </w:r>
                        <w:r>
                          <w:rPr>
                            <w:rFonts w:cs="Georgia"/>
                          </w:rPr>
                          <w:t xml:space="preserve">ir </w:t>
                        </w:r>
                        <w:r>
                          <w:rPr>
                            <w:rFonts w:cs="Georgia"/>
                            <w:spacing w:val="-2"/>
                          </w:rPr>
                          <w:t>d</w:t>
                        </w:r>
                        <w:r>
                          <w:rPr>
                            <w:rFonts w:cs="Georgia"/>
                          </w:rPr>
                          <w:t xml:space="preserve">u </w:t>
                        </w:r>
                        <w:r>
                          <w:rPr>
                            <w:rFonts w:cs="Georgia"/>
                            <w:spacing w:val="1"/>
                          </w:rPr>
                          <w:t>35</w:t>
                        </w:r>
                        <w:r>
                          <w:rPr>
                            <w:rFonts w:cs="Georgia"/>
                            <w:spacing w:val="-1"/>
                          </w:rPr>
                          <w:t>è</w:t>
                        </w:r>
                        <w:r>
                          <w:rPr>
                            <w:rFonts w:cs="Georgia"/>
                          </w:rPr>
                          <w:t>me</w:t>
                        </w:r>
                        <w:r>
                          <w:rPr>
                            <w:rFonts w:cs="Georgia"/>
                            <w:spacing w:val="-1"/>
                          </w:rPr>
                          <w:t xml:space="preserve"> élè</w:t>
                        </w:r>
                        <w:r>
                          <w:rPr>
                            <w:rFonts w:cs="Georgia"/>
                            <w:spacing w:val="1"/>
                          </w:rPr>
                          <w:t>ve</w:t>
                        </w:r>
                      </w:p>
                    </w:tc>
                    <w:tc>
                      <w:tcPr>
                        <w:tcW w:w="1260"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before="8" w:line="240" w:lineRule="exact"/>
                          <w:jc w:val="center"/>
                        </w:pPr>
                      </w:p>
                      <w:p>
                        <w:pPr>
                          <w:widowControl w:val="0"/>
                          <w:autoSpaceDE w:val="0"/>
                          <w:autoSpaceDN w:val="0"/>
                          <w:adjustRightInd w:val="0"/>
                          <w:ind w:right="506"/>
                          <w:jc w:val="center"/>
                          <w:rPr>
                            <w:rFonts w:cs="Georgia"/>
                          </w:rPr>
                        </w:pPr>
                        <w:r>
                          <w:rPr>
                            <w:rFonts w:cs="Georgia"/>
                          </w:rPr>
                          <w:t>9</w:t>
                        </w:r>
                      </w:p>
                      <w:p>
                        <w:pPr>
                          <w:widowControl w:val="0"/>
                          <w:autoSpaceDE w:val="0"/>
                          <w:autoSpaceDN w:val="0"/>
                          <w:adjustRightInd w:val="0"/>
                          <w:spacing w:line="250" w:lineRule="exact"/>
                          <w:ind w:right="451"/>
                          <w:jc w:val="center"/>
                          <w:rPr>
                            <w:rFonts w:cs="Georgia"/>
                          </w:rPr>
                        </w:pPr>
                        <w:r>
                          <w:rPr>
                            <w:rFonts w:cs="Georgia"/>
                            <w:spacing w:val="1"/>
                          </w:rPr>
                          <w:t>10</w:t>
                        </w:r>
                      </w:p>
                      <w:p>
                        <w:pPr>
                          <w:widowControl w:val="0"/>
                          <w:autoSpaceDE w:val="0"/>
                          <w:autoSpaceDN w:val="0"/>
                          <w:adjustRightInd w:val="0"/>
                          <w:spacing w:before="9" w:line="240" w:lineRule="exact"/>
                          <w:jc w:val="center"/>
                        </w:pPr>
                      </w:p>
                      <w:p>
                        <w:pPr>
                          <w:widowControl w:val="0"/>
                          <w:autoSpaceDE w:val="0"/>
                          <w:autoSpaceDN w:val="0"/>
                          <w:adjustRightInd w:val="0"/>
                          <w:spacing w:before="9" w:line="240" w:lineRule="exact"/>
                          <w:jc w:val="center"/>
                        </w:pPr>
                      </w:p>
                      <w:p>
                        <w:pPr>
                          <w:widowControl w:val="0"/>
                          <w:autoSpaceDE w:val="0"/>
                          <w:autoSpaceDN w:val="0"/>
                          <w:adjustRightInd w:val="0"/>
                          <w:ind w:right="506"/>
                          <w:jc w:val="center"/>
                          <w:rPr>
                            <w:rFonts w:cs="Georgia"/>
                          </w:rPr>
                        </w:pPr>
                        <w:r>
                          <w:rPr>
                            <w:rFonts w:cs="Georgia"/>
                          </w:rPr>
                          <w:t>6</w:t>
                        </w:r>
                      </w:p>
                      <w:p>
                        <w:pPr>
                          <w:widowControl w:val="0"/>
                          <w:autoSpaceDE w:val="0"/>
                          <w:autoSpaceDN w:val="0"/>
                          <w:adjustRightInd w:val="0"/>
                          <w:spacing w:before="2"/>
                          <w:ind w:right="513"/>
                          <w:jc w:val="center"/>
                        </w:pPr>
                        <w:r>
                          <w:rPr>
                            <w:rFonts w:cs="Georgia"/>
                          </w:rPr>
                          <w:t>7</w:t>
                        </w:r>
                      </w:p>
                    </w:tc>
                  </w:tr>
                  <w:tr>
                    <w:trPr>
                      <w:trHeight w:hRule="exact" w:val="648"/>
                      <w:jc w:val="center"/>
                    </w:trPr>
                    <w:tc>
                      <w:tcPr>
                        <w:tcW w:w="2223"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ind w:right="75"/>
                          <w:jc w:val="center"/>
                        </w:pPr>
                        <w:r>
                          <w:rPr>
                            <w:rFonts w:cs="Georgia"/>
                            <w:b/>
                            <w:bCs/>
                          </w:rPr>
                          <w:t xml:space="preserve">6 </w:t>
                        </w:r>
                        <w:r>
                          <w:rPr>
                            <w:rFonts w:cs="Georgia"/>
                            <w:b/>
                            <w:bCs/>
                            <w:spacing w:val="1"/>
                          </w:rPr>
                          <w:t>e</w:t>
                        </w:r>
                        <w:r>
                          <w:rPr>
                            <w:rFonts w:cs="Georgia"/>
                            <w:b/>
                            <w:bCs/>
                          </w:rPr>
                          <w:t>t 7</w:t>
                        </w:r>
                      </w:p>
                    </w:tc>
                    <w:tc>
                      <w:tcPr>
                        <w:tcW w:w="5630"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jc w:val="center"/>
                          <w:rPr>
                            <w:rFonts w:cs="Georgia"/>
                          </w:rPr>
                        </w:pPr>
                        <w:r>
                          <w:rPr>
                            <w:rFonts w:cs="Georgia"/>
                          </w:rPr>
                          <w:t>-</w:t>
                        </w:r>
                        <w:r>
                          <w:rPr>
                            <w:rFonts w:cs="Georgia"/>
                            <w:spacing w:val="-1"/>
                          </w:rPr>
                          <w:t xml:space="preserve"> </w:t>
                        </w:r>
                        <w:r>
                          <w:rPr>
                            <w:rFonts w:cs="Georgia"/>
                            <w:spacing w:val="1"/>
                          </w:rPr>
                          <w:t>3</w:t>
                        </w:r>
                        <w:r>
                          <w:rPr>
                            <w:rFonts w:cs="Georgia"/>
                          </w:rPr>
                          <w:t xml:space="preserve">4 </w:t>
                        </w:r>
                        <w:r>
                          <w:rPr>
                            <w:rFonts w:cs="Georgia"/>
                            <w:spacing w:val="1"/>
                          </w:rPr>
                          <w:t>pr</w:t>
                        </w:r>
                        <w:r>
                          <w:rPr>
                            <w:rFonts w:cs="Georgia"/>
                            <w:spacing w:val="-1"/>
                          </w:rPr>
                          <w:t>e</w:t>
                        </w:r>
                        <w:r>
                          <w:rPr>
                            <w:rFonts w:cs="Georgia"/>
                          </w:rPr>
                          <w:t>mi</w:t>
                        </w:r>
                        <w:r>
                          <w:rPr>
                            <w:rFonts w:cs="Georgia"/>
                            <w:spacing w:val="-1"/>
                          </w:rPr>
                          <w:t>e</w:t>
                        </w:r>
                        <w:r>
                          <w:rPr>
                            <w:rFonts w:cs="Georgia"/>
                            <w:spacing w:val="-2"/>
                          </w:rPr>
                          <w:t>r</w:t>
                        </w:r>
                        <w:r>
                          <w:rPr>
                            <w:rFonts w:cs="Georgia"/>
                          </w:rPr>
                          <w:t xml:space="preserve">s </w:t>
                        </w:r>
                        <w:r>
                          <w:rPr>
                            <w:rFonts w:cs="Georgia"/>
                            <w:spacing w:val="-1"/>
                          </w:rPr>
                          <w:t>élè</w:t>
                        </w:r>
                        <w:r>
                          <w:rPr>
                            <w:rFonts w:cs="Georgia"/>
                            <w:spacing w:val="1"/>
                          </w:rPr>
                          <w:t>v</w:t>
                        </w:r>
                        <w:r>
                          <w:rPr>
                            <w:rFonts w:cs="Georgia"/>
                            <w:spacing w:val="-1"/>
                          </w:rPr>
                          <w:t>es</w:t>
                        </w:r>
                      </w:p>
                      <w:p>
                        <w:pPr>
                          <w:widowControl w:val="0"/>
                          <w:autoSpaceDE w:val="0"/>
                          <w:autoSpaceDN w:val="0"/>
                          <w:adjustRightInd w:val="0"/>
                          <w:spacing w:before="2" w:line="249" w:lineRule="exact"/>
                          <w:jc w:val="center"/>
                        </w:pPr>
                        <w:r>
                          <w:rPr>
                            <w:rFonts w:cs="Georgia"/>
                          </w:rPr>
                          <w:t>-</w:t>
                        </w:r>
                        <w:r>
                          <w:rPr>
                            <w:rFonts w:cs="Georgia"/>
                            <w:spacing w:val="-1"/>
                          </w:rPr>
                          <w:t xml:space="preserve"> </w:t>
                        </w:r>
                        <w:r>
                          <w:rPr>
                            <w:rFonts w:cs="Georgia"/>
                          </w:rPr>
                          <w:t>à</w:t>
                        </w:r>
                        <w:r>
                          <w:rPr>
                            <w:rFonts w:cs="Georgia"/>
                            <w:spacing w:val="-1"/>
                          </w:rPr>
                          <w:t xml:space="preserve"> </w:t>
                        </w:r>
                        <w:r>
                          <w:rPr>
                            <w:rFonts w:cs="Georgia"/>
                            <w:spacing w:val="1"/>
                          </w:rPr>
                          <w:t>p</w:t>
                        </w:r>
                        <w:r>
                          <w:rPr>
                            <w:rFonts w:cs="Georgia"/>
                            <w:spacing w:val="-1"/>
                          </w:rPr>
                          <w:t>a</w:t>
                        </w:r>
                        <w:r>
                          <w:rPr>
                            <w:rFonts w:cs="Georgia"/>
                            <w:spacing w:val="1"/>
                          </w:rPr>
                          <w:t>rt</w:t>
                        </w:r>
                        <w:r>
                          <w:rPr>
                            <w:rFonts w:cs="Georgia"/>
                          </w:rPr>
                          <w:t xml:space="preserve">ir </w:t>
                        </w:r>
                        <w:r>
                          <w:rPr>
                            <w:rFonts w:cs="Georgia"/>
                            <w:spacing w:val="-2"/>
                          </w:rPr>
                          <w:t>d</w:t>
                        </w:r>
                        <w:r>
                          <w:rPr>
                            <w:rFonts w:cs="Georgia"/>
                          </w:rPr>
                          <w:t xml:space="preserve">u </w:t>
                        </w:r>
                        <w:r>
                          <w:rPr>
                            <w:rFonts w:cs="Georgia"/>
                            <w:spacing w:val="1"/>
                          </w:rPr>
                          <w:t>35</w:t>
                        </w:r>
                        <w:r>
                          <w:rPr>
                            <w:rFonts w:cs="Georgia"/>
                            <w:spacing w:val="-1"/>
                          </w:rPr>
                          <w:t>è</w:t>
                        </w:r>
                        <w:r>
                          <w:rPr>
                            <w:rFonts w:cs="Georgia"/>
                          </w:rPr>
                          <w:t>me</w:t>
                        </w:r>
                        <w:r>
                          <w:rPr>
                            <w:rFonts w:cs="Georgia"/>
                            <w:spacing w:val="-1"/>
                          </w:rPr>
                          <w:t xml:space="preserve"> élè</w:t>
                        </w:r>
                        <w:r>
                          <w:rPr>
                            <w:rFonts w:cs="Georgia"/>
                            <w:spacing w:val="1"/>
                          </w:rPr>
                          <w:t>ve</w:t>
                        </w:r>
                      </w:p>
                    </w:tc>
                    <w:tc>
                      <w:tcPr>
                        <w:tcW w:w="1260"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ind w:right="510"/>
                          <w:jc w:val="center"/>
                          <w:rPr>
                            <w:rFonts w:cs="Georgia"/>
                          </w:rPr>
                        </w:pPr>
                        <w:r>
                          <w:rPr>
                            <w:rFonts w:cs="Georgia"/>
                          </w:rPr>
                          <w:t>5</w:t>
                        </w:r>
                      </w:p>
                      <w:p>
                        <w:pPr>
                          <w:widowControl w:val="0"/>
                          <w:autoSpaceDE w:val="0"/>
                          <w:autoSpaceDN w:val="0"/>
                          <w:adjustRightInd w:val="0"/>
                          <w:spacing w:before="2" w:line="249" w:lineRule="exact"/>
                          <w:ind w:right="506"/>
                          <w:jc w:val="center"/>
                        </w:pPr>
                        <w:r>
                          <w:rPr>
                            <w:rFonts w:cs="Georgia"/>
                          </w:rPr>
                          <w:t>6</w:t>
                        </w:r>
                      </w:p>
                    </w:tc>
                  </w:tr>
                </w:tbl>
                <w:p>
                  <w:pPr>
                    <w:widowControl w:val="0"/>
                    <w:autoSpaceDE w:val="0"/>
                    <w:autoSpaceDN w:val="0"/>
                    <w:adjustRightInd w:val="0"/>
                    <w:spacing w:before="12" w:line="200" w:lineRule="exact"/>
                  </w:pPr>
                </w:p>
                <w:p>
                  <w:pPr>
                    <w:widowControl w:val="0"/>
                    <w:autoSpaceDE w:val="0"/>
                    <w:autoSpaceDN w:val="0"/>
                    <w:adjustRightInd w:val="0"/>
                    <w:spacing w:before="38" w:line="250" w:lineRule="exact"/>
                    <w:rPr>
                      <w:rFonts w:cs="Georgia"/>
                      <w:spacing w:val="1"/>
                    </w:rPr>
                  </w:pPr>
                </w:p>
                <w:p>
                  <w:pPr>
                    <w:widowControl w:val="0"/>
                    <w:autoSpaceDE w:val="0"/>
                    <w:autoSpaceDN w:val="0"/>
                    <w:adjustRightInd w:val="0"/>
                    <w:spacing w:before="38" w:line="250" w:lineRule="exact"/>
                    <w:jc w:val="both"/>
                    <w:rPr>
                      <w:rFonts w:cs="Georgia"/>
                      <w:spacing w:val="-1"/>
                    </w:rPr>
                  </w:pPr>
                  <w:r>
                    <w:rPr>
                      <w:rFonts w:cs="Georgia"/>
                      <w:spacing w:val="1"/>
                    </w:rPr>
                    <w:t>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s</w:t>
                  </w:r>
                  <w:r>
                    <w:rPr>
                      <w:rFonts w:cs="Georgia"/>
                    </w:rPr>
                    <w:t>e</w:t>
                  </w:r>
                  <w:r>
                    <w:rPr>
                      <w:rFonts w:cs="Georgia"/>
                      <w:spacing w:val="-1"/>
                    </w:rPr>
                    <w:t xml:space="preserve"> </w:t>
                  </w:r>
                  <w:r>
                    <w:rPr>
                      <w:rFonts w:cs="Georgia"/>
                      <w:spacing w:val="1"/>
                    </w:rPr>
                    <w:t>c</w:t>
                  </w:r>
                  <w:r>
                    <w:rPr>
                      <w:rFonts w:cs="Georgia"/>
                      <w:spacing w:val="-1"/>
                    </w:rPr>
                    <w:t>a</w:t>
                  </w:r>
                  <w:r>
                    <w:rPr>
                      <w:rFonts w:cs="Georgia"/>
                      <w:spacing w:val="-3"/>
                    </w:rPr>
                    <w:t>l</w:t>
                  </w:r>
                  <w:r>
                    <w:rPr>
                      <w:rFonts w:cs="Georgia"/>
                      <w:spacing w:val="1"/>
                    </w:rPr>
                    <w:t>c</w:t>
                  </w:r>
                  <w:r>
                    <w:rPr>
                      <w:rFonts w:cs="Georgia"/>
                    </w:rPr>
                    <w:t>u</w:t>
                  </w:r>
                  <w:r>
                    <w:rPr>
                      <w:rFonts w:cs="Georgia"/>
                      <w:spacing w:val="-1"/>
                    </w:rPr>
                    <w:t>le</w:t>
                  </w:r>
                  <w:r>
                    <w:rPr>
                      <w:rFonts w:cs="Georgia"/>
                    </w:rPr>
                    <w:t xml:space="preserve">, </w:t>
                  </w:r>
                  <w:r>
                    <w:rPr>
                      <w:rFonts w:cs="Georgia"/>
                      <w:spacing w:val="1"/>
                    </w:rPr>
                    <w:t>p</w:t>
                  </w:r>
                  <w:r>
                    <w:rPr>
                      <w:rFonts w:cs="Georgia"/>
                      <w:spacing w:val="-1"/>
                    </w:rPr>
                    <w:t>a</w:t>
                  </w:r>
                  <w:r>
                    <w:rPr>
                      <w:rFonts w:cs="Georgia"/>
                    </w:rPr>
                    <w:t xml:space="preserve">r </w:t>
                  </w:r>
                  <w:r>
                    <w:rPr>
                      <w:rFonts w:cs="Georgia"/>
                      <w:spacing w:val="1"/>
                    </w:rPr>
                    <w:t>t</w:t>
                  </w:r>
                  <w:r>
                    <w:rPr>
                      <w:rFonts w:cs="Georgia"/>
                      <w:spacing w:val="-3"/>
                    </w:rPr>
                    <w:t>y</w:t>
                  </w:r>
                  <w:r>
                    <w:rPr>
                      <w:rFonts w:cs="Georgia"/>
                      <w:spacing w:val="1"/>
                    </w:rPr>
                    <w:t>p</w:t>
                  </w:r>
                  <w:r>
                    <w:rPr>
                      <w:rFonts w:cs="Georgia"/>
                    </w:rPr>
                    <w:t>e</w:t>
                  </w:r>
                  <w:r>
                    <w:rPr>
                      <w:rFonts w:cs="Georgia"/>
                      <w:spacing w:val="-1"/>
                    </w:rPr>
                    <w:t xml:space="preserve"> </w:t>
                  </w:r>
                  <w:r>
                    <w:rPr>
                      <w:rFonts w:cs="Georgia"/>
                    </w:rPr>
                    <w:t>d</w:t>
                  </w:r>
                  <w:r>
                    <w:rPr>
                      <w:rFonts w:cs="Georgia"/>
                      <w:spacing w:val="1"/>
                    </w:rPr>
                    <w:t>'</w:t>
                  </w:r>
                  <w:r>
                    <w:rPr>
                      <w:rFonts w:cs="Georgia"/>
                      <w:spacing w:val="-1"/>
                    </w:rPr>
                    <w:t>en</w:t>
                  </w:r>
                  <w:r>
                    <w:rPr>
                      <w:rFonts w:cs="Georgia"/>
                      <w:spacing w:val="1"/>
                    </w:rPr>
                    <w:t>s</w:t>
                  </w:r>
                  <w:r>
                    <w:rPr>
                      <w:rFonts w:cs="Georgia"/>
                      <w:spacing w:val="-1"/>
                    </w:rPr>
                    <w:t>e</w:t>
                  </w:r>
                  <w:r>
                    <w:rPr>
                      <w:rFonts w:cs="Georgia"/>
                    </w:rPr>
                    <w:t>ig</w:t>
                  </w:r>
                  <w:r>
                    <w:rPr>
                      <w:rFonts w:cs="Georgia"/>
                      <w:spacing w:val="-1"/>
                    </w:rPr>
                    <w:t>n</w:t>
                  </w:r>
                  <w:r>
                    <w:rPr>
                      <w:rFonts w:cs="Georgia"/>
                      <w:spacing w:val="-3"/>
                    </w:rPr>
                    <w:t>e</w:t>
                  </w:r>
                  <w:r>
                    <w:rPr>
                      <w:rFonts w:cs="Georgia"/>
                    </w:rPr>
                    <w:t>m</w:t>
                  </w:r>
                  <w:r>
                    <w:rPr>
                      <w:rFonts w:cs="Georgia"/>
                      <w:spacing w:val="-1"/>
                    </w:rPr>
                    <w:t>en</w:t>
                  </w:r>
                  <w:r>
                    <w:rPr>
                      <w:rFonts w:cs="Georgia"/>
                      <w:spacing w:val="1"/>
                    </w:rPr>
                    <w:t>t</w:t>
                  </w:r>
                  <w:r>
                    <w:rPr>
                      <w:rFonts w:cs="Georgia"/>
                    </w:rPr>
                    <w:t xml:space="preserve">, </w:t>
                  </w:r>
                  <w:r>
                    <w:rPr>
                      <w:rFonts w:cs="Georgia"/>
                      <w:spacing w:val="-1"/>
                    </w:rPr>
                    <w:t>e</w:t>
                  </w:r>
                  <w:r>
                    <w:rPr>
                      <w:rFonts w:cs="Georgia"/>
                    </w:rPr>
                    <w:t>n</w:t>
                  </w:r>
                  <w:r>
                    <w:rPr>
                      <w:rFonts w:cs="Georgia"/>
                      <w:spacing w:val="-1"/>
                    </w:rPr>
                    <w:t xml:space="preserve"> a</w:t>
                  </w:r>
                  <w:r>
                    <w:rPr>
                      <w:rFonts w:cs="Georgia"/>
                      <w:spacing w:val="1"/>
                    </w:rPr>
                    <w:t>pp</w:t>
                  </w:r>
                  <w:r>
                    <w:rPr>
                      <w:rFonts w:cs="Georgia"/>
                      <w:spacing w:val="-1"/>
                    </w:rPr>
                    <w:t>l</w:t>
                  </w:r>
                  <w:r>
                    <w:rPr>
                      <w:rFonts w:cs="Georgia"/>
                    </w:rPr>
                    <w:t>i</w:t>
                  </w:r>
                  <w:r>
                    <w:rPr>
                      <w:rFonts w:cs="Georgia"/>
                      <w:spacing w:val="-1"/>
                    </w:rPr>
                    <w:t>q</w:t>
                  </w:r>
                  <w:r>
                    <w:rPr>
                      <w:rFonts w:cs="Georgia"/>
                    </w:rPr>
                    <w:t>u</w:t>
                  </w:r>
                  <w:r>
                    <w:rPr>
                      <w:rFonts w:cs="Georgia"/>
                      <w:spacing w:val="-1"/>
                    </w:rPr>
                    <w:t>an</w:t>
                  </w:r>
                  <w:r>
                    <w:rPr>
                      <w:rFonts w:cs="Georgia"/>
                    </w:rPr>
                    <w:t xml:space="preserve">t </w:t>
                  </w:r>
                  <w:r>
                    <w:rPr>
                      <w:rFonts w:cs="Georgia"/>
                      <w:spacing w:val="-1"/>
                    </w:rPr>
                    <w:t>l</w:t>
                  </w:r>
                  <w:r>
                    <w:rPr>
                      <w:rFonts w:cs="Georgia"/>
                    </w:rPr>
                    <w:t>a</w:t>
                  </w:r>
                  <w:r>
                    <w:rPr>
                      <w:rFonts w:cs="Georgia"/>
                      <w:spacing w:val="-1"/>
                    </w:rPr>
                    <w:t xml:space="preserve"> </w:t>
                  </w:r>
                  <w:r>
                    <w:rPr>
                      <w:rFonts w:cs="Georgia"/>
                    </w:rPr>
                    <w:t>f</w:t>
                  </w:r>
                  <w:r>
                    <w:rPr>
                      <w:rFonts w:cs="Georgia"/>
                      <w:spacing w:val="-1"/>
                    </w:rPr>
                    <w:t>o</w:t>
                  </w:r>
                  <w:r>
                    <w:rPr>
                      <w:rFonts w:cs="Georgia"/>
                      <w:spacing w:val="1"/>
                    </w:rPr>
                    <w:t>r</w:t>
                  </w:r>
                  <w:r>
                    <w:rPr>
                      <w:rFonts w:cs="Georgia"/>
                    </w:rPr>
                    <w:t>mu</w:t>
                  </w:r>
                  <w:r>
                    <w:rPr>
                      <w:rFonts w:cs="Georgia"/>
                      <w:spacing w:val="-1"/>
                    </w:rPr>
                    <w:t>l</w:t>
                  </w:r>
                  <w:r>
                    <w:rPr>
                      <w:rFonts w:cs="Georgia"/>
                    </w:rPr>
                    <w:t>e</w:t>
                  </w:r>
                  <w:r>
                    <w:rPr>
                      <w:rFonts w:cs="Georgia"/>
                      <w:spacing w:val="-1"/>
                    </w:rPr>
                    <w:t xml:space="preserve"> </w:t>
                  </w:r>
                  <w:r>
                    <w:rPr>
                      <w:rFonts w:cs="Georgia"/>
                      <w:spacing w:val="1"/>
                    </w:rPr>
                    <w:t>s</w:t>
                  </w:r>
                  <w:r>
                    <w:rPr>
                      <w:rFonts w:cs="Georgia"/>
                    </w:rPr>
                    <w:t>u</w:t>
                  </w:r>
                  <w:r>
                    <w:rPr>
                      <w:rFonts w:cs="Georgia"/>
                      <w:spacing w:val="-2"/>
                    </w:rPr>
                    <w:t>i</w:t>
                  </w:r>
                  <w:r>
                    <w:rPr>
                      <w:rFonts w:cs="Georgia"/>
                      <w:spacing w:val="1"/>
                    </w:rPr>
                    <w:t>v</w:t>
                  </w:r>
                  <w:r>
                    <w:rPr>
                      <w:rFonts w:cs="Georgia"/>
                      <w:spacing w:val="-1"/>
                    </w:rPr>
                    <w:t>an</w:t>
                  </w:r>
                  <w:r>
                    <w:rPr>
                      <w:rFonts w:cs="Georgia"/>
                      <w:spacing w:val="1"/>
                    </w:rPr>
                    <w:t>t</w:t>
                  </w:r>
                  <w:r>
                    <w:rPr>
                      <w:rFonts w:cs="Georgia"/>
                      <w:spacing w:val="-1"/>
                    </w:rPr>
                    <w:t xml:space="preserve">e: </w:t>
                  </w:r>
                </w:p>
                <w:p>
                  <w:pPr>
                    <w:widowControl w:val="0"/>
                    <w:autoSpaceDE w:val="0"/>
                    <w:autoSpaceDN w:val="0"/>
                    <w:adjustRightInd w:val="0"/>
                    <w:spacing w:before="38" w:line="250" w:lineRule="exact"/>
                    <w:rPr>
                      <w:rFonts w:cs="Georgia"/>
                      <w:spacing w:val="-1"/>
                    </w:rPr>
                  </w:pPr>
                </w:p>
                <w:p>
                  <w:pPr>
                    <w:jc w:val="center"/>
                    <w:rPr>
                      <w:rFonts w:cs="Georgia"/>
                      <w:b/>
                    </w:rPr>
                  </w:pPr>
                  <w:r>
                    <w:rPr>
                      <w:rFonts w:cs="Georgia"/>
                      <w:b/>
                      <w:spacing w:val="1"/>
                      <w:u w:val="single"/>
                    </w:rPr>
                    <w:t>N</w:t>
                  </w:r>
                  <w:r>
                    <w:rPr>
                      <w:rFonts w:cs="Georgia"/>
                      <w:b/>
                      <w:spacing w:val="-1"/>
                      <w:u w:val="single"/>
                    </w:rPr>
                    <w:t>o</w:t>
                  </w:r>
                  <w:r>
                    <w:rPr>
                      <w:rFonts w:cs="Georgia"/>
                      <w:b/>
                      <w:u w:val="single"/>
                    </w:rPr>
                    <w:t>m</w:t>
                  </w:r>
                  <w:r>
                    <w:rPr>
                      <w:rFonts w:cs="Georgia"/>
                      <w:b/>
                      <w:spacing w:val="-1"/>
                      <w:u w:val="single"/>
                    </w:rPr>
                    <w:t>b</w:t>
                  </w:r>
                  <w:r>
                    <w:rPr>
                      <w:rFonts w:cs="Georgia"/>
                      <w:b/>
                      <w:spacing w:val="1"/>
                      <w:u w:val="single"/>
                    </w:rPr>
                    <w:t>r</w:t>
                  </w:r>
                  <w:r>
                    <w:rPr>
                      <w:rFonts w:cs="Georgia"/>
                      <w:b/>
                      <w:u w:val="single"/>
                    </w:rPr>
                    <w:t>e</w:t>
                  </w:r>
                  <w:r>
                    <w:rPr>
                      <w:rFonts w:cs="Georgia"/>
                      <w:b/>
                      <w:spacing w:val="-2"/>
                      <w:u w:val="single"/>
                    </w:rPr>
                    <w:t xml:space="preserve"> </w:t>
                  </w:r>
                  <w:r>
                    <w:rPr>
                      <w:rFonts w:cs="Georgia"/>
                      <w:b/>
                      <w:u w:val="single"/>
                    </w:rPr>
                    <w:t>d</w:t>
                  </w:r>
                  <w:r>
                    <w:rPr>
                      <w:rFonts w:cs="Georgia"/>
                      <w:b/>
                      <w:spacing w:val="1"/>
                      <w:u w:val="single"/>
                    </w:rPr>
                    <w:t>'</w:t>
                  </w:r>
                  <w:r>
                    <w:rPr>
                      <w:rFonts w:cs="Georgia"/>
                      <w:b/>
                      <w:spacing w:val="-1"/>
                      <w:u w:val="single"/>
                    </w:rPr>
                    <w:t>élè</w:t>
                  </w:r>
                  <w:r>
                    <w:rPr>
                      <w:rFonts w:cs="Georgia"/>
                      <w:b/>
                      <w:spacing w:val="1"/>
                      <w:u w:val="single"/>
                    </w:rPr>
                    <w:t>v</w:t>
                  </w:r>
                  <w:r>
                    <w:rPr>
                      <w:rFonts w:cs="Georgia"/>
                      <w:b/>
                      <w:spacing w:val="-1"/>
                      <w:u w:val="single"/>
                    </w:rPr>
                    <w:t>es</w:t>
                  </w:r>
                  <w:r>
                    <w:rPr>
                      <w:rFonts w:cs="Georgia"/>
                      <w:b/>
                      <w:spacing w:val="1"/>
                      <w:u w:val="single"/>
                    </w:rPr>
                    <w:t xml:space="preserve"> </w:t>
                  </w:r>
                  <w:r>
                    <w:rPr>
                      <w:rFonts w:cs="Georgia"/>
                      <w:b/>
                      <w:u w:val="single"/>
                    </w:rPr>
                    <w:t>x</w:t>
                  </w:r>
                  <w:r>
                    <w:rPr>
                      <w:rFonts w:cs="Georgia"/>
                      <w:b/>
                      <w:spacing w:val="-2"/>
                      <w:u w:val="single"/>
                    </w:rPr>
                    <w:t xml:space="preserve"> nombre de </w:t>
                  </w:r>
                  <w:r>
                    <w:rPr>
                      <w:rFonts w:cs="Georgia"/>
                      <w:b/>
                      <w:spacing w:val="-1"/>
                      <w:u w:val="single"/>
                    </w:rPr>
                    <w:t>périodes hebdomadaires organisées</w:t>
                  </w:r>
                </w:p>
                <w:p>
                  <w:pPr>
                    <w:jc w:val="center"/>
                    <w:rPr>
                      <w:rFonts w:cs="Georgia"/>
                      <w:b/>
                    </w:rPr>
                  </w:pPr>
                  <w:r>
                    <w:rPr>
                      <w:rFonts w:cs="Georgia"/>
                      <w:b/>
                      <w:spacing w:val="1"/>
                    </w:rPr>
                    <w:t>N</w:t>
                  </w:r>
                  <w:r>
                    <w:rPr>
                      <w:rFonts w:cs="Georgia"/>
                      <w:b/>
                      <w:spacing w:val="-1"/>
                    </w:rPr>
                    <w:t>o</w:t>
                  </w:r>
                  <w:r>
                    <w:rPr>
                      <w:rFonts w:cs="Georgia"/>
                      <w:b/>
                    </w:rPr>
                    <w:t>m</w:t>
                  </w:r>
                  <w:r>
                    <w:rPr>
                      <w:rFonts w:cs="Georgia"/>
                      <w:b/>
                      <w:spacing w:val="-1"/>
                    </w:rPr>
                    <w:t>b</w:t>
                  </w:r>
                  <w:r>
                    <w:rPr>
                      <w:rFonts w:cs="Georgia"/>
                      <w:b/>
                      <w:spacing w:val="1"/>
                    </w:rPr>
                    <w:t>r</w:t>
                  </w:r>
                  <w:r>
                    <w:rPr>
                      <w:rFonts w:cs="Georgia"/>
                      <w:b/>
                    </w:rPr>
                    <w:t>e</w:t>
                  </w:r>
                  <w:r>
                    <w:rPr>
                      <w:rFonts w:cs="Georgia"/>
                      <w:b/>
                      <w:spacing w:val="-1"/>
                    </w:rPr>
                    <w:t xml:space="preserve"> </w:t>
                  </w:r>
                  <w:r>
                    <w:rPr>
                      <w:rFonts w:cs="Georgia"/>
                      <w:b/>
                    </w:rPr>
                    <w:t>guide</w:t>
                  </w:r>
                </w:p>
                <w:p>
                  <w:pPr>
                    <w:widowControl w:val="0"/>
                    <w:autoSpaceDE w:val="0"/>
                    <w:autoSpaceDN w:val="0"/>
                    <w:adjustRightInd w:val="0"/>
                    <w:spacing w:before="13" w:line="240" w:lineRule="exact"/>
                    <w:rPr>
                      <w:rFonts w:cs="Georgia"/>
                    </w:rPr>
                  </w:pPr>
                </w:p>
                <w:p>
                  <w:pPr>
                    <w:widowControl w:val="0"/>
                    <w:autoSpaceDE w:val="0"/>
                    <w:autoSpaceDN w:val="0"/>
                    <w:adjustRightInd w:val="0"/>
                    <w:spacing w:line="250" w:lineRule="exact"/>
                    <w:jc w:val="both"/>
                    <w:rPr>
                      <w:rFonts w:cs="Georgia"/>
                    </w:rPr>
                  </w:pPr>
                  <w:r>
                    <w:rPr>
                      <w:rFonts w:cs="Georgia"/>
                      <w:spacing w:val="1"/>
                    </w:rPr>
                    <w:t>L</w:t>
                  </w:r>
                  <w:r>
                    <w:rPr>
                      <w:rFonts w:cs="Georgia"/>
                    </w:rPr>
                    <w:t xml:space="preserve">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2"/>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a</w:t>
                  </w:r>
                  <w:r>
                    <w:rPr>
                      <w:rFonts w:cs="Georgia"/>
                      <w:spacing w:val="1"/>
                    </w:rPr>
                    <w:t>tt</w:t>
                  </w:r>
                  <w:r>
                    <w:rPr>
                      <w:rFonts w:cs="Georgia"/>
                      <w:spacing w:val="-2"/>
                    </w:rPr>
                    <w:t>r</w:t>
                  </w:r>
                  <w:r>
                    <w:rPr>
                      <w:rFonts w:cs="Georgia"/>
                    </w:rPr>
                    <w:t>i</w:t>
                  </w:r>
                  <w:r>
                    <w:rPr>
                      <w:rFonts w:cs="Georgia"/>
                      <w:spacing w:val="1"/>
                    </w:rPr>
                    <w:t>b</w:t>
                  </w:r>
                  <w:r>
                    <w:rPr>
                      <w:rFonts w:cs="Georgia"/>
                    </w:rPr>
                    <w:t xml:space="preserve">ué à </w:t>
                  </w:r>
                  <w:r>
                    <w:rPr>
                      <w:rFonts w:cs="Georgia"/>
                      <w:spacing w:val="-1"/>
                    </w:rPr>
                    <w:t>l</w:t>
                  </w:r>
                  <w:r>
                    <w:rPr>
                      <w:rFonts w:cs="Georgia"/>
                      <w:spacing w:val="1"/>
                    </w:rPr>
                    <w:t>'</w:t>
                  </w:r>
                  <w:r>
                    <w:rPr>
                      <w:rFonts w:cs="Georgia"/>
                      <w:spacing w:val="-1"/>
                    </w:rPr>
                    <w:t>é</w:t>
                  </w:r>
                  <w:r>
                    <w:rPr>
                      <w:rFonts w:cs="Georgia"/>
                      <w:spacing w:val="1"/>
                    </w:rPr>
                    <w:t>co</w:t>
                  </w:r>
                  <w:r>
                    <w:rPr>
                      <w:rFonts w:cs="Georgia"/>
                      <w:spacing w:val="-1"/>
                    </w:rPr>
                    <w:t>l</w:t>
                  </w:r>
                  <w:r>
                    <w:rPr>
                      <w:rFonts w:cs="Georgia"/>
                    </w:rPr>
                    <w:t xml:space="preserve">e </w:t>
                  </w:r>
                  <w:r>
                    <w:rPr>
                      <w:rFonts w:cs="Georgia"/>
                      <w:spacing w:val="-1"/>
                    </w:rPr>
                    <w:t>e</w:t>
                  </w:r>
                  <w:r>
                    <w:rPr>
                      <w:rFonts w:cs="Georgia"/>
                      <w:spacing w:val="1"/>
                    </w:rPr>
                    <w:t>s</w:t>
                  </w:r>
                  <w:r>
                    <w:rPr>
                      <w:rFonts w:cs="Georgia"/>
                    </w:rPr>
                    <w:t xml:space="preserve">t </w:t>
                  </w:r>
                  <w:r>
                    <w:rPr>
                      <w:rFonts w:cs="Georgia"/>
                      <w:spacing w:val="-1"/>
                    </w:rPr>
                    <w:t>é</w:t>
                  </w:r>
                  <w:r>
                    <w:rPr>
                      <w:rFonts w:cs="Georgia"/>
                    </w:rPr>
                    <w:t>g</w:t>
                  </w:r>
                  <w:r>
                    <w:rPr>
                      <w:rFonts w:cs="Georgia"/>
                      <w:spacing w:val="-1"/>
                    </w:rPr>
                    <w:t>a</w:t>
                  </w:r>
                  <w:r>
                    <w:rPr>
                      <w:rFonts w:cs="Georgia"/>
                    </w:rPr>
                    <w:t>l</w:t>
                  </w:r>
                  <w:r>
                    <w:rPr>
                      <w:rFonts w:cs="Georgia"/>
                      <w:spacing w:val="23"/>
                    </w:rPr>
                    <w:t xml:space="preserve"> </w:t>
                  </w:r>
                  <w:r>
                    <w:rPr>
                      <w:rFonts w:cs="Georgia"/>
                    </w:rPr>
                    <w:t xml:space="preserve">à </w:t>
                  </w:r>
                  <w:r>
                    <w:rPr>
                      <w:rFonts w:cs="Georgia"/>
                      <w:spacing w:val="-1"/>
                    </w:rPr>
                    <w:t>l</w:t>
                  </w:r>
                  <w:r>
                    <w:rPr>
                      <w:rFonts w:cs="Georgia"/>
                    </w:rPr>
                    <w:t xml:space="preserve">a </w:t>
                  </w:r>
                  <w:r>
                    <w:rPr>
                      <w:rFonts w:cs="Georgia"/>
                      <w:spacing w:val="1"/>
                    </w:rPr>
                    <w:t>so</w:t>
                  </w:r>
                  <w:r>
                    <w:rPr>
                      <w:rFonts w:cs="Georgia"/>
                    </w:rPr>
                    <w:t>mme d</w:t>
                  </w:r>
                  <w:r>
                    <w:rPr>
                      <w:rFonts w:cs="Georgia"/>
                      <w:spacing w:val="-1"/>
                    </w:rPr>
                    <w:t>e</w:t>
                  </w:r>
                  <w:r>
                    <w:rPr>
                      <w:rFonts w:cs="Georgia"/>
                    </w:rPr>
                    <w:t xml:space="preserve">s </w:t>
                  </w:r>
                  <w:r>
                    <w:rPr>
                      <w:rFonts w:cs="Georgia"/>
                      <w:spacing w:val="-1"/>
                    </w:rPr>
                    <w:t>q</w:t>
                  </w:r>
                  <w:r>
                    <w:rPr>
                      <w:rFonts w:cs="Georgia"/>
                    </w:rPr>
                    <w:t>u</w:t>
                  </w:r>
                  <w:r>
                    <w:rPr>
                      <w:rFonts w:cs="Georgia"/>
                      <w:spacing w:val="1"/>
                    </w:rPr>
                    <w:t>ot</w:t>
                  </w:r>
                  <w:r>
                    <w:rPr>
                      <w:rFonts w:cs="Georgia"/>
                    </w:rPr>
                    <w:t>i</w:t>
                  </w:r>
                  <w:r>
                    <w:rPr>
                      <w:rFonts w:cs="Georgia"/>
                      <w:spacing w:val="-3"/>
                    </w:rPr>
                    <w:t>e</w:t>
                  </w:r>
                  <w:r>
                    <w:rPr>
                      <w:rFonts w:cs="Georgia"/>
                      <w:spacing w:val="-1"/>
                    </w:rPr>
                    <w:t>n</w:t>
                  </w:r>
                  <w:r>
                    <w:rPr>
                      <w:rFonts w:cs="Georgia"/>
                      <w:spacing w:val="1"/>
                    </w:rPr>
                    <w:t>t</w:t>
                  </w:r>
                  <w:r>
                    <w:rPr>
                      <w:rFonts w:cs="Georgia"/>
                    </w:rPr>
                    <w:t>s</w:t>
                  </w:r>
                  <w:r>
                    <w:rPr>
                      <w:rFonts w:cs="Georgia"/>
                      <w:spacing w:val="24"/>
                    </w:rPr>
                    <w:t xml:space="preserve"> </w:t>
                  </w:r>
                  <w:r>
                    <w:rPr>
                      <w:rFonts w:cs="Georgia"/>
                      <w:spacing w:val="-1"/>
                    </w:rPr>
                    <w:t>o</w:t>
                  </w:r>
                  <w:r>
                    <w:rPr>
                      <w:rFonts w:cs="Georgia"/>
                      <w:spacing w:val="1"/>
                    </w:rPr>
                    <w:t>bt</w:t>
                  </w:r>
                  <w:r>
                    <w:rPr>
                      <w:rFonts w:cs="Georgia"/>
                      <w:spacing w:val="-1"/>
                    </w:rPr>
                    <w:t>en</w:t>
                  </w:r>
                  <w:r>
                    <w:rPr>
                      <w:rFonts w:cs="Georgia"/>
                    </w:rPr>
                    <w:t xml:space="preserve">us </w:t>
                  </w:r>
                  <w:r>
                    <w:rPr>
                      <w:rFonts w:cs="Georgia"/>
                      <w:spacing w:val="1"/>
                    </w:rPr>
                    <w:t>p</w:t>
                  </w:r>
                  <w:r>
                    <w:rPr>
                      <w:rFonts w:cs="Georgia"/>
                      <w:spacing w:val="-1"/>
                    </w:rPr>
                    <w:t>a</w:t>
                  </w:r>
                  <w:r>
                    <w:rPr>
                      <w:rFonts w:cs="Georgia"/>
                    </w:rPr>
                    <w:t xml:space="preserve">r </w:t>
                  </w:r>
                  <w:r>
                    <w:rPr>
                      <w:rFonts w:cs="Georgia"/>
                      <w:spacing w:val="1"/>
                    </w:rPr>
                    <w:t>t</w:t>
                  </w:r>
                  <w:r>
                    <w:rPr>
                      <w:rFonts w:cs="Georgia"/>
                      <w:spacing w:val="-1"/>
                    </w:rPr>
                    <w:t>y</w:t>
                  </w:r>
                  <w:r>
                    <w:rPr>
                      <w:rFonts w:cs="Georgia"/>
                      <w:spacing w:val="1"/>
                    </w:rPr>
                    <w:t>p</w:t>
                  </w:r>
                  <w:r>
                    <w:rPr>
                      <w:rFonts w:cs="Georgia"/>
                    </w:rPr>
                    <w:t>e d</w:t>
                  </w:r>
                  <w:r>
                    <w:rPr>
                      <w:rFonts w:cs="Georgia"/>
                      <w:spacing w:val="1"/>
                    </w:rPr>
                    <w:t>'</w:t>
                  </w:r>
                  <w:r>
                    <w:rPr>
                      <w:rFonts w:cs="Georgia"/>
                      <w:spacing w:val="-1"/>
                    </w:rPr>
                    <w:t>en</w:t>
                  </w:r>
                  <w:r>
                    <w:rPr>
                      <w:rFonts w:cs="Georgia"/>
                      <w:spacing w:val="1"/>
                    </w:rPr>
                    <w:t>s</w:t>
                  </w:r>
                  <w:r>
                    <w:rPr>
                      <w:rFonts w:cs="Georgia"/>
                      <w:spacing w:val="-1"/>
                    </w:rPr>
                    <w:t>e</w:t>
                  </w:r>
                  <w:r>
                    <w:rPr>
                      <w:rFonts w:cs="Georgia"/>
                    </w:rPr>
                    <w:t>ig</w:t>
                  </w:r>
                  <w:r>
                    <w:rPr>
                      <w:rFonts w:cs="Georgia"/>
                      <w:spacing w:val="-1"/>
                    </w:rPr>
                    <w:t>ne</w:t>
                  </w:r>
                  <w:r>
                    <w:rPr>
                      <w:rFonts w:cs="Georgia"/>
                    </w:rPr>
                    <w:t>m</w:t>
                  </w:r>
                  <w:r>
                    <w:rPr>
                      <w:rFonts w:cs="Georgia"/>
                      <w:spacing w:val="-1"/>
                    </w:rPr>
                    <w:t>en</w:t>
                  </w:r>
                  <w:r>
                    <w:rPr>
                      <w:rFonts w:cs="Georgia"/>
                    </w:rPr>
                    <w:t xml:space="preserve">t </w:t>
                  </w:r>
                  <w:r>
                    <w:rPr>
                      <w:rFonts w:cs="Georgia"/>
                      <w:spacing w:val="1"/>
                    </w:rPr>
                    <w:t>o</w:t>
                  </w:r>
                  <w:r>
                    <w:rPr>
                      <w:rFonts w:cs="Georgia"/>
                      <w:spacing w:val="-2"/>
                    </w:rPr>
                    <w:t>r</w:t>
                  </w:r>
                  <w:r>
                    <w:rPr>
                      <w:rFonts w:cs="Georgia"/>
                    </w:rPr>
                    <w:t>g</w:t>
                  </w:r>
                  <w:r>
                    <w:rPr>
                      <w:rFonts w:cs="Georgia"/>
                      <w:spacing w:val="-1"/>
                    </w:rPr>
                    <w:t>an</w:t>
                  </w:r>
                  <w:r>
                    <w:rPr>
                      <w:rFonts w:cs="Georgia"/>
                    </w:rPr>
                    <w:t>i</w:t>
                  </w:r>
                  <w:r>
                    <w:rPr>
                      <w:rFonts w:cs="Georgia"/>
                      <w:spacing w:val="1"/>
                    </w:rPr>
                    <w:t>s</w:t>
                  </w:r>
                  <w:r>
                    <w:rPr>
                      <w:rFonts w:cs="Georgia"/>
                      <w:spacing w:val="-1"/>
                    </w:rPr>
                    <w:t>é</w:t>
                  </w:r>
                  <w:r>
                    <w:rPr>
                      <w:rFonts w:cs="Georgia"/>
                    </w:rPr>
                    <w:t>.</w:t>
                  </w:r>
                  <w:r>
                    <w:rPr>
                      <w:rFonts w:cs="Georgia"/>
                      <w:spacing w:val="53"/>
                    </w:rPr>
                    <w:t xml:space="preserve"> </w:t>
                  </w:r>
                  <w:r>
                    <w:rPr>
                      <w:rFonts w:cs="Georgia"/>
                      <w:b/>
                      <w:spacing w:val="1"/>
                    </w:rPr>
                    <w:t>S</w:t>
                  </w:r>
                  <w:r>
                    <w:rPr>
                      <w:rFonts w:cs="Georgia"/>
                      <w:b/>
                      <w:spacing w:val="-1"/>
                    </w:rPr>
                    <w:t>e</w:t>
                  </w:r>
                  <w:r>
                    <w:rPr>
                      <w:rFonts w:cs="Georgia"/>
                      <w:b/>
                    </w:rPr>
                    <w:t>u</w:t>
                  </w:r>
                  <w:r>
                    <w:rPr>
                      <w:rFonts w:cs="Georgia"/>
                      <w:b/>
                      <w:spacing w:val="-1"/>
                    </w:rPr>
                    <w:t>l</w:t>
                  </w:r>
                  <w:r>
                    <w:rPr>
                      <w:rFonts w:cs="Georgia"/>
                      <w:b/>
                    </w:rPr>
                    <w:t>e</w:t>
                  </w:r>
                  <w:r>
                    <w:rPr>
                      <w:rFonts w:cs="Georgia"/>
                      <w:b/>
                      <w:spacing w:val="-1"/>
                    </w:rPr>
                    <w:t xml:space="preserve"> l</w:t>
                  </w:r>
                  <w:r>
                    <w:rPr>
                      <w:rFonts w:cs="Georgia"/>
                      <w:b/>
                    </w:rPr>
                    <w:t>a</w:t>
                  </w:r>
                  <w:r>
                    <w:rPr>
                      <w:rFonts w:cs="Georgia"/>
                      <w:b/>
                      <w:spacing w:val="-1"/>
                    </w:rPr>
                    <w:t xml:space="preserve"> </w:t>
                  </w:r>
                  <w:r>
                    <w:rPr>
                      <w:rFonts w:cs="Georgia"/>
                      <w:b/>
                      <w:spacing w:val="1"/>
                    </w:rPr>
                    <w:t>so</w:t>
                  </w:r>
                  <w:r>
                    <w:rPr>
                      <w:rFonts w:cs="Georgia"/>
                      <w:b/>
                    </w:rPr>
                    <w:t>mme</w:t>
                  </w:r>
                  <w:r>
                    <w:rPr>
                      <w:rFonts w:cs="Georgia"/>
                      <w:b/>
                      <w:spacing w:val="-1"/>
                    </w:rPr>
                    <w:t xml:space="preserve"> </w:t>
                  </w:r>
                  <w:r>
                    <w:rPr>
                      <w:rFonts w:cs="Georgia"/>
                      <w:b/>
                    </w:rPr>
                    <w:t>d</w:t>
                  </w:r>
                  <w:r>
                    <w:rPr>
                      <w:rFonts w:cs="Georgia"/>
                      <w:b/>
                      <w:spacing w:val="-1"/>
                    </w:rPr>
                    <w:t>e</w:t>
                  </w:r>
                  <w:r>
                    <w:rPr>
                      <w:rFonts w:cs="Georgia"/>
                      <w:b/>
                    </w:rPr>
                    <w:t xml:space="preserve">s </w:t>
                  </w:r>
                  <w:r>
                    <w:rPr>
                      <w:rFonts w:cs="Georgia"/>
                      <w:b/>
                      <w:spacing w:val="1"/>
                    </w:rPr>
                    <w:t>r</w:t>
                  </w:r>
                  <w:r>
                    <w:rPr>
                      <w:rFonts w:cs="Georgia"/>
                      <w:b/>
                      <w:spacing w:val="-1"/>
                    </w:rPr>
                    <w:t>é</w:t>
                  </w:r>
                  <w:r>
                    <w:rPr>
                      <w:rFonts w:cs="Georgia"/>
                      <w:b/>
                      <w:spacing w:val="-2"/>
                    </w:rPr>
                    <w:t>s</w:t>
                  </w:r>
                  <w:r>
                    <w:rPr>
                      <w:rFonts w:cs="Georgia"/>
                      <w:b/>
                    </w:rPr>
                    <w:t>u</w:t>
                  </w:r>
                  <w:r>
                    <w:rPr>
                      <w:rFonts w:cs="Georgia"/>
                      <w:b/>
                      <w:spacing w:val="-1"/>
                    </w:rPr>
                    <w:t>l</w:t>
                  </w:r>
                  <w:r>
                    <w:rPr>
                      <w:rFonts w:cs="Georgia"/>
                      <w:b/>
                      <w:spacing w:val="1"/>
                    </w:rPr>
                    <w:t>t</w:t>
                  </w:r>
                  <w:r>
                    <w:rPr>
                      <w:rFonts w:cs="Georgia"/>
                      <w:b/>
                      <w:spacing w:val="-1"/>
                    </w:rPr>
                    <w:t>a</w:t>
                  </w:r>
                  <w:r>
                    <w:rPr>
                      <w:rFonts w:cs="Georgia"/>
                      <w:b/>
                      <w:spacing w:val="1"/>
                    </w:rPr>
                    <w:t>t</w:t>
                  </w:r>
                  <w:r>
                    <w:rPr>
                      <w:rFonts w:cs="Georgia"/>
                      <w:b/>
                    </w:rPr>
                    <w:t xml:space="preserve">s </w:t>
                  </w:r>
                  <w:r>
                    <w:rPr>
                      <w:rFonts w:cs="Georgia"/>
                      <w:b/>
                      <w:spacing w:val="-1"/>
                    </w:rPr>
                    <w:t>e</w:t>
                  </w:r>
                  <w:r>
                    <w:rPr>
                      <w:rFonts w:cs="Georgia"/>
                      <w:b/>
                      <w:spacing w:val="1"/>
                    </w:rPr>
                    <w:t>s</w:t>
                  </w:r>
                  <w:r>
                    <w:rPr>
                      <w:rFonts w:cs="Georgia"/>
                      <w:b/>
                    </w:rPr>
                    <w:t xml:space="preserve">t </w:t>
                  </w:r>
                  <w:r>
                    <w:rPr>
                      <w:rFonts w:cs="Georgia"/>
                      <w:b/>
                      <w:spacing w:val="-1"/>
                    </w:rPr>
                    <w:t>a</w:t>
                  </w:r>
                  <w:r>
                    <w:rPr>
                      <w:rFonts w:cs="Georgia"/>
                      <w:b/>
                      <w:spacing w:val="-2"/>
                    </w:rPr>
                    <w:t>r</w:t>
                  </w:r>
                  <w:r>
                    <w:rPr>
                      <w:rFonts w:cs="Georgia"/>
                      <w:b/>
                      <w:spacing w:val="1"/>
                    </w:rPr>
                    <w:t>ro</w:t>
                  </w:r>
                  <w:r>
                    <w:rPr>
                      <w:rFonts w:cs="Georgia"/>
                      <w:b/>
                      <w:spacing w:val="-3"/>
                    </w:rPr>
                    <w:t>n</w:t>
                  </w:r>
                  <w:r>
                    <w:rPr>
                      <w:rFonts w:cs="Georgia"/>
                      <w:b/>
                    </w:rPr>
                    <w:t>die</w:t>
                  </w:r>
                  <w:r>
                    <w:rPr>
                      <w:rFonts w:cs="Georgia"/>
                      <w:b/>
                      <w:spacing w:val="-1"/>
                    </w:rPr>
                    <w:t xml:space="preserve"> </w:t>
                  </w:r>
                  <w:r>
                    <w:rPr>
                      <w:rFonts w:cs="Georgia"/>
                      <w:b/>
                    </w:rPr>
                    <w:t>à</w:t>
                  </w:r>
                  <w:r>
                    <w:rPr>
                      <w:rFonts w:cs="Georgia"/>
                      <w:b/>
                      <w:spacing w:val="-1"/>
                    </w:rPr>
                    <w:t xml:space="preserve"> l</w:t>
                  </w:r>
                  <w:r>
                    <w:rPr>
                      <w:rFonts w:cs="Georgia"/>
                      <w:b/>
                      <w:spacing w:val="1"/>
                    </w:rPr>
                    <w:t>'</w:t>
                  </w:r>
                  <w:r>
                    <w:rPr>
                      <w:rFonts w:cs="Georgia"/>
                      <w:b/>
                    </w:rPr>
                    <w:t>u</w:t>
                  </w:r>
                  <w:r>
                    <w:rPr>
                      <w:rFonts w:cs="Georgia"/>
                      <w:b/>
                      <w:spacing w:val="-1"/>
                    </w:rPr>
                    <w:t>n</w:t>
                  </w:r>
                  <w:r>
                    <w:rPr>
                      <w:rFonts w:cs="Georgia"/>
                      <w:b/>
                    </w:rPr>
                    <w:t>i</w:t>
                  </w:r>
                  <w:r>
                    <w:rPr>
                      <w:rFonts w:cs="Georgia"/>
                      <w:b/>
                      <w:spacing w:val="1"/>
                    </w:rPr>
                    <w:t>t</w:t>
                  </w:r>
                  <w:r>
                    <w:rPr>
                      <w:rFonts w:cs="Georgia"/>
                      <w:b/>
                    </w:rPr>
                    <w:t>é</w:t>
                  </w:r>
                  <w:r>
                    <w:rPr>
                      <w:rFonts w:cs="Georgia"/>
                      <w:b/>
                      <w:spacing w:val="-1"/>
                    </w:rPr>
                    <w:t xml:space="preserve"> </w:t>
                  </w:r>
                  <w:r>
                    <w:rPr>
                      <w:rFonts w:cs="Georgia"/>
                      <w:b/>
                      <w:spacing w:val="1"/>
                    </w:rPr>
                    <w:t>s</w:t>
                  </w:r>
                  <w:r>
                    <w:rPr>
                      <w:rFonts w:cs="Georgia"/>
                      <w:b/>
                    </w:rPr>
                    <w:t>u</w:t>
                  </w:r>
                  <w:r>
                    <w:rPr>
                      <w:rFonts w:cs="Georgia"/>
                      <w:b/>
                      <w:spacing w:val="1"/>
                    </w:rPr>
                    <w:t>p</w:t>
                  </w:r>
                  <w:r>
                    <w:rPr>
                      <w:rFonts w:cs="Georgia"/>
                      <w:b/>
                      <w:spacing w:val="-1"/>
                    </w:rPr>
                    <w:t>é</w:t>
                  </w:r>
                  <w:r>
                    <w:rPr>
                      <w:rFonts w:cs="Georgia"/>
                      <w:b/>
                      <w:spacing w:val="1"/>
                    </w:rPr>
                    <w:t>r</w:t>
                  </w:r>
                  <w:r>
                    <w:rPr>
                      <w:rFonts w:cs="Georgia"/>
                      <w:b/>
                    </w:rPr>
                    <w:t>i</w:t>
                  </w:r>
                  <w:r>
                    <w:rPr>
                      <w:rFonts w:cs="Georgia"/>
                      <w:b/>
                      <w:spacing w:val="-1"/>
                    </w:rPr>
                    <w:t>e</w:t>
                  </w:r>
                  <w:r>
                    <w:rPr>
                      <w:rFonts w:cs="Georgia"/>
                      <w:b/>
                      <w:spacing w:val="-2"/>
                    </w:rPr>
                    <w:t>u</w:t>
                  </w:r>
                  <w:r>
                    <w:rPr>
                      <w:rFonts w:cs="Georgia"/>
                      <w:b/>
                      <w:spacing w:val="1"/>
                    </w:rPr>
                    <w:t>re.</w:t>
                  </w:r>
                </w:p>
                <w:p>
                  <w:pPr>
                    <w:widowControl w:val="0"/>
                    <w:autoSpaceDE w:val="0"/>
                    <w:autoSpaceDN w:val="0"/>
                    <w:adjustRightInd w:val="0"/>
                    <w:spacing w:before="7" w:line="240" w:lineRule="exact"/>
                    <w:jc w:val="both"/>
                    <w:rPr>
                      <w:rFonts w:cs="Georgia"/>
                    </w:rPr>
                  </w:pPr>
                </w:p>
                <w:p>
                  <w:pPr>
                    <w:widowControl w:val="0"/>
                    <w:autoSpaceDE w:val="0"/>
                    <w:autoSpaceDN w:val="0"/>
                    <w:adjustRightInd w:val="0"/>
                    <w:jc w:val="both"/>
                    <w:rPr>
                      <w:rFonts w:cs="Georgia"/>
                    </w:rPr>
                  </w:pPr>
                  <w:r>
                    <w:rPr>
                      <w:rFonts w:cs="Georgia"/>
                    </w:rPr>
                    <w:t>Pour cette année scolaire, ce</w:t>
                  </w:r>
                  <w:r>
                    <w:rPr>
                      <w:rFonts w:cs="Georgia"/>
                      <w:spacing w:val="-1"/>
                    </w:rPr>
                    <w:t xml:space="preserv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 xml:space="preserve">s </w:t>
                  </w:r>
                  <w:r>
                    <w:rPr>
                      <w:rFonts w:cs="Georgia"/>
                      <w:spacing w:val="-1"/>
                    </w:rPr>
                    <w:t>n</w:t>
                  </w:r>
                  <w:r>
                    <w:rPr>
                      <w:rFonts w:cs="Georgia"/>
                    </w:rPr>
                    <w:t>e</w:t>
                  </w:r>
                  <w:r>
                    <w:rPr>
                      <w:rFonts w:cs="Georgia"/>
                      <w:spacing w:val="-1"/>
                    </w:rPr>
                    <w:t xml:space="preserve"> </w:t>
                  </w:r>
                  <w:r>
                    <w:rPr>
                      <w:rFonts w:cs="Georgia"/>
                      <w:spacing w:val="1"/>
                    </w:rPr>
                    <w:t>p</w:t>
                  </w:r>
                  <w:r>
                    <w:rPr>
                      <w:rFonts w:cs="Georgia"/>
                      <w:spacing w:val="-3"/>
                    </w:rPr>
                    <w:t>e</w:t>
                  </w:r>
                  <w:r>
                    <w:rPr>
                      <w:rFonts w:cs="Georgia"/>
                    </w:rPr>
                    <w:t xml:space="preserve">ut </w:t>
                  </w:r>
                  <w:r>
                    <w:rPr>
                      <w:rFonts w:cs="Georgia"/>
                      <w:spacing w:val="-1"/>
                    </w:rPr>
                    <w:t>ê</w:t>
                  </w:r>
                  <w:r>
                    <w:rPr>
                      <w:rFonts w:cs="Georgia"/>
                      <w:spacing w:val="1"/>
                    </w:rPr>
                    <w:t>tr</w:t>
                  </w:r>
                  <w:r>
                    <w:rPr>
                      <w:rFonts w:cs="Georgia"/>
                    </w:rPr>
                    <w:t>e</w:t>
                  </w:r>
                  <w:r>
                    <w:rPr>
                      <w:rFonts w:cs="Georgia"/>
                      <w:spacing w:val="-1"/>
                    </w:rPr>
                    <w:t xml:space="preserve"> </w:t>
                  </w:r>
                  <w:r>
                    <w:rPr>
                      <w:rFonts w:cs="Georgia"/>
                    </w:rPr>
                    <w:t>u</w:t>
                  </w:r>
                  <w:r>
                    <w:rPr>
                      <w:rFonts w:cs="Georgia"/>
                      <w:spacing w:val="1"/>
                    </w:rPr>
                    <w:t>t</w:t>
                  </w:r>
                  <w:r>
                    <w:rPr>
                      <w:rFonts w:cs="Georgia"/>
                    </w:rPr>
                    <w:t>i</w:t>
                  </w:r>
                  <w:r>
                    <w:rPr>
                      <w:rFonts w:cs="Georgia"/>
                      <w:spacing w:val="-1"/>
                    </w:rPr>
                    <w:t>l</w:t>
                  </w:r>
                  <w:r>
                    <w:rPr>
                      <w:rFonts w:cs="Georgia"/>
                      <w:spacing w:val="-2"/>
                    </w:rPr>
                    <w:t>i</w:t>
                  </w:r>
                  <w:r>
                    <w:rPr>
                      <w:rFonts w:cs="Georgia"/>
                      <w:spacing w:val="1"/>
                    </w:rPr>
                    <w:t>s</w:t>
                  </w:r>
                  <w:r>
                    <w:rPr>
                      <w:rFonts w:cs="Georgia"/>
                    </w:rPr>
                    <w:t>é</w:t>
                  </w:r>
                  <w:r>
                    <w:rPr>
                      <w:rFonts w:cs="Georgia"/>
                      <w:spacing w:val="-1"/>
                    </w:rPr>
                    <w:t xml:space="preserve"> q</w:t>
                  </w:r>
                  <w:r>
                    <w:rPr>
                      <w:rFonts w:cs="Georgia"/>
                    </w:rPr>
                    <w:t>u</w:t>
                  </w:r>
                  <w:r>
                    <w:rPr>
                      <w:rFonts w:cs="Georgia"/>
                      <w:spacing w:val="1"/>
                    </w:rPr>
                    <w:t>'</w:t>
                  </w:r>
                  <w:r>
                    <w:rPr>
                      <w:rFonts w:cs="Georgia"/>
                    </w:rPr>
                    <w:t>à</w:t>
                  </w:r>
                  <w:r>
                    <w:rPr>
                      <w:rFonts w:cs="Georgia"/>
                      <w:spacing w:val="-1"/>
                    </w:rPr>
                    <w:t xml:space="preserve"> </w:t>
                  </w:r>
                  <w:r>
                    <w:rPr>
                      <w:rFonts w:cs="Georgia"/>
                      <w:spacing w:val="1"/>
                    </w:rPr>
                    <w:t>co</w:t>
                  </w:r>
                  <w:r>
                    <w:rPr>
                      <w:rFonts w:cs="Georgia"/>
                      <w:spacing w:val="-1"/>
                    </w:rPr>
                    <w:t>n</w:t>
                  </w:r>
                  <w:r>
                    <w:rPr>
                      <w:rFonts w:cs="Georgia"/>
                      <w:spacing w:val="-2"/>
                    </w:rPr>
                    <w:t>cu</w:t>
                  </w:r>
                  <w:r>
                    <w:rPr>
                      <w:rFonts w:cs="Georgia"/>
                      <w:spacing w:val="1"/>
                    </w:rPr>
                    <w:t>rr</w:t>
                  </w:r>
                  <w:r>
                    <w:rPr>
                      <w:rFonts w:cs="Georgia"/>
                      <w:spacing w:val="-1"/>
                    </w:rPr>
                    <w:t>en</w:t>
                  </w:r>
                  <w:r>
                    <w:rPr>
                      <w:rFonts w:cs="Georgia"/>
                      <w:spacing w:val="1"/>
                    </w:rPr>
                    <w:t>c</w:t>
                  </w:r>
                  <w:r>
                    <w:rPr>
                      <w:rFonts w:cs="Georgia"/>
                    </w:rPr>
                    <w:t>e</w:t>
                  </w:r>
                  <w:r>
                    <w:rPr>
                      <w:rFonts w:cs="Georgia"/>
                      <w:spacing w:val="-1"/>
                    </w:rPr>
                    <w:t xml:space="preserve"> </w:t>
                  </w:r>
                  <w:r>
                    <w:rPr>
                      <w:rFonts w:cs="Georgia"/>
                    </w:rPr>
                    <w:t>de</w:t>
                  </w:r>
                  <w:r>
                    <w:rPr>
                      <w:rFonts w:cs="Georgia"/>
                      <w:spacing w:val="-1"/>
                    </w:rPr>
                    <w:t xml:space="preserve"> </w:t>
                  </w:r>
                  <w:r>
                    <w:rPr>
                      <w:rFonts w:cs="Georgia"/>
                    </w:rPr>
                    <w:t>97</w:t>
                  </w:r>
                  <w:r>
                    <w:rPr>
                      <w:rFonts w:cs="Georgia"/>
                      <w:spacing w:val="-1"/>
                    </w:rPr>
                    <w:t xml:space="preserve"> </w:t>
                  </w:r>
                  <w:r>
                    <w:rPr>
                      <w:rFonts w:cs="Georgia"/>
                    </w:rPr>
                    <w:t>%, a</w:t>
                  </w:r>
                  <w:r>
                    <w:rPr>
                      <w:rFonts w:cs="Georgia"/>
                      <w:spacing w:val="1"/>
                    </w:rPr>
                    <w:t>r</w:t>
                  </w:r>
                  <w:r>
                    <w:rPr>
                      <w:rFonts w:cs="Georgia"/>
                      <w:spacing w:val="-2"/>
                    </w:rPr>
                    <w:t>r</w:t>
                  </w:r>
                  <w:r>
                    <w:rPr>
                      <w:rFonts w:cs="Georgia"/>
                      <w:spacing w:val="1"/>
                    </w:rPr>
                    <w:t>o</w:t>
                  </w:r>
                  <w:r>
                    <w:rPr>
                      <w:rFonts w:cs="Georgia"/>
                      <w:spacing w:val="-1"/>
                    </w:rPr>
                    <w:t>n</w:t>
                  </w:r>
                  <w:r>
                    <w:rPr>
                      <w:rFonts w:cs="Georgia"/>
                    </w:rPr>
                    <w:t>d</w:t>
                  </w:r>
                  <w:r>
                    <w:rPr>
                      <w:rFonts w:cs="Georgia"/>
                      <w:spacing w:val="-2"/>
                    </w:rPr>
                    <w:t>i</w:t>
                  </w:r>
                  <w:r>
                    <w:rPr>
                      <w:rFonts w:cs="Georgia"/>
                    </w:rPr>
                    <w:t>s à</w:t>
                  </w:r>
                  <w:r>
                    <w:rPr>
                      <w:rFonts w:cs="Georgia"/>
                      <w:spacing w:val="-1"/>
                    </w:rPr>
                    <w:t xml:space="preserve"> l</w:t>
                  </w:r>
                  <w:r>
                    <w:rPr>
                      <w:rFonts w:cs="Georgia"/>
                    </w:rPr>
                    <w:t>’u</w:t>
                  </w:r>
                  <w:r>
                    <w:rPr>
                      <w:rFonts w:cs="Georgia"/>
                      <w:spacing w:val="-1"/>
                    </w:rPr>
                    <w:t>n</w:t>
                  </w:r>
                  <w:r>
                    <w:rPr>
                      <w:rFonts w:cs="Georgia"/>
                    </w:rPr>
                    <w:t>i</w:t>
                  </w:r>
                  <w:r>
                    <w:rPr>
                      <w:rFonts w:cs="Georgia"/>
                      <w:spacing w:val="1"/>
                    </w:rPr>
                    <w:t>t</w:t>
                  </w:r>
                  <w:r>
                    <w:rPr>
                      <w:rFonts w:cs="Georgia"/>
                    </w:rPr>
                    <w:t>é</w:t>
                  </w:r>
                  <w:r>
                    <w:rPr>
                      <w:rFonts w:cs="Georgia"/>
                      <w:spacing w:val="-1"/>
                    </w:rPr>
                    <w:t xml:space="preserve"> </w:t>
                  </w:r>
                  <w:r>
                    <w:rPr>
                      <w:rFonts w:cs="Georgia"/>
                      <w:spacing w:val="1"/>
                    </w:rPr>
                    <w:t>s</w:t>
                  </w:r>
                  <w:r>
                    <w:rPr>
                      <w:rFonts w:cs="Georgia"/>
                    </w:rPr>
                    <w:t>u</w:t>
                  </w:r>
                  <w:r>
                    <w:rPr>
                      <w:rFonts w:cs="Georgia"/>
                      <w:spacing w:val="1"/>
                    </w:rPr>
                    <w:t>p</w:t>
                  </w:r>
                  <w:r>
                    <w:rPr>
                      <w:rFonts w:cs="Georgia"/>
                      <w:spacing w:val="-3"/>
                    </w:rPr>
                    <w:t>é</w:t>
                  </w:r>
                  <w:r>
                    <w:rPr>
                      <w:rFonts w:cs="Georgia"/>
                      <w:spacing w:val="1"/>
                    </w:rPr>
                    <w:t>r</w:t>
                  </w:r>
                  <w:r>
                    <w:rPr>
                      <w:rFonts w:cs="Georgia"/>
                    </w:rPr>
                    <w:t>i</w:t>
                  </w:r>
                  <w:r>
                    <w:rPr>
                      <w:rFonts w:cs="Georgia"/>
                      <w:spacing w:val="-1"/>
                    </w:rPr>
                    <w:t>e</w:t>
                  </w:r>
                  <w:r>
                    <w:rPr>
                      <w:rFonts w:cs="Georgia"/>
                    </w:rPr>
                    <w:t>u</w:t>
                  </w:r>
                  <w:r>
                    <w:rPr>
                      <w:rFonts w:cs="Georgia"/>
                      <w:spacing w:val="1"/>
                    </w:rPr>
                    <w:t>r</w:t>
                  </w:r>
                  <w:r>
                    <w:rPr>
                      <w:rFonts w:cs="Georgia"/>
                      <w:spacing w:val="-1"/>
                    </w:rPr>
                    <w:t>e</w:t>
                  </w:r>
                  <w:r>
                    <w:rPr>
                      <w:rFonts w:cs="Georgia"/>
                    </w:rPr>
                    <w:t>.</w:t>
                  </w:r>
                </w:p>
                <w:p/>
                <w:p>
                  <w:pPr>
                    <w:pStyle w:val="Titre4"/>
                  </w:pPr>
                  <w:bookmarkStart w:id="1752" w:name="_2.3._Fonctions_de_1"/>
                  <w:bookmarkStart w:id="1753" w:name="_2.3._Fonctions_de"/>
                  <w:bookmarkStart w:id="1754" w:name="_2.4._Fonctions_de"/>
                  <w:bookmarkStart w:id="1755" w:name="_Toc453314323"/>
                  <w:bookmarkStart w:id="1756" w:name="_Toc454980358"/>
                  <w:bookmarkEnd w:id="1752"/>
                  <w:bookmarkEnd w:id="1753"/>
                  <w:bookmarkEnd w:id="1754"/>
                  <w:r>
                    <w:t>2.4. Fonctions de recrutement</w:t>
                  </w:r>
                  <w:bookmarkEnd w:id="1755"/>
                  <w:bookmarkEnd w:id="1756"/>
                </w:p>
                <w:p>
                  <w:pPr>
                    <w:widowControl w:val="0"/>
                    <w:autoSpaceDE w:val="0"/>
                    <w:autoSpaceDN w:val="0"/>
                    <w:adjustRightInd w:val="0"/>
                    <w:spacing w:before="12" w:line="240" w:lineRule="exact"/>
                    <w:jc w:val="both"/>
                    <w:rPr>
                      <w:rFonts w:cs="Georgia"/>
                    </w:rPr>
                  </w:pPr>
                </w:p>
                <w:p>
                  <w:pPr>
                    <w:widowControl w:val="0"/>
                    <w:autoSpaceDE w:val="0"/>
                    <w:autoSpaceDN w:val="0"/>
                    <w:adjustRightInd w:val="0"/>
                    <w:ind w:right="-20"/>
                    <w:jc w:val="both"/>
                    <w:rPr>
                      <w:rFonts w:cs="Georgia"/>
                    </w:rPr>
                  </w:pPr>
                  <w:r>
                    <w:rPr>
                      <w:rFonts w:cs="Georgia"/>
                      <w:spacing w:val="1"/>
                    </w:rPr>
                    <w:t>L</w:t>
                  </w:r>
                  <w:r>
                    <w:rPr>
                      <w:rFonts w:cs="Georgia"/>
                      <w:spacing w:val="-1"/>
                    </w:rPr>
                    <w:t>e</w:t>
                  </w:r>
                  <w:r>
                    <w:rPr>
                      <w:rFonts w:cs="Georgia"/>
                    </w:rPr>
                    <w:t>s f</w:t>
                  </w:r>
                  <w:r>
                    <w:rPr>
                      <w:rFonts w:cs="Georgia"/>
                      <w:spacing w:val="1"/>
                    </w:rPr>
                    <w:t>o</w:t>
                  </w:r>
                  <w:r>
                    <w:rPr>
                      <w:rFonts w:cs="Georgia"/>
                      <w:spacing w:val="-3"/>
                    </w:rPr>
                    <w:t>n</w:t>
                  </w:r>
                  <w:r>
                    <w:rPr>
                      <w:rFonts w:cs="Georgia"/>
                      <w:spacing w:val="1"/>
                    </w:rPr>
                    <w:t>ct</w:t>
                  </w:r>
                  <w:r>
                    <w:rPr>
                      <w:rFonts w:cs="Georgia"/>
                      <w:spacing w:val="-2"/>
                    </w:rPr>
                    <w:t>i</w:t>
                  </w:r>
                  <w:r>
                    <w:rPr>
                      <w:rFonts w:cs="Georgia"/>
                      <w:spacing w:val="1"/>
                    </w:rPr>
                    <w:t>o</w:t>
                  </w:r>
                  <w:r>
                    <w:rPr>
                      <w:rFonts w:cs="Georgia"/>
                      <w:spacing w:val="-1"/>
                    </w:rPr>
                    <w:t>n</w:t>
                  </w:r>
                  <w:r>
                    <w:rPr>
                      <w:rFonts w:cs="Georgia"/>
                    </w:rPr>
                    <w:t>s de</w:t>
                  </w:r>
                  <w:r>
                    <w:rPr>
                      <w:rFonts w:cs="Georgia"/>
                      <w:spacing w:val="-1"/>
                    </w:rPr>
                    <w:t xml:space="preserve"> </w:t>
                  </w:r>
                  <w:r>
                    <w:rPr>
                      <w:rFonts w:cs="Georgia"/>
                      <w:spacing w:val="1"/>
                    </w:rPr>
                    <w:t>r</w:t>
                  </w:r>
                  <w:r>
                    <w:rPr>
                      <w:rFonts w:cs="Georgia"/>
                      <w:spacing w:val="-1"/>
                    </w:rPr>
                    <w:t>e</w:t>
                  </w:r>
                  <w:r>
                    <w:rPr>
                      <w:rFonts w:cs="Georgia"/>
                      <w:spacing w:val="-2"/>
                    </w:rPr>
                    <w:t>c</w:t>
                  </w:r>
                  <w:r>
                    <w:rPr>
                      <w:rFonts w:cs="Georgia"/>
                      <w:spacing w:val="1"/>
                    </w:rPr>
                    <w:t>r</w:t>
                  </w:r>
                  <w:r>
                    <w:rPr>
                      <w:rFonts w:cs="Georgia"/>
                    </w:rPr>
                    <w:t>u</w:t>
                  </w:r>
                  <w:r>
                    <w:rPr>
                      <w:rFonts w:cs="Georgia"/>
                      <w:spacing w:val="1"/>
                    </w:rPr>
                    <w:t>t</w:t>
                  </w:r>
                  <w:r>
                    <w:rPr>
                      <w:rFonts w:cs="Georgia"/>
                      <w:spacing w:val="-3"/>
                    </w:rPr>
                    <w:t>e</w:t>
                  </w:r>
                  <w:r>
                    <w:rPr>
                      <w:rFonts w:cs="Georgia"/>
                    </w:rPr>
                    <w:t>m</w:t>
                  </w:r>
                  <w:r>
                    <w:rPr>
                      <w:rFonts w:cs="Georgia"/>
                      <w:spacing w:val="-1"/>
                    </w:rPr>
                    <w:t>en</w:t>
                  </w:r>
                  <w:r>
                    <w:rPr>
                      <w:rFonts w:cs="Georgia"/>
                    </w:rPr>
                    <w:t xml:space="preserve">t </w:t>
                  </w:r>
                  <w:r>
                    <w:rPr>
                      <w:rFonts w:cs="Georgia"/>
                      <w:spacing w:val="1"/>
                    </w:rPr>
                    <w:t>so</w:t>
                  </w:r>
                  <w:r>
                    <w:rPr>
                      <w:rFonts w:cs="Georgia"/>
                      <w:spacing w:val="-1"/>
                    </w:rPr>
                    <w:t>n</w:t>
                  </w:r>
                  <w:r>
                    <w:rPr>
                      <w:rFonts w:cs="Georgia"/>
                    </w:rPr>
                    <w:t xml:space="preserve">t </w:t>
                  </w:r>
                  <w:r>
                    <w:rPr>
                      <w:rFonts w:cs="Georgia"/>
                      <w:spacing w:val="-1"/>
                    </w:rPr>
                    <w:t>le</w:t>
                  </w:r>
                  <w:r>
                    <w:rPr>
                      <w:rFonts w:cs="Georgia"/>
                    </w:rPr>
                    <w:t xml:space="preserve">s </w:t>
                  </w:r>
                  <w:r>
                    <w:rPr>
                      <w:rFonts w:cs="Georgia"/>
                      <w:spacing w:val="1"/>
                    </w:rPr>
                    <w:t>s</w:t>
                  </w:r>
                  <w:r>
                    <w:rPr>
                      <w:rFonts w:cs="Georgia"/>
                      <w:spacing w:val="-2"/>
                    </w:rPr>
                    <w:t>u</w:t>
                  </w:r>
                  <w:r>
                    <w:rPr>
                      <w:rFonts w:cs="Georgia"/>
                    </w:rPr>
                    <w:t>i</w:t>
                  </w:r>
                  <w:r>
                    <w:rPr>
                      <w:rFonts w:cs="Georgia"/>
                      <w:spacing w:val="1"/>
                    </w:rPr>
                    <w:t>v</w:t>
                  </w:r>
                  <w:r>
                    <w:rPr>
                      <w:rFonts w:cs="Georgia"/>
                      <w:spacing w:val="-1"/>
                    </w:rPr>
                    <w:t>an</w:t>
                  </w:r>
                  <w:r>
                    <w:rPr>
                      <w:rFonts w:cs="Georgia"/>
                      <w:spacing w:val="1"/>
                    </w:rPr>
                    <w:t>t</w:t>
                  </w:r>
                  <w:r>
                    <w:rPr>
                      <w:rFonts w:cs="Georgia"/>
                      <w:spacing w:val="-1"/>
                    </w:rPr>
                    <w:t>e</w:t>
                  </w:r>
                  <w:r>
                    <w:rPr>
                      <w:rFonts w:cs="Georgia"/>
                    </w:rPr>
                    <w:t>s :</w:t>
                  </w:r>
                </w:p>
                <w:p>
                  <w:pPr>
                    <w:widowControl w:val="0"/>
                    <w:autoSpaceDE w:val="0"/>
                    <w:autoSpaceDN w:val="0"/>
                    <w:adjustRightInd w:val="0"/>
                    <w:ind w:right="-20"/>
                    <w:jc w:val="both"/>
                    <w:rPr>
                      <w:rFonts w:cs="Georgia"/>
                    </w:rPr>
                  </w:pPr>
                </w:p>
                <w:p>
                  <w:pPr>
                    <w:widowControl w:val="0"/>
                    <w:numPr>
                      <w:ilvl w:val="2"/>
                      <w:numId w:val="65"/>
                    </w:numPr>
                    <w:tabs>
                      <w:tab w:val="left" w:pos="1560"/>
                    </w:tabs>
                    <w:autoSpaceDE w:val="0"/>
                    <w:autoSpaceDN w:val="0"/>
                    <w:adjustRightInd w:val="0"/>
                    <w:spacing w:line="248" w:lineRule="exact"/>
                    <w:ind w:left="992" w:hanging="425"/>
                    <w:jc w:val="both"/>
                    <w:rPr>
                      <w:rFonts w:cs="Georgia"/>
                    </w:rPr>
                  </w:pPr>
                  <w:r>
                    <w:rPr>
                      <w:rFonts w:cs="Georgia"/>
                    </w:rPr>
                    <w:t>I</w:t>
                  </w:r>
                  <w:r>
                    <w:rPr>
                      <w:rFonts w:cs="Georgia"/>
                      <w:spacing w:val="-1"/>
                    </w:rPr>
                    <w:t>n</w:t>
                  </w:r>
                  <w:r>
                    <w:rPr>
                      <w:rFonts w:cs="Georgia"/>
                      <w:spacing w:val="1"/>
                    </w:rPr>
                    <w:t>st</w:t>
                  </w:r>
                  <w:r>
                    <w:rPr>
                      <w:rFonts w:cs="Georgia"/>
                    </w:rPr>
                    <w:t>i</w:t>
                  </w:r>
                  <w:r>
                    <w:rPr>
                      <w:rFonts w:cs="Georgia"/>
                      <w:spacing w:val="1"/>
                    </w:rPr>
                    <w:t>t</w:t>
                  </w:r>
                  <w:r>
                    <w:rPr>
                      <w:rFonts w:cs="Georgia"/>
                      <w:spacing w:val="-2"/>
                    </w:rPr>
                    <w:t>u</w:t>
                  </w:r>
                  <w:r>
                    <w:rPr>
                      <w:rFonts w:cs="Georgia"/>
                      <w:spacing w:val="1"/>
                    </w:rPr>
                    <w:t>t</w:t>
                  </w:r>
                  <w:r>
                    <w:rPr>
                      <w:rFonts w:cs="Georgia"/>
                      <w:spacing w:val="-1"/>
                    </w:rPr>
                    <w:t>e</w:t>
                  </w:r>
                  <w:r>
                    <w:rPr>
                      <w:rFonts w:cs="Georgia"/>
                    </w:rPr>
                    <w:t>u</w:t>
                  </w:r>
                  <w:r>
                    <w:rPr>
                      <w:rFonts w:cs="Georgia"/>
                      <w:spacing w:val="1"/>
                    </w:rPr>
                    <w:t>r</w:t>
                  </w:r>
                  <w:r>
                    <w:rPr>
                      <w:rFonts w:cs="Georgia"/>
                    </w:rPr>
                    <w:t>s</w:t>
                  </w:r>
                  <w:r>
                    <w:rPr>
                      <w:rFonts w:cs="Georgia"/>
                      <w:spacing w:val="-2"/>
                    </w:rPr>
                    <w:t xml:space="preserve"> </w:t>
                  </w:r>
                  <w:r>
                    <w:rPr>
                      <w:rFonts w:cs="Georgia"/>
                    </w:rPr>
                    <w:t>m</w:t>
                  </w:r>
                  <w:r>
                    <w:rPr>
                      <w:rFonts w:cs="Georgia"/>
                      <w:spacing w:val="-1"/>
                    </w:rPr>
                    <w:t>a</w:t>
                  </w:r>
                  <w:r>
                    <w:rPr>
                      <w:rFonts w:cs="Georgia"/>
                      <w:spacing w:val="1"/>
                    </w:rPr>
                    <w:t>t</w:t>
                  </w:r>
                  <w:r>
                    <w:rPr>
                      <w:rFonts w:cs="Georgia"/>
                      <w:spacing w:val="-1"/>
                    </w:rPr>
                    <w:t>e</w:t>
                  </w:r>
                  <w:r>
                    <w:rPr>
                      <w:rFonts w:cs="Georgia"/>
                      <w:spacing w:val="1"/>
                    </w:rPr>
                    <w:t>r</w:t>
                  </w:r>
                  <w:r>
                    <w:rPr>
                      <w:rFonts w:cs="Georgia"/>
                      <w:spacing w:val="-1"/>
                    </w:rPr>
                    <w:t>nel</w:t>
                  </w:r>
                  <w:r>
                    <w:rPr>
                      <w:rFonts w:cs="Georgia"/>
                    </w:rPr>
                    <w:t>s et ceux c</w:t>
                  </w:r>
                  <w:r>
                    <w:rPr>
                      <w:rFonts w:cs="Georgia"/>
                      <w:spacing w:val="1"/>
                    </w:rPr>
                    <w:t>h</w:t>
                  </w:r>
                  <w:r>
                    <w:rPr>
                      <w:rFonts w:cs="Georgia"/>
                      <w:spacing w:val="-1"/>
                    </w:rPr>
                    <w:t>a</w:t>
                  </w:r>
                  <w:r>
                    <w:rPr>
                      <w:rFonts w:cs="Georgia"/>
                      <w:spacing w:val="-2"/>
                    </w:rPr>
                    <w:t>r</w:t>
                  </w:r>
                  <w:r>
                    <w:rPr>
                      <w:rFonts w:cs="Georgia"/>
                    </w:rPr>
                    <w:t>g</w:t>
                  </w:r>
                  <w:r>
                    <w:rPr>
                      <w:rFonts w:cs="Georgia"/>
                      <w:spacing w:val="-1"/>
                    </w:rPr>
                    <w:t>é</w:t>
                  </w:r>
                  <w:r>
                    <w:rPr>
                      <w:rFonts w:cs="Georgia"/>
                    </w:rPr>
                    <w:t>s d</w:t>
                  </w:r>
                  <w:r>
                    <w:rPr>
                      <w:rFonts w:cs="Georgia"/>
                      <w:spacing w:val="-1"/>
                    </w:rPr>
                    <w:t>e</w:t>
                  </w:r>
                  <w:r>
                    <w:rPr>
                      <w:rFonts w:cs="Georgia"/>
                    </w:rPr>
                    <w:t xml:space="preserve">s </w:t>
                  </w:r>
                  <w:r>
                    <w:rPr>
                      <w:rFonts w:cs="Georgia"/>
                      <w:spacing w:val="-2"/>
                    </w:rPr>
                    <w:t>c</w:t>
                  </w:r>
                  <w:r>
                    <w:rPr>
                      <w:rFonts w:cs="Georgia"/>
                      <w:spacing w:val="1"/>
                    </w:rPr>
                    <w:t>o</w:t>
                  </w:r>
                  <w:r>
                    <w:rPr>
                      <w:rFonts w:cs="Georgia"/>
                    </w:rPr>
                    <w:t>u</w:t>
                  </w:r>
                  <w:r>
                    <w:rPr>
                      <w:rFonts w:cs="Georgia"/>
                      <w:spacing w:val="-2"/>
                    </w:rPr>
                    <w:t>r</w:t>
                  </w:r>
                  <w:r>
                    <w:rPr>
                      <w:rFonts w:cs="Georgia"/>
                    </w:rPr>
                    <w:t xml:space="preserve">s </w:t>
                  </w:r>
                  <w:r>
                    <w:rPr>
                      <w:rFonts w:cs="Georgia"/>
                      <w:spacing w:val="-1"/>
                    </w:rPr>
                    <w:t>e</w:t>
                  </w:r>
                  <w:r>
                    <w:rPr>
                      <w:rFonts w:cs="Georgia"/>
                    </w:rPr>
                    <w:t>n imm</w:t>
                  </w:r>
                  <w:r>
                    <w:rPr>
                      <w:rFonts w:cs="Georgia"/>
                      <w:spacing w:val="-1"/>
                    </w:rPr>
                    <w:t>e</w:t>
                  </w:r>
                  <w:r>
                    <w:rPr>
                      <w:rFonts w:cs="Georgia"/>
                      <w:spacing w:val="-2"/>
                    </w:rPr>
                    <w:t>r</w:t>
                  </w:r>
                  <w:r>
                    <w:rPr>
                      <w:rFonts w:cs="Georgia"/>
                      <w:spacing w:val="1"/>
                    </w:rPr>
                    <w:t>s</w:t>
                  </w:r>
                  <w:r>
                    <w:rPr>
                      <w:rFonts w:cs="Georgia"/>
                    </w:rPr>
                    <w:t>i</w:t>
                  </w:r>
                  <w:r>
                    <w:rPr>
                      <w:rFonts w:cs="Georgia"/>
                      <w:spacing w:val="-1"/>
                    </w:rPr>
                    <w:t>o</w:t>
                  </w:r>
                  <w:r>
                    <w:rPr>
                      <w:rFonts w:cs="Georgia"/>
                    </w:rPr>
                    <w:t>n</w:t>
                  </w:r>
                </w:p>
                <w:p>
                  <w:pPr>
                    <w:widowControl w:val="0"/>
                    <w:numPr>
                      <w:ilvl w:val="2"/>
                      <w:numId w:val="65"/>
                    </w:numPr>
                    <w:autoSpaceDE w:val="0"/>
                    <w:autoSpaceDN w:val="0"/>
                    <w:adjustRightInd w:val="0"/>
                    <w:ind w:left="992" w:hanging="425"/>
                    <w:jc w:val="both"/>
                    <w:rPr>
                      <w:rFonts w:cs="Georgia"/>
                    </w:rPr>
                  </w:pPr>
                  <w:r>
                    <w:rPr>
                      <w:rFonts w:cs="Georgia"/>
                    </w:rPr>
                    <w:t>i</w:t>
                  </w:r>
                  <w:r>
                    <w:rPr>
                      <w:rFonts w:cs="Georgia"/>
                      <w:spacing w:val="-1"/>
                    </w:rPr>
                    <w:t>n</w:t>
                  </w:r>
                  <w:r>
                    <w:rPr>
                      <w:rFonts w:cs="Georgia"/>
                      <w:spacing w:val="1"/>
                    </w:rPr>
                    <w:t>st</w:t>
                  </w:r>
                  <w:r>
                    <w:rPr>
                      <w:rFonts w:cs="Georgia"/>
                    </w:rPr>
                    <w:t>i</w:t>
                  </w:r>
                  <w:r>
                    <w:rPr>
                      <w:rFonts w:cs="Georgia"/>
                      <w:spacing w:val="1"/>
                    </w:rPr>
                    <w:t>t</w:t>
                  </w:r>
                  <w:r>
                    <w:rPr>
                      <w:rFonts w:cs="Georgia"/>
                      <w:spacing w:val="-2"/>
                    </w:rPr>
                    <w:t>u</w:t>
                  </w:r>
                  <w:r>
                    <w:rPr>
                      <w:rFonts w:cs="Georgia"/>
                      <w:spacing w:val="1"/>
                    </w:rPr>
                    <w:t>t</w:t>
                  </w:r>
                  <w:r>
                    <w:rPr>
                      <w:rFonts w:cs="Georgia"/>
                      <w:spacing w:val="-1"/>
                    </w:rPr>
                    <w:t>e</w:t>
                  </w:r>
                  <w:r>
                    <w:rPr>
                      <w:rFonts w:cs="Georgia"/>
                    </w:rPr>
                    <w:t>u</w:t>
                  </w:r>
                  <w:r>
                    <w:rPr>
                      <w:rFonts w:cs="Georgia"/>
                      <w:spacing w:val="1"/>
                    </w:rPr>
                    <w:t>r</w:t>
                  </w:r>
                  <w:r>
                    <w:rPr>
                      <w:rFonts w:cs="Georgia"/>
                    </w:rPr>
                    <w:t>s</w:t>
                  </w:r>
                  <w:r>
                    <w:rPr>
                      <w:rFonts w:cs="Georgia"/>
                      <w:spacing w:val="-2"/>
                    </w:rPr>
                    <w:t xml:space="preserve"> </w:t>
                  </w:r>
                  <w:r>
                    <w:rPr>
                      <w:rFonts w:cs="Georgia"/>
                      <w:spacing w:val="1"/>
                    </w:rPr>
                    <w:t>pr</w:t>
                  </w:r>
                  <w:r>
                    <w:rPr>
                      <w:rFonts w:cs="Georgia"/>
                    </w:rPr>
                    <w:t>im</w:t>
                  </w:r>
                  <w:r>
                    <w:rPr>
                      <w:rFonts w:cs="Georgia"/>
                      <w:spacing w:val="-1"/>
                    </w:rPr>
                    <w:t>a</w:t>
                  </w:r>
                  <w:r>
                    <w:rPr>
                      <w:rFonts w:cs="Georgia"/>
                      <w:spacing w:val="-2"/>
                    </w:rPr>
                    <w:t>i</w:t>
                  </w:r>
                  <w:r>
                    <w:rPr>
                      <w:rFonts w:cs="Georgia"/>
                      <w:spacing w:val="1"/>
                    </w:rPr>
                    <w:t>r</w:t>
                  </w:r>
                  <w:r>
                    <w:rPr>
                      <w:rFonts w:cs="Georgia"/>
                      <w:spacing w:val="-1"/>
                    </w:rPr>
                    <w:t>e</w:t>
                  </w:r>
                  <w:r>
                    <w:rPr>
                      <w:rFonts w:cs="Georgia"/>
                    </w:rPr>
                    <w:t xml:space="preserve">s et ceux </w:t>
                  </w:r>
                  <w:r>
                    <w:rPr>
                      <w:rFonts w:cs="Georgia"/>
                      <w:spacing w:val="-2"/>
                    </w:rPr>
                    <w:t>c</w:t>
                  </w:r>
                  <w:r>
                    <w:rPr>
                      <w:rFonts w:cs="Georgia"/>
                      <w:spacing w:val="1"/>
                    </w:rPr>
                    <w:t>h</w:t>
                  </w:r>
                  <w:r>
                    <w:rPr>
                      <w:rFonts w:cs="Georgia"/>
                      <w:spacing w:val="-1"/>
                    </w:rPr>
                    <w:t>a</w:t>
                  </w:r>
                  <w:r>
                    <w:rPr>
                      <w:rFonts w:cs="Georgia"/>
                      <w:spacing w:val="-2"/>
                    </w:rPr>
                    <w:t>r</w:t>
                  </w:r>
                  <w:r>
                    <w:rPr>
                      <w:rFonts w:cs="Georgia"/>
                    </w:rPr>
                    <w:t>g</w:t>
                  </w:r>
                  <w:r>
                    <w:rPr>
                      <w:rFonts w:cs="Georgia"/>
                      <w:spacing w:val="-1"/>
                    </w:rPr>
                    <w:t>é</w:t>
                  </w:r>
                  <w:r>
                    <w:rPr>
                      <w:rFonts w:cs="Georgia"/>
                    </w:rPr>
                    <w:t xml:space="preserve">s </w:t>
                  </w:r>
                  <w:r>
                    <w:rPr>
                      <w:rFonts w:cs="Georgia"/>
                      <w:spacing w:val="-2"/>
                    </w:rPr>
                    <w:t>d</w:t>
                  </w:r>
                  <w:r>
                    <w:rPr>
                      <w:rFonts w:cs="Georgia"/>
                      <w:spacing w:val="-1"/>
                    </w:rPr>
                    <w:t>e</w:t>
                  </w:r>
                  <w:r>
                    <w:rPr>
                      <w:rFonts w:cs="Georgia"/>
                    </w:rPr>
                    <w:t xml:space="preserve">s </w:t>
                  </w:r>
                  <w:r>
                    <w:rPr>
                      <w:rFonts w:cs="Georgia"/>
                      <w:spacing w:val="1"/>
                    </w:rPr>
                    <w:t>c</w:t>
                  </w:r>
                  <w:r>
                    <w:rPr>
                      <w:rFonts w:cs="Georgia"/>
                      <w:spacing w:val="-1"/>
                    </w:rPr>
                    <w:t>o</w:t>
                  </w:r>
                  <w:r>
                    <w:rPr>
                      <w:rFonts w:cs="Georgia"/>
                    </w:rPr>
                    <w:t>u</w:t>
                  </w:r>
                  <w:r>
                    <w:rPr>
                      <w:rFonts w:cs="Georgia"/>
                      <w:spacing w:val="1"/>
                    </w:rPr>
                    <w:t>r</w:t>
                  </w:r>
                  <w:r>
                    <w:rPr>
                      <w:rFonts w:cs="Georgia"/>
                    </w:rPr>
                    <w:t xml:space="preserve">s </w:t>
                  </w:r>
                  <w:r>
                    <w:rPr>
                      <w:rFonts w:cs="Georgia"/>
                      <w:spacing w:val="-1"/>
                    </w:rPr>
                    <w:t>e</w:t>
                  </w:r>
                  <w:r>
                    <w:rPr>
                      <w:rFonts w:cs="Georgia"/>
                    </w:rPr>
                    <w:t>n imm</w:t>
                  </w:r>
                  <w:r>
                    <w:rPr>
                      <w:rFonts w:cs="Georgia"/>
                      <w:spacing w:val="-1"/>
                    </w:rPr>
                    <w:t>e</w:t>
                  </w:r>
                  <w:r>
                    <w:rPr>
                      <w:rFonts w:cs="Georgia"/>
                      <w:spacing w:val="-2"/>
                    </w:rPr>
                    <w:t>r</w:t>
                  </w:r>
                  <w:r>
                    <w:rPr>
                      <w:rFonts w:cs="Georgia"/>
                      <w:spacing w:val="1"/>
                    </w:rPr>
                    <w:t>s</w:t>
                  </w:r>
                  <w:r>
                    <w:rPr>
                      <w:rFonts w:cs="Georgia"/>
                    </w:rPr>
                    <w:t>i</w:t>
                  </w:r>
                  <w:r>
                    <w:rPr>
                      <w:rFonts w:cs="Georgia"/>
                      <w:spacing w:val="-1"/>
                    </w:rPr>
                    <w:t>o</w:t>
                  </w:r>
                  <w:r>
                    <w:rPr>
                      <w:rFonts w:cs="Georgia"/>
                    </w:rPr>
                    <w:t xml:space="preserve">n </w:t>
                  </w:r>
                </w:p>
                <w:p>
                  <w:pPr>
                    <w:widowControl w:val="0"/>
                    <w:numPr>
                      <w:ilvl w:val="2"/>
                      <w:numId w:val="65"/>
                    </w:numPr>
                    <w:autoSpaceDE w:val="0"/>
                    <w:autoSpaceDN w:val="0"/>
                    <w:adjustRightInd w:val="0"/>
                    <w:ind w:left="992" w:hanging="425"/>
                    <w:jc w:val="both"/>
                    <w:rPr>
                      <w:rFonts w:cs="Georgia"/>
                    </w:rPr>
                  </w:pP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1"/>
                    </w:rPr>
                    <w:t xml:space="preserve"> </w:t>
                  </w:r>
                  <w:r>
                    <w:rPr>
                      <w:rFonts w:cs="Georgia"/>
                      <w:spacing w:val="-2"/>
                    </w:rPr>
                    <w:t>c</w:t>
                  </w:r>
                  <w:r>
                    <w:rPr>
                      <w:rFonts w:cs="Georgia"/>
                      <w:spacing w:val="1"/>
                    </w:rPr>
                    <w:t>o</w:t>
                  </w:r>
                  <w:r>
                    <w:rPr>
                      <w:rFonts w:cs="Georgia"/>
                      <w:spacing w:val="-2"/>
                    </w:rPr>
                    <w:t>u</w:t>
                  </w:r>
                  <w:r>
                    <w:rPr>
                      <w:rFonts w:cs="Georgia"/>
                      <w:spacing w:val="1"/>
                    </w:rPr>
                    <w:t>r</w:t>
                  </w:r>
                  <w:r>
                    <w:rPr>
                      <w:rFonts w:cs="Georgia"/>
                    </w:rPr>
                    <w:t xml:space="preserve">s </w:t>
                  </w:r>
                  <w:r>
                    <w:rPr>
                      <w:rFonts w:cs="Georgia"/>
                      <w:spacing w:val="-1"/>
                    </w:rPr>
                    <w:t>p</w:t>
                  </w:r>
                  <w:r>
                    <w:rPr>
                      <w:rFonts w:cs="Georgia"/>
                      <w:spacing w:val="1"/>
                    </w:rPr>
                    <w:t>h</w:t>
                  </w:r>
                  <w:r>
                    <w:rPr>
                      <w:rFonts w:cs="Georgia"/>
                    </w:rPr>
                    <w:t>i</w:t>
                  </w:r>
                  <w:r>
                    <w:rPr>
                      <w:rFonts w:cs="Georgia"/>
                      <w:spacing w:val="-3"/>
                    </w:rPr>
                    <w:t>l</w:t>
                  </w:r>
                  <w:r>
                    <w:rPr>
                      <w:rFonts w:cs="Georgia"/>
                      <w:spacing w:val="1"/>
                    </w:rPr>
                    <w:t>o</w:t>
                  </w:r>
                  <w:r>
                    <w:rPr>
                      <w:rFonts w:cs="Georgia"/>
                      <w:spacing w:val="-2"/>
                    </w:rPr>
                    <w:t>s</w:t>
                  </w:r>
                  <w:r>
                    <w:rPr>
                      <w:rFonts w:cs="Georgia"/>
                      <w:spacing w:val="-1"/>
                    </w:rPr>
                    <w:t>o</w:t>
                  </w:r>
                  <w:r>
                    <w:rPr>
                      <w:rFonts w:cs="Georgia"/>
                      <w:spacing w:val="1"/>
                    </w:rPr>
                    <w:t>ph</w:t>
                  </w:r>
                  <w:r>
                    <w:rPr>
                      <w:rFonts w:cs="Georgia"/>
                    </w:rPr>
                    <w:t>i</w:t>
                  </w:r>
                  <w:r>
                    <w:rPr>
                      <w:rFonts w:cs="Georgia"/>
                      <w:spacing w:val="-1"/>
                    </w:rPr>
                    <w:t>q</w:t>
                  </w:r>
                  <w:r>
                    <w:rPr>
                      <w:rFonts w:cs="Georgia"/>
                    </w:rPr>
                    <w:t>u</w:t>
                  </w:r>
                  <w:r>
                    <w:rPr>
                      <w:rFonts w:cs="Georgia"/>
                      <w:spacing w:val="-1"/>
                    </w:rPr>
                    <w:t>e</w:t>
                  </w:r>
                  <w:r>
                    <w:rPr>
                      <w:rFonts w:cs="Georgia"/>
                    </w:rPr>
                    <w:t>s</w:t>
                  </w:r>
                  <w:r>
                    <w:rPr>
                      <w:rFonts w:cs="Georgia"/>
                      <w:spacing w:val="-2"/>
                    </w:rPr>
                    <w:t xml:space="preserve"> </w:t>
                  </w:r>
                  <w:r>
                    <w:rPr>
                      <w:rFonts w:cs="Georgia"/>
                    </w:rPr>
                    <w:t>;</w:t>
                  </w:r>
                </w:p>
                <w:p>
                  <w:pPr>
                    <w:widowControl w:val="0"/>
                    <w:numPr>
                      <w:ilvl w:val="2"/>
                      <w:numId w:val="65"/>
                    </w:numPr>
                    <w:autoSpaceDE w:val="0"/>
                    <w:autoSpaceDN w:val="0"/>
                    <w:adjustRightInd w:val="0"/>
                    <w:ind w:left="992" w:hanging="425"/>
                    <w:jc w:val="both"/>
                    <w:rPr>
                      <w:rFonts w:cs="Georgia"/>
                    </w:rPr>
                  </w:pP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1"/>
                    </w:rPr>
                    <w:t xml:space="preserve"> </w:t>
                  </w:r>
                  <w:r>
                    <w:rPr>
                      <w:rFonts w:cs="Georgia"/>
                      <w:spacing w:val="-2"/>
                    </w:rPr>
                    <w:t>seconde langue</w:t>
                  </w:r>
                  <w:r>
                    <w:rPr>
                      <w:rFonts w:cs="Georgia"/>
                      <w:spacing w:val="-1"/>
                    </w:rPr>
                    <w:t> </w:t>
                  </w:r>
                  <w:r>
                    <w:rPr>
                      <w:rFonts w:cs="Georgia"/>
                    </w:rPr>
                    <w:t>: néerlandais</w:t>
                  </w:r>
                </w:p>
                <w:p>
                  <w:pPr>
                    <w:widowControl w:val="0"/>
                    <w:numPr>
                      <w:ilvl w:val="2"/>
                      <w:numId w:val="65"/>
                    </w:numPr>
                    <w:autoSpaceDE w:val="0"/>
                    <w:autoSpaceDN w:val="0"/>
                    <w:adjustRightInd w:val="0"/>
                    <w:ind w:left="992" w:hanging="425"/>
                    <w:jc w:val="both"/>
                    <w:rPr>
                      <w:rFonts w:cs="Georgia"/>
                    </w:rPr>
                  </w:pP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1"/>
                    </w:rPr>
                    <w:t xml:space="preserve"> </w:t>
                  </w:r>
                  <w:r>
                    <w:rPr>
                      <w:rFonts w:cs="Georgia"/>
                      <w:spacing w:val="-2"/>
                    </w:rPr>
                    <w:t>seconde langue</w:t>
                  </w:r>
                  <w:r>
                    <w:rPr>
                      <w:rFonts w:cs="Georgia"/>
                      <w:spacing w:val="-1"/>
                    </w:rPr>
                    <w:t> </w:t>
                  </w:r>
                  <w:r>
                    <w:rPr>
                      <w:rFonts w:cs="Georgia"/>
                    </w:rPr>
                    <w:t>: anglais</w:t>
                  </w:r>
                </w:p>
                <w:p>
                  <w:pPr>
                    <w:widowControl w:val="0"/>
                    <w:numPr>
                      <w:ilvl w:val="2"/>
                      <w:numId w:val="65"/>
                    </w:numPr>
                    <w:autoSpaceDE w:val="0"/>
                    <w:autoSpaceDN w:val="0"/>
                    <w:adjustRightInd w:val="0"/>
                    <w:ind w:left="992" w:hanging="425"/>
                    <w:jc w:val="both"/>
                    <w:rPr>
                      <w:rFonts w:cs="Georgia"/>
                    </w:rPr>
                  </w:pP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1"/>
                    </w:rPr>
                    <w:t xml:space="preserve"> </w:t>
                  </w:r>
                  <w:r>
                    <w:rPr>
                      <w:rFonts w:cs="Georgia"/>
                      <w:spacing w:val="-2"/>
                    </w:rPr>
                    <w:t>seconde langue</w:t>
                  </w:r>
                  <w:r>
                    <w:rPr>
                      <w:rFonts w:cs="Georgia"/>
                      <w:spacing w:val="-1"/>
                    </w:rPr>
                    <w:t> </w:t>
                  </w:r>
                  <w:r>
                    <w:rPr>
                      <w:rFonts w:cs="Georgia"/>
                    </w:rPr>
                    <w:t>: allemand</w:t>
                  </w:r>
                </w:p>
                <w:p>
                  <w:pPr>
                    <w:widowControl w:val="0"/>
                    <w:numPr>
                      <w:ilvl w:val="2"/>
                      <w:numId w:val="65"/>
                    </w:numPr>
                    <w:autoSpaceDE w:val="0"/>
                    <w:autoSpaceDN w:val="0"/>
                    <w:adjustRightInd w:val="0"/>
                    <w:ind w:left="992" w:hanging="425"/>
                    <w:jc w:val="both"/>
                    <w:rPr>
                      <w:rFonts w:cs="Georgia"/>
                    </w:rPr>
                  </w:pP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w:t>
                  </w:r>
                  <w:r>
                    <w:rPr>
                      <w:rFonts w:cs="Georgia"/>
                      <w:spacing w:val="-1"/>
                    </w:rPr>
                    <w:t>é</w:t>
                  </w:r>
                  <w:r>
                    <w:rPr>
                      <w:rFonts w:cs="Georgia"/>
                    </w:rPr>
                    <w:t>duc</w:t>
                  </w:r>
                  <w:r>
                    <w:rPr>
                      <w:rFonts w:cs="Georgia"/>
                      <w:spacing w:val="-1"/>
                    </w:rPr>
                    <w:t>a</w:t>
                  </w:r>
                  <w:r>
                    <w:rPr>
                      <w:rFonts w:cs="Georgia"/>
                      <w:spacing w:val="1"/>
                    </w:rPr>
                    <w:t>t</w:t>
                  </w:r>
                  <w:r>
                    <w:rPr>
                      <w:rFonts w:cs="Georgia"/>
                      <w:spacing w:val="-2"/>
                    </w:rPr>
                    <w:t>i</w:t>
                  </w:r>
                  <w:r>
                    <w:rPr>
                      <w:rFonts w:cs="Georgia"/>
                      <w:spacing w:val="1"/>
                    </w:rPr>
                    <w:t>o</w:t>
                  </w:r>
                  <w:r>
                    <w:rPr>
                      <w:rFonts w:cs="Georgia"/>
                    </w:rPr>
                    <w:t>n</w:t>
                  </w:r>
                  <w:r>
                    <w:rPr>
                      <w:rFonts w:cs="Georgia"/>
                      <w:spacing w:val="-1"/>
                    </w:rPr>
                    <w:t xml:space="preserve"> p</w:t>
                  </w:r>
                  <w:r>
                    <w:rPr>
                      <w:rFonts w:cs="Georgia"/>
                      <w:spacing w:val="1"/>
                    </w:rPr>
                    <w:t>h</w:t>
                  </w:r>
                  <w:r>
                    <w:rPr>
                      <w:rFonts w:cs="Georgia"/>
                      <w:spacing w:val="-1"/>
                    </w:rPr>
                    <w:t>y</w:t>
                  </w:r>
                  <w:r>
                    <w:rPr>
                      <w:rFonts w:cs="Georgia"/>
                      <w:spacing w:val="1"/>
                    </w:rPr>
                    <w:t>s</w:t>
                  </w:r>
                  <w:r>
                    <w:rPr>
                      <w:rFonts w:cs="Georgia"/>
                    </w:rPr>
                    <w:t>i</w:t>
                  </w:r>
                  <w:r>
                    <w:rPr>
                      <w:rFonts w:cs="Georgia"/>
                      <w:spacing w:val="-1"/>
                    </w:rPr>
                    <w:t>q</w:t>
                  </w:r>
                  <w:r>
                    <w:rPr>
                      <w:rFonts w:cs="Georgia"/>
                    </w:rPr>
                    <w:t>ue</w:t>
                  </w:r>
                  <w:r>
                    <w:rPr>
                      <w:rFonts w:cs="Georgia"/>
                      <w:spacing w:val="-1"/>
                    </w:rPr>
                    <w:t xml:space="preserve"> </w:t>
                  </w:r>
                  <w:r>
                    <w:rPr>
                      <w:rFonts w:cs="Georgia"/>
                    </w:rPr>
                    <w:t>;</w:t>
                  </w:r>
                </w:p>
                <w:p>
                  <w:pPr>
                    <w:widowControl w:val="0"/>
                    <w:numPr>
                      <w:ilvl w:val="2"/>
                      <w:numId w:val="65"/>
                    </w:numPr>
                    <w:autoSpaceDE w:val="0"/>
                    <w:autoSpaceDN w:val="0"/>
                    <w:adjustRightInd w:val="0"/>
                    <w:ind w:left="992" w:hanging="425"/>
                    <w:jc w:val="both"/>
                    <w:rPr>
                      <w:rFonts w:cs="Georgia"/>
                    </w:rPr>
                  </w:pP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1"/>
                    </w:rPr>
                    <w:t xml:space="preserve"> </w:t>
                  </w:r>
                  <w:r>
                    <w:rPr>
                      <w:rFonts w:cs="Georgia"/>
                      <w:spacing w:val="1"/>
                    </w:rPr>
                    <w:t>tr</w:t>
                  </w:r>
                  <w:r>
                    <w:rPr>
                      <w:rFonts w:cs="Georgia"/>
                      <w:spacing w:val="-1"/>
                    </w:rPr>
                    <w:t>a</w:t>
                  </w:r>
                  <w:r>
                    <w:rPr>
                      <w:rFonts w:cs="Georgia"/>
                      <w:spacing w:val="1"/>
                    </w:rPr>
                    <w:t>v</w:t>
                  </w:r>
                  <w:r>
                    <w:rPr>
                      <w:rFonts w:cs="Georgia"/>
                      <w:spacing w:val="-1"/>
                    </w:rPr>
                    <w:t>a</w:t>
                  </w:r>
                  <w:r>
                    <w:rPr>
                      <w:rFonts w:cs="Georgia"/>
                    </w:rPr>
                    <w:t>ux</w:t>
                  </w:r>
                  <w:r>
                    <w:rPr>
                      <w:rFonts w:cs="Georgia"/>
                      <w:spacing w:val="-1"/>
                    </w:rPr>
                    <w:t xml:space="preserve"> </w:t>
                  </w:r>
                  <w:r>
                    <w:rPr>
                      <w:rFonts w:cs="Georgia"/>
                    </w:rPr>
                    <w:t>m</w:t>
                  </w:r>
                  <w:r>
                    <w:rPr>
                      <w:rFonts w:cs="Georgia"/>
                      <w:spacing w:val="-1"/>
                    </w:rPr>
                    <w:t>an</w:t>
                  </w:r>
                  <w:r>
                    <w:rPr>
                      <w:rFonts w:cs="Georgia"/>
                    </w:rPr>
                    <w:t>u</w:t>
                  </w:r>
                  <w:r>
                    <w:rPr>
                      <w:rFonts w:cs="Georgia"/>
                      <w:spacing w:val="-1"/>
                    </w:rPr>
                    <w:t>el</w:t>
                  </w:r>
                  <w:r>
                    <w:rPr>
                      <w:rFonts w:cs="Georgia"/>
                    </w:rPr>
                    <w:t>s ;</w:t>
                  </w:r>
                </w:p>
                <w:p>
                  <w:pPr>
                    <w:widowControl w:val="0"/>
                    <w:numPr>
                      <w:ilvl w:val="2"/>
                      <w:numId w:val="65"/>
                    </w:numPr>
                    <w:autoSpaceDE w:val="0"/>
                    <w:autoSpaceDN w:val="0"/>
                    <w:adjustRightInd w:val="0"/>
                    <w:ind w:left="992" w:hanging="425"/>
                    <w:jc w:val="both"/>
                    <w:rPr>
                      <w:rFonts w:cs="Georgia"/>
                    </w:rPr>
                  </w:pP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 xml:space="preserve">s </w:t>
                  </w:r>
                  <w:r>
                    <w:rPr>
                      <w:rFonts w:cs="Georgia"/>
                      <w:spacing w:val="-2"/>
                    </w:rPr>
                    <w:t>d’éducation</w:t>
                  </w:r>
                  <w:r>
                    <w:rPr>
                      <w:rFonts w:cs="Georgia"/>
                      <w:spacing w:val="-1"/>
                    </w:rPr>
                    <w:t xml:space="preserve"> </w:t>
                  </w:r>
                  <w:r>
                    <w:rPr>
                      <w:rFonts w:cs="Georgia"/>
                    </w:rPr>
                    <w:t>mu</w:t>
                  </w:r>
                  <w:r>
                    <w:rPr>
                      <w:rFonts w:cs="Georgia"/>
                      <w:spacing w:val="1"/>
                    </w:rPr>
                    <w:t>s</w:t>
                  </w:r>
                  <w:r>
                    <w:rPr>
                      <w:rFonts w:cs="Georgia"/>
                      <w:spacing w:val="-2"/>
                    </w:rPr>
                    <w:t>i</w:t>
                  </w:r>
                  <w:r>
                    <w:rPr>
                      <w:rFonts w:cs="Georgia"/>
                      <w:spacing w:val="1"/>
                    </w:rPr>
                    <w:t>c</w:t>
                  </w:r>
                  <w:r>
                    <w:rPr>
                      <w:rFonts w:cs="Georgia"/>
                      <w:spacing w:val="-1"/>
                    </w:rPr>
                    <w:t>al</w:t>
                  </w:r>
                  <w:r>
                    <w:rPr>
                      <w:rFonts w:cs="Georgia"/>
                      <w:spacing w:val="9"/>
                    </w:rPr>
                    <w:t xml:space="preserve">e </w:t>
                  </w:r>
                  <w:r>
                    <w:rPr>
                      <w:rStyle w:val="Appelnotedebasdep"/>
                      <w:rFonts w:cs="Georgia"/>
                      <w:spacing w:val="9"/>
                    </w:rPr>
                    <w:footnoteReference w:id="106"/>
                  </w:r>
                  <w:r>
                    <w:rPr>
                      <w:rFonts w:cs="Georgia"/>
                      <w:spacing w:val="18"/>
                      <w:position w:val="6"/>
                    </w:rPr>
                    <w:t xml:space="preserve"> </w:t>
                  </w:r>
                  <w:r>
                    <w:rPr>
                      <w:rFonts w:cs="Georgia"/>
                      <w:i/>
                      <w:iCs/>
                      <w:spacing w:val="1"/>
                    </w:rPr>
                    <w:t>(</w:t>
                  </w:r>
                  <w:r>
                    <w:rPr>
                      <w:rFonts w:cs="Georgia"/>
                      <w:i/>
                      <w:iCs/>
                    </w:rPr>
                    <w:t>p</w:t>
                  </w:r>
                  <w:r>
                    <w:rPr>
                      <w:rFonts w:cs="Georgia"/>
                      <w:i/>
                      <w:iCs/>
                      <w:spacing w:val="-1"/>
                    </w:rPr>
                    <w:t>o</w:t>
                  </w:r>
                  <w:r>
                    <w:rPr>
                      <w:rFonts w:cs="Georgia"/>
                      <w:i/>
                      <w:iCs/>
                    </w:rPr>
                    <w:t>ur</w:t>
                  </w:r>
                  <w:r>
                    <w:rPr>
                      <w:rFonts w:cs="Georgia"/>
                      <w:i/>
                      <w:iCs/>
                      <w:spacing w:val="-1"/>
                    </w:rPr>
                    <w:t xml:space="preserve"> l</w:t>
                  </w:r>
                  <w:r>
                    <w:rPr>
                      <w:rFonts w:cs="Georgia"/>
                      <w:i/>
                      <w:iCs/>
                    </w:rPr>
                    <w:t>e</w:t>
                  </w:r>
                  <w:r>
                    <w:rPr>
                      <w:rFonts w:cs="Georgia"/>
                      <w:i/>
                      <w:iCs/>
                      <w:spacing w:val="-1"/>
                    </w:rPr>
                    <w:t xml:space="preserve"> </w:t>
                  </w:r>
                  <w:r>
                    <w:rPr>
                      <w:rFonts w:cs="Georgia"/>
                      <w:i/>
                      <w:iCs/>
                      <w:spacing w:val="1"/>
                    </w:rPr>
                    <w:t>s</w:t>
                  </w:r>
                  <w:r>
                    <w:rPr>
                      <w:rFonts w:cs="Georgia"/>
                      <w:i/>
                      <w:iCs/>
                    </w:rPr>
                    <w:t>ub</w:t>
                  </w:r>
                  <w:r>
                    <w:rPr>
                      <w:rFonts w:cs="Georgia"/>
                      <w:i/>
                      <w:iCs/>
                      <w:spacing w:val="1"/>
                    </w:rPr>
                    <w:t>v</w:t>
                  </w:r>
                  <w:r>
                    <w:rPr>
                      <w:rFonts w:cs="Georgia"/>
                      <w:i/>
                      <w:iCs/>
                      <w:spacing w:val="-1"/>
                    </w:rPr>
                    <w:t>en</w:t>
                  </w:r>
                  <w:r>
                    <w:rPr>
                      <w:rFonts w:cs="Georgia"/>
                      <w:i/>
                      <w:iCs/>
                    </w:rPr>
                    <w:t>t</w:t>
                  </w:r>
                  <w:r>
                    <w:rPr>
                      <w:rFonts w:cs="Georgia"/>
                      <w:i/>
                      <w:iCs/>
                      <w:spacing w:val="-1"/>
                    </w:rPr>
                    <w:t>ionné</w:t>
                  </w:r>
                  <w:r>
                    <w:rPr>
                      <w:rFonts w:cs="Georgia"/>
                      <w:i/>
                      <w:iCs/>
                      <w:spacing w:val="1"/>
                    </w:rPr>
                    <w:t>)</w:t>
                  </w:r>
                </w:p>
                <w:p>
                  <w:pPr>
                    <w:widowControl w:val="0"/>
                    <w:numPr>
                      <w:ilvl w:val="2"/>
                      <w:numId w:val="65"/>
                    </w:numPr>
                    <w:autoSpaceDE w:val="0"/>
                    <w:autoSpaceDN w:val="0"/>
                    <w:adjustRightInd w:val="0"/>
                    <w:ind w:left="992" w:hanging="425"/>
                    <w:jc w:val="both"/>
                    <w:rPr>
                      <w:rFonts w:cs="Georgia"/>
                    </w:rPr>
                  </w:pPr>
                  <w:r>
                    <w:rPr>
                      <w:rFonts w:cs="Georgia"/>
                      <w:iCs/>
                    </w:rPr>
                    <w:t>maîtres de philosophie et de citoyenneté (PC)</w:t>
                  </w:r>
                </w:p>
                <w:p>
                  <w:pPr>
                    <w:widowControl w:val="0"/>
                    <w:numPr>
                      <w:ilvl w:val="2"/>
                      <w:numId w:val="65"/>
                    </w:numPr>
                    <w:pBdr>
                      <w:right w:val="single" w:sz="4" w:space="4" w:color="auto"/>
                    </w:pBdr>
                    <w:autoSpaceDE w:val="0"/>
                    <w:autoSpaceDN w:val="0"/>
                    <w:adjustRightInd w:val="0"/>
                    <w:ind w:left="992" w:hanging="425"/>
                    <w:jc w:val="both"/>
                    <w:rPr>
                      <w:rFonts w:cs="Georgia"/>
                    </w:rPr>
                  </w:pPr>
                  <w:r>
                    <w:rPr>
                      <w:rFonts w:cs="Georgia"/>
                    </w:rPr>
                    <w:t>maîtres de psychomotricité</w:t>
                  </w:r>
                </w:p>
                <w:p>
                  <w:pPr>
                    <w:widowControl w:val="0"/>
                    <w:autoSpaceDE w:val="0"/>
                    <w:autoSpaceDN w:val="0"/>
                    <w:adjustRightInd w:val="0"/>
                    <w:spacing w:before="2"/>
                    <w:ind w:right="-20"/>
                    <w:jc w:val="both"/>
                    <w:rPr>
                      <w:rFonts w:cs="Georgia"/>
                      <w:color w:val="000000"/>
                    </w:rPr>
                  </w:pPr>
                </w:p>
                <w:p>
                  <w:pPr>
                    <w:widowControl w:val="0"/>
                    <w:autoSpaceDE w:val="0"/>
                    <w:autoSpaceDN w:val="0"/>
                    <w:adjustRightInd w:val="0"/>
                    <w:spacing w:line="250" w:lineRule="exact"/>
                    <w:ind w:right="47"/>
                    <w:jc w:val="both"/>
                    <w:rPr>
                      <w:rFonts w:cs="Georgia"/>
                      <w:color w:val="000000"/>
                    </w:rPr>
                  </w:pPr>
                  <w:r>
                    <w:rPr>
                      <w:rFonts w:cs="Georgia"/>
                      <w:color w:val="000000"/>
                    </w:rPr>
                    <w:t>C</w:t>
                  </w:r>
                  <w:r>
                    <w:rPr>
                      <w:rFonts w:cs="Georgia"/>
                      <w:color w:val="000000"/>
                      <w:spacing w:val="1"/>
                    </w:rPr>
                    <w:t>h</w:t>
                  </w:r>
                  <w:r>
                    <w:rPr>
                      <w:rFonts w:cs="Georgia"/>
                      <w:color w:val="000000"/>
                      <w:spacing w:val="-1"/>
                    </w:rPr>
                    <w:t>aq</w:t>
                  </w:r>
                  <w:r>
                    <w:rPr>
                      <w:rFonts w:cs="Georgia"/>
                      <w:color w:val="000000"/>
                    </w:rPr>
                    <w:t>ue</w:t>
                  </w:r>
                  <w:r>
                    <w:rPr>
                      <w:rFonts w:cs="Georgia"/>
                      <w:color w:val="000000"/>
                      <w:spacing w:val="-1"/>
                    </w:rPr>
                    <w:t xml:space="preserve"> </w:t>
                  </w:r>
                  <w:r>
                    <w:rPr>
                      <w:rFonts w:cs="Georgia"/>
                      <w:color w:val="000000"/>
                      <w:spacing w:val="1"/>
                    </w:rPr>
                    <w:t>c</w:t>
                  </w:r>
                  <w:r>
                    <w:rPr>
                      <w:rFonts w:cs="Georgia"/>
                      <w:color w:val="000000"/>
                      <w:spacing w:val="-1"/>
                    </w:rPr>
                    <w:t>la</w:t>
                  </w:r>
                  <w:r>
                    <w:rPr>
                      <w:rFonts w:cs="Georgia"/>
                      <w:color w:val="000000"/>
                      <w:spacing w:val="1"/>
                    </w:rPr>
                    <w:t>ss</w:t>
                  </w:r>
                  <w:r>
                    <w:rPr>
                      <w:rFonts w:cs="Georgia"/>
                      <w:color w:val="000000"/>
                    </w:rPr>
                    <w:t>e</w:t>
                  </w:r>
                  <w:r>
                    <w:rPr>
                      <w:rFonts w:cs="Georgia"/>
                      <w:color w:val="000000"/>
                      <w:spacing w:val="-1"/>
                    </w:rPr>
                    <w:t xml:space="preserve"> </w:t>
                  </w:r>
                  <w:r>
                    <w:rPr>
                      <w:rFonts w:cs="Georgia"/>
                      <w:color w:val="000000"/>
                      <w:spacing w:val="1"/>
                    </w:rPr>
                    <w:t>s</w:t>
                  </w:r>
                  <w:r>
                    <w:rPr>
                      <w:rFonts w:cs="Georgia"/>
                      <w:color w:val="000000"/>
                    </w:rPr>
                    <w:t>e</w:t>
                  </w:r>
                  <w:r>
                    <w:rPr>
                      <w:rFonts w:cs="Georgia"/>
                      <w:color w:val="000000"/>
                      <w:spacing w:val="-1"/>
                    </w:rPr>
                    <w:t xml:space="preserve"> </w:t>
                  </w:r>
                  <w:r>
                    <w:rPr>
                      <w:rFonts w:cs="Georgia"/>
                      <w:color w:val="000000"/>
                      <w:spacing w:val="1"/>
                    </w:rPr>
                    <w:t>tr</w:t>
                  </w:r>
                  <w:r>
                    <w:rPr>
                      <w:rFonts w:cs="Georgia"/>
                      <w:color w:val="000000"/>
                      <w:spacing w:val="-1"/>
                    </w:rPr>
                    <w:t>o</w:t>
                  </w:r>
                  <w:r>
                    <w:rPr>
                      <w:rFonts w:cs="Georgia"/>
                      <w:color w:val="000000"/>
                    </w:rPr>
                    <w:t>u</w:t>
                  </w:r>
                  <w:r>
                    <w:rPr>
                      <w:rFonts w:cs="Georgia"/>
                      <w:color w:val="000000"/>
                      <w:spacing w:val="1"/>
                    </w:rPr>
                    <w:t>v</w:t>
                  </w:r>
                  <w:r>
                    <w:rPr>
                      <w:rFonts w:cs="Georgia"/>
                      <w:color w:val="000000"/>
                    </w:rPr>
                    <w:t>e</w:t>
                  </w:r>
                  <w:r>
                    <w:rPr>
                      <w:rFonts w:cs="Georgia"/>
                      <w:color w:val="000000"/>
                      <w:spacing w:val="-1"/>
                    </w:rPr>
                    <w:t xml:space="preserve"> </w:t>
                  </w:r>
                  <w:r>
                    <w:rPr>
                      <w:rFonts w:cs="Georgia"/>
                      <w:color w:val="000000"/>
                      <w:spacing w:val="-2"/>
                    </w:rPr>
                    <w:t>s</w:t>
                  </w:r>
                  <w:r>
                    <w:rPr>
                      <w:rFonts w:cs="Georgia"/>
                      <w:color w:val="000000"/>
                      <w:spacing w:val="1"/>
                    </w:rPr>
                    <w:t>o</w:t>
                  </w:r>
                  <w:r>
                    <w:rPr>
                      <w:rFonts w:cs="Georgia"/>
                      <w:color w:val="000000"/>
                    </w:rPr>
                    <w:t xml:space="preserve">us </w:t>
                  </w:r>
                  <w:r>
                    <w:rPr>
                      <w:rFonts w:cs="Georgia"/>
                      <w:color w:val="000000"/>
                      <w:spacing w:val="-1"/>
                    </w:rPr>
                    <w:t>l</w:t>
                  </w:r>
                  <w:r>
                    <w:rPr>
                      <w:rFonts w:cs="Georgia"/>
                      <w:color w:val="000000"/>
                    </w:rPr>
                    <w:t>a</w:t>
                  </w:r>
                  <w:r>
                    <w:rPr>
                      <w:rFonts w:cs="Georgia"/>
                      <w:color w:val="000000"/>
                      <w:spacing w:val="-1"/>
                    </w:rPr>
                    <w:t xml:space="preserve"> </w:t>
                  </w:r>
                  <w:r>
                    <w:rPr>
                      <w:rFonts w:cs="Georgia"/>
                      <w:color w:val="000000"/>
                    </w:rPr>
                    <w:t>di</w:t>
                  </w:r>
                  <w:r>
                    <w:rPr>
                      <w:rFonts w:cs="Georgia"/>
                      <w:color w:val="000000"/>
                      <w:spacing w:val="1"/>
                    </w:rPr>
                    <w:t>r</w:t>
                  </w:r>
                  <w:r>
                    <w:rPr>
                      <w:rFonts w:cs="Georgia"/>
                      <w:color w:val="000000"/>
                      <w:spacing w:val="-1"/>
                    </w:rPr>
                    <w:t>e</w:t>
                  </w:r>
                  <w:r>
                    <w:rPr>
                      <w:rFonts w:cs="Georgia"/>
                      <w:color w:val="000000"/>
                      <w:spacing w:val="-2"/>
                    </w:rPr>
                    <w:t>c</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2"/>
                    </w:rPr>
                    <w:t>d</w:t>
                  </w:r>
                  <w:r>
                    <w:rPr>
                      <w:rFonts w:cs="Georgia"/>
                      <w:color w:val="000000"/>
                      <w:spacing w:val="1"/>
                    </w:rPr>
                    <w:t>'</w:t>
                  </w:r>
                  <w:r>
                    <w:rPr>
                      <w:rFonts w:cs="Georgia"/>
                      <w:color w:val="000000"/>
                    </w:rPr>
                    <w:t>un</w:t>
                  </w:r>
                  <w:r>
                    <w:rPr>
                      <w:rFonts w:cs="Georgia"/>
                      <w:color w:val="000000"/>
                      <w:spacing w:val="-1"/>
                    </w:rPr>
                    <w:t xml:space="preserve"> </w:t>
                  </w:r>
                  <w:r>
                    <w:rPr>
                      <w:rFonts w:cs="Georgia"/>
                      <w:color w:val="000000"/>
                      <w:spacing w:val="1"/>
                    </w:rPr>
                    <w:t>t</w:t>
                  </w:r>
                  <w:r>
                    <w:rPr>
                      <w:rFonts w:cs="Georgia"/>
                      <w:color w:val="000000"/>
                      <w:spacing w:val="-2"/>
                    </w:rPr>
                    <w:t>i</w:t>
                  </w:r>
                  <w:r>
                    <w:rPr>
                      <w:rFonts w:cs="Georgia"/>
                      <w:color w:val="000000"/>
                      <w:spacing w:val="1"/>
                    </w:rPr>
                    <w:t>t</w:t>
                  </w:r>
                  <w:r>
                    <w:rPr>
                      <w:rFonts w:cs="Georgia"/>
                      <w:color w:val="000000"/>
                    </w:rPr>
                    <w:t>u</w:t>
                  </w:r>
                  <w:r>
                    <w:rPr>
                      <w:rFonts w:cs="Georgia"/>
                      <w:color w:val="000000"/>
                      <w:spacing w:val="-3"/>
                    </w:rPr>
                    <w:t>l</w:t>
                  </w:r>
                  <w:r>
                    <w:rPr>
                      <w:rFonts w:cs="Georgia"/>
                      <w:color w:val="000000"/>
                      <w:spacing w:val="-1"/>
                    </w:rPr>
                    <w:t>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c</w:t>
                  </w:r>
                  <w:r>
                    <w:rPr>
                      <w:rFonts w:cs="Georgia"/>
                      <w:color w:val="000000"/>
                      <w:spacing w:val="-1"/>
                    </w:rPr>
                    <w:t>la</w:t>
                  </w:r>
                  <w:r>
                    <w:rPr>
                      <w:rFonts w:cs="Georgia"/>
                      <w:color w:val="000000"/>
                      <w:spacing w:val="1"/>
                    </w:rPr>
                    <w:t>ss</w:t>
                  </w:r>
                  <w:r>
                    <w:rPr>
                      <w:rFonts w:cs="Georgia"/>
                      <w:color w:val="000000"/>
                    </w:rPr>
                    <w:t>e</w:t>
                  </w:r>
                  <w:r>
                    <w:rPr>
                      <w:rFonts w:cs="Georgia"/>
                      <w:color w:val="000000"/>
                      <w:spacing w:val="-1"/>
                    </w:rPr>
                    <w:t xml:space="preserve"> </w:t>
                  </w:r>
                  <w:r>
                    <w:rPr>
                      <w:rFonts w:cs="Georgia"/>
                      <w:color w:val="000000"/>
                    </w:rPr>
                    <w:t>i</w:t>
                  </w:r>
                  <w:r>
                    <w:rPr>
                      <w:rFonts w:cs="Georgia"/>
                      <w:color w:val="000000"/>
                      <w:spacing w:val="-1"/>
                    </w:rPr>
                    <w:t>n</w:t>
                  </w:r>
                  <w:r>
                    <w:rPr>
                      <w:rFonts w:cs="Georgia"/>
                      <w:color w:val="000000"/>
                      <w:spacing w:val="1"/>
                    </w:rPr>
                    <w:t>st</w:t>
                  </w:r>
                  <w:r>
                    <w:rPr>
                      <w:rFonts w:cs="Georgia"/>
                      <w:color w:val="000000"/>
                      <w:spacing w:val="-2"/>
                    </w:rPr>
                    <w:t>i</w:t>
                  </w:r>
                  <w:r>
                    <w:rPr>
                      <w:rFonts w:cs="Georgia"/>
                      <w:color w:val="000000"/>
                      <w:spacing w:val="1"/>
                    </w:rPr>
                    <w:t>t</w:t>
                  </w:r>
                  <w:r>
                    <w:rPr>
                      <w:rFonts w:cs="Georgia"/>
                      <w:color w:val="000000"/>
                    </w:rPr>
                    <w:t>u</w:t>
                  </w:r>
                  <w:r>
                    <w:rPr>
                      <w:rFonts w:cs="Georgia"/>
                      <w:color w:val="000000"/>
                      <w:spacing w:val="1"/>
                    </w:rPr>
                    <w:t>t</w:t>
                  </w:r>
                  <w:r>
                    <w:rPr>
                      <w:rFonts w:cs="Georgia"/>
                      <w:color w:val="000000"/>
                      <w:spacing w:val="-1"/>
                    </w:rPr>
                    <w:t>e</w:t>
                  </w:r>
                  <w:r>
                    <w:rPr>
                      <w:rFonts w:cs="Georgia"/>
                      <w:color w:val="000000"/>
                      <w:spacing w:val="-2"/>
                    </w:rPr>
                    <w:t>u</w:t>
                  </w:r>
                  <w:r>
                    <w:rPr>
                      <w:rFonts w:cs="Georgia"/>
                      <w:color w:val="000000"/>
                    </w:rPr>
                    <w:t>r</w:t>
                  </w:r>
                  <w:r>
                    <w:rPr>
                      <w:rFonts w:cs="Georgia"/>
                      <w:color w:val="000000"/>
                      <w:spacing w:val="-2"/>
                    </w:rPr>
                    <w:t xml:space="preserve"> </w:t>
                  </w:r>
                  <w:r>
                    <w:rPr>
                      <w:rFonts w:cs="Georgia"/>
                      <w:color w:val="000000"/>
                      <w:spacing w:val="1"/>
                    </w:rPr>
                    <w:t>(tr</w:t>
                  </w:r>
                  <w:r>
                    <w:rPr>
                      <w:rFonts w:cs="Georgia"/>
                      <w:color w:val="000000"/>
                      <w:spacing w:val="-2"/>
                    </w:rPr>
                    <w:t>i</w:t>
                  </w:r>
                  <w:r>
                    <w:rPr>
                      <w:rFonts w:cs="Georgia"/>
                      <w:color w:val="000000"/>
                      <w:spacing w:val="1"/>
                    </w:rPr>
                    <w:t>c</w:t>
                  </w:r>
                  <w:r>
                    <w:rPr>
                      <w:rFonts w:cs="Georgia"/>
                      <w:color w:val="000000"/>
                      <w:spacing w:val="-1"/>
                    </w:rPr>
                    <w:t>e</w:t>
                  </w:r>
                  <w:r>
                    <w:rPr>
                      <w:rFonts w:cs="Georgia"/>
                      <w:color w:val="000000"/>
                    </w:rPr>
                    <w:t>)</w:t>
                  </w:r>
                  <w:r>
                    <w:rPr>
                      <w:rFonts w:cs="Georgia"/>
                      <w:color w:val="000000"/>
                      <w:spacing w:val="1"/>
                    </w:rPr>
                    <w:t xml:space="preserve"> </w:t>
                  </w:r>
                  <w:r>
                    <w:rPr>
                      <w:rFonts w:cs="Georgia"/>
                      <w:color w:val="000000"/>
                    </w:rPr>
                    <w:t>m</w:t>
                  </w:r>
                  <w:r>
                    <w:rPr>
                      <w:rFonts w:cs="Georgia"/>
                      <w:color w:val="000000"/>
                      <w:spacing w:val="-1"/>
                    </w:rPr>
                    <w:t>a</w:t>
                  </w:r>
                  <w:r>
                    <w:rPr>
                      <w:rFonts w:cs="Georgia"/>
                      <w:color w:val="000000"/>
                      <w:spacing w:val="1"/>
                    </w:rPr>
                    <w:t>t</w:t>
                  </w:r>
                  <w:r>
                    <w:rPr>
                      <w:rFonts w:cs="Georgia"/>
                      <w:color w:val="000000"/>
                      <w:spacing w:val="-1"/>
                    </w:rPr>
                    <w:t>e</w:t>
                  </w:r>
                  <w:r>
                    <w:rPr>
                      <w:rFonts w:cs="Georgia"/>
                      <w:color w:val="000000"/>
                      <w:spacing w:val="1"/>
                    </w:rPr>
                    <w:t>r</w:t>
                  </w:r>
                  <w:r>
                    <w:rPr>
                      <w:rFonts w:cs="Georgia"/>
                      <w:color w:val="000000"/>
                      <w:spacing w:val="-1"/>
                    </w:rPr>
                    <w:t>nel</w:t>
                  </w:r>
                  <w:r>
                    <w:rPr>
                      <w:rFonts w:cs="Georgia"/>
                      <w:color w:val="000000"/>
                      <w:spacing w:val="1"/>
                    </w:rPr>
                    <w:t>(</w:t>
                  </w:r>
                  <w:r>
                    <w:rPr>
                      <w:rFonts w:cs="Georgia"/>
                      <w:color w:val="000000"/>
                      <w:spacing w:val="-1"/>
                    </w:rPr>
                    <w:t>le</w:t>
                  </w:r>
                  <w:r>
                    <w:rPr>
                      <w:rFonts w:cs="Georgia"/>
                      <w:color w:val="000000"/>
                    </w:rPr>
                    <w:t>)</w:t>
                  </w:r>
                  <w:r>
                    <w:rPr>
                      <w:rFonts w:cs="Georgia"/>
                      <w:color w:val="000000"/>
                      <w:spacing w:val="1"/>
                    </w:rPr>
                    <w:t xml:space="preserve"> </w:t>
                  </w:r>
                  <w:r>
                    <w:rPr>
                      <w:rFonts w:cs="Georgia"/>
                      <w:color w:val="000000"/>
                      <w:spacing w:val="-1"/>
                    </w:rPr>
                    <w:t>a</w:t>
                  </w:r>
                  <w:r>
                    <w:rPr>
                      <w:rFonts w:cs="Georgia"/>
                      <w:color w:val="000000"/>
                    </w:rPr>
                    <w:t xml:space="preserve">u </w:t>
                  </w:r>
                  <w:r>
                    <w:rPr>
                      <w:rFonts w:cs="Georgia"/>
                      <w:color w:val="000000"/>
                      <w:spacing w:val="-1"/>
                    </w:rPr>
                    <w:t>n</w:t>
                  </w:r>
                  <w:r>
                    <w:rPr>
                      <w:rFonts w:cs="Georgia"/>
                      <w:color w:val="000000"/>
                    </w:rPr>
                    <w:t>i</w:t>
                  </w:r>
                  <w:r>
                    <w:rPr>
                      <w:rFonts w:cs="Georgia"/>
                      <w:color w:val="000000"/>
                      <w:spacing w:val="1"/>
                    </w:rPr>
                    <w:t>v</w:t>
                  </w:r>
                  <w:r>
                    <w:rPr>
                      <w:rFonts w:cs="Georgia"/>
                      <w:color w:val="000000"/>
                      <w:spacing w:val="-1"/>
                    </w:rPr>
                    <w:t>ea</w:t>
                  </w:r>
                  <w:r>
                    <w:rPr>
                      <w:rFonts w:cs="Georgia"/>
                      <w:color w:val="000000"/>
                    </w:rPr>
                    <w:t>u m</w:t>
                  </w:r>
                  <w:r>
                    <w:rPr>
                      <w:rFonts w:cs="Georgia"/>
                      <w:color w:val="000000"/>
                      <w:spacing w:val="-1"/>
                    </w:rPr>
                    <w:t>a</w:t>
                  </w:r>
                  <w:r>
                    <w:rPr>
                      <w:rFonts w:cs="Georgia"/>
                      <w:color w:val="000000"/>
                      <w:spacing w:val="1"/>
                    </w:rPr>
                    <w:t>t</w:t>
                  </w:r>
                  <w:r>
                    <w:rPr>
                      <w:rFonts w:cs="Georgia"/>
                      <w:color w:val="000000"/>
                      <w:spacing w:val="-1"/>
                    </w:rPr>
                    <w:t>e</w:t>
                  </w:r>
                  <w:r>
                    <w:rPr>
                      <w:rFonts w:cs="Georgia"/>
                      <w:color w:val="000000"/>
                      <w:spacing w:val="1"/>
                    </w:rPr>
                    <w:t>r</w:t>
                  </w:r>
                  <w:r>
                    <w:rPr>
                      <w:rFonts w:cs="Georgia"/>
                      <w:color w:val="000000"/>
                      <w:spacing w:val="-1"/>
                    </w:rPr>
                    <w:t>ne</w:t>
                  </w:r>
                  <w:r>
                    <w:rPr>
                      <w:rFonts w:cs="Georgia"/>
                      <w:color w:val="000000"/>
                    </w:rPr>
                    <w:t>l</w:t>
                  </w:r>
                  <w:r>
                    <w:rPr>
                      <w:rFonts w:cs="Georgia"/>
                      <w:color w:val="000000"/>
                      <w:spacing w:val="-1"/>
                    </w:rPr>
                    <w:t xml:space="preserve"> e</w:t>
                  </w:r>
                  <w:r>
                    <w:rPr>
                      <w:rFonts w:cs="Georgia"/>
                      <w:color w:val="000000"/>
                    </w:rPr>
                    <w:t>t i</w:t>
                  </w:r>
                  <w:r>
                    <w:rPr>
                      <w:rFonts w:cs="Georgia"/>
                      <w:color w:val="000000"/>
                      <w:spacing w:val="-1"/>
                    </w:rPr>
                    <w:t>n</w:t>
                  </w:r>
                  <w:r>
                    <w:rPr>
                      <w:rFonts w:cs="Georgia"/>
                      <w:color w:val="000000"/>
                      <w:spacing w:val="1"/>
                    </w:rPr>
                    <w:t>st</w:t>
                  </w:r>
                  <w:r>
                    <w:rPr>
                      <w:rFonts w:cs="Georgia"/>
                      <w:color w:val="000000"/>
                    </w:rPr>
                    <w:t>i</w:t>
                  </w:r>
                  <w:r>
                    <w:rPr>
                      <w:rFonts w:cs="Georgia"/>
                      <w:color w:val="000000"/>
                      <w:spacing w:val="-2"/>
                    </w:rPr>
                    <w:t>t</w:t>
                  </w:r>
                  <w:r>
                    <w:rPr>
                      <w:rFonts w:cs="Georgia"/>
                      <w:color w:val="000000"/>
                    </w:rPr>
                    <w:t>u</w:t>
                  </w:r>
                  <w:r>
                    <w:rPr>
                      <w:rFonts w:cs="Georgia"/>
                      <w:color w:val="000000"/>
                      <w:spacing w:val="1"/>
                    </w:rPr>
                    <w:t>t</w:t>
                  </w:r>
                  <w:r>
                    <w:rPr>
                      <w:rFonts w:cs="Georgia"/>
                      <w:color w:val="000000"/>
                      <w:spacing w:val="-1"/>
                    </w:rPr>
                    <w:t>e</w:t>
                  </w:r>
                  <w:r>
                    <w:rPr>
                      <w:rFonts w:cs="Georgia"/>
                      <w:color w:val="000000"/>
                    </w:rPr>
                    <w:t>ur</w:t>
                  </w:r>
                  <w:r>
                    <w:rPr>
                      <w:rFonts w:cs="Georgia"/>
                      <w:color w:val="000000"/>
                      <w:spacing w:val="-2"/>
                    </w:rPr>
                    <w:t xml:space="preserve"> </w:t>
                  </w:r>
                  <w:r>
                    <w:rPr>
                      <w:rFonts w:cs="Georgia"/>
                      <w:color w:val="000000"/>
                      <w:spacing w:val="1"/>
                    </w:rPr>
                    <w:t>(tr</w:t>
                  </w:r>
                  <w:r>
                    <w:rPr>
                      <w:rFonts w:cs="Georgia"/>
                      <w:color w:val="000000"/>
                      <w:spacing w:val="-2"/>
                    </w:rPr>
                    <w:t>i</w:t>
                  </w:r>
                  <w:r>
                    <w:rPr>
                      <w:rFonts w:cs="Georgia"/>
                      <w:color w:val="000000"/>
                      <w:spacing w:val="1"/>
                    </w:rPr>
                    <w:t>c</w:t>
                  </w:r>
                  <w:r>
                    <w:rPr>
                      <w:rFonts w:cs="Georgia"/>
                      <w:color w:val="000000"/>
                      <w:spacing w:val="-1"/>
                    </w:rPr>
                    <w:t>e</w:t>
                  </w:r>
                  <w:r>
                    <w:rPr>
                      <w:rFonts w:cs="Georgia"/>
                      <w:color w:val="000000"/>
                    </w:rPr>
                    <w:t>)</w:t>
                  </w:r>
                  <w:r>
                    <w:rPr>
                      <w:rFonts w:cs="Georgia"/>
                      <w:color w:val="000000"/>
                      <w:spacing w:val="-1"/>
                    </w:rPr>
                    <w:t xml:space="preserve"> </w:t>
                  </w:r>
                  <w:r>
                    <w:rPr>
                      <w:rFonts w:cs="Georgia"/>
                      <w:color w:val="000000"/>
                      <w:spacing w:val="1"/>
                    </w:rPr>
                    <w:t>pr</w:t>
                  </w:r>
                  <w:r>
                    <w:rPr>
                      <w:rFonts w:cs="Georgia"/>
                      <w:color w:val="000000"/>
                    </w:rPr>
                    <w:t>im</w:t>
                  </w:r>
                  <w:r>
                    <w:rPr>
                      <w:rFonts w:cs="Georgia"/>
                      <w:color w:val="000000"/>
                      <w:spacing w:val="-1"/>
                    </w:rPr>
                    <w:t>a</w:t>
                  </w:r>
                  <w:r>
                    <w:rPr>
                      <w:rFonts w:cs="Georgia"/>
                      <w:color w:val="000000"/>
                      <w:spacing w:val="-2"/>
                    </w:rPr>
                    <w:t>i</w:t>
                  </w:r>
                  <w:r>
                    <w:rPr>
                      <w:rFonts w:cs="Georgia"/>
                      <w:color w:val="000000"/>
                      <w:spacing w:val="1"/>
                    </w:rPr>
                    <w:t>r</w:t>
                  </w:r>
                  <w:r>
                    <w:rPr>
                      <w:rFonts w:cs="Georgia"/>
                      <w:color w:val="000000"/>
                    </w:rPr>
                    <w:t>e</w:t>
                  </w:r>
                  <w:r>
                    <w:rPr>
                      <w:rFonts w:cs="Georgia"/>
                      <w:color w:val="000000"/>
                      <w:spacing w:val="-1"/>
                    </w:rPr>
                    <w:t xml:space="preserve"> a</w:t>
                  </w:r>
                  <w:r>
                    <w:rPr>
                      <w:rFonts w:cs="Georgia"/>
                      <w:color w:val="000000"/>
                    </w:rPr>
                    <w:t xml:space="preserve">u </w:t>
                  </w:r>
                  <w:r>
                    <w:rPr>
                      <w:rFonts w:cs="Georgia"/>
                      <w:color w:val="000000"/>
                      <w:spacing w:val="-1"/>
                    </w:rPr>
                    <w:t>n</w:t>
                  </w:r>
                  <w:r>
                    <w:rPr>
                      <w:rFonts w:cs="Georgia"/>
                      <w:color w:val="000000"/>
                    </w:rPr>
                    <w:t>i</w:t>
                  </w:r>
                  <w:r>
                    <w:rPr>
                      <w:rFonts w:cs="Georgia"/>
                      <w:color w:val="000000"/>
                      <w:spacing w:val="1"/>
                    </w:rPr>
                    <w:t>v</w:t>
                  </w:r>
                  <w:r>
                    <w:rPr>
                      <w:rFonts w:cs="Georgia"/>
                      <w:color w:val="000000"/>
                      <w:spacing w:val="-1"/>
                    </w:rPr>
                    <w:t>ea</w:t>
                  </w:r>
                  <w:r>
                    <w:rPr>
                      <w:rFonts w:cs="Georgia"/>
                      <w:color w:val="000000"/>
                    </w:rPr>
                    <w:t xml:space="preserve">u </w:t>
                  </w:r>
                  <w:r>
                    <w:rPr>
                      <w:rFonts w:cs="Georgia"/>
                      <w:color w:val="000000"/>
                      <w:spacing w:val="1"/>
                    </w:rPr>
                    <w:t>pr</w:t>
                  </w:r>
                  <w:r>
                    <w:rPr>
                      <w:rFonts w:cs="Georgia"/>
                      <w:color w:val="000000"/>
                      <w:spacing w:val="-2"/>
                    </w:rPr>
                    <w:t>i</w:t>
                  </w:r>
                  <w:r>
                    <w:rPr>
                      <w:rFonts w:cs="Georgia"/>
                      <w:color w:val="000000"/>
                    </w:rPr>
                    <w:t>m</w:t>
                  </w:r>
                  <w:r>
                    <w:rPr>
                      <w:rFonts w:cs="Georgia"/>
                      <w:color w:val="000000"/>
                      <w:spacing w:val="-1"/>
                    </w:rPr>
                    <w:t>a</w:t>
                  </w:r>
                  <w:r>
                    <w:rPr>
                      <w:rFonts w:cs="Georgia"/>
                      <w:color w:val="000000"/>
                    </w:rPr>
                    <w:t>i</w:t>
                  </w:r>
                  <w:r>
                    <w:rPr>
                      <w:rFonts w:cs="Georgia"/>
                      <w:color w:val="000000"/>
                      <w:spacing w:val="1"/>
                    </w:rPr>
                    <w:t>r</w:t>
                  </w:r>
                  <w:r>
                    <w:rPr>
                      <w:rFonts w:cs="Georgia"/>
                      <w:color w:val="000000"/>
                      <w:spacing w:val="-1"/>
                    </w:rPr>
                    <w:t>e</w:t>
                  </w:r>
                  <w:r>
                    <w:rPr>
                      <w:rFonts w:cs="Georgia"/>
                      <w:color w:val="000000"/>
                    </w:rPr>
                    <w:t>.</w:t>
                  </w:r>
                </w:p>
                <w:p>
                  <w:pPr>
                    <w:widowControl w:val="0"/>
                    <w:autoSpaceDE w:val="0"/>
                    <w:autoSpaceDN w:val="0"/>
                    <w:adjustRightInd w:val="0"/>
                    <w:spacing w:line="250" w:lineRule="exact"/>
                    <w:ind w:right="47"/>
                    <w:jc w:val="both"/>
                    <w:rPr>
                      <w:rFonts w:cs="Georgia"/>
                      <w:color w:val="000000"/>
                    </w:rPr>
                  </w:pPr>
                </w:p>
                <w:p>
                  <w:pPr>
                    <w:pStyle w:val="Titre5"/>
                  </w:pPr>
                  <w:bookmarkStart w:id="1757" w:name="_2.4.1_Niveau_maternel"/>
                  <w:bookmarkEnd w:id="1757"/>
                  <w:r>
                    <w:t>2.4.1 Niveau maternel </w:t>
                  </w:r>
                </w:p>
                <w:p>
                  <w:pPr>
                    <w:widowControl w:val="0"/>
                    <w:autoSpaceDE w:val="0"/>
                    <w:autoSpaceDN w:val="0"/>
                    <w:adjustRightInd w:val="0"/>
                    <w:spacing w:line="250" w:lineRule="exact"/>
                    <w:ind w:right="47"/>
                    <w:jc w:val="both"/>
                    <w:rPr>
                      <w:rFonts w:cs="Georgia"/>
                      <w:color w:val="000000"/>
                      <w:spacing w:val="1"/>
                      <w:u w:val="single"/>
                    </w:rPr>
                  </w:pPr>
                </w:p>
                <w:p>
                  <w:pPr>
                    <w:widowControl w:val="0"/>
                    <w:pBdr>
                      <w:right w:val="single" w:sz="4" w:space="4" w:color="auto"/>
                    </w:pBdr>
                    <w:autoSpaceDE w:val="0"/>
                    <w:autoSpaceDN w:val="0"/>
                    <w:adjustRightInd w:val="0"/>
                    <w:spacing w:before="1" w:line="204" w:lineRule="exact"/>
                    <w:ind w:right="47"/>
                    <w:jc w:val="both"/>
                    <w:rPr>
                      <w:rFonts w:cs="Georgia"/>
                      <w:color w:val="000000"/>
                    </w:rPr>
                  </w:pPr>
                  <w:r>
                    <w:rPr>
                      <w:rFonts w:cs="Georgia"/>
                      <w:color w:val="000000"/>
                      <w:spacing w:val="-1"/>
                    </w:rPr>
                    <w:t>Le</w:t>
                  </w:r>
                  <w:r>
                    <w:rPr>
                      <w:rFonts w:cs="Georgia"/>
                      <w:color w:val="000000"/>
                    </w:rPr>
                    <w:t>s</w:t>
                  </w:r>
                  <w:r>
                    <w:rPr>
                      <w:rFonts w:cs="Georgia"/>
                      <w:color w:val="000000"/>
                      <w:spacing w:val="24"/>
                    </w:rPr>
                    <w:t xml:space="preserve"> </w:t>
                  </w:r>
                  <w:r>
                    <w:rPr>
                      <w:rFonts w:cs="Georgia"/>
                      <w:color w:val="000000"/>
                    </w:rPr>
                    <w:t>i</w:t>
                  </w:r>
                  <w:r>
                    <w:rPr>
                      <w:rFonts w:cs="Georgia"/>
                      <w:color w:val="000000"/>
                      <w:spacing w:val="-1"/>
                    </w:rPr>
                    <w:t>n</w:t>
                  </w:r>
                  <w:r>
                    <w:rPr>
                      <w:rFonts w:cs="Georgia"/>
                      <w:color w:val="000000"/>
                      <w:spacing w:val="1"/>
                    </w:rPr>
                    <w:t>st</w:t>
                  </w:r>
                  <w:r>
                    <w:rPr>
                      <w:rFonts w:cs="Georgia"/>
                      <w:color w:val="000000"/>
                    </w:rPr>
                    <w:t>i</w:t>
                  </w:r>
                  <w:r>
                    <w:rPr>
                      <w:rFonts w:cs="Georgia"/>
                      <w:color w:val="000000"/>
                      <w:spacing w:val="1"/>
                    </w:rPr>
                    <w:t>t</w:t>
                  </w:r>
                  <w:r>
                    <w:rPr>
                      <w:rFonts w:cs="Georgia"/>
                      <w:color w:val="000000"/>
                      <w:spacing w:val="-2"/>
                    </w:rPr>
                    <w:t>u</w:t>
                  </w:r>
                  <w:r>
                    <w:rPr>
                      <w:rFonts w:cs="Georgia"/>
                      <w:color w:val="000000"/>
                      <w:spacing w:val="1"/>
                    </w:rPr>
                    <w:t>t</w:t>
                  </w:r>
                  <w:r>
                    <w:rPr>
                      <w:rFonts w:cs="Georgia"/>
                      <w:color w:val="000000"/>
                      <w:spacing w:val="-1"/>
                    </w:rPr>
                    <w:t>e</w:t>
                  </w:r>
                  <w:r>
                    <w:rPr>
                      <w:rFonts w:cs="Georgia"/>
                      <w:color w:val="000000"/>
                    </w:rPr>
                    <w:t>urs</w:t>
                  </w:r>
                  <w:r>
                    <w:rPr>
                      <w:rFonts w:cs="Georgia"/>
                      <w:color w:val="000000"/>
                      <w:spacing w:val="-1"/>
                    </w:rPr>
                    <w:t xml:space="preserve"> </w:t>
                  </w:r>
                  <w:r>
                    <w:rPr>
                      <w:rFonts w:cs="Georgia"/>
                      <w:color w:val="000000"/>
                      <w:spacing w:val="-3"/>
                    </w:rPr>
                    <w:t>m</w:t>
                  </w:r>
                  <w:r>
                    <w:rPr>
                      <w:rFonts w:cs="Georgia"/>
                      <w:color w:val="000000"/>
                      <w:spacing w:val="-1"/>
                    </w:rPr>
                    <w:t>a</w:t>
                  </w:r>
                  <w:r>
                    <w:rPr>
                      <w:rFonts w:cs="Georgia"/>
                      <w:color w:val="000000"/>
                      <w:spacing w:val="1"/>
                    </w:rPr>
                    <w:t>t</w:t>
                  </w:r>
                  <w:r>
                    <w:rPr>
                      <w:rFonts w:cs="Georgia"/>
                      <w:color w:val="000000"/>
                      <w:spacing w:val="-1"/>
                    </w:rPr>
                    <w:t>e</w:t>
                  </w:r>
                  <w:r>
                    <w:rPr>
                      <w:rFonts w:cs="Georgia"/>
                      <w:color w:val="000000"/>
                      <w:spacing w:val="1"/>
                    </w:rPr>
                    <w:t>r</w:t>
                  </w:r>
                  <w:r>
                    <w:rPr>
                      <w:rFonts w:cs="Georgia"/>
                      <w:color w:val="000000"/>
                      <w:spacing w:val="-1"/>
                    </w:rPr>
                    <w:t>nel</w:t>
                  </w:r>
                  <w:r>
                    <w:rPr>
                      <w:rFonts w:cs="Georgia"/>
                      <w:color w:val="000000"/>
                    </w:rPr>
                    <w:t>s</w:t>
                  </w:r>
                  <w:r>
                    <w:rPr>
                      <w:rFonts w:cs="Georgia"/>
                      <w:color w:val="000000"/>
                      <w:spacing w:val="24"/>
                    </w:rPr>
                    <w:t xml:space="preserve"> </w:t>
                  </w:r>
                  <w:r>
                    <w:rPr>
                      <w:rFonts w:cs="Georgia"/>
                      <w:color w:val="000000"/>
                    </w:rPr>
                    <w:t>d</w:t>
                  </w:r>
                  <w:r>
                    <w:rPr>
                      <w:rFonts w:cs="Georgia"/>
                      <w:color w:val="000000"/>
                      <w:spacing w:val="-1"/>
                    </w:rPr>
                    <w:t>o</w:t>
                  </w:r>
                  <w:r>
                    <w:rPr>
                      <w:rFonts w:cs="Georgia"/>
                      <w:color w:val="000000"/>
                    </w:rPr>
                    <w:t>i</w:t>
                  </w:r>
                  <w:r>
                    <w:rPr>
                      <w:rFonts w:cs="Georgia"/>
                      <w:color w:val="000000"/>
                      <w:spacing w:val="1"/>
                    </w:rPr>
                    <w:t>v</w:t>
                  </w:r>
                  <w:r>
                    <w:rPr>
                      <w:rFonts w:cs="Georgia"/>
                      <w:color w:val="000000"/>
                      <w:spacing w:val="-1"/>
                    </w:rPr>
                    <w:t>en</w:t>
                  </w:r>
                  <w:r>
                    <w:rPr>
                      <w:rFonts w:cs="Georgia"/>
                      <w:color w:val="000000"/>
                    </w:rPr>
                    <w:t>t</w:t>
                  </w:r>
                  <w:r>
                    <w:rPr>
                      <w:rFonts w:cs="Georgia"/>
                      <w:color w:val="000000"/>
                      <w:spacing w:val="24"/>
                    </w:rPr>
                    <w:t xml:space="preserve"> </w:t>
                  </w:r>
                  <w:r>
                    <w:rPr>
                      <w:rFonts w:cs="Georgia"/>
                      <w:color w:val="000000"/>
                      <w:spacing w:val="-1"/>
                    </w:rPr>
                    <w:t>p</w:t>
                  </w:r>
                  <w:r>
                    <w:rPr>
                      <w:rFonts w:cs="Georgia"/>
                      <w:color w:val="000000"/>
                      <w:spacing w:val="1"/>
                    </w:rPr>
                    <w:t>r</w:t>
                  </w:r>
                  <w:r>
                    <w:rPr>
                      <w:rFonts w:cs="Georgia"/>
                      <w:color w:val="000000"/>
                      <w:spacing w:val="-1"/>
                    </w:rPr>
                    <w:t>e</w:t>
                  </w:r>
                  <w:r>
                    <w:rPr>
                      <w:rFonts w:cs="Georgia"/>
                      <w:color w:val="000000"/>
                      <w:spacing w:val="-2"/>
                    </w:rPr>
                    <w:t>s</w:t>
                  </w:r>
                  <w:r>
                    <w:rPr>
                      <w:rFonts w:cs="Georgia"/>
                      <w:color w:val="000000"/>
                      <w:spacing w:val="1"/>
                    </w:rPr>
                    <w:t>t</w:t>
                  </w:r>
                  <w:r>
                    <w:rPr>
                      <w:rFonts w:cs="Georgia"/>
                      <w:color w:val="000000"/>
                      <w:spacing w:val="-1"/>
                    </w:rPr>
                    <w:t>e</w:t>
                  </w:r>
                  <w:r>
                    <w:rPr>
                      <w:rFonts w:cs="Georgia"/>
                      <w:color w:val="000000"/>
                    </w:rPr>
                    <w:t>r</w:t>
                  </w:r>
                  <w:r>
                    <w:rPr>
                      <w:rFonts w:cs="Georgia"/>
                      <w:color w:val="000000"/>
                      <w:spacing w:val="24"/>
                    </w:rPr>
                    <w:t xml:space="preserve"> </w:t>
                  </w:r>
                  <w:r>
                    <w:rPr>
                      <w:rFonts w:cs="Georgia"/>
                      <w:color w:val="000000"/>
                      <w:spacing w:val="-1"/>
                    </w:rPr>
                    <w:t>2</w:t>
                  </w:r>
                  <w:r>
                    <w:rPr>
                      <w:rFonts w:cs="Georgia"/>
                      <w:color w:val="000000"/>
                    </w:rPr>
                    <w:t>4</w:t>
                  </w:r>
                  <w:r>
                    <w:rPr>
                      <w:rFonts w:cs="Georgia"/>
                      <w:color w:val="000000"/>
                      <w:spacing w:val="24"/>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spacing w:val="1"/>
                    </w:rPr>
                    <w:t xml:space="preserve">s hebdomadaires de travail en classe </w:t>
                  </w:r>
                  <w:r>
                    <w:rPr>
                      <w:rFonts w:cs="Georgia"/>
                      <w:color w:val="000000"/>
                      <w:spacing w:val="-1"/>
                    </w:rPr>
                    <w:t>p</w:t>
                  </w:r>
                  <w:r>
                    <w:rPr>
                      <w:rFonts w:cs="Georgia"/>
                      <w:color w:val="000000"/>
                      <w:spacing w:val="1"/>
                    </w:rPr>
                    <w:t>o</w:t>
                  </w:r>
                  <w:r>
                    <w:rPr>
                      <w:rFonts w:cs="Georgia"/>
                      <w:color w:val="000000"/>
                      <w:spacing w:val="-2"/>
                    </w:rPr>
                    <w:t>u</w:t>
                  </w:r>
                  <w:r>
                    <w:rPr>
                      <w:rFonts w:cs="Georgia"/>
                      <w:color w:val="000000"/>
                    </w:rPr>
                    <w:t xml:space="preserve">r </w:t>
                  </w:r>
                  <w:r>
                    <w:rPr>
                      <w:rFonts w:cs="Georgia"/>
                      <w:color w:val="000000"/>
                      <w:spacing w:val="-1"/>
                    </w:rPr>
                    <w:t>a</w:t>
                  </w:r>
                  <w:r>
                    <w:rPr>
                      <w:rFonts w:cs="Georgia"/>
                      <w:color w:val="000000"/>
                      <w:spacing w:val="1"/>
                    </w:rPr>
                    <w:t>vo</w:t>
                  </w:r>
                  <w:r>
                    <w:rPr>
                      <w:rFonts w:cs="Georgia"/>
                      <w:color w:val="000000"/>
                      <w:spacing w:val="-2"/>
                    </w:rPr>
                    <w:t>i</w:t>
                  </w:r>
                  <w:r>
                    <w:rPr>
                      <w:rFonts w:cs="Georgia"/>
                      <w:color w:val="000000"/>
                    </w:rPr>
                    <w:t>r 1</w:t>
                  </w:r>
                  <w:r>
                    <w:rPr>
                      <w:rFonts w:cs="Georgia"/>
                      <w:color w:val="000000"/>
                      <w:spacing w:val="-2"/>
                    </w:rPr>
                    <w:t xml:space="preserve"> </w:t>
                  </w:r>
                  <w:r>
                    <w:rPr>
                      <w:rFonts w:cs="Georgia"/>
                      <w:color w:val="000000"/>
                      <w:spacing w:val="1"/>
                    </w:rPr>
                    <w:t>ch</w:t>
                  </w:r>
                  <w:r>
                    <w:rPr>
                      <w:rFonts w:cs="Georgia"/>
                      <w:color w:val="000000"/>
                      <w:spacing w:val="-1"/>
                    </w:rPr>
                    <w:t>a</w:t>
                  </w:r>
                  <w:r>
                    <w:rPr>
                      <w:rFonts w:cs="Georgia"/>
                      <w:color w:val="000000"/>
                      <w:spacing w:val="-2"/>
                    </w:rPr>
                    <w:t>r</w:t>
                  </w:r>
                  <w:r>
                    <w:rPr>
                      <w:rFonts w:cs="Georgia"/>
                      <w:color w:val="000000"/>
                    </w:rPr>
                    <w:t>ge</w:t>
                  </w:r>
                  <w:r>
                    <w:rPr>
                      <w:rFonts w:cs="Georgia"/>
                      <w:color w:val="000000"/>
                      <w:spacing w:val="-1"/>
                    </w:rPr>
                    <w:t xml:space="preserve"> </w:t>
                  </w:r>
                  <w:r>
                    <w:rPr>
                      <w:rFonts w:cs="Georgia"/>
                      <w:color w:val="000000"/>
                      <w:spacing w:val="1"/>
                    </w:rPr>
                    <w:t>c</w:t>
                  </w:r>
                  <w:r>
                    <w:rPr>
                      <w:rFonts w:cs="Georgia"/>
                      <w:color w:val="000000"/>
                      <w:spacing w:val="-1"/>
                    </w:rPr>
                    <w:t>o</w:t>
                  </w:r>
                  <w:r>
                    <w:rPr>
                      <w:rFonts w:cs="Georgia"/>
                      <w:color w:val="000000"/>
                    </w:rPr>
                    <w:t>m</w:t>
                  </w:r>
                  <w:r>
                    <w:rPr>
                      <w:rFonts w:cs="Georgia"/>
                      <w:color w:val="000000"/>
                      <w:spacing w:val="1"/>
                    </w:rPr>
                    <w:t>p</w:t>
                  </w:r>
                  <w:r>
                    <w:rPr>
                      <w:rFonts w:cs="Georgia"/>
                      <w:color w:val="000000"/>
                      <w:spacing w:val="-1"/>
                    </w:rPr>
                    <w:t>lè</w:t>
                  </w:r>
                  <w:r>
                    <w:rPr>
                      <w:rFonts w:cs="Georgia"/>
                      <w:color w:val="000000"/>
                      <w:spacing w:val="1"/>
                    </w:rPr>
                    <w:t>t</w:t>
                  </w:r>
                  <w:r>
                    <w:rPr>
                      <w:rFonts w:cs="Georgia"/>
                      <w:color w:val="000000"/>
                    </w:rPr>
                    <w:t>e</w:t>
                  </w:r>
                  <w:r>
                    <w:rPr>
                      <w:rFonts w:cs="Georgia"/>
                      <w:color w:val="000000"/>
                      <w:spacing w:val="-4"/>
                    </w:rPr>
                    <w:t>.</w:t>
                  </w:r>
                </w:p>
                <w:p>
                  <w:pPr>
                    <w:widowControl w:val="0"/>
                    <w:autoSpaceDE w:val="0"/>
                    <w:autoSpaceDN w:val="0"/>
                    <w:adjustRightInd w:val="0"/>
                    <w:spacing w:line="250" w:lineRule="exact"/>
                    <w:ind w:right="47"/>
                    <w:jc w:val="both"/>
                    <w:rPr>
                      <w:rFonts w:cs="Georgia"/>
                      <w:color w:val="000000"/>
                      <w:spacing w:val="1"/>
                      <w:u w:val="single"/>
                    </w:rPr>
                  </w:pPr>
                </w:p>
                <w:p>
                  <w:pPr>
                    <w:widowControl w:val="0"/>
                    <w:autoSpaceDE w:val="0"/>
                    <w:autoSpaceDN w:val="0"/>
                    <w:adjustRightInd w:val="0"/>
                    <w:ind w:right="47"/>
                    <w:jc w:val="both"/>
                    <w:rPr>
                      <w:rFonts w:cs="Georgia"/>
                      <w:color w:val="000000"/>
                    </w:rPr>
                  </w:pPr>
                  <w:r>
                    <w:rPr>
                      <w:rFonts w:cs="Georgia"/>
                      <w:color w:val="000000"/>
                      <w:spacing w:val="1"/>
                    </w:rPr>
                    <w:t>L</w:t>
                  </w:r>
                  <w:r>
                    <w:rPr>
                      <w:rFonts w:cs="Georgia"/>
                      <w:color w:val="000000"/>
                    </w:rPr>
                    <w:t>’i</w:t>
                  </w:r>
                  <w:r>
                    <w:rPr>
                      <w:rFonts w:cs="Georgia"/>
                      <w:color w:val="000000"/>
                      <w:spacing w:val="-1"/>
                    </w:rPr>
                    <w:t>n</w:t>
                  </w:r>
                  <w:r>
                    <w:rPr>
                      <w:rFonts w:cs="Georgia"/>
                      <w:color w:val="000000"/>
                      <w:spacing w:val="-2"/>
                    </w:rPr>
                    <w:t>s</w:t>
                  </w:r>
                  <w:r>
                    <w:rPr>
                      <w:rFonts w:cs="Georgia"/>
                      <w:color w:val="000000"/>
                      <w:spacing w:val="1"/>
                    </w:rPr>
                    <w:t>cr</w:t>
                  </w:r>
                  <w:r>
                    <w:rPr>
                      <w:rFonts w:cs="Georgia"/>
                      <w:color w:val="000000"/>
                      <w:spacing w:val="-2"/>
                    </w:rPr>
                    <w:t>i</w:t>
                  </w:r>
                  <w:r>
                    <w:rPr>
                      <w:rFonts w:cs="Georgia"/>
                      <w:color w:val="000000"/>
                      <w:spacing w:val="1"/>
                    </w:rPr>
                    <w:t>pt</w:t>
                  </w:r>
                  <w:r>
                    <w:rPr>
                      <w:rFonts w:cs="Georgia"/>
                      <w:color w:val="000000"/>
                      <w:spacing w:val="-2"/>
                    </w:rPr>
                    <w:t>i</w:t>
                  </w:r>
                  <w:r>
                    <w:rPr>
                      <w:rFonts w:cs="Georgia"/>
                      <w:color w:val="000000"/>
                      <w:spacing w:val="1"/>
                    </w:rPr>
                    <w:t>o</w:t>
                  </w:r>
                  <w:r>
                    <w:rPr>
                      <w:rFonts w:cs="Georgia"/>
                      <w:color w:val="000000"/>
                    </w:rPr>
                    <w:t xml:space="preserve">n </w:t>
                  </w:r>
                  <w:r>
                    <w:rPr>
                      <w:rFonts w:cs="Georgia"/>
                      <w:color w:val="000000"/>
                      <w:spacing w:val="-2"/>
                    </w:rPr>
                    <w:t>d</w:t>
                  </w:r>
                  <w:r>
                    <w:rPr>
                      <w:rFonts w:cs="Georgia"/>
                      <w:color w:val="000000"/>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12"/>
                    </w:rPr>
                    <w:t xml:space="preserve"> </w:t>
                  </w:r>
                  <w:r>
                    <w:rPr>
                      <w:rFonts w:cs="Georgia"/>
                      <w:color w:val="000000"/>
                      <w:spacing w:val="-1"/>
                    </w:rPr>
                    <w:t>e</w:t>
                  </w:r>
                  <w:r>
                    <w:rPr>
                      <w:rFonts w:cs="Georgia"/>
                      <w:color w:val="000000"/>
                    </w:rPr>
                    <w:t>n m</w:t>
                  </w:r>
                  <w:r>
                    <w:rPr>
                      <w:rFonts w:cs="Georgia"/>
                      <w:color w:val="000000"/>
                      <w:spacing w:val="-1"/>
                    </w:rPr>
                    <w:t>a</w:t>
                  </w:r>
                  <w:r>
                    <w:rPr>
                      <w:rFonts w:cs="Georgia"/>
                      <w:color w:val="000000"/>
                      <w:spacing w:val="1"/>
                    </w:rPr>
                    <w:t>t</w:t>
                  </w:r>
                  <w:r>
                    <w:rPr>
                      <w:rFonts w:cs="Georgia"/>
                      <w:color w:val="000000"/>
                      <w:spacing w:val="-1"/>
                    </w:rPr>
                    <w:t>e</w:t>
                  </w:r>
                  <w:r>
                    <w:rPr>
                      <w:rFonts w:cs="Georgia"/>
                      <w:color w:val="000000"/>
                      <w:spacing w:val="1"/>
                    </w:rPr>
                    <w:t>r</w:t>
                  </w:r>
                  <w:r>
                    <w:rPr>
                      <w:rFonts w:cs="Georgia"/>
                      <w:color w:val="000000"/>
                      <w:spacing w:val="-1"/>
                    </w:rPr>
                    <w:t>nell</w:t>
                  </w:r>
                  <w:r>
                    <w:rPr>
                      <w:rFonts w:cs="Georgia"/>
                      <w:color w:val="000000"/>
                    </w:rPr>
                    <w:t xml:space="preserve">e </w:t>
                  </w:r>
                  <w:r>
                    <w:rPr>
                      <w:rFonts w:cs="Georgia"/>
                      <w:color w:val="000000"/>
                      <w:spacing w:val="-1"/>
                    </w:rPr>
                    <w:t>né</w:t>
                  </w:r>
                  <w:r>
                    <w:rPr>
                      <w:rFonts w:cs="Georgia"/>
                      <w:color w:val="000000"/>
                      <w:spacing w:val="1"/>
                    </w:rPr>
                    <w:t>c</w:t>
                  </w:r>
                  <w:r>
                    <w:rPr>
                      <w:rFonts w:cs="Georgia"/>
                      <w:color w:val="000000"/>
                      <w:spacing w:val="-1"/>
                    </w:rPr>
                    <w:t>e</w:t>
                  </w:r>
                  <w:r>
                    <w:rPr>
                      <w:rFonts w:cs="Georgia"/>
                      <w:color w:val="000000"/>
                      <w:spacing w:val="1"/>
                    </w:rPr>
                    <w:t>ss</w:t>
                  </w:r>
                  <w:r>
                    <w:rPr>
                      <w:rFonts w:cs="Georgia"/>
                      <w:color w:val="000000"/>
                    </w:rPr>
                    <w:t>i</w:t>
                  </w:r>
                  <w:r>
                    <w:rPr>
                      <w:rFonts w:cs="Georgia"/>
                      <w:color w:val="000000"/>
                      <w:spacing w:val="1"/>
                    </w:rPr>
                    <w:t>t</w:t>
                  </w:r>
                  <w:r>
                    <w:rPr>
                      <w:rFonts w:cs="Georgia"/>
                      <w:color w:val="000000"/>
                    </w:rPr>
                    <w:t>e im</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v</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12"/>
                    </w:rPr>
                    <w:t xml:space="preserve"> </w:t>
                  </w:r>
                  <w:r>
                    <w:rPr>
                      <w:rFonts w:cs="Georgia"/>
                      <w:color w:val="000000"/>
                      <w:spacing w:val="-1"/>
                    </w:rPr>
                    <w:t>l</w:t>
                  </w:r>
                  <w:r>
                    <w:rPr>
                      <w:rFonts w:cs="Georgia"/>
                      <w:color w:val="000000"/>
                    </w:rPr>
                    <w:t xml:space="preserve">a </w:t>
                  </w:r>
                  <w:r>
                    <w:rPr>
                      <w:rFonts w:cs="Georgia"/>
                      <w:color w:val="000000"/>
                      <w:spacing w:val="-1"/>
                    </w:rPr>
                    <w:t>p</w:t>
                  </w:r>
                  <w:r>
                    <w:rPr>
                      <w:rFonts w:cs="Georgia"/>
                      <w:color w:val="000000"/>
                      <w:spacing w:val="1"/>
                    </w:rPr>
                    <w:t>r</w:t>
                  </w:r>
                  <w:r>
                    <w:rPr>
                      <w:rFonts w:cs="Georgia"/>
                      <w:color w:val="000000"/>
                      <w:spacing w:val="-1"/>
                    </w:rPr>
                    <w:t>é</w:t>
                  </w:r>
                  <w:r>
                    <w:rPr>
                      <w:rFonts w:cs="Georgia"/>
                      <w:color w:val="000000"/>
                      <w:spacing w:val="-2"/>
                    </w:rPr>
                    <w:t>s</w:t>
                  </w:r>
                  <w:r>
                    <w:rPr>
                      <w:rFonts w:cs="Georgia"/>
                      <w:color w:val="000000"/>
                      <w:spacing w:val="-1"/>
                    </w:rPr>
                    <w:t>en</w:t>
                  </w:r>
                  <w:r>
                    <w:rPr>
                      <w:rFonts w:cs="Georgia"/>
                      <w:color w:val="000000"/>
                      <w:spacing w:val="1"/>
                    </w:rPr>
                    <w:t>c</w:t>
                  </w:r>
                  <w:r>
                    <w:rPr>
                      <w:rFonts w:cs="Georgia"/>
                      <w:color w:val="000000"/>
                    </w:rPr>
                    <w:t>e d’u</w:t>
                  </w:r>
                  <w:r>
                    <w:rPr>
                      <w:rFonts w:cs="Georgia"/>
                      <w:color w:val="000000"/>
                      <w:spacing w:val="-1"/>
                    </w:rPr>
                    <w:t>n</w:t>
                  </w:r>
                  <w:r>
                    <w:rPr>
                      <w:rFonts w:cs="Georgia"/>
                      <w:color w:val="000000"/>
                      <w:spacing w:val="1"/>
                    </w:rPr>
                    <w:t>(</w:t>
                  </w:r>
                  <w:r>
                    <w:rPr>
                      <w:rFonts w:cs="Georgia"/>
                      <w:color w:val="000000"/>
                      <w:spacing w:val="-1"/>
                    </w:rPr>
                    <w:t>e</w:t>
                  </w:r>
                  <w:r>
                    <w:rPr>
                      <w:rFonts w:cs="Georgia"/>
                      <w:color w:val="000000"/>
                    </w:rPr>
                    <w:t>) i</w:t>
                  </w:r>
                  <w:r>
                    <w:rPr>
                      <w:rFonts w:cs="Georgia"/>
                      <w:color w:val="000000"/>
                      <w:spacing w:val="-1"/>
                    </w:rPr>
                    <w:t>n</w:t>
                  </w:r>
                  <w:r>
                    <w:rPr>
                      <w:rFonts w:cs="Georgia"/>
                      <w:color w:val="000000"/>
                      <w:spacing w:val="1"/>
                    </w:rPr>
                    <w:t>s</w:t>
                  </w:r>
                  <w:r>
                    <w:rPr>
                      <w:rFonts w:cs="Georgia"/>
                      <w:color w:val="000000"/>
                      <w:spacing w:val="-2"/>
                    </w:rPr>
                    <w:t>t</w:t>
                  </w:r>
                  <w:r>
                    <w:rPr>
                      <w:rFonts w:cs="Georgia"/>
                      <w:color w:val="000000"/>
                    </w:rPr>
                    <w:t>i</w:t>
                  </w:r>
                  <w:r>
                    <w:rPr>
                      <w:rFonts w:cs="Georgia"/>
                      <w:color w:val="000000"/>
                      <w:spacing w:val="1"/>
                    </w:rPr>
                    <w:t>t</w:t>
                  </w:r>
                  <w:r>
                    <w:rPr>
                      <w:rFonts w:cs="Georgia"/>
                      <w:color w:val="000000"/>
                      <w:spacing w:val="-2"/>
                    </w:rPr>
                    <w:t>u</w:t>
                  </w:r>
                  <w:r>
                    <w:rPr>
                      <w:rFonts w:cs="Georgia"/>
                      <w:color w:val="000000"/>
                      <w:spacing w:val="1"/>
                    </w:rPr>
                    <w:t>t</w:t>
                  </w:r>
                  <w:r>
                    <w:rPr>
                      <w:rFonts w:cs="Georgia"/>
                      <w:color w:val="000000"/>
                      <w:spacing w:val="-1"/>
                    </w:rPr>
                    <w:t>e</w:t>
                  </w:r>
                  <w:r>
                    <w:rPr>
                      <w:rFonts w:cs="Georgia"/>
                      <w:color w:val="000000"/>
                      <w:spacing w:val="-2"/>
                    </w:rPr>
                    <w:t>u</w:t>
                  </w:r>
                  <w:r>
                    <w:rPr>
                      <w:rFonts w:cs="Georgia"/>
                      <w:color w:val="000000"/>
                    </w:rPr>
                    <w:t xml:space="preserve">r </w:t>
                  </w:r>
                  <w:r>
                    <w:rPr>
                      <w:rFonts w:cs="Georgia"/>
                      <w:color w:val="000000"/>
                      <w:spacing w:val="1"/>
                    </w:rPr>
                    <w:t>(t</w:t>
                  </w:r>
                  <w:r>
                    <w:rPr>
                      <w:rFonts w:cs="Georgia"/>
                      <w:color w:val="000000"/>
                      <w:spacing w:val="-2"/>
                    </w:rPr>
                    <w:t>r</w:t>
                  </w:r>
                  <w:r>
                    <w:rPr>
                      <w:rFonts w:cs="Georgia"/>
                      <w:color w:val="000000"/>
                    </w:rPr>
                    <w:t>i</w:t>
                  </w:r>
                  <w:r>
                    <w:rPr>
                      <w:rFonts w:cs="Georgia"/>
                      <w:color w:val="000000"/>
                      <w:spacing w:val="1"/>
                    </w:rPr>
                    <w:t>c</w:t>
                  </w:r>
                  <w:r>
                    <w:rPr>
                      <w:rFonts w:cs="Georgia"/>
                      <w:color w:val="000000"/>
                      <w:spacing w:val="-1"/>
                    </w:rPr>
                    <w:t>e</w:t>
                  </w:r>
                  <w:r>
                    <w:rPr>
                      <w:rFonts w:cs="Georgia"/>
                      <w:color w:val="000000"/>
                    </w:rPr>
                    <w:t>)</w:t>
                  </w:r>
                  <w:r>
                    <w:rPr>
                      <w:rFonts w:cs="Georgia"/>
                      <w:color w:val="000000"/>
                      <w:spacing w:val="1"/>
                    </w:rPr>
                    <w:t xml:space="preserve"> </w:t>
                  </w:r>
                  <w:r>
                    <w:rPr>
                      <w:rFonts w:cs="Georgia"/>
                      <w:color w:val="000000"/>
                    </w:rPr>
                    <w:t>m</w:t>
                  </w:r>
                  <w:r>
                    <w:rPr>
                      <w:rFonts w:cs="Georgia"/>
                      <w:color w:val="000000"/>
                      <w:spacing w:val="-3"/>
                    </w:rPr>
                    <w:t>a</w:t>
                  </w:r>
                  <w:r>
                    <w:rPr>
                      <w:rFonts w:cs="Georgia"/>
                      <w:color w:val="000000"/>
                      <w:spacing w:val="1"/>
                    </w:rPr>
                    <w:t>t</w:t>
                  </w:r>
                  <w:r>
                    <w:rPr>
                      <w:rFonts w:cs="Georgia"/>
                      <w:color w:val="000000"/>
                      <w:spacing w:val="-1"/>
                    </w:rPr>
                    <w:t>e</w:t>
                  </w:r>
                  <w:r>
                    <w:rPr>
                      <w:rFonts w:cs="Georgia"/>
                      <w:color w:val="000000"/>
                      <w:spacing w:val="1"/>
                    </w:rPr>
                    <w:t>r</w:t>
                  </w:r>
                  <w:r>
                    <w:rPr>
                      <w:rFonts w:cs="Georgia"/>
                      <w:color w:val="000000"/>
                      <w:spacing w:val="-1"/>
                    </w:rPr>
                    <w:t>nel</w:t>
                  </w:r>
                  <w:r>
                    <w:rPr>
                      <w:rFonts w:cs="Georgia"/>
                      <w:color w:val="000000"/>
                      <w:spacing w:val="1"/>
                    </w:rPr>
                    <w:t>(</w:t>
                  </w:r>
                  <w:r>
                    <w:rPr>
                      <w:rFonts w:cs="Georgia"/>
                      <w:color w:val="000000"/>
                      <w:spacing w:val="-1"/>
                    </w:rPr>
                    <w:t>le</w:t>
                  </w:r>
                  <w:r>
                    <w:rPr>
                      <w:rFonts w:cs="Georgia"/>
                      <w:color w:val="000000"/>
                    </w:rPr>
                    <w:t>)</w:t>
                  </w:r>
                  <w:r>
                    <w:rPr>
                      <w:rFonts w:cs="Georgia"/>
                      <w:color w:val="000000"/>
                      <w:spacing w:val="1"/>
                    </w:rPr>
                    <w:t xml:space="preserve"> </w:t>
                  </w:r>
                  <w:r>
                    <w:rPr>
                      <w:rFonts w:cs="Georgia"/>
                      <w:color w:val="000000"/>
                      <w:spacing w:val="-1"/>
                    </w:rPr>
                    <w:t>a</w:t>
                  </w:r>
                  <w:r>
                    <w:rPr>
                      <w:rFonts w:cs="Georgia"/>
                      <w:color w:val="000000"/>
                    </w:rPr>
                    <w:t xml:space="preserve">u </w:t>
                  </w:r>
                  <w:r>
                    <w:rPr>
                      <w:rFonts w:cs="Georgia"/>
                      <w:color w:val="000000"/>
                      <w:spacing w:val="1"/>
                    </w:rPr>
                    <w:t>s</w:t>
                  </w:r>
                  <w:r>
                    <w:rPr>
                      <w:rFonts w:cs="Georgia"/>
                      <w:color w:val="000000"/>
                      <w:spacing w:val="-3"/>
                    </w:rPr>
                    <w:t>e</w:t>
                  </w:r>
                  <w:r>
                    <w:rPr>
                      <w:rFonts w:cs="Georgia"/>
                      <w:color w:val="000000"/>
                    </w:rPr>
                    <w:t>in</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w:t>
                  </w:r>
                  <w:r>
                    <w:rPr>
                      <w:rFonts w:cs="Georgia"/>
                      <w:color w:val="000000"/>
                      <w:spacing w:val="-1"/>
                    </w:rPr>
                    <w:t>é</w:t>
                  </w:r>
                  <w:r>
                    <w:rPr>
                      <w:rFonts w:cs="Georgia"/>
                      <w:color w:val="000000"/>
                      <w:spacing w:val="1"/>
                    </w:rPr>
                    <w:t>co</w:t>
                  </w:r>
                  <w:r>
                    <w:rPr>
                      <w:rFonts w:cs="Georgia"/>
                      <w:color w:val="000000"/>
                      <w:spacing w:val="-1"/>
                    </w:rPr>
                    <w:t xml:space="preserve">le. </w:t>
                  </w:r>
                </w:p>
                <w:p>
                  <w:pPr>
                    <w:widowControl w:val="0"/>
                    <w:autoSpaceDE w:val="0"/>
                    <w:autoSpaceDN w:val="0"/>
                    <w:adjustRightInd w:val="0"/>
                    <w:spacing w:line="250" w:lineRule="exact"/>
                    <w:ind w:right="47"/>
                    <w:jc w:val="both"/>
                    <w:rPr>
                      <w:rFonts w:cs="Georgia"/>
                      <w:color w:val="000000"/>
                      <w:spacing w:val="1"/>
                      <w:u w:val="single"/>
                    </w:rPr>
                  </w:pPr>
                </w:p>
                <w:p>
                  <w:pPr>
                    <w:pStyle w:val="Titre5"/>
                  </w:pPr>
                  <w:bookmarkStart w:id="1758" w:name="_2.4.2_Niveau_primaire"/>
                  <w:bookmarkEnd w:id="1758"/>
                  <w:r>
                    <w:t>2.4.2 Niveau primaire </w:t>
                  </w:r>
                </w:p>
                <w:p>
                  <w:pPr>
                    <w:widowControl w:val="0"/>
                    <w:tabs>
                      <w:tab w:val="left" w:pos="1180"/>
                    </w:tabs>
                    <w:autoSpaceDE w:val="0"/>
                    <w:autoSpaceDN w:val="0"/>
                    <w:adjustRightInd w:val="0"/>
                    <w:spacing w:line="248" w:lineRule="exact"/>
                    <w:ind w:right="-20"/>
                    <w:jc w:val="both"/>
                    <w:rPr>
                      <w:rFonts w:cs="Georgia"/>
                      <w:color w:val="000000"/>
                      <w:spacing w:val="2"/>
                    </w:rPr>
                  </w:pPr>
                </w:p>
                <w:p>
                  <w:pPr>
                    <w:widowControl w:val="0"/>
                    <w:pBdr>
                      <w:right w:val="single" w:sz="4" w:space="4" w:color="auto"/>
                    </w:pBdr>
                    <w:tabs>
                      <w:tab w:val="left" w:pos="1180"/>
                    </w:tabs>
                    <w:autoSpaceDE w:val="0"/>
                    <w:autoSpaceDN w:val="0"/>
                    <w:adjustRightInd w:val="0"/>
                    <w:spacing w:line="248" w:lineRule="exact"/>
                    <w:ind w:right="-20"/>
                    <w:jc w:val="both"/>
                    <w:rPr>
                      <w:rFonts w:cs="Georgia"/>
                      <w:color w:val="000000"/>
                    </w:rPr>
                  </w:pPr>
                  <w:r>
                    <w:rPr>
                      <w:rFonts w:cs="Georgia"/>
                      <w:color w:val="000000"/>
                      <w:spacing w:val="2"/>
                    </w:rPr>
                    <w:t>L</w:t>
                  </w:r>
                  <w:r>
                    <w:rPr>
                      <w:rFonts w:cs="Georgia"/>
                      <w:color w:val="000000"/>
                      <w:spacing w:val="-1"/>
                    </w:rPr>
                    <w:t>e</w:t>
                  </w:r>
                  <w:r>
                    <w:rPr>
                      <w:rFonts w:cs="Georgia"/>
                      <w:color w:val="000000"/>
                    </w:rPr>
                    <w:t>s</w:t>
                  </w:r>
                  <w:r>
                    <w:rPr>
                      <w:rFonts w:cs="Georgia"/>
                      <w:color w:val="000000"/>
                      <w:spacing w:val="22"/>
                    </w:rPr>
                    <w:t xml:space="preserve"> </w:t>
                  </w:r>
                  <w:r>
                    <w:rPr>
                      <w:rFonts w:cs="Georgia"/>
                      <w:color w:val="000000"/>
                    </w:rPr>
                    <w:t>i</w:t>
                  </w:r>
                  <w:r>
                    <w:rPr>
                      <w:rFonts w:cs="Georgia"/>
                      <w:color w:val="000000"/>
                      <w:spacing w:val="-1"/>
                    </w:rPr>
                    <w:t>n</w:t>
                  </w:r>
                  <w:r>
                    <w:rPr>
                      <w:rFonts w:cs="Georgia"/>
                      <w:color w:val="000000"/>
                      <w:spacing w:val="1"/>
                    </w:rPr>
                    <w:t>st</w:t>
                  </w:r>
                  <w:r>
                    <w:rPr>
                      <w:rFonts w:cs="Georgia"/>
                      <w:color w:val="000000"/>
                    </w:rPr>
                    <w:t>i</w:t>
                  </w:r>
                  <w:r>
                    <w:rPr>
                      <w:rFonts w:cs="Georgia"/>
                      <w:color w:val="000000"/>
                      <w:spacing w:val="1"/>
                    </w:rPr>
                    <w:t>t</w:t>
                  </w:r>
                  <w:r>
                    <w:rPr>
                      <w:rFonts w:cs="Georgia"/>
                      <w:color w:val="000000"/>
                    </w:rPr>
                    <w:t>u</w:t>
                  </w:r>
                  <w:r>
                    <w:rPr>
                      <w:rFonts w:cs="Georgia"/>
                      <w:color w:val="000000"/>
                      <w:spacing w:val="1"/>
                    </w:rPr>
                    <w:t>t</w:t>
                  </w:r>
                  <w:r>
                    <w:rPr>
                      <w:rFonts w:cs="Georgia"/>
                      <w:color w:val="000000"/>
                      <w:spacing w:val="-1"/>
                    </w:rPr>
                    <w:t>e</w:t>
                  </w:r>
                  <w:r>
                    <w:rPr>
                      <w:rFonts w:cs="Georgia"/>
                      <w:color w:val="000000"/>
                      <w:spacing w:val="-2"/>
                    </w:rPr>
                    <w:t>u</w:t>
                  </w:r>
                  <w:r>
                    <w:rPr>
                      <w:rFonts w:cs="Georgia"/>
                      <w:color w:val="000000"/>
                    </w:rPr>
                    <w:t>rs</w:t>
                  </w:r>
                  <w:r>
                    <w:rPr>
                      <w:rFonts w:cs="Georgia"/>
                      <w:color w:val="000000"/>
                      <w:spacing w:val="1"/>
                    </w:rPr>
                    <w:t xml:space="preserve"> </w:t>
                  </w:r>
                  <w:r>
                    <w:rPr>
                      <w:rFonts w:cs="Georgia"/>
                      <w:color w:val="000000"/>
                      <w:spacing w:val="-1"/>
                    </w:rPr>
                    <w:t>p</w:t>
                  </w:r>
                  <w:r>
                    <w:rPr>
                      <w:rFonts w:cs="Georgia"/>
                      <w:color w:val="000000"/>
                      <w:spacing w:val="-2"/>
                    </w:rPr>
                    <w:t>r</w:t>
                  </w:r>
                  <w:r>
                    <w:rPr>
                      <w:rFonts w:cs="Georgia"/>
                      <w:color w:val="000000"/>
                    </w:rPr>
                    <w:t>im</w:t>
                  </w:r>
                  <w:r>
                    <w:rPr>
                      <w:rFonts w:cs="Georgia"/>
                      <w:color w:val="000000"/>
                      <w:spacing w:val="-1"/>
                    </w:rPr>
                    <w:t>a</w:t>
                  </w:r>
                  <w:r>
                    <w:rPr>
                      <w:rFonts w:cs="Georgia"/>
                      <w:color w:val="000000"/>
                    </w:rPr>
                    <w:t>i</w:t>
                  </w:r>
                  <w:r>
                    <w:rPr>
                      <w:rFonts w:cs="Georgia"/>
                      <w:color w:val="000000"/>
                      <w:spacing w:val="1"/>
                    </w:rPr>
                    <w:t>r</w:t>
                  </w:r>
                  <w:r>
                    <w:rPr>
                      <w:rFonts w:cs="Georgia"/>
                      <w:color w:val="000000"/>
                      <w:spacing w:val="-1"/>
                    </w:rPr>
                    <w:t>e</w:t>
                  </w:r>
                  <w:r>
                    <w:rPr>
                      <w:rFonts w:cs="Georgia"/>
                      <w:color w:val="000000"/>
                    </w:rPr>
                    <w:t>s</w:t>
                  </w:r>
                  <w:r>
                    <w:rPr>
                      <w:rFonts w:cs="Georgia"/>
                      <w:color w:val="000000"/>
                      <w:spacing w:val="22"/>
                    </w:rPr>
                    <w:t xml:space="preserve"> </w:t>
                  </w:r>
                  <w:r>
                    <w:rPr>
                      <w:rFonts w:cs="Georgia"/>
                      <w:color w:val="000000"/>
                      <w:spacing w:val="-1"/>
                    </w:rPr>
                    <w:t>e</w:t>
                  </w:r>
                  <w:r>
                    <w:rPr>
                      <w:rFonts w:cs="Georgia"/>
                      <w:color w:val="000000"/>
                    </w:rPr>
                    <w:t>t</w:t>
                  </w:r>
                  <w:r>
                    <w:rPr>
                      <w:rFonts w:cs="Georgia"/>
                      <w:color w:val="000000"/>
                      <w:spacing w:val="22"/>
                    </w:rPr>
                    <w:t xml:space="preserve"> </w:t>
                  </w:r>
                  <w:r>
                    <w:rPr>
                      <w:rFonts w:cs="Georgia"/>
                      <w:color w:val="000000"/>
                      <w:spacing w:val="-1"/>
                    </w:rPr>
                    <w:t>le</w:t>
                  </w:r>
                  <w:r>
                    <w:rPr>
                      <w:rFonts w:cs="Georgia"/>
                      <w:color w:val="000000"/>
                    </w:rPr>
                    <w:t>s</w:t>
                  </w:r>
                  <w:r>
                    <w:rPr>
                      <w:rFonts w:cs="Georgia"/>
                      <w:color w:val="000000"/>
                      <w:spacing w:val="22"/>
                    </w:rPr>
                    <w:t xml:space="preserve"> </w:t>
                  </w:r>
                  <w:r>
                    <w:rPr>
                      <w:rFonts w:cs="Georgia"/>
                      <w:color w:val="000000"/>
                      <w:spacing w:val="-1"/>
                    </w:rPr>
                    <w:t>a</w:t>
                  </w:r>
                  <w:r>
                    <w:rPr>
                      <w:rFonts w:cs="Georgia"/>
                      <w:color w:val="000000"/>
                    </w:rPr>
                    <w:t>u</w:t>
                  </w:r>
                  <w:r>
                    <w:rPr>
                      <w:rFonts w:cs="Georgia"/>
                      <w:color w:val="000000"/>
                      <w:spacing w:val="1"/>
                    </w:rPr>
                    <w:t>tr</w:t>
                  </w:r>
                  <w:r>
                    <w:rPr>
                      <w:rFonts w:cs="Georgia"/>
                      <w:color w:val="000000"/>
                      <w:spacing w:val="-1"/>
                    </w:rPr>
                    <w:t>e</w:t>
                  </w:r>
                  <w:r>
                    <w:rPr>
                      <w:rFonts w:cs="Georgia"/>
                      <w:color w:val="000000"/>
                    </w:rPr>
                    <w:t>s</w:t>
                  </w:r>
                  <w:r>
                    <w:rPr>
                      <w:rFonts w:cs="Georgia"/>
                      <w:color w:val="000000"/>
                      <w:spacing w:val="22"/>
                    </w:rPr>
                    <w:t xml:space="preserve"> </w:t>
                  </w:r>
                  <w:r>
                    <w:rPr>
                      <w:rFonts w:cs="Georgia"/>
                      <w:color w:val="000000"/>
                    </w:rPr>
                    <w:t>m</w:t>
                  </w:r>
                  <w:r>
                    <w:rPr>
                      <w:rFonts w:cs="Georgia"/>
                      <w:color w:val="000000"/>
                      <w:spacing w:val="-1"/>
                    </w:rPr>
                    <w:t>a</w:t>
                  </w:r>
                  <w:r>
                    <w:rPr>
                      <w:rFonts w:cs="Georgia"/>
                      <w:color w:val="000000"/>
                    </w:rPr>
                    <w:t>î</w:t>
                  </w:r>
                  <w:r>
                    <w:rPr>
                      <w:rFonts w:cs="Georgia"/>
                      <w:color w:val="000000"/>
                      <w:spacing w:val="1"/>
                    </w:rPr>
                    <w:t>tr</w:t>
                  </w:r>
                  <w:r>
                    <w:rPr>
                      <w:rFonts w:cs="Georgia"/>
                      <w:color w:val="000000"/>
                      <w:spacing w:val="-1"/>
                    </w:rPr>
                    <w:t>e</w:t>
                  </w:r>
                  <w:r>
                    <w:rPr>
                      <w:rFonts w:cs="Georgia"/>
                      <w:color w:val="000000"/>
                    </w:rPr>
                    <w:t>s</w:t>
                  </w:r>
                  <w:r>
                    <w:rPr>
                      <w:rFonts w:cs="Georgia"/>
                      <w:color w:val="000000"/>
                      <w:spacing w:val="22"/>
                    </w:rPr>
                    <w:t xml:space="preserve"> </w:t>
                  </w:r>
                  <w:r>
                    <w:rPr>
                      <w:rFonts w:cs="Georgia"/>
                      <w:color w:val="000000"/>
                    </w:rPr>
                    <w:t>du</w:t>
                  </w:r>
                  <w:r>
                    <w:rPr>
                      <w:rFonts w:cs="Georgia"/>
                      <w:color w:val="000000"/>
                      <w:spacing w:val="22"/>
                    </w:rPr>
                    <w:t xml:space="preserve"> </w:t>
                  </w:r>
                  <w:r>
                    <w:rPr>
                      <w:rFonts w:cs="Georgia"/>
                      <w:color w:val="000000"/>
                      <w:spacing w:val="-2"/>
                    </w:rPr>
                    <w:t>f</w:t>
                  </w:r>
                  <w:r>
                    <w:rPr>
                      <w:rFonts w:cs="Georgia"/>
                      <w:color w:val="000000"/>
                      <w:spacing w:val="1"/>
                    </w:rPr>
                    <w:t>o</w:t>
                  </w:r>
                  <w:r>
                    <w:rPr>
                      <w:rFonts w:cs="Georgia"/>
                      <w:color w:val="000000"/>
                      <w:spacing w:val="-1"/>
                    </w:rPr>
                    <w:t>n</w:t>
                  </w:r>
                  <w:r>
                    <w:rPr>
                      <w:rFonts w:cs="Georgia"/>
                      <w:color w:val="000000"/>
                    </w:rPr>
                    <w:t>d</w:t>
                  </w:r>
                  <w:r>
                    <w:rPr>
                      <w:rFonts w:cs="Georgia"/>
                      <w:color w:val="000000"/>
                      <w:spacing w:val="-1"/>
                    </w:rPr>
                    <w:t>a</w:t>
                  </w:r>
                  <w:r>
                    <w:rPr>
                      <w:rFonts w:cs="Georgia"/>
                      <w:color w:val="000000"/>
                    </w:rPr>
                    <w:t>m</w:t>
                  </w:r>
                  <w:r>
                    <w:rPr>
                      <w:rFonts w:cs="Georgia"/>
                      <w:color w:val="000000"/>
                      <w:spacing w:val="-1"/>
                    </w:rPr>
                    <w:t>en</w:t>
                  </w:r>
                  <w:r>
                    <w:rPr>
                      <w:rFonts w:cs="Georgia"/>
                      <w:color w:val="000000"/>
                      <w:spacing w:val="1"/>
                    </w:rPr>
                    <w:t>t</w:t>
                  </w:r>
                  <w:r>
                    <w:rPr>
                      <w:rFonts w:cs="Georgia"/>
                      <w:color w:val="000000"/>
                      <w:spacing w:val="-2"/>
                    </w:rPr>
                    <w:t>a</w:t>
                  </w:r>
                  <w:r>
                    <w:rPr>
                      <w:rFonts w:cs="Georgia"/>
                      <w:color w:val="000000"/>
                    </w:rPr>
                    <w:t>l</w:t>
                  </w:r>
                  <w:r>
                    <w:rPr>
                      <w:rFonts w:cs="Georgia"/>
                      <w:color w:val="000000"/>
                      <w:spacing w:val="21"/>
                    </w:rPr>
                    <w:t xml:space="preserve"> </w:t>
                  </w:r>
                  <w:r>
                    <w:rPr>
                      <w:rFonts w:cs="Georgia"/>
                      <w:color w:val="000000"/>
                    </w:rPr>
                    <w:t>d</w:t>
                  </w:r>
                  <w:r>
                    <w:rPr>
                      <w:rFonts w:cs="Georgia"/>
                      <w:color w:val="000000"/>
                      <w:spacing w:val="1"/>
                    </w:rPr>
                    <w:t>o</w:t>
                  </w:r>
                  <w:r>
                    <w:rPr>
                      <w:rFonts w:cs="Georgia"/>
                      <w:color w:val="000000"/>
                      <w:spacing w:val="-2"/>
                    </w:rPr>
                    <w:t>i</w:t>
                  </w:r>
                  <w:r>
                    <w:rPr>
                      <w:rFonts w:cs="Georgia"/>
                      <w:color w:val="000000"/>
                      <w:spacing w:val="1"/>
                    </w:rPr>
                    <w:t>v</w:t>
                  </w:r>
                  <w:r>
                    <w:rPr>
                      <w:rFonts w:cs="Georgia"/>
                      <w:color w:val="000000"/>
                      <w:spacing w:val="-1"/>
                    </w:rPr>
                    <w:t>en</w:t>
                  </w:r>
                  <w:r>
                    <w:rPr>
                      <w:rFonts w:cs="Georgia"/>
                      <w:color w:val="000000"/>
                    </w:rPr>
                    <w:t>t</w:t>
                  </w:r>
                  <w:r>
                    <w:rPr>
                      <w:rFonts w:cs="Georgia"/>
                      <w:color w:val="000000"/>
                      <w:spacing w:val="22"/>
                    </w:rPr>
                    <w:t xml:space="preserve"> </w:t>
                  </w:r>
                  <w:r>
                    <w:rPr>
                      <w:rFonts w:cs="Georgia"/>
                      <w:color w:val="000000"/>
                      <w:spacing w:val="1"/>
                    </w:rPr>
                    <w:t>pr</w:t>
                  </w:r>
                  <w:r>
                    <w:rPr>
                      <w:rFonts w:cs="Georgia"/>
                      <w:color w:val="000000"/>
                      <w:spacing w:val="-1"/>
                    </w:rPr>
                    <w:t>e</w:t>
                  </w:r>
                  <w:r>
                    <w:rPr>
                      <w:rFonts w:cs="Georgia"/>
                      <w:color w:val="000000"/>
                      <w:spacing w:val="1"/>
                    </w:rPr>
                    <w:t>st</w:t>
                  </w:r>
                  <w:r>
                    <w:rPr>
                      <w:rFonts w:cs="Georgia"/>
                      <w:color w:val="000000"/>
                      <w:spacing w:val="-3"/>
                    </w:rPr>
                    <w:t>e</w:t>
                  </w:r>
                  <w:r>
                    <w:rPr>
                      <w:rFonts w:cs="Georgia"/>
                      <w:color w:val="000000"/>
                    </w:rPr>
                    <w:t xml:space="preserve">r </w:t>
                  </w:r>
                  <w:r>
                    <w:rPr>
                      <w:rFonts w:cs="Georgia"/>
                      <w:color w:val="000000"/>
                      <w:spacing w:val="-1"/>
                    </w:rPr>
                    <w:t>22</w:t>
                  </w:r>
                  <w:r>
                    <w:rPr>
                      <w:rFonts w:cs="Georgia"/>
                      <w:color w:val="000000"/>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hebdomadaires de travail en classe p</w:t>
                  </w:r>
                  <w:r>
                    <w:rPr>
                      <w:rFonts w:cs="Georgia"/>
                      <w:color w:val="000000"/>
                      <w:spacing w:val="1"/>
                    </w:rPr>
                    <w:t>o</w:t>
                  </w:r>
                  <w:r>
                    <w:rPr>
                      <w:rFonts w:cs="Georgia"/>
                      <w:color w:val="000000"/>
                      <w:spacing w:val="-2"/>
                    </w:rPr>
                    <w:t>u</w:t>
                  </w:r>
                  <w:r>
                    <w:rPr>
                      <w:rFonts w:cs="Georgia"/>
                      <w:color w:val="000000"/>
                    </w:rPr>
                    <w:t xml:space="preserve">r </w:t>
                  </w:r>
                  <w:r>
                    <w:rPr>
                      <w:rFonts w:cs="Georgia"/>
                      <w:color w:val="000000"/>
                      <w:spacing w:val="-1"/>
                    </w:rPr>
                    <w:t>a</w:t>
                  </w:r>
                  <w:r>
                    <w:rPr>
                      <w:rFonts w:cs="Georgia"/>
                      <w:color w:val="000000"/>
                      <w:spacing w:val="1"/>
                    </w:rPr>
                    <w:t>vo</w:t>
                  </w:r>
                  <w:r>
                    <w:rPr>
                      <w:rFonts w:cs="Georgia"/>
                      <w:color w:val="000000"/>
                      <w:spacing w:val="-2"/>
                    </w:rPr>
                    <w:t>i</w:t>
                  </w:r>
                  <w:r>
                    <w:rPr>
                      <w:rFonts w:cs="Georgia"/>
                      <w:color w:val="000000"/>
                    </w:rPr>
                    <w:t>r 1</w:t>
                  </w:r>
                  <w:r>
                    <w:rPr>
                      <w:rFonts w:cs="Georgia"/>
                      <w:color w:val="000000"/>
                      <w:spacing w:val="-2"/>
                    </w:rPr>
                    <w:t xml:space="preserve"> </w:t>
                  </w:r>
                  <w:r>
                    <w:rPr>
                      <w:rFonts w:cs="Georgia"/>
                      <w:color w:val="000000"/>
                      <w:spacing w:val="1"/>
                    </w:rPr>
                    <w:t>ch</w:t>
                  </w:r>
                  <w:r>
                    <w:rPr>
                      <w:rFonts w:cs="Georgia"/>
                      <w:color w:val="000000"/>
                      <w:spacing w:val="-1"/>
                    </w:rPr>
                    <w:t>a</w:t>
                  </w:r>
                  <w:r>
                    <w:rPr>
                      <w:rFonts w:cs="Georgia"/>
                      <w:color w:val="000000"/>
                      <w:spacing w:val="-2"/>
                    </w:rPr>
                    <w:t>r</w:t>
                  </w:r>
                  <w:r>
                    <w:rPr>
                      <w:rFonts w:cs="Georgia"/>
                      <w:color w:val="000000"/>
                    </w:rPr>
                    <w:t>ge</w:t>
                  </w:r>
                  <w:r>
                    <w:rPr>
                      <w:rFonts w:cs="Georgia"/>
                      <w:color w:val="000000"/>
                      <w:spacing w:val="-1"/>
                    </w:rPr>
                    <w:t xml:space="preserve"> </w:t>
                  </w:r>
                  <w:r>
                    <w:rPr>
                      <w:rFonts w:cs="Georgia"/>
                      <w:color w:val="000000"/>
                      <w:spacing w:val="-2"/>
                    </w:rPr>
                    <w:t>c</w:t>
                  </w:r>
                  <w:r>
                    <w:rPr>
                      <w:rFonts w:cs="Georgia"/>
                      <w:color w:val="000000"/>
                      <w:spacing w:val="1"/>
                    </w:rPr>
                    <w:t>o</w:t>
                  </w:r>
                  <w:r>
                    <w:rPr>
                      <w:rFonts w:cs="Georgia"/>
                      <w:color w:val="000000"/>
                    </w:rPr>
                    <w:t>m</w:t>
                  </w:r>
                  <w:r>
                    <w:rPr>
                      <w:rFonts w:cs="Georgia"/>
                      <w:color w:val="000000"/>
                      <w:spacing w:val="1"/>
                    </w:rPr>
                    <w:t>p</w:t>
                  </w:r>
                  <w:r>
                    <w:rPr>
                      <w:rFonts w:cs="Georgia"/>
                      <w:color w:val="000000"/>
                      <w:spacing w:val="-1"/>
                    </w:rPr>
                    <w:t>lè</w:t>
                  </w:r>
                  <w:r>
                    <w:rPr>
                      <w:rFonts w:cs="Georgia"/>
                      <w:color w:val="000000"/>
                      <w:spacing w:val="1"/>
                    </w:rPr>
                    <w:t>t</w:t>
                  </w:r>
                  <w:r>
                    <w:rPr>
                      <w:rFonts w:cs="Georgia"/>
                      <w:color w:val="000000"/>
                      <w:spacing w:val="-1"/>
                    </w:rPr>
                    <w:t>e.</w:t>
                  </w:r>
                </w:p>
                <w:p>
                  <w:pPr>
                    <w:widowControl w:val="0"/>
                    <w:autoSpaceDE w:val="0"/>
                    <w:autoSpaceDN w:val="0"/>
                    <w:adjustRightInd w:val="0"/>
                    <w:spacing w:line="250" w:lineRule="exact"/>
                    <w:ind w:right="-20"/>
                    <w:jc w:val="both"/>
                    <w:rPr>
                      <w:rFonts w:cs="Georgia"/>
                      <w:color w:val="000000"/>
                      <w:spacing w:val="1"/>
                      <w:u w:val="single"/>
                    </w:rPr>
                  </w:pPr>
                </w:p>
                <w:p>
                  <w:pPr>
                    <w:pStyle w:val="Titre5"/>
                  </w:pPr>
                  <w:r>
                    <w:t xml:space="preserve">2.4.3 Enseignement individualisé  </w:t>
                  </w:r>
                </w:p>
                <w:p>
                  <w:pPr>
                    <w:widowControl w:val="0"/>
                    <w:autoSpaceDE w:val="0"/>
                    <w:autoSpaceDN w:val="0"/>
                    <w:adjustRightInd w:val="0"/>
                    <w:spacing w:line="250" w:lineRule="exact"/>
                    <w:ind w:right="-20"/>
                    <w:jc w:val="both"/>
                    <w:rPr>
                      <w:rFonts w:cs="Georgia"/>
                      <w:color w:val="000000"/>
                      <w:spacing w:val="1"/>
                    </w:rPr>
                  </w:pPr>
                </w:p>
                <w:p>
                  <w:pPr>
                    <w:widowControl w:val="0"/>
                    <w:autoSpaceDE w:val="0"/>
                    <w:autoSpaceDN w:val="0"/>
                    <w:adjustRightInd w:val="0"/>
                    <w:spacing w:line="250" w:lineRule="exact"/>
                    <w:ind w:right="-20"/>
                    <w:jc w:val="both"/>
                    <w:rPr>
                      <w:rFonts w:cs="Georgia"/>
                      <w:b/>
                      <w:color w:val="000000"/>
                      <w:u w:val="single"/>
                    </w:rPr>
                  </w:pPr>
                  <w:r>
                    <w:rPr>
                      <w:rFonts w:cs="Georgia"/>
                      <w:color w:val="000000"/>
                      <w:spacing w:val="1"/>
                    </w:rPr>
                    <w:t>L</w:t>
                  </w:r>
                  <w:r>
                    <w:rPr>
                      <w:rFonts w:cs="Georgia"/>
                      <w:color w:val="000000"/>
                    </w:rPr>
                    <w:t>'</w:t>
                  </w:r>
                  <w:r>
                    <w:rPr>
                      <w:rFonts w:cs="Georgia"/>
                      <w:color w:val="000000"/>
                      <w:spacing w:val="-1"/>
                    </w:rPr>
                    <w:t>a</w:t>
                  </w:r>
                  <w:r>
                    <w:rPr>
                      <w:rFonts w:cs="Georgia"/>
                      <w:color w:val="000000"/>
                    </w:rPr>
                    <w:t>c</w:t>
                  </w:r>
                  <w:r>
                    <w:rPr>
                      <w:rFonts w:cs="Georgia"/>
                      <w:color w:val="000000"/>
                      <w:spacing w:val="-2"/>
                    </w:rPr>
                    <w:t>c</w:t>
                  </w:r>
                  <w:r>
                    <w:rPr>
                      <w:rFonts w:cs="Georgia"/>
                      <w:color w:val="000000"/>
                    </w:rPr>
                    <w:t>u</w:t>
                  </w:r>
                  <w:r>
                    <w:rPr>
                      <w:rFonts w:cs="Georgia"/>
                      <w:color w:val="000000"/>
                      <w:spacing w:val="-1"/>
                    </w:rPr>
                    <w:t>e</w:t>
                  </w:r>
                  <w:r>
                    <w:rPr>
                      <w:rFonts w:cs="Georgia"/>
                      <w:color w:val="000000"/>
                    </w:rPr>
                    <w:t>i</w:t>
                  </w:r>
                  <w:r>
                    <w:rPr>
                      <w:rFonts w:cs="Georgia"/>
                      <w:color w:val="000000"/>
                      <w:spacing w:val="-1"/>
                    </w:rPr>
                    <w:t>l</w:t>
                  </w:r>
                  <w:r>
                    <w:rPr>
                      <w:rFonts w:cs="Georgia"/>
                      <w:color w:val="000000"/>
                    </w:rPr>
                    <w:t xml:space="preserve">, </w:t>
                  </w:r>
                  <w:r>
                    <w:rPr>
                      <w:rFonts w:cs="Georgia"/>
                      <w:color w:val="000000"/>
                      <w:spacing w:val="-1"/>
                    </w:rPr>
                    <w:t>l</w:t>
                  </w:r>
                  <w:r>
                    <w:rPr>
                      <w:rFonts w:cs="Georgia"/>
                      <w:color w:val="000000"/>
                    </w:rPr>
                    <w:t>'</w:t>
                  </w:r>
                  <w:r>
                    <w:rPr>
                      <w:rFonts w:cs="Georgia"/>
                      <w:color w:val="000000"/>
                      <w:spacing w:val="-1"/>
                    </w:rPr>
                    <w:t>o</w:t>
                  </w:r>
                  <w:r>
                    <w:rPr>
                      <w:rFonts w:cs="Georgia"/>
                      <w:color w:val="000000"/>
                      <w:spacing w:val="1"/>
                    </w:rPr>
                    <w:t>bs</w:t>
                  </w:r>
                  <w:r>
                    <w:rPr>
                      <w:rFonts w:cs="Georgia"/>
                      <w:color w:val="000000"/>
                      <w:spacing w:val="-1"/>
                    </w:rPr>
                    <w:t>e</w:t>
                  </w:r>
                  <w:r>
                    <w:rPr>
                      <w:rFonts w:cs="Georgia"/>
                      <w:color w:val="000000"/>
                      <w:spacing w:val="-2"/>
                    </w:rPr>
                    <w:t>r</w:t>
                  </w:r>
                  <w:r>
                    <w:rPr>
                      <w:rFonts w:cs="Georgia"/>
                      <w:color w:val="000000"/>
                      <w:spacing w:val="1"/>
                    </w:rPr>
                    <w:t>v</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e</w:t>
                  </w:r>
                  <w:r>
                    <w:rPr>
                      <w:rFonts w:cs="Georgia"/>
                      <w:color w:val="000000"/>
                    </w:rPr>
                    <w:t xml:space="preserve">t </w:t>
                  </w:r>
                  <w:r>
                    <w:rPr>
                      <w:rFonts w:cs="Georgia"/>
                      <w:color w:val="000000"/>
                      <w:spacing w:val="-1"/>
                    </w:rPr>
                    <w:t>l</w:t>
                  </w:r>
                  <w:r>
                    <w:rPr>
                      <w:rFonts w:cs="Georgia"/>
                      <w:color w:val="000000"/>
                    </w:rPr>
                    <w:t>'</w:t>
                  </w:r>
                  <w:r>
                    <w:rPr>
                      <w:rFonts w:cs="Georgia"/>
                      <w:color w:val="000000"/>
                      <w:spacing w:val="-1"/>
                    </w:rPr>
                    <w:t>a</w:t>
                  </w:r>
                  <w:r>
                    <w:rPr>
                      <w:rFonts w:cs="Georgia"/>
                      <w:color w:val="000000"/>
                    </w:rPr>
                    <w:t>cc</w:t>
                  </w:r>
                  <w:r>
                    <w:rPr>
                      <w:rFonts w:cs="Georgia"/>
                      <w:color w:val="000000"/>
                      <w:spacing w:val="1"/>
                    </w:rPr>
                    <w:t>o</w:t>
                  </w:r>
                  <w:r>
                    <w:rPr>
                      <w:rFonts w:cs="Georgia"/>
                      <w:color w:val="000000"/>
                      <w:spacing w:val="-3"/>
                    </w:rPr>
                    <w:t>m</w:t>
                  </w:r>
                  <w:r>
                    <w:rPr>
                      <w:rFonts w:cs="Georgia"/>
                      <w:color w:val="000000"/>
                      <w:spacing w:val="1"/>
                    </w:rPr>
                    <w:t>p</w:t>
                  </w:r>
                  <w:r>
                    <w:rPr>
                      <w:rFonts w:cs="Georgia"/>
                      <w:color w:val="000000"/>
                      <w:spacing w:val="-1"/>
                    </w:rPr>
                    <w:t>a</w:t>
                  </w:r>
                  <w:r>
                    <w:rPr>
                      <w:rFonts w:cs="Georgia"/>
                      <w:color w:val="000000"/>
                    </w:rPr>
                    <w:t>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p</w:t>
                  </w:r>
                  <w:r>
                    <w:rPr>
                      <w:rFonts w:cs="Georgia"/>
                      <w:color w:val="000000"/>
                      <w:spacing w:val="1"/>
                    </w:rPr>
                    <w:t>or</w:t>
                  </w:r>
                  <w:r>
                    <w:rPr>
                      <w:rFonts w:cs="Georgia"/>
                      <w:color w:val="000000"/>
                      <w:spacing w:val="-1"/>
                    </w:rPr>
                    <w:t>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 xml:space="preserve">s </w:t>
                  </w:r>
                  <w:r>
                    <w:rPr>
                      <w:rFonts w:cs="Georgia"/>
                      <w:color w:val="000000"/>
                      <w:spacing w:val="-3"/>
                    </w:rPr>
                    <w:t>n</w:t>
                  </w:r>
                  <w:r>
                    <w:rPr>
                      <w:rFonts w:cs="Georgia"/>
                      <w:color w:val="000000"/>
                      <w:spacing w:val="2"/>
                    </w:rPr>
                    <w:t>o</w:t>
                  </w:r>
                  <w:r>
                    <w:rPr>
                      <w:rFonts w:cs="Georgia"/>
                      <w:color w:val="000000"/>
                    </w:rPr>
                    <w:t>u</w:t>
                  </w:r>
                  <w:r>
                    <w:rPr>
                      <w:rFonts w:cs="Georgia"/>
                      <w:color w:val="000000"/>
                      <w:spacing w:val="1"/>
                    </w:rPr>
                    <w:t>v</w:t>
                  </w:r>
                  <w:r>
                    <w:rPr>
                      <w:rFonts w:cs="Georgia"/>
                      <w:color w:val="000000"/>
                      <w:spacing w:val="-1"/>
                    </w:rPr>
                    <w:t>ea</w:t>
                  </w:r>
                  <w:r>
                    <w:rPr>
                      <w:rFonts w:cs="Georgia"/>
                      <w:color w:val="000000"/>
                    </w:rPr>
                    <w:t>ux</w:t>
                  </w:r>
                  <w:r>
                    <w:rPr>
                      <w:rFonts w:cs="Georgia"/>
                      <w:color w:val="000000"/>
                      <w:spacing w:val="-1"/>
                    </w:rPr>
                    <w:t xml:space="preserve"> élè</w:t>
                  </w:r>
                  <w:r>
                    <w:rPr>
                      <w:rFonts w:cs="Georgia"/>
                      <w:color w:val="000000"/>
                      <w:spacing w:val="1"/>
                    </w:rPr>
                    <w:t>v</w:t>
                  </w:r>
                  <w:r>
                    <w:rPr>
                      <w:rFonts w:cs="Georgia"/>
                      <w:color w:val="000000"/>
                      <w:spacing w:val="-1"/>
                    </w:rPr>
                    <w:t>e</w:t>
                  </w:r>
                  <w:r>
                    <w:rPr>
                      <w:rFonts w:cs="Georgia"/>
                      <w:color w:val="000000"/>
                    </w:rPr>
                    <w:t xml:space="preserve">s </w:t>
                  </w:r>
                  <w:r>
                    <w:rPr>
                      <w:rFonts w:cs="Georgia"/>
                      <w:color w:val="000000"/>
                      <w:spacing w:val="1"/>
                    </w:rPr>
                    <w:t>o</w:t>
                  </w:r>
                  <w:r>
                    <w:rPr>
                      <w:rFonts w:cs="Georgia"/>
                      <w:color w:val="000000"/>
                    </w:rPr>
                    <w:t>u d</w:t>
                  </w:r>
                  <w:r>
                    <w:rPr>
                      <w:rFonts w:cs="Georgia"/>
                      <w:color w:val="000000"/>
                      <w:spacing w:val="-1"/>
                    </w:rPr>
                    <w:t>e</w:t>
                  </w:r>
                  <w:r>
                    <w:rPr>
                      <w:rFonts w:cs="Georgia"/>
                      <w:color w:val="000000"/>
                    </w:rPr>
                    <w:t xml:space="preserve">s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 xml:space="preserve">s </w:t>
                  </w:r>
                  <w:r>
                    <w:rPr>
                      <w:rFonts w:cs="Georgia"/>
                      <w:color w:val="000000"/>
                      <w:spacing w:val="-1"/>
                    </w:rPr>
                    <w:t>q</w:t>
                  </w:r>
                  <w:r>
                    <w:rPr>
                      <w:rFonts w:cs="Georgia"/>
                      <w:color w:val="000000"/>
                    </w:rPr>
                    <w:t xml:space="preserve">ui </w:t>
                  </w:r>
                  <w:r>
                    <w:rPr>
                      <w:rFonts w:cs="Georgia"/>
                      <w:color w:val="000000"/>
                      <w:spacing w:val="-1"/>
                    </w:rPr>
                    <w:t>o</w:t>
                  </w:r>
                  <w:r>
                    <w:rPr>
                      <w:rFonts w:cs="Georgia"/>
                      <w:color w:val="000000"/>
                      <w:spacing w:val="-3"/>
                    </w:rPr>
                    <w:t>n</w:t>
                  </w:r>
                  <w:r>
                    <w:rPr>
                      <w:rFonts w:cs="Georgia"/>
                      <w:color w:val="000000"/>
                    </w:rPr>
                    <w:t xml:space="preserve">t </w:t>
                  </w:r>
                  <w:r>
                    <w:rPr>
                      <w:rFonts w:cs="Georgia"/>
                      <w:color w:val="000000"/>
                      <w:spacing w:val="1"/>
                    </w:rPr>
                    <w:t>b</w:t>
                  </w:r>
                  <w:r>
                    <w:rPr>
                      <w:rFonts w:cs="Georgia"/>
                      <w:color w:val="000000"/>
                      <w:spacing w:val="-1"/>
                    </w:rPr>
                    <w:t>e</w:t>
                  </w:r>
                  <w:r>
                    <w:rPr>
                      <w:rFonts w:cs="Georgia"/>
                      <w:color w:val="000000"/>
                      <w:spacing w:val="1"/>
                    </w:rPr>
                    <w:t>so</w:t>
                  </w:r>
                  <w:r>
                    <w:rPr>
                      <w:rFonts w:cs="Georgia"/>
                      <w:color w:val="000000"/>
                    </w:rPr>
                    <w:t>in</w:t>
                  </w:r>
                  <w:r>
                    <w:rPr>
                      <w:rFonts w:cs="Georgia"/>
                      <w:color w:val="000000"/>
                      <w:spacing w:val="3"/>
                    </w:rPr>
                    <w:t xml:space="preserve"> </w:t>
                  </w:r>
                  <w:r>
                    <w:rPr>
                      <w:rFonts w:cs="Georgia"/>
                      <w:color w:val="000000"/>
                      <w:spacing w:val="-2"/>
                    </w:rPr>
                    <w:t>d</w:t>
                  </w:r>
                  <w:r>
                    <w:rPr>
                      <w:rFonts w:cs="Georgia"/>
                      <w:color w:val="000000"/>
                      <w:spacing w:val="1"/>
                    </w:rPr>
                    <w:t>'</w:t>
                  </w:r>
                  <w:r>
                    <w:rPr>
                      <w:rFonts w:cs="Georgia"/>
                      <w:color w:val="000000"/>
                    </w:rPr>
                    <w:t>u</w:t>
                  </w:r>
                  <w:r>
                    <w:rPr>
                      <w:rFonts w:cs="Georgia"/>
                      <w:color w:val="000000"/>
                      <w:spacing w:val="-1"/>
                    </w:rPr>
                    <w:t>n</w:t>
                  </w:r>
                  <w:r>
                    <w:rPr>
                      <w:rFonts w:cs="Georgia"/>
                      <w:color w:val="000000"/>
                    </w:rPr>
                    <w:t>e</w:t>
                  </w:r>
                  <w:r>
                    <w:rPr>
                      <w:rFonts w:cs="Georgia"/>
                      <w:color w:val="000000"/>
                      <w:spacing w:val="2"/>
                    </w:rPr>
                    <w:t xml:space="preserve"> </w:t>
                  </w:r>
                  <w:r>
                    <w:rPr>
                      <w:rFonts w:cs="Georgia"/>
                      <w:color w:val="000000"/>
                      <w:spacing w:val="-1"/>
                    </w:rPr>
                    <w:t>a</w:t>
                  </w:r>
                  <w:r>
                    <w:rPr>
                      <w:rFonts w:cs="Georgia"/>
                      <w:color w:val="000000"/>
                    </w:rPr>
                    <w:t>ide</w:t>
                  </w:r>
                  <w:r>
                    <w:rPr>
                      <w:rFonts w:cs="Georgia"/>
                      <w:color w:val="000000"/>
                      <w:spacing w:val="2"/>
                    </w:rPr>
                    <w:t xml:space="preserve"> </w:t>
                  </w:r>
                  <w:r>
                    <w:rPr>
                      <w:rFonts w:cs="Georgia"/>
                      <w:color w:val="000000"/>
                      <w:spacing w:val="1"/>
                    </w:rPr>
                    <w:t>p</w:t>
                  </w:r>
                  <w:r>
                    <w:rPr>
                      <w:rFonts w:cs="Georgia"/>
                      <w:color w:val="000000"/>
                      <w:spacing w:val="-1"/>
                    </w:rPr>
                    <w:t>a</w:t>
                  </w:r>
                  <w:r>
                    <w:rPr>
                      <w:rFonts w:cs="Georgia"/>
                      <w:color w:val="000000"/>
                      <w:spacing w:val="1"/>
                    </w:rPr>
                    <w:t>rt</w:t>
                  </w:r>
                  <w:r>
                    <w:rPr>
                      <w:rFonts w:cs="Georgia"/>
                      <w:color w:val="000000"/>
                      <w:spacing w:val="-2"/>
                    </w:rPr>
                    <w:t>i</w:t>
                  </w:r>
                  <w:r>
                    <w:rPr>
                      <w:rFonts w:cs="Georgia"/>
                      <w:color w:val="000000"/>
                      <w:spacing w:val="1"/>
                    </w:rPr>
                    <w:t>c</w:t>
                  </w:r>
                  <w:r>
                    <w:rPr>
                      <w:rFonts w:cs="Georgia"/>
                      <w:color w:val="000000"/>
                    </w:rPr>
                    <w:t>u</w:t>
                  </w:r>
                  <w:r>
                    <w:rPr>
                      <w:rFonts w:cs="Georgia"/>
                      <w:color w:val="000000"/>
                      <w:spacing w:val="-1"/>
                    </w:rPr>
                    <w:t>l</w:t>
                  </w:r>
                  <w:r>
                    <w:rPr>
                      <w:rFonts w:cs="Georgia"/>
                      <w:color w:val="000000"/>
                    </w:rPr>
                    <w:t>i</w:t>
                  </w:r>
                  <w:r>
                    <w:rPr>
                      <w:rFonts w:cs="Georgia"/>
                      <w:color w:val="000000"/>
                      <w:spacing w:val="-1"/>
                    </w:rPr>
                    <w:t>è</w:t>
                  </w:r>
                  <w:r>
                    <w:rPr>
                      <w:rFonts w:cs="Georgia"/>
                      <w:color w:val="000000"/>
                      <w:spacing w:val="1"/>
                    </w:rPr>
                    <w:t>r</w:t>
                  </w:r>
                  <w:r>
                    <w:rPr>
                      <w:rFonts w:cs="Georgia"/>
                      <w:color w:val="000000"/>
                      <w:spacing w:val="-1"/>
                    </w:rPr>
                    <w:t>e</w:t>
                  </w:r>
                  <w:r>
                    <w:rPr>
                      <w:rFonts w:cs="Georgia"/>
                      <w:color w:val="000000"/>
                    </w:rPr>
                    <w:t>,</w:t>
                  </w:r>
                  <w:r>
                    <w:rPr>
                      <w:rFonts w:cs="Georgia"/>
                      <w:color w:val="000000"/>
                      <w:spacing w:val="4"/>
                    </w:rPr>
                    <w:t xml:space="preserve"> </w:t>
                  </w:r>
                  <w:r>
                    <w:rPr>
                      <w:rFonts w:cs="Georgia"/>
                      <w:color w:val="000000"/>
                      <w:spacing w:val="1"/>
                    </w:rPr>
                    <w:t>so</w:t>
                  </w:r>
                  <w:r>
                    <w:rPr>
                      <w:rFonts w:cs="Georgia"/>
                      <w:color w:val="000000"/>
                      <w:spacing w:val="-3"/>
                    </w:rPr>
                    <w:t>n</w:t>
                  </w:r>
                  <w:r>
                    <w:rPr>
                      <w:rFonts w:cs="Georgia"/>
                      <w:color w:val="000000"/>
                    </w:rPr>
                    <w:t>t</w:t>
                  </w:r>
                  <w:r>
                    <w:rPr>
                      <w:rFonts w:cs="Georgia"/>
                      <w:color w:val="000000"/>
                      <w:spacing w:val="4"/>
                    </w:rPr>
                    <w:t xml:space="preserve"> </w:t>
                  </w:r>
                  <w:r>
                    <w:rPr>
                      <w:rFonts w:cs="Georgia"/>
                      <w:color w:val="000000"/>
                      <w:spacing w:val="1"/>
                    </w:rPr>
                    <w:t>co</w:t>
                  </w:r>
                  <w:r>
                    <w:rPr>
                      <w:rFonts w:cs="Georgia"/>
                      <w:color w:val="000000"/>
                      <w:spacing w:val="-1"/>
                    </w:rPr>
                    <w:t>n</w:t>
                  </w:r>
                  <w:r>
                    <w:rPr>
                      <w:rFonts w:cs="Georgia"/>
                      <w:color w:val="000000"/>
                    </w:rPr>
                    <w:t>fi</w:t>
                  </w:r>
                  <w:r>
                    <w:rPr>
                      <w:rFonts w:cs="Georgia"/>
                      <w:color w:val="000000"/>
                      <w:spacing w:val="-1"/>
                    </w:rPr>
                    <w:t>é</w:t>
                  </w:r>
                  <w:r>
                    <w:rPr>
                      <w:rFonts w:cs="Georgia"/>
                      <w:color w:val="000000"/>
                    </w:rPr>
                    <w:t>s</w:t>
                  </w:r>
                  <w:r>
                    <w:rPr>
                      <w:rFonts w:cs="Georgia"/>
                      <w:color w:val="000000"/>
                      <w:spacing w:val="4"/>
                    </w:rPr>
                    <w:t xml:space="preserve"> </w:t>
                  </w:r>
                  <w:r>
                    <w:rPr>
                      <w:rFonts w:cs="Georgia"/>
                      <w:color w:val="000000"/>
                    </w:rPr>
                    <w:t>à un</w:t>
                  </w:r>
                  <w:r>
                    <w:rPr>
                      <w:rFonts w:cs="Georgia"/>
                      <w:color w:val="000000"/>
                      <w:spacing w:val="3"/>
                    </w:rPr>
                    <w:t xml:space="preserve"> </w:t>
                  </w:r>
                  <w:r>
                    <w:rPr>
                      <w:rFonts w:cs="Georgia"/>
                      <w:color w:val="000000"/>
                      <w:spacing w:val="1"/>
                    </w:rPr>
                    <w:t>o</w:t>
                  </w:r>
                  <w:r>
                    <w:rPr>
                      <w:rFonts w:cs="Georgia"/>
                      <w:color w:val="000000"/>
                    </w:rPr>
                    <w:t>u</w:t>
                  </w:r>
                  <w:r>
                    <w:rPr>
                      <w:rFonts w:cs="Georgia"/>
                      <w:color w:val="000000"/>
                      <w:spacing w:val="4"/>
                    </w:rPr>
                    <w:t xml:space="preserve"> </w:t>
                  </w:r>
                  <w:r>
                    <w:rPr>
                      <w:rFonts w:cs="Georgia"/>
                      <w:color w:val="000000"/>
                    </w:rPr>
                    <w:t>à</w:t>
                  </w:r>
                  <w:r>
                    <w:rPr>
                      <w:rFonts w:cs="Georgia"/>
                      <w:color w:val="000000"/>
                      <w:spacing w:val="3"/>
                    </w:rPr>
                    <w:t xml:space="preserve"> </w:t>
                  </w:r>
                  <w:r>
                    <w:rPr>
                      <w:rFonts w:cs="Georgia"/>
                      <w:color w:val="000000"/>
                      <w:spacing w:val="1"/>
                    </w:rPr>
                    <w:t>p</w:t>
                  </w:r>
                  <w:r>
                    <w:rPr>
                      <w:rFonts w:cs="Georgia"/>
                      <w:color w:val="000000"/>
                      <w:spacing w:val="-1"/>
                    </w:rPr>
                    <w:t>l</w:t>
                  </w:r>
                  <w:r>
                    <w:rPr>
                      <w:rFonts w:cs="Georgia"/>
                      <w:color w:val="000000"/>
                    </w:rPr>
                    <w:t>u</w:t>
                  </w:r>
                  <w:r>
                    <w:rPr>
                      <w:rFonts w:cs="Georgia"/>
                      <w:color w:val="000000"/>
                      <w:spacing w:val="1"/>
                    </w:rPr>
                    <w:t>s</w:t>
                  </w:r>
                  <w:r>
                    <w:rPr>
                      <w:rFonts w:cs="Georgia"/>
                      <w:color w:val="000000"/>
                    </w:rPr>
                    <w:t>i</w:t>
                  </w:r>
                  <w:r>
                    <w:rPr>
                      <w:rFonts w:cs="Georgia"/>
                      <w:color w:val="000000"/>
                      <w:spacing w:val="-1"/>
                    </w:rPr>
                    <w:t>e</w:t>
                  </w:r>
                  <w:r>
                    <w:rPr>
                      <w:rFonts w:cs="Georgia"/>
                      <w:color w:val="000000"/>
                    </w:rPr>
                    <w:t>u</w:t>
                  </w:r>
                  <w:r>
                    <w:rPr>
                      <w:rFonts w:cs="Georgia"/>
                      <w:color w:val="000000"/>
                      <w:spacing w:val="-2"/>
                    </w:rPr>
                    <w:t>r</w:t>
                  </w:r>
                  <w:r>
                    <w:rPr>
                      <w:rFonts w:cs="Georgia"/>
                      <w:color w:val="000000"/>
                    </w:rPr>
                    <w:t>s</w:t>
                  </w:r>
                  <w:r>
                    <w:rPr>
                      <w:rFonts w:cs="Georgia"/>
                      <w:color w:val="000000"/>
                      <w:spacing w:val="4"/>
                    </w:rPr>
                    <w:t xml:space="preserve"> </w:t>
                  </w:r>
                  <w:r>
                    <w:rPr>
                      <w:rFonts w:cs="Georgia"/>
                      <w:color w:val="000000"/>
                      <w:spacing w:val="-3"/>
                    </w:rPr>
                    <w:t>m</w:t>
                  </w:r>
                  <w:r>
                    <w:rPr>
                      <w:rFonts w:cs="Georgia"/>
                      <w:color w:val="000000"/>
                      <w:spacing w:val="-1"/>
                    </w:rPr>
                    <w:t>a</w:t>
                  </w:r>
                  <w:r>
                    <w:rPr>
                      <w:rFonts w:cs="Georgia"/>
                      <w:color w:val="000000"/>
                    </w:rPr>
                    <w:t>î</w:t>
                  </w:r>
                  <w:r>
                    <w:rPr>
                      <w:rFonts w:cs="Georgia"/>
                      <w:color w:val="000000"/>
                      <w:spacing w:val="1"/>
                    </w:rPr>
                    <w:t>tr</w:t>
                  </w:r>
                  <w:r>
                    <w:rPr>
                      <w:rFonts w:cs="Georgia"/>
                      <w:color w:val="000000"/>
                      <w:spacing w:val="-1"/>
                    </w:rPr>
                    <w:t>e</w:t>
                  </w:r>
                  <w:r>
                    <w:rPr>
                      <w:rFonts w:cs="Georgia"/>
                      <w:color w:val="000000"/>
                      <w:spacing w:val="1"/>
                    </w:rPr>
                    <w:t>(</w:t>
                  </w:r>
                  <w:r>
                    <w:rPr>
                      <w:rFonts w:cs="Georgia"/>
                      <w:color w:val="000000"/>
                      <w:spacing w:val="-2"/>
                    </w:rPr>
                    <w:t>s</w:t>
                  </w:r>
                  <w:r>
                    <w:rPr>
                      <w:rFonts w:cs="Georgia"/>
                      <w:color w:val="000000"/>
                    </w:rPr>
                    <w:t>)</w:t>
                  </w:r>
                  <w:r>
                    <w:rPr>
                      <w:rFonts w:cs="Georgia"/>
                      <w:color w:val="000000"/>
                      <w:spacing w:val="5"/>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 i</w:t>
                  </w:r>
                  <w:r>
                    <w:rPr>
                      <w:rFonts w:cs="Georgia"/>
                      <w:color w:val="000000"/>
                      <w:spacing w:val="-1"/>
                    </w:rPr>
                    <w:t>n</w:t>
                  </w:r>
                  <w:r>
                    <w:rPr>
                      <w:rFonts w:cs="Georgia"/>
                      <w:color w:val="000000"/>
                    </w:rPr>
                    <w:t>di</w:t>
                  </w:r>
                  <w:r>
                    <w:rPr>
                      <w:rFonts w:cs="Georgia"/>
                      <w:color w:val="000000"/>
                      <w:spacing w:val="1"/>
                    </w:rPr>
                    <w:t>v</w:t>
                  </w:r>
                  <w:r>
                    <w:rPr>
                      <w:rFonts w:cs="Georgia"/>
                      <w:color w:val="000000"/>
                    </w:rPr>
                    <w:t>i</w:t>
                  </w:r>
                  <w:r>
                    <w:rPr>
                      <w:rFonts w:cs="Georgia"/>
                      <w:color w:val="000000"/>
                      <w:spacing w:val="-2"/>
                    </w:rPr>
                    <w:t>d</w:t>
                  </w:r>
                  <w:r>
                    <w:rPr>
                      <w:rFonts w:cs="Georgia"/>
                      <w:color w:val="000000"/>
                    </w:rPr>
                    <w:t>u</w:t>
                  </w:r>
                  <w:r>
                    <w:rPr>
                      <w:rFonts w:cs="Georgia"/>
                      <w:color w:val="000000"/>
                      <w:spacing w:val="-1"/>
                    </w:rPr>
                    <w:t>al</w:t>
                  </w:r>
                  <w:r>
                    <w:rPr>
                      <w:rFonts w:cs="Georgia"/>
                      <w:color w:val="000000"/>
                    </w:rPr>
                    <w:t>i</w:t>
                  </w:r>
                  <w:r>
                    <w:rPr>
                      <w:rFonts w:cs="Georgia"/>
                      <w:color w:val="000000"/>
                      <w:spacing w:val="1"/>
                    </w:rPr>
                    <w:t>s</w:t>
                  </w:r>
                  <w:r>
                    <w:rPr>
                      <w:rFonts w:cs="Georgia"/>
                      <w:color w:val="000000"/>
                      <w:spacing w:val="-1"/>
                    </w:rPr>
                    <w:t>é</w:t>
                  </w:r>
                  <w:r>
                    <w:rPr>
                      <w:rFonts w:cs="Georgia"/>
                      <w:color w:val="000000"/>
                    </w:rPr>
                    <w:t xml:space="preserve">. A </w:t>
                  </w:r>
                  <w:r>
                    <w:rPr>
                      <w:rFonts w:cs="Georgia"/>
                      <w:color w:val="000000"/>
                      <w:spacing w:val="1"/>
                    </w:rPr>
                    <w:t>c</w:t>
                  </w:r>
                  <w:r>
                    <w:rPr>
                      <w:rFonts w:cs="Georgia"/>
                      <w:color w:val="000000"/>
                      <w:spacing w:val="-1"/>
                    </w:rPr>
                    <w:t>e</w:t>
                  </w:r>
                  <w:r>
                    <w:rPr>
                      <w:rFonts w:cs="Georgia"/>
                      <w:color w:val="000000"/>
                    </w:rPr>
                    <w:t xml:space="preserve">t </w:t>
                  </w:r>
                  <w:r>
                    <w:rPr>
                      <w:rFonts w:cs="Georgia"/>
                      <w:color w:val="000000"/>
                      <w:spacing w:val="-1"/>
                    </w:rPr>
                    <w:t>e</w:t>
                  </w:r>
                  <w:r>
                    <w:rPr>
                      <w:rFonts w:cs="Georgia"/>
                      <w:color w:val="000000"/>
                    </w:rPr>
                    <w:t>ff</w:t>
                  </w:r>
                  <w:r>
                    <w:rPr>
                      <w:rFonts w:cs="Georgia"/>
                      <w:color w:val="000000"/>
                      <w:spacing w:val="-1"/>
                    </w:rPr>
                    <w:t>e</w:t>
                  </w:r>
                  <w:r>
                    <w:rPr>
                      <w:rFonts w:cs="Georgia"/>
                      <w:color w:val="000000"/>
                      <w:spacing w:val="1"/>
                    </w:rPr>
                    <w:t>t</w:t>
                  </w:r>
                  <w:r>
                    <w:rPr>
                      <w:rFonts w:cs="Georgia"/>
                      <w:color w:val="000000"/>
                    </w:rPr>
                    <w:t xml:space="preserve">, </w:t>
                  </w:r>
                  <w:r>
                    <w:rPr>
                      <w:rFonts w:cs="Georgia"/>
                      <w:b/>
                      <w:color w:val="000000"/>
                      <w:u w:val="single"/>
                    </w:rPr>
                    <w:t>u</w:t>
                  </w:r>
                  <w:r>
                    <w:rPr>
                      <w:rFonts w:cs="Georgia"/>
                      <w:b/>
                      <w:color w:val="000000"/>
                      <w:spacing w:val="-1"/>
                      <w:u w:val="single"/>
                    </w:rPr>
                    <w:t>n</w:t>
                  </w:r>
                  <w:r>
                    <w:rPr>
                      <w:rFonts w:cs="Georgia"/>
                      <w:b/>
                      <w:color w:val="000000"/>
                      <w:u w:val="single"/>
                    </w:rPr>
                    <w:t>e</w:t>
                  </w:r>
                  <w:r>
                    <w:rPr>
                      <w:rFonts w:cs="Georgia"/>
                      <w:b/>
                      <w:color w:val="000000"/>
                      <w:spacing w:val="-1"/>
                      <w:u w:val="single"/>
                    </w:rPr>
                    <w:t xml:space="preserve"> </w:t>
                  </w:r>
                  <w:r>
                    <w:rPr>
                      <w:rFonts w:cs="Georgia"/>
                      <w:b/>
                      <w:color w:val="000000"/>
                      <w:spacing w:val="1"/>
                      <w:u w:val="single"/>
                    </w:rPr>
                    <w:t>p</w:t>
                  </w:r>
                  <w:r>
                    <w:rPr>
                      <w:rFonts w:cs="Georgia"/>
                      <w:b/>
                      <w:color w:val="000000"/>
                      <w:spacing w:val="-1"/>
                      <w:u w:val="single"/>
                    </w:rPr>
                    <w:t>é</w:t>
                  </w:r>
                  <w:r>
                    <w:rPr>
                      <w:rFonts w:cs="Georgia"/>
                      <w:b/>
                      <w:color w:val="000000"/>
                      <w:spacing w:val="1"/>
                      <w:u w:val="single"/>
                    </w:rPr>
                    <w:t>r</w:t>
                  </w:r>
                  <w:r>
                    <w:rPr>
                      <w:rFonts w:cs="Georgia"/>
                      <w:b/>
                      <w:color w:val="000000"/>
                      <w:spacing w:val="-2"/>
                      <w:u w:val="single"/>
                    </w:rPr>
                    <w:t>i</w:t>
                  </w:r>
                  <w:r>
                    <w:rPr>
                      <w:rFonts w:cs="Georgia"/>
                      <w:b/>
                      <w:color w:val="000000"/>
                      <w:spacing w:val="1"/>
                      <w:u w:val="single"/>
                    </w:rPr>
                    <w:t>o</w:t>
                  </w:r>
                  <w:r>
                    <w:rPr>
                      <w:rFonts w:cs="Georgia"/>
                      <w:b/>
                      <w:color w:val="000000"/>
                      <w:u w:val="single"/>
                    </w:rPr>
                    <w:t>de</w:t>
                  </w:r>
                  <w:r>
                    <w:rPr>
                      <w:rFonts w:cs="Georgia"/>
                      <w:b/>
                      <w:color w:val="000000"/>
                      <w:spacing w:val="-1"/>
                      <w:u w:val="single"/>
                    </w:rPr>
                    <w:t xml:space="preserve"> a</w:t>
                  </w:r>
                  <w:r>
                    <w:rPr>
                      <w:rFonts w:cs="Georgia"/>
                      <w:b/>
                      <w:color w:val="000000"/>
                      <w:u w:val="single"/>
                    </w:rPr>
                    <w:t>u mi</w:t>
                  </w:r>
                  <w:r>
                    <w:rPr>
                      <w:rFonts w:cs="Georgia"/>
                      <w:b/>
                      <w:color w:val="000000"/>
                      <w:spacing w:val="-1"/>
                      <w:u w:val="single"/>
                    </w:rPr>
                    <w:t>n</w:t>
                  </w:r>
                  <w:r>
                    <w:rPr>
                      <w:rFonts w:cs="Georgia"/>
                      <w:b/>
                      <w:color w:val="000000"/>
                      <w:u w:val="single"/>
                    </w:rPr>
                    <w:t xml:space="preserve">imum </w:t>
                  </w:r>
                  <w:r>
                    <w:rPr>
                      <w:rFonts w:cs="Georgia"/>
                      <w:b/>
                      <w:color w:val="000000"/>
                      <w:spacing w:val="-2"/>
                      <w:u w:val="single"/>
                    </w:rPr>
                    <w:t>d</w:t>
                  </w:r>
                  <w:r>
                    <w:rPr>
                      <w:rFonts w:cs="Georgia"/>
                      <w:b/>
                      <w:color w:val="000000"/>
                      <w:spacing w:val="1"/>
                      <w:u w:val="single"/>
                    </w:rPr>
                    <w:t>'</w:t>
                  </w:r>
                  <w:r>
                    <w:rPr>
                      <w:rFonts w:cs="Georgia"/>
                      <w:b/>
                      <w:color w:val="000000"/>
                      <w:spacing w:val="-1"/>
                      <w:u w:val="single"/>
                    </w:rPr>
                    <w:t>en</w:t>
                  </w:r>
                  <w:r>
                    <w:rPr>
                      <w:rFonts w:cs="Georgia"/>
                      <w:b/>
                      <w:color w:val="000000"/>
                      <w:spacing w:val="1"/>
                      <w:u w:val="single"/>
                    </w:rPr>
                    <w:t>s</w:t>
                  </w:r>
                  <w:r>
                    <w:rPr>
                      <w:rFonts w:cs="Georgia"/>
                      <w:b/>
                      <w:color w:val="000000"/>
                      <w:spacing w:val="-1"/>
                      <w:u w:val="single"/>
                    </w:rPr>
                    <w:t>e</w:t>
                  </w:r>
                  <w:r>
                    <w:rPr>
                      <w:rFonts w:cs="Georgia"/>
                      <w:b/>
                      <w:color w:val="000000"/>
                      <w:u w:val="single"/>
                    </w:rPr>
                    <w:t>ig</w:t>
                  </w:r>
                  <w:r>
                    <w:rPr>
                      <w:rFonts w:cs="Georgia"/>
                      <w:b/>
                      <w:color w:val="000000"/>
                      <w:spacing w:val="-1"/>
                      <w:u w:val="single"/>
                    </w:rPr>
                    <w:t>ne</w:t>
                  </w:r>
                  <w:r>
                    <w:rPr>
                      <w:rFonts w:cs="Georgia"/>
                      <w:b/>
                      <w:color w:val="000000"/>
                      <w:u w:val="single"/>
                    </w:rPr>
                    <w:t>m</w:t>
                  </w:r>
                  <w:r>
                    <w:rPr>
                      <w:rFonts w:cs="Georgia"/>
                      <w:b/>
                      <w:color w:val="000000"/>
                      <w:spacing w:val="-1"/>
                      <w:u w:val="single"/>
                    </w:rPr>
                    <w:t>en</w:t>
                  </w:r>
                  <w:r>
                    <w:rPr>
                      <w:rFonts w:cs="Georgia"/>
                      <w:b/>
                      <w:color w:val="000000"/>
                      <w:u w:val="single"/>
                    </w:rPr>
                    <w:t>t i</w:t>
                  </w:r>
                  <w:r>
                    <w:rPr>
                      <w:rFonts w:cs="Georgia"/>
                      <w:b/>
                      <w:color w:val="000000"/>
                      <w:spacing w:val="-1"/>
                      <w:u w:val="single"/>
                    </w:rPr>
                    <w:t>n</w:t>
                  </w:r>
                  <w:r>
                    <w:rPr>
                      <w:rFonts w:cs="Georgia"/>
                      <w:b/>
                      <w:color w:val="000000"/>
                      <w:u w:val="single"/>
                    </w:rPr>
                    <w:t>di</w:t>
                  </w:r>
                  <w:r>
                    <w:rPr>
                      <w:rFonts w:cs="Georgia"/>
                      <w:b/>
                      <w:color w:val="000000"/>
                      <w:spacing w:val="1"/>
                      <w:u w:val="single"/>
                    </w:rPr>
                    <w:t>v</w:t>
                  </w:r>
                  <w:r>
                    <w:rPr>
                      <w:rFonts w:cs="Georgia"/>
                      <w:b/>
                      <w:color w:val="000000"/>
                      <w:u w:val="single"/>
                    </w:rPr>
                    <w:t>idu</w:t>
                  </w:r>
                  <w:r>
                    <w:rPr>
                      <w:rFonts w:cs="Georgia"/>
                      <w:b/>
                      <w:color w:val="000000"/>
                      <w:spacing w:val="-1"/>
                      <w:u w:val="single"/>
                    </w:rPr>
                    <w:t>al</w:t>
                  </w:r>
                  <w:r>
                    <w:rPr>
                      <w:rFonts w:cs="Georgia"/>
                      <w:b/>
                      <w:color w:val="000000"/>
                      <w:u w:val="single"/>
                    </w:rPr>
                    <w:t>i</w:t>
                  </w:r>
                  <w:r>
                    <w:rPr>
                      <w:rFonts w:cs="Georgia"/>
                      <w:b/>
                      <w:color w:val="000000"/>
                      <w:spacing w:val="1"/>
                      <w:u w:val="single"/>
                    </w:rPr>
                    <w:t>s</w:t>
                  </w:r>
                  <w:r>
                    <w:rPr>
                      <w:rFonts w:cs="Georgia"/>
                      <w:b/>
                      <w:color w:val="000000"/>
                      <w:u w:val="single"/>
                    </w:rPr>
                    <w:t>é</w:t>
                  </w:r>
                  <w:r>
                    <w:rPr>
                      <w:rFonts w:cs="Georgia"/>
                      <w:b/>
                      <w:color w:val="000000"/>
                      <w:spacing w:val="-1"/>
                      <w:u w:val="single"/>
                    </w:rPr>
                    <w:t xml:space="preserve"> </w:t>
                  </w:r>
                  <w:r>
                    <w:rPr>
                      <w:rFonts w:cs="Georgia"/>
                      <w:b/>
                      <w:color w:val="000000"/>
                      <w:spacing w:val="-2"/>
                      <w:u w:val="single"/>
                    </w:rPr>
                    <w:t>d</w:t>
                  </w:r>
                  <w:r>
                    <w:rPr>
                      <w:rFonts w:cs="Georgia"/>
                      <w:b/>
                      <w:color w:val="000000"/>
                      <w:spacing w:val="1"/>
                      <w:u w:val="single"/>
                    </w:rPr>
                    <w:t>o</w:t>
                  </w:r>
                  <w:r>
                    <w:rPr>
                      <w:rFonts w:cs="Georgia"/>
                      <w:b/>
                      <w:color w:val="000000"/>
                      <w:u w:val="single"/>
                    </w:rPr>
                    <w:t xml:space="preserve">it </w:t>
                  </w:r>
                  <w:r>
                    <w:rPr>
                      <w:rFonts w:cs="Georgia"/>
                      <w:b/>
                      <w:color w:val="000000"/>
                      <w:spacing w:val="-1"/>
                      <w:u w:val="single"/>
                    </w:rPr>
                    <w:t>ê</w:t>
                  </w:r>
                  <w:r>
                    <w:rPr>
                      <w:rFonts w:cs="Georgia"/>
                      <w:b/>
                      <w:color w:val="000000"/>
                      <w:spacing w:val="-2"/>
                      <w:u w:val="single"/>
                    </w:rPr>
                    <w:t>tr</w:t>
                  </w:r>
                  <w:r>
                    <w:rPr>
                      <w:rFonts w:cs="Georgia"/>
                      <w:b/>
                      <w:color w:val="000000"/>
                      <w:u w:val="single"/>
                    </w:rPr>
                    <w:t>e</w:t>
                  </w:r>
                  <w:r>
                    <w:rPr>
                      <w:rFonts w:cs="Georgia"/>
                      <w:b/>
                      <w:color w:val="000000"/>
                      <w:spacing w:val="-1"/>
                      <w:u w:val="single"/>
                    </w:rPr>
                    <w:t xml:space="preserve"> </w:t>
                  </w:r>
                  <w:r>
                    <w:rPr>
                      <w:rFonts w:cs="Georgia"/>
                      <w:b/>
                      <w:color w:val="000000"/>
                      <w:spacing w:val="1"/>
                      <w:u w:val="single"/>
                    </w:rPr>
                    <w:t>or</w:t>
                  </w:r>
                  <w:r>
                    <w:rPr>
                      <w:rFonts w:cs="Georgia"/>
                      <w:b/>
                      <w:color w:val="000000"/>
                      <w:u w:val="single"/>
                    </w:rPr>
                    <w:t>g</w:t>
                  </w:r>
                  <w:r>
                    <w:rPr>
                      <w:rFonts w:cs="Georgia"/>
                      <w:b/>
                      <w:color w:val="000000"/>
                      <w:spacing w:val="-1"/>
                      <w:u w:val="single"/>
                    </w:rPr>
                    <w:t>an</w:t>
                  </w:r>
                  <w:r>
                    <w:rPr>
                      <w:rFonts w:cs="Georgia"/>
                      <w:b/>
                      <w:color w:val="000000"/>
                      <w:u w:val="single"/>
                    </w:rPr>
                    <w:t>i</w:t>
                  </w:r>
                  <w:r>
                    <w:rPr>
                      <w:rFonts w:cs="Georgia"/>
                      <w:b/>
                      <w:color w:val="000000"/>
                      <w:spacing w:val="1"/>
                      <w:u w:val="single"/>
                    </w:rPr>
                    <w:t>s</w:t>
                  </w:r>
                  <w:r>
                    <w:rPr>
                      <w:rFonts w:cs="Georgia"/>
                      <w:b/>
                      <w:color w:val="000000"/>
                      <w:spacing w:val="-1"/>
                      <w:u w:val="single"/>
                    </w:rPr>
                    <w:t>é</w:t>
                  </w:r>
                  <w:r>
                    <w:rPr>
                      <w:rFonts w:cs="Georgia"/>
                      <w:b/>
                      <w:color w:val="000000"/>
                      <w:u w:val="single"/>
                    </w:rPr>
                    <w:t>e</w:t>
                  </w:r>
                  <w:r>
                    <w:rPr>
                      <w:rFonts w:cs="Georgia"/>
                      <w:b/>
                      <w:color w:val="000000"/>
                      <w:spacing w:val="-1"/>
                      <w:u w:val="single"/>
                    </w:rPr>
                    <w:t xml:space="preserve"> e</w:t>
                  </w:r>
                  <w:r>
                    <w:rPr>
                      <w:rFonts w:cs="Georgia"/>
                      <w:b/>
                      <w:color w:val="000000"/>
                      <w:u w:val="single"/>
                    </w:rPr>
                    <w:t>n</w:t>
                  </w:r>
                  <w:r>
                    <w:rPr>
                      <w:rFonts w:cs="Georgia"/>
                      <w:b/>
                      <w:color w:val="000000"/>
                      <w:spacing w:val="-1"/>
                      <w:u w:val="single"/>
                    </w:rPr>
                    <w:t xml:space="preserve"> </w:t>
                  </w:r>
                  <w:r>
                    <w:rPr>
                      <w:rFonts w:cs="Georgia"/>
                      <w:b/>
                      <w:color w:val="000000"/>
                      <w:spacing w:val="1"/>
                      <w:u w:val="single"/>
                    </w:rPr>
                    <w:t>pr</w:t>
                  </w:r>
                  <w:r>
                    <w:rPr>
                      <w:rFonts w:cs="Georgia"/>
                      <w:b/>
                      <w:color w:val="000000"/>
                      <w:spacing w:val="-1"/>
                      <w:u w:val="single"/>
                    </w:rPr>
                    <w:t>é</w:t>
                  </w:r>
                  <w:r>
                    <w:rPr>
                      <w:rFonts w:cs="Georgia"/>
                      <w:b/>
                      <w:color w:val="000000"/>
                      <w:spacing w:val="1"/>
                      <w:u w:val="single"/>
                    </w:rPr>
                    <w:t>v</w:t>
                  </w:r>
                  <w:r>
                    <w:rPr>
                      <w:rFonts w:cs="Georgia"/>
                      <w:b/>
                      <w:color w:val="000000"/>
                      <w:u w:val="single"/>
                    </w:rPr>
                    <w:t>i</w:t>
                  </w:r>
                  <w:r>
                    <w:rPr>
                      <w:rFonts w:cs="Georgia"/>
                      <w:b/>
                      <w:color w:val="000000"/>
                      <w:spacing w:val="1"/>
                      <w:u w:val="single"/>
                    </w:rPr>
                    <w:t>s</w:t>
                  </w:r>
                  <w:r>
                    <w:rPr>
                      <w:rFonts w:cs="Georgia"/>
                      <w:b/>
                      <w:color w:val="000000"/>
                      <w:spacing w:val="-2"/>
                      <w:u w:val="single"/>
                    </w:rPr>
                    <w:t>i</w:t>
                  </w:r>
                  <w:r>
                    <w:rPr>
                      <w:rFonts w:cs="Georgia"/>
                      <w:b/>
                      <w:color w:val="000000"/>
                      <w:spacing w:val="1"/>
                      <w:u w:val="single"/>
                    </w:rPr>
                    <w:t>o</w:t>
                  </w:r>
                  <w:r>
                    <w:rPr>
                      <w:rFonts w:cs="Georgia"/>
                      <w:b/>
                      <w:color w:val="000000"/>
                      <w:u w:val="single"/>
                    </w:rPr>
                    <w:t>n de</w:t>
                  </w:r>
                  <w:r>
                    <w:rPr>
                      <w:rFonts w:cs="Georgia"/>
                      <w:b/>
                      <w:color w:val="000000"/>
                      <w:spacing w:val="-1"/>
                      <w:u w:val="single"/>
                    </w:rPr>
                    <w:t xml:space="preserve"> </w:t>
                  </w:r>
                  <w:r>
                    <w:rPr>
                      <w:rFonts w:cs="Georgia"/>
                      <w:b/>
                      <w:color w:val="000000"/>
                      <w:u w:val="single"/>
                    </w:rPr>
                    <w:t>c</w:t>
                  </w:r>
                  <w:r>
                    <w:rPr>
                      <w:rFonts w:cs="Georgia"/>
                      <w:b/>
                      <w:color w:val="000000"/>
                      <w:spacing w:val="-1"/>
                      <w:u w:val="single"/>
                    </w:rPr>
                    <w:t>e</w:t>
                  </w:r>
                  <w:r>
                    <w:rPr>
                      <w:rFonts w:cs="Georgia"/>
                      <w:b/>
                      <w:color w:val="000000"/>
                      <w:u w:val="single"/>
                    </w:rPr>
                    <w:t xml:space="preserve">t </w:t>
                  </w:r>
                  <w:r>
                    <w:rPr>
                      <w:rFonts w:cs="Georgia"/>
                      <w:b/>
                      <w:color w:val="000000"/>
                      <w:spacing w:val="-1"/>
                      <w:u w:val="single"/>
                    </w:rPr>
                    <w:t>a</w:t>
                  </w:r>
                  <w:r>
                    <w:rPr>
                      <w:rFonts w:cs="Georgia"/>
                      <w:b/>
                      <w:color w:val="000000"/>
                      <w:spacing w:val="1"/>
                      <w:u w:val="single"/>
                    </w:rPr>
                    <w:t>c</w:t>
                  </w:r>
                  <w:r>
                    <w:rPr>
                      <w:rFonts w:cs="Georgia"/>
                      <w:b/>
                      <w:color w:val="000000"/>
                      <w:u w:val="single"/>
                    </w:rPr>
                    <w:t>cu</w:t>
                  </w:r>
                  <w:r>
                    <w:rPr>
                      <w:rFonts w:cs="Georgia"/>
                      <w:b/>
                      <w:color w:val="000000"/>
                      <w:spacing w:val="-1"/>
                      <w:u w:val="single"/>
                    </w:rPr>
                    <w:t>e</w:t>
                  </w:r>
                  <w:r>
                    <w:rPr>
                      <w:rFonts w:cs="Georgia"/>
                      <w:b/>
                      <w:color w:val="000000"/>
                      <w:u w:val="single"/>
                    </w:rPr>
                    <w:t>i</w:t>
                  </w:r>
                  <w:r>
                    <w:rPr>
                      <w:rFonts w:cs="Georgia"/>
                      <w:b/>
                      <w:color w:val="000000"/>
                      <w:spacing w:val="-1"/>
                      <w:u w:val="single"/>
                    </w:rPr>
                    <w:t>l dans chaque établissement</w:t>
                  </w:r>
                  <w:r>
                    <w:rPr>
                      <w:rFonts w:cs="Georgia"/>
                      <w:b/>
                      <w:color w:val="000000"/>
                      <w:u w:val="single"/>
                    </w:rPr>
                    <w:t>.</w:t>
                  </w:r>
                </w:p>
                <w:p>
                  <w:pPr>
                    <w:jc w:val="both"/>
                    <w:rPr>
                      <w:rFonts w:cs="Georgia"/>
                      <w:color w:val="000000"/>
                    </w:rPr>
                  </w:pPr>
                </w:p>
                <w:p>
                  <w:pPr>
                    <w:pStyle w:val="Titre5"/>
                  </w:pPr>
                  <w:r>
                    <w:t>2.4.4 Activités éducatives</w:t>
                  </w:r>
                </w:p>
                <w:p>
                  <w:pPr>
                    <w:widowControl w:val="0"/>
                    <w:autoSpaceDE w:val="0"/>
                    <w:autoSpaceDN w:val="0"/>
                    <w:adjustRightInd w:val="0"/>
                    <w:spacing w:before="11" w:line="240" w:lineRule="exact"/>
                    <w:ind w:right="-20"/>
                    <w:jc w:val="both"/>
                    <w:rPr>
                      <w:rFonts w:cs="Georgia"/>
                      <w:color w:val="000000"/>
                    </w:rPr>
                  </w:pPr>
                </w:p>
                <w:p>
                  <w:pPr>
                    <w:widowControl w:val="0"/>
                    <w:autoSpaceDE w:val="0"/>
                    <w:autoSpaceDN w:val="0"/>
                    <w:adjustRightInd w:val="0"/>
                    <w:spacing w:line="250" w:lineRule="exact"/>
                    <w:ind w:right="-20"/>
                    <w:jc w:val="both"/>
                    <w:rPr>
                      <w:rFonts w:cs="Georgia"/>
                      <w:color w:val="000000"/>
                      <w:spacing w:val="1"/>
                    </w:rPr>
                  </w:pP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w:t>
                  </w:r>
                  <w:r>
                    <w:rPr>
                      <w:rFonts w:cs="Georgia"/>
                      <w:color w:val="000000"/>
                      <w:spacing w:val="1"/>
                    </w:rPr>
                    <w:t>'</w:t>
                  </w:r>
                  <w:r>
                    <w:rPr>
                      <w:rFonts w:cs="Georgia"/>
                      <w:color w:val="000000"/>
                      <w:spacing w:val="-3"/>
                    </w:rPr>
                    <w:t>a</w:t>
                  </w:r>
                  <w:r>
                    <w:rPr>
                      <w:rFonts w:cs="Georgia"/>
                      <w:color w:val="000000"/>
                      <w:spacing w:val="1"/>
                    </w:rPr>
                    <w:t>ct</w:t>
                  </w:r>
                  <w:r>
                    <w:rPr>
                      <w:rFonts w:cs="Georgia"/>
                      <w:color w:val="000000"/>
                      <w:spacing w:val="-2"/>
                    </w:rPr>
                    <w:t>i</w:t>
                  </w:r>
                  <w:r>
                    <w:rPr>
                      <w:rFonts w:cs="Georgia"/>
                      <w:color w:val="000000"/>
                      <w:spacing w:val="1"/>
                    </w:rPr>
                    <w:t>v</w:t>
                  </w:r>
                  <w:r>
                    <w:rPr>
                      <w:rFonts w:cs="Georgia"/>
                      <w:color w:val="000000"/>
                    </w:rPr>
                    <w:t>i</w:t>
                  </w:r>
                  <w:r>
                    <w:rPr>
                      <w:rFonts w:cs="Georgia"/>
                      <w:color w:val="000000"/>
                      <w:spacing w:val="1"/>
                    </w:rPr>
                    <w:t>t</w:t>
                  </w:r>
                  <w:r>
                    <w:rPr>
                      <w:rFonts w:cs="Georgia"/>
                      <w:color w:val="000000"/>
                      <w:spacing w:val="-1"/>
                    </w:rPr>
                    <w:t>é</w:t>
                  </w:r>
                  <w:r>
                    <w:rPr>
                      <w:rFonts w:cs="Georgia"/>
                      <w:color w:val="000000"/>
                    </w:rPr>
                    <w:t xml:space="preserve">s </w:t>
                  </w:r>
                  <w:r>
                    <w:rPr>
                      <w:rFonts w:cs="Georgia"/>
                      <w:color w:val="000000"/>
                      <w:spacing w:val="-1"/>
                    </w:rPr>
                    <w:t>é</w:t>
                  </w:r>
                  <w:r>
                    <w:rPr>
                      <w:rFonts w:cs="Georgia"/>
                      <w:color w:val="000000"/>
                    </w:rPr>
                    <w:t>du</w:t>
                  </w:r>
                  <w:r>
                    <w:rPr>
                      <w:rFonts w:cs="Georgia"/>
                      <w:color w:val="000000"/>
                      <w:spacing w:val="1"/>
                    </w:rPr>
                    <w:t>c</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v</w:t>
                  </w:r>
                  <w:r>
                    <w:rPr>
                      <w:rFonts w:cs="Georgia"/>
                      <w:color w:val="000000"/>
                      <w:spacing w:val="-3"/>
                    </w:rPr>
                    <w:t>e</w:t>
                  </w:r>
                  <w:r>
                    <w:rPr>
                      <w:rFonts w:cs="Georgia"/>
                      <w:color w:val="000000"/>
                    </w:rPr>
                    <w:t>s</w:t>
                  </w:r>
                  <w:r>
                    <w:rPr>
                      <w:rFonts w:cs="Georgia"/>
                      <w:color w:val="000000"/>
                      <w:spacing w:val="2"/>
                    </w:rPr>
                    <w:t xml:space="preserve"> </w:t>
                  </w:r>
                  <w:r>
                    <w:rPr>
                      <w:rFonts w:cs="Georgia"/>
                      <w:color w:val="000000"/>
                      <w:spacing w:val="-1"/>
                    </w:rPr>
                    <w:t>e</w:t>
                  </w:r>
                  <w:r>
                    <w:rPr>
                      <w:rFonts w:cs="Georgia"/>
                      <w:color w:val="000000"/>
                      <w:spacing w:val="1"/>
                    </w:rPr>
                    <w:t>t</w:t>
                  </w:r>
                  <w:r>
                    <w:rPr>
                      <w:rFonts w:cs="Georgia"/>
                      <w:color w:val="000000"/>
                    </w:rPr>
                    <w:t>/</w:t>
                  </w:r>
                  <w:r>
                    <w:rPr>
                      <w:rFonts w:cs="Georgia"/>
                      <w:color w:val="000000"/>
                      <w:spacing w:val="1"/>
                    </w:rPr>
                    <w:t>o</w:t>
                  </w:r>
                  <w:r>
                    <w:rPr>
                      <w:rFonts w:cs="Georgia"/>
                      <w:color w:val="000000"/>
                    </w:rPr>
                    <w:t>u</w:t>
                  </w:r>
                  <w:r>
                    <w:rPr>
                      <w:rFonts w:cs="Georgia"/>
                      <w:color w:val="000000"/>
                      <w:spacing w:val="2"/>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spacing w:val="-2"/>
                    </w:rPr>
                    <w:t>i</w:t>
                  </w:r>
                  <w:r>
                    <w:rPr>
                      <w:rFonts w:cs="Georgia"/>
                      <w:color w:val="000000"/>
                    </w:rPr>
                    <w:t>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rPr>
                    <w:t>é</w:t>
                  </w:r>
                  <w:r>
                    <w:rPr>
                      <w:rFonts w:cs="Georgia"/>
                      <w:color w:val="000000"/>
                      <w:spacing w:val="1"/>
                    </w:rPr>
                    <w:t xml:space="preserve"> </w:t>
                  </w:r>
                  <w:r>
                    <w:rPr>
                      <w:rFonts w:cs="Georgia"/>
                      <w:color w:val="000000"/>
                    </w:rPr>
                    <w:t>di</w:t>
                  </w:r>
                  <w:r>
                    <w:rPr>
                      <w:rFonts w:cs="Georgia"/>
                      <w:color w:val="000000"/>
                      <w:spacing w:val="-2"/>
                    </w:rPr>
                    <w:t>s</w:t>
                  </w:r>
                  <w:r>
                    <w:rPr>
                      <w:rFonts w:cs="Georgia"/>
                      <w:color w:val="000000"/>
                      <w:spacing w:val="-1"/>
                    </w:rPr>
                    <w:t>pen</w:t>
                  </w:r>
                  <w:r>
                    <w:rPr>
                      <w:rFonts w:cs="Georgia"/>
                      <w:color w:val="000000"/>
                      <w:spacing w:val="1"/>
                    </w:rPr>
                    <w:t>s</w:t>
                  </w:r>
                  <w:r>
                    <w:rPr>
                      <w:rFonts w:cs="Georgia"/>
                      <w:color w:val="000000"/>
                    </w:rPr>
                    <w:t>é</w:t>
                  </w:r>
                  <w:r>
                    <w:rPr>
                      <w:rFonts w:cs="Georgia"/>
                      <w:color w:val="000000"/>
                      <w:spacing w:val="1"/>
                    </w:rPr>
                    <w:t xml:space="preserve"> </w:t>
                  </w:r>
                  <w:r>
                    <w:rPr>
                      <w:rFonts w:cs="Georgia"/>
                      <w:color w:val="000000"/>
                    </w:rPr>
                    <w:t>à</w:t>
                  </w:r>
                  <w:r>
                    <w:rPr>
                      <w:rFonts w:cs="Georgia"/>
                      <w:color w:val="000000"/>
                      <w:spacing w:val="1"/>
                    </w:rPr>
                    <w:t xml:space="preserve"> </w:t>
                  </w:r>
                  <w:r>
                    <w:rPr>
                      <w:rFonts w:cs="Georgia"/>
                      <w:color w:val="000000"/>
                    </w:rPr>
                    <w:t>d</w:t>
                  </w:r>
                  <w:r>
                    <w:rPr>
                      <w:rFonts w:cs="Georgia"/>
                      <w:color w:val="000000"/>
                      <w:spacing w:val="1"/>
                    </w:rPr>
                    <w:t>o</w:t>
                  </w:r>
                  <w:r>
                    <w:rPr>
                      <w:rFonts w:cs="Georgia"/>
                      <w:color w:val="000000"/>
                    </w:rPr>
                    <w:t>mi</w:t>
                  </w:r>
                  <w:r>
                    <w:rPr>
                      <w:rFonts w:cs="Georgia"/>
                      <w:color w:val="000000"/>
                      <w:spacing w:val="1"/>
                    </w:rPr>
                    <w:t>c</w:t>
                  </w:r>
                  <w:r>
                    <w:rPr>
                      <w:rFonts w:cs="Georgia"/>
                      <w:color w:val="000000"/>
                    </w:rPr>
                    <w:t>i</w:t>
                  </w:r>
                  <w:r>
                    <w:rPr>
                      <w:rFonts w:cs="Georgia"/>
                      <w:color w:val="000000"/>
                      <w:spacing w:val="-1"/>
                    </w:rPr>
                    <w:t>l</w:t>
                  </w:r>
                  <w:r>
                    <w:rPr>
                      <w:rFonts w:cs="Georgia"/>
                      <w:color w:val="000000"/>
                    </w:rPr>
                    <w:t>e</w:t>
                  </w:r>
                  <w:r>
                    <w:rPr>
                      <w:rFonts w:cs="Georgia"/>
                      <w:color w:val="000000"/>
                      <w:spacing w:val="1"/>
                    </w:rPr>
                    <w:t xml:space="preserve"> p</w:t>
                  </w:r>
                  <w:r>
                    <w:rPr>
                      <w:rFonts w:cs="Georgia"/>
                      <w:color w:val="000000"/>
                      <w:spacing w:val="-1"/>
                    </w:rPr>
                    <w:t>e</w:t>
                  </w:r>
                  <w:r>
                    <w:rPr>
                      <w:rFonts w:cs="Georgia"/>
                      <w:color w:val="000000"/>
                    </w:rPr>
                    <w:t>u</w:t>
                  </w:r>
                  <w:r>
                    <w:rPr>
                      <w:rFonts w:cs="Georgia"/>
                      <w:color w:val="000000"/>
                      <w:spacing w:val="1"/>
                    </w:rPr>
                    <w:t>v</w:t>
                  </w:r>
                  <w:r>
                    <w:rPr>
                      <w:rFonts w:cs="Georgia"/>
                      <w:color w:val="000000"/>
                      <w:spacing w:val="-1"/>
                    </w:rPr>
                    <w:t>en</w:t>
                  </w:r>
                  <w:r>
                    <w:rPr>
                      <w:rFonts w:cs="Georgia"/>
                      <w:color w:val="000000"/>
                    </w:rPr>
                    <w:t xml:space="preserve">t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w:t>
                  </w:r>
                  <w:r>
                    <w:rPr>
                      <w:rFonts w:cs="Georgia"/>
                      <w:color w:val="000000"/>
                      <w:spacing w:val="1"/>
                    </w:rPr>
                    <w:t>co</w:t>
                  </w:r>
                  <w:r>
                    <w:rPr>
                      <w:rFonts w:cs="Georgia"/>
                      <w:color w:val="000000"/>
                      <w:spacing w:val="-1"/>
                    </w:rPr>
                    <w:t>n</w:t>
                  </w:r>
                  <w:r>
                    <w:rPr>
                      <w:rFonts w:cs="Georgia"/>
                      <w:color w:val="000000"/>
                    </w:rPr>
                    <w:t>fi</w:t>
                  </w:r>
                  <w:r>
                    <w:rPr>
                      <w:rFonts w:cs="Georgia"/>
                      <w:color w:val="000000"/>
                      <w:spacing w:val="-1"/>
                    </w:rPr>
                    <w:t>ée</w:t>
                  </w:r>
                  <w:r>
                    <w:rPr>
                      <w:rFonts w:cs="Georgia"/>
                      <w:color w:val="000000"/>
                    </w:rPr>
                    <w:t>s à</w:t>
                  </w:r>
                  <w:r>
                    <w:rPr>
                      <w:rFonts w:cs="Georgia"/>
                      <w:color w:val="000000"/>
                      <w:spacing w:val="-1"/>
                    </w:rPr>
                    <w:t xml:space="preserve"> </w:t>
                  </w:r>
                  <w:r>
                    <w:rPr>
                      <w:rFonts w:cs="Georgia"/>
                      <w:color w:val="000000"/>
                    </w:rPr>
                    <w:t>un</w:t>
                  </w:r>
                  <w:r>
                    <w:rPr>
                      <w:rFonts w:cs="Georgia"/>
                      <w:color w:val="000000"/>
                      <w:spacing w:val="-1"/>
                    </w:rPr>
                    <w:t xml:space="preserve"> </w:t>
                  </w:r>
                  <w:r>
                    <w:rPr>
                      <w:rFonts w:cs="Georgia"/>
                      <w:color w:val="000000"/>
                      <w:spacing w:val="1"/>
                    </w:rPr>
                    <w:t>o</w:t>
                  </w:r>
                  <w:r>
                    <w:rPr>
                      <w:rFonts w:cs="Georgia"/>
                      <w:color w:val="000000"/>
                    </w:rPr>
                    <w:t>u</w:t>
                  </w:r>
                  <w:r>
                    <w:rPr>
                      <w:rFonts w:cs="Georgia"/>
                      <w:color w:val="000000"/>
                      <w:spacing w:val="-2"/>
                    </w:rPr>
                    <w:t xml:space="preserve"> </w:t>
                  </w:r>
                  <w:r>
                    <w:rPr>
                      <w:rFonts w:cs="Georgia"/>
                      <w:color w:val="000000"/>
                      <w:spacing w:val="1"/>
                    </w:rPr>
                    <w:t>p</w:t>
                  </w:r>
                  <w:r>
                    <w:rPr>
                      <w:rFonts w:cs="Georgia"/>
                      <w:color w:val="000000"/>
                      <w:spacing w:val="-1"/>
                    </w:rPr>
                    <w:t>l</w:t>
                  </w:r>
                  <w:r>
                    <w:rPr>
                      <w:rFonts w:cs="Georgia"/>
                      <w:color w:val="000000"/>
                      <w:spacing w:val="-2"/>
                    </w:rPr>
                    <w:t>u</w:t>
                  </w:r>
                  <w:r>
                    <w:rPr>
                      <w:rFonts w:cs="Georgia"/>
                      <w:color w:val="000000"/>
                      <w:spacing w:val="1"/>
                    </w:rPr>
                    <w:t>s</w:t>
                  </w:r>
                  <w:r>
                    <w:rPr>
                      <w:rFonts w:cs="Georgia"/>
                      <w:color w:val="000000"/>
                    </w:rPr>
                    <w:t>i</w:t>
                  </w:r>
                  <w:r>
                    <w:rPr>
                      <w:rFonts w:cs="Georgia"/>
                      <w:color w:val="000000"/>
                      <w:spacing w:val="-1"/>
                    </w:rPr>
                    <w:t>e</w:t>
                  </w:r>
                  <w:r>
                    <w:rPr>
                      <w:rFonts w:cs="Georgia"/>
                      <w:color w:val="000000"/>
                    </w:rPr>
                    <w:t>u</w:t>
                  </w:r>
                  <w:r>
                    <w:rPr>
                      <w:rFonts w:cs="Georgia"/>
                      <w:color w:val="000000"/>
                      <w:spacing w:val="1"/>
                    </w:rPr>
                    <w:t>r</w:t>
                  </w:r>
                  <w:r>
                    <w:rPr>
                      <w:rFonts w:cs="Georgia"/>
                      <w:color w:val="000000"/>
                    </w:rPr>
                    <w:t>s m</w:t>
                  </w:r>
                  <w:r>
                    <w:rPr>
                      <w:rFonts w:cs="Georgia"/>
                      <w:color w:val="000000"/>
                      <w:spacing w:val="-1"/>
                    </w:rPr>
                    <w:t>e</w:t>
                  </w:r>
                  <w:r>
                    <w:rPr>
                      <w:rFonts w:cs="Georgia"/>
                      <w:color w:val="000000"/>
                      <w:spacing w:val="-3"/>
                    </w:rPr>
                    <w:t>m</w:t>
                  </w:r>
                  <w:r>
                    <w:rPr>
                      <w:rFonts w:cs="Georgia"/>
                      <w:color w:val="000000"/>
                      <w:spacing w:val="1"/>
                    </w:rPr>
                    <w:t>br</w:t>
                  </w:r>
                  <w:r>
                    <w:rPr>
                      <w:rFonts w:cs="Georgia"/>
                      <w:color w:val="000000"/>
                      <w:spacing w:val="-3"/>
                    </w:rPr>
                    <w:t>e</w:t>
                  </w:r>
                  <w:r>
                    <w:rPr>
                      <w:rFonts w:cs="Georgia"/>
                      <w:color w:val="000000"/>
                      <w:spacing w:val="1"/>
                    </w:rPr>
                    <w:t>(</w:t>
                  </w:r>
                  <w:r>
                    <w:rPr>
                      <w:rFonts w:cs="Georgia"/>
                      <w:color w:val="000000"/>
                      <w:spacing w:val="-2"/>
                    </w:rPr>
                    <w:t>s</w:t>
                  </w:r>
                  <w:r>
                    <w:rPr>
                      <w:rFonts w:cs="Georgia"/>
                      <w:color w:val="000000"/>
                    </w:rPr>
                    <w:t>)</w:t>
                  </w:r>
                  <w:r>
                    <w:rPr>
                      <w:rFonts w:cs="Georgia"/>
                      <w:color w:val="000000"/>
                      <w:spacing w:val="1"/>
                    </w:rPr>
                    <w:t xml:space="preserve"> </w:t>
                  </w:r>
                  <w:r>
                    <w:rPr>
                      <w:rFonts w:cs="Georgia"/>
                      <w:color w:val="000000"/>
                    </w:rPr>
                    <w:t>du</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spacing w:val="-2"/>
                    </w:rPr>
                    <w:t>r</w:t>
                  </w:r>
                  <w:r>
                    <w:rPr>
                      <w:rFonts w:cs="Georgia"/>
                      <w:color w:val="000000"/>
                      <w:spacing w:val="1"/>
                    </w:rPr>
                    <w:t>so</w:t>
                  </w:r>
                  <w:r>
                    <w:rPr>
                      <w:rFonts w:cs="Georgia"/>
                      <w:color w:val="000000"/>
                      <w:spacing w:val="-1"/>
                    </w:rPr>
                    <w:t>nne</w:t>
                  </w:r>
                  <w:r>
                    <w:rPr>
                      <w:rFonts w:cs="Georgia"/>
                      <w:color w:val="000000"/>
                    </w:rPr>
                    <w:t>l</w:t>
                  </w:r>
                  <w:r>
                    <w:rPr>
                      <w:rFonts w:cs="Georgia"/>
                      <w:color w:val="000000"/>
                      <w:spacing w:val="-1"/>
                    </w:rPr>
                    <w:t xml:space="preserve"> 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nan</w:t>
                  </w:r>
                  <w:r>
                    <w:rPr>
                      <w:rFonts w:cs="Georgia"/>
                      <w:color w:val="000000"/>
                      <w:spacing w:val="1"/>
                    </w:rPr>
                    <w:t>t.</w:t>
                  </w:r>
                </w:p>
                <w:p>
                  <w:pPr>
                    <w:widowControl w:val="0"/>
                    <w:autoSpaceDE w:val="0"/>
                    <w:autoSpaceDN w:val="0"/>
                    <w:adjustRightInd w:val="0"/>
                    <w:spacing w:line="250" w:lineRule="exact"/>
                    <w:ind w:right="45"/>
                    <w:jc w:val="both"/>
                    <w:rPr>
                      <w:rFonts w:cs="Georgia"/>
                      <w:spacing w:val="-1"/>
                    </w:rPr>
                  </w:pPr>
                </w:p>
                <w:p>
                  <w:pPr>
                    <w:widowControl w:val="0"/>
                    <w:autoSpaceDE w:val="0"/>
                    <w:autoSpaceDN w:val="0"/>
                    <w:adjustRightInd w:val="0"/>
                    <w:spacing w:line="250" w:lineRule="exact"/>
                    <w:ind w:right="45"/>
                    <w:jc w:val="both"/>
                    <w:rPr>
                      <w:rFonts w:cs="Georgia"/>
                      <w:spacing w:val="1"/>
                    </w:rPr>
                  </w:pPr>
                  <w:r>
                    <w:rPr>
                      <w:rFonts w:cs="Georgia"/>
                      <w:spacing w:val="1"/>
                    </w:rPr>
                    <w:t>L</w:t>
                  </w:r>
                  <w:r>
                    <w:rPr>
                      <w:rFonts w:cs="Georgia"/>
                    </w:rPr>
                    <w:t>a</w:t>
                  </w:r>
                  <w:r>
                    <w:rPr>
                      <w:rFonts w:cs="Georgia"/>
                      <w:spacing w:val="3"/>
                    </w:rPr>
                    <w:t xml:space="preserve"> </w:t>
                  </w:r>
                  <w:r>
                    <w:rPr>
                      <w:rFonts w:cs="Georgia"/>
                      <w:spacing w:val="1"/>
                    </w:rPr>
                    <w:t>t</w:t>
                  </w:r>
                  <w:r>
                    <w:rPr>
                      <w:rFonts w:cs="Georgia"/>
                      <w:spacing w:val="-1"/>
                    </w:rPr>
                    <w:t>â</w:t>
                  </w:r>
                  <w:r>
                    <w:rPr>
                      <w:rFonts w:cs="Georgia"/>
                      <w:spacing w:val="-2"/>
                    </w:rPr>
                    <w:t>c</w:t>
                  </w:r>
                  <w:r>
                    <w:rPr>
                      <w:rFonts w:cs="Georgia"/>
                      <w:spacing w:val="1"/>
                    </w:rPr>
                    <w:t>h</w:t>
                  </w:r>
                  <w:r>
                    <w:rPr>
                      <w:rFonts w:cs="Georgia"/>
                    </w:rPr>
                    <w:t>e</w:t>
                  </w:r>
                  <w:r>
                    <w:rPr>
                      <w:rFonts w:cs="Georgia"/>
                      <w:spacing w:val="3"/>
                    </w:rPr>
                    <w:t xml:space="preserve"> </w:t>
                  </w:r>
                  <w:r>
                    <w:rPr>
                      <w:rFonts w:cs="Georgia"/>
                    </w:rPr>
                    <w:t>de m</w:t>
                  </w:r>
                  <w:r>
                    <w:rPr>
                      <w:rFonts w:cs="Georgia"/>
                      <w:spacing w:val="-1"/>
                    </w:rPr>
                    <w:t>a</w:t>
                  </w:r>
                  <w:r>
                    <w:rPr>
                      <w:rFonts w:cs="Georgia"/>
                    </w:rPr>
                    <w:t>î</w:t>
                  </w:r>
                  <w:r>
                    <w:rPr>
                      <w:rFonts w:cs="Georgia"/>
                      <w:spacing w:val="-2"/>
                    </w:rPr>
                    <w:t>t</w:t>
                  </w:r>
                  <w:r>
                    <w:rPr>
                      <w:rFonts w:cs="Georgia"/>
                      <w:spacing w:val="1"/>
                    </w:rPr>
                    <w:t>r</w:t>
                  </w:r>
                  <w:r>
                    <w:rPr>
                      <w:rFonts w:cs="Georgia"/>
                    </w:rPr>
                    <w:t>e</w:t>
                  </w:r>
                  <w:r>
                    <w:rPr>
                      <w:rFonts w:cs="Georgia"/>
                      <w:spacing w:val="3"/>
                    </w:rPr>
                    <w:t xml:space="preserve"> </w:t>
                  </w:r>
                  <w:r>
                    <w:rPr>
                      <w:rFonts w:cs="Georgia"/>
                      <w:spacing w:val="-2"/>
                    </w:rPr>
                    <w:t>d</w:t>
                  </w:r>
                  <w:r>
                    <w:rPr>
                      <w:rFonts w:cs="Georgia"/>
                    </w:rPr>
                    <w:t>’</w:t>
                  </w:r>
                  <w:r>
                    <w:rPr>
                      <w:rFonts w:cs="Georgia"/>
                      <w:spacing w:val="-1"/>
                    </w:rPr>
                    <w:t>a</w:t>
                  </w:r>
                  <w:r>
                    <w:rPr>
                      <w:rFonts w:cs="Georgia"/>
                      <w:spacing w:val="1"/>
                    </w:rPr>
                    <w:t>ct</w:t>
                  </w:r>
                  <w:r>
                    <w:rPr>
                      <w:rFonts w:cs="Georgia"/>
                    </w:rPr>
                    <w:t>i</w:t>
                  </w:r>
                  <w:r>
                    <w:rPr>
                      <w:rFonts w:cs="Georgia"/>
                      <w:spacing w:val="-2"/>
                    </w:rPr>
                    <w:t>v</w:t>
                  </w:r>
                  <w:r>
                    <w:rPr>
                      <w:rFonts w:cs="Georgia"/>
                    </w:rPr>
                    <w:t>i</w:t>
                  </w:r>
                  <w:r>
                    <w:rPr>
                      <w:rFonts w:cs="Georgia"/>
                      <w:spacing w:val="1"/>
                    </w:rPr>
                    <w:t>t</w:t>
                  </w:r>
                  <w:r>
                    <w:rPr>
                      <w:rFonts w:cs="Georgia"/>
                      <w:spacing w:val="-1"/>
                    </w:rPr>
                    <w:t>é</w:t>
                  </w:r>
                  <w:r>
                    <w:rPr>
                      <w:rFonts w:cs="Georgia"/>
                    </w:rPr>
                    <w:t>s</w:t>
                  </w:r>
                  <w:r>
                    <w:rPr>
                      <w:rFonts w:cs="Georgia"/>
                      <w:spacing w:val="5"/>
                    </w:rPr>
                    <w:t xml:space="preserve"> </w:t>
                  </w:r>
                  <w:r>
                    <w:rPr>
                      <w:rFonts w:cs="Georgia"/>
                      <w:spacing w:val="-1"/>
                    </w:rPr>
                    <w:t>é</w:t>
                  </w:r>
                  <w:r>
                    <w:rPr>
                      <w:rFonts w:cs="Georgia"/>
                      <w:spacing w:val="-2"/>
                    </w:rPr>
                    <w:t>d</w:t>
                  </w:r>
                  <w:r>
                    <w:rPr>
                      <w:rFonts w:cs="Georgia"/>
                    </w:rPr>
                    <w:t>u</w:t>
                  </w:r>
                  <w:r>
                    <w:rPr>
                      <w:rFonts w:cs="Georgia"/>
                      <w:spacing w:val="1"/>
                    </w:rPr>
                    <w:t>c</w:t>
                  </w:r>
                  <w:r>
                    <w:rPr>
                      <w:rFonts w:cs="Georgia"/>
                      <w:spacing w:val="-1"/>
                    </w:rPr>
                    <w:t>a</w:t>
                  </w:r>
                  <w:r>
                    <w:rPr>
                      <w:rFonts w:cs="Georgia"/>
                      <w:spacing w:val="1"/>
                    </w:rPr>
                    <w:t>t</w:t>
                  </w:r>
                  <w:r>
                    <w:rPr>
                      <w:rFonts w:cs="Georgia"/>
                      <w:spacing w:val="-2"/>
                    </w:rPr>
                    <w:t>i</w:t>
                  </w:r>
                  <w:r>
                    <w:rPr>
                      <w:rFonts w:cs="Georgia"/>
                      <w:spacing w:val="1"/>
                    </w:rPr>
                    <w:t>v</w:t>
                  </w:r>
                  <w:r>
                    <w:rPr>
                      <w:rFonts w:cs="Georgia"/>
                      <w:spacing w:val="-1"/>
                    </w:rPr>
                    <w:t>e</w:t>
                  </w:r>
                  <w:r>
                    <w:rPr>
                      <w:rFonts w:cs="Georgia"/>
                    </w:rPr>
                    <w:t>s</w:t>
                  </w:r>
                  <w:r>
                    <w:rPr>
                      <w:rFonts w:cs="Georgia"/>
                      <w:spacing w:val="2"/>
                    </w:rPr>
                    <w:t xml:space="preserve"> </w:t>
                  </w:r>
                  <w:r>
                    <w:rPr>
                      <w:rFonts w:cs="Georgia"/>
                    </w:rPr>
                    <w:t>d</w:t>
                  </w:r>
                  <w:r>
                    <w:rPr>
                      <w:rFonts w:cs="Georgia"/>
                      <w:spacing w:val="-1"/>
                    </w:rPr>
                    <w:t>an</w:t>
                  </w:r>
                  <w:r>
                    <w:rPr>
                      <w:rFonts w:cs="Georgia"/>
                    </w:rPr>
                    <w:t>s</w:t>
                  </w:r>
                  <w:r>
                    <w:rPr>
                      <w:rFonts w:cs="Georgia"/>
                      <w:spacing w:val="5"/>
                    </w:rPr>
                    <w:t xml:space="preserve"> </w:t>
                  </w:r>
                  <w:r>
                    <w:rPr>
                      <w:rFonts w:cs="Georgia"/>
                      <w:spacing w:val="-1"/>
                    </w:rPr>
                    <w:t>l</w:t>
                  </w:r>
                  <w:r>
                    <w:rPr>
                      <w:rFonts w:cs="Georgia"/>
                    </w:rPr>
                    <w:t>e</w:t>
                  </w:r>
                  <w:r>
                    <w:rPr>
                      <w:rFonts w:cs="Georgia"/>
                      <w:spacing w:val="3"/>
                    </w:rPr>
                    <w:t xml:space="preserve"> </w:t>
                  </w:r>
                  <w:r>
                    <w:rPr>
                      <w:rFonts w:cs="Georgia"/>
                      <w:spacing w:val="-1"/>
                    </w:rPr>
                    <w:t>n</w:t>
                  </w:r>
                  <w:r>
                    <w:rPr>
                      <w:rFonts w:cs="Georgia"/>
                    </w:rPr>
                    <w:t>i</w:t>
                  </w:r>
                  <w:r>
                    <w:rPr>
                      <w:rFonts w:cs="Georgia"/>
                      <w:spacing w:val="1"/>
                    </w:rPr>
                    <w:t>v</w:t>
                  </w:r>
                  <w:r>
                    <w:rPr>
                      <w:rFonts w:cs="Georgia"/>
                      <w:spacing w:val="-1"/>
                    </w:rPr>
                    <w:t>ea</w:t>
                  </w:r>
                  <w:r>
                    <w:rPr>
                      <w:rFonts w:cs="Georgia"/>
                    </w:rPr>
                    <w:t>u</w:t>
                  </w:r>
                  <w:r>
                    <w:rPr>
                      <w:rFonts w:cs="Georgia"/>
                      <w:spacing w:val="2"/>
                    </w:rPr>
                    <w:t xml:space="preserve"> </w:t>
                  </w:r>
                  <w:r>
                    <w:rPr>
                      <w:rFonts w:cs="Georgia"/>
                      <w:spacing w:val="1"/>
                    </w:rPr>
                    <w:t>p</w:t>
                  </w:r>
                  <w:r>
                    <w:rPr>
                      <w:rFonts w:cs="Georgia"/>
                      <w:spacing w:val="-2"/>
                    </w:rPr>
                    <w:t>r</w:t>
                  </w:r>
                  <w:r>
                    <w:rPr>
                      <w:rFonts w:cs="Georgia"/>
                    </w:rPr>
                    <w:t>im</w:t>
                  </w:r>
                  <w:r>
                    <w:rPr>
                      <w:rFonts w:cs="Georgia"/>
                      <w:spacing w:val="-1"/>
                    </w:rPr>
                    <w:t>a</w:t>
                  </w:r>
                  <w:r>
                    <w:rPr>
                      <w:rFonts w:cs="Georgia"/>
                    </w:rPr>
                    <w:t>i</w:t>
                  </w:r>
                  <w:r>
                    <w:rPr>
                      <w:rFonts w:cs="Georgia"/>
                      <w:spacing w:val="1"/>
                    </w:rPr>
                    <w:t>r</w:t>
                  </w:r>
                  <w:r>
                    <w:rPr>
                      <w:rFonts w:cs="Georgia"/>
                    </w:rPr>
                    <w:t xml:space="preserve">e </w:t>
                  </w:r>
                  <w:r>
                    <w:rPr>
                      <w:rFonts w:cs="Georgia"/>
                      <w:spacing w:val="1"/>
                    </w:rPr>
                    <w:t>s</w:t>
                  </w:r>
                  <w:r>
                    <w:rPr>
                      <w:rFonts w:cs="Georgia"/>
                      <w:spacing w:val="-1"/>
                    </w:rPr>
                    <w:t>pé</w:t>
                  </w:r>
                  <w:r>
                    <w:rPr>
                      <w:rFonts w:cs="Georgia"/>
                      <w:spacing w:val="1"/>
                    </w:rPr>
                    <w:t>c</w:t>
                  </w:r>
                  <w:r>
                    <w:rPr>
                      <w:rFonts w:cs="Georgia"/>
                    </w:rPr>
                    <w:t>i</w:t>
                  </w:r>
                  <w:r>
                    <w:rPr>
                      <w:rFonts w:cs="Georgia"/>
                      <w:spacing w:val="-1"/>
                    </w:rPr>
                    <w:t>al</w:t>
                  </w:r>
                  <w:r>
                    <w:rPr>
                      <w:rFonts w:cs="Georgia"/>
                    </w:rPr>
                    <w:t>i</w:t>
                  </w:r>
                  <w:r>
                    <w:rPr>
                      <w:rFonts w:cs="Georgia"/>
                      <w:spacing w:val="1"/>
                    </w:rPr>
                    <w:t>s</w:t>
                  </w:r>
                  <w:r>
                    <w:rPr>
                      <w:rFonts w:cs="Georgia"/>
                    </w:rPr>
                    <w:t>é</w:t>
                  </w:r>
                  <w:r>
                    <w:rPr>
                      <w:rFonts w:cs="Georgia"/>
                      <w:spacing w:val="3"/>
                    </w:rPr>
                    <w:t xml:space="preserve"> </w:t>
                  </w:r>
                  <w:r>
                    <w:rPr>
                      <w:rFonts w:cs="Georgia"/>
                      <w:spacing w:val="-1"/>
                    </w:rPr>
                    <w:t>e</w:t>
                  </w:r>
                  <w:r>
                    <w:rPr>
                      <w:rFonts w:cs="Georgia"/>
                      <w:spacing w:val="1"/>
                    </w:rPr>
                    <w:t>s</w:t>
                  </w:r>
                  <w:r>
                    <w:rPr>
                      <w:rFonts w:cs="Georgia"/>
                    </w:rPr>
                    <w:t>t</w:t>
                  </w:r>
                  <w:r>
                    <w:rPr>
                      <w:rFonts w:cs="Georgia"/>
                      <w:spacing w:val="2"/>
                    </w:rPr>
                    <w:t xml:space="preserve"> </w:t>
                  </w:r>
                  <w:r>
                    <w:rPr>
                      <w:rFonts w:cs="Georgia"/>
                      <w:spacing w:val="1"/>
                    </w:rPr>
                    <w:t>r</w:t>
                  </w:r>
                  <w:r>
                    <w:rPr>
                      <w:rFonts w:cs="Georgia"/>
                      <w:spacing w:val="-1"/>
                    </w:rPr>
                    <w:t>é</w:t>
                  </w:r>
                  <w:r>
                    <w:rPr>
                      <w:rFonts w:cs="Georgia"/>
                      <w:spacing w:val="1"/>
                    </w:rPr>
                    <w:t>s</w:t>
                  </w:r>
                  <w:r>
                    <w:rPr>
                      <w:rFonts w:cs="Georgia"/>
                      <w:spacing w:val="-1"/>
                    </w:rPr>
                    <w:t>e</w:t>
                  </w:r>
                  <w:r>
                    <w:rPr>
                      <w:rFonts w:cs="Georgia"/>
                      <w:spacing w:val="1"/>
                    </w:rPr>
                    <w:t>rv</w:t>
                  </w:r>
                  <w:r>
                    <w:rPr>
                      <w:rFonts w:cs="Georgia"/>
                      <w:spacing w:val="-1"/>
                    </w:rPr>
                    <w:t>é</w:t>
                  </w:r>
                  <w:r>
                    <w:rPr>
                      <w:rFonts w:cs="Georgia"/>
                    </w:rPr>
                    <w:t>e</w:t>
                  </w:r>
                  <w:r>
                    <w:rPr>
                      <w:rFonts w:cs="Georgia"/>
                      <w:spacing w:val="3"/>
                    </w:rPr>
                    <w:t xml:space="preserve"> </w:t>
                  </w:r>
                  <w:r>
                    <w:rPr>
                      <w:rFonts w:cs="Georgia"/>
                      <w:spacing w:val="-3"/>
                    </w:rPr>
                    <w:t>e</w:t>
                  </w:r>
                  <w:r>
                    <w:rPr>
                      <w:rFonts w:cs="Georgia"/>
                    </w:rPr>
                    <w:t xml:space="preserve">n </w:t>
                  </w:r>
                  <w:r>
                    <w:rPr>
                      <w:rFonts w:cs="Georgia"/>
                      <w:spacing w:val="1"/>
                    </w:rPr>
                    <w:t>pr</w:t>
                  </w:r>
                  <w:r>
                    <w:rPr>
                      <w:rFonts w:cs="Georgia"/>
                      <w:spacing w:val="-2"/>
                    </w:rPr>
                    <w:t>i</w:t>
                  </w:r>
                  <w:r>
                    <w:rPr>
                      <w:rFonts w:cs="Georgia"/>
                      <w:spacing w:val="1"/>
                    </w:rPr>
                    <w:t>or</w:t>
                  </w:r>
                  <w:r>
                    <w:rPr>
                      <w:rFonts w:cs="Georgia"/>
                      <w:spacing w:val="-2"/>
                    </w:rPr>
                    <w:t>i</w:t>
                  </w:r>
                  <w:r>
                    <w:rPr>
                      <w:rFonts w:cs="Georgia"/>
                      <w:spacing w:val="1"/>
                    </w:rPr>
                    <w:t>t</w:t>
                  </w:r>
                  <w:r>
                    <w:rPr>
                      <w:rFonts w:cs="Georgia"/>
                    </w:rPr>
                    <w:t>é</w:t>
                  </w:r>
                  <w:r>
                    <w:rPr>
                      <w:rFonts w:cs="Georgia"/>
                      <w:spacing w:val="-1"/>
                    </w:rPr>
                    <w:t xml:space="preserve"> a</w:t>
                  </w:r>
                  <w:r>
                    <w:rPr>
                      <w:rFonts w:cs="Georgia"/>
                    </w:rPr>
                    <w:t>ux</w:t>
                  </w:r>
                  <w:r>
                    <w:rPr>
                      <w:rFonts w:cs="Georgia"/>
                      <w:spacing w:val="-1"/>
                    </w:rPr>
                    <w:t xml:space="preserve"> </w:t>
                  </w:r>
                  <w:r>
                    <w:rPr>
                      <w:rFonts w:cs="Georgia"/>
                    </w:rPr>
                    <w:t>i</w:t>
                  </w:r>
                  <w:r>
                    <w:rPr>
                      <w:rFonts w:cs="Georgia"/>
                      <w:spacing w:val="-1"/>
                    </w:rPr>
                    <w:t>n</w:t>
                  </w:r>
                  <w:r>
                    <w:rPr>
                      <w:rFonts w:cs="Georgia"/>
                      <w:spacing w:val="1"/>
                    </w:rPr>
                    <w:t>st</w:t>
                  </w:r>
                  <w:r>
                    <w:rPr>
                      <w:rFonts w:cs="Georgia"/>
                    </w:rPr>
                    <w:t>i</w:t>
                  </w:r>
                  <w:r>
                    <w:rPr>
                      <w:rFonts w:cs="Georgia"/>
                      <w:spacing w:val="1"/>
                    </w:rPr>
                    <w:t>t</w:t>
                  </w:r>
                  <w:r>
                    <w:rPr>
                      <w:rFonts w:cs="Georgia"/>
                      <w:spacing w:val="-2"/>
                    </w:rPr>
                    <w:t>u</w:t>
                  </w:r>
                  <w:r>
                    <w:rPr>
                      <w:rFonts w:cs="Georgia"/>
                      <w:spacing w:val="1"/>
                    </w:rPr>
                    <w:t>t</w:t>
                  </w:r>
                  <w:r>
                    <w:rPr>
                      <w:rFonts w:cs="Georgia"/>
                      <w:spacing w:val="-1"/>
                    </w:rPr>
                    <w:t>e</w:t>
                  </w:r>
                  <w:r>
                    <w:rPr>
                      <w:rFonts w:cs="Georgia"/>
                    </w:rPr>
                    <w:t>u</w:t>
                  </w:r>
                  <w:r>
                    <w:rPr>
                      <w:rFonts w:cs="Georgia"/>
                      <w:spacing w:val="-2"/>
                    </w:rPr>
                    <w:t>r</w:t>
                  </w:r>
                  <w:r>
                    <w:rPr>
                      <w:rFonts w:cs="Georgia"/>
                    </w:rPr>
                    <w:t xml:space="preserve">s </w:t>
                  </w:r>
                  <w:r>
                    <w:rPr>
                      <w:rFonts w:cs="Georgia"/>
                      <w:spacing w:val="1"/>
                    </w:rPr>
                    <w:t>pr</w:t>
                  </w:r>
                  <w:r>
                    <w:rPr>
                      <w:rFonts w:cs="Georgia"/>
                    </w:rPr>
                    <w:t>im</w:t>
                  </w:r>
                  <w:r>
                    <w:rPr>
                      <w:rFonts w:cs="Georgia"/>
                      <w:spacing w:val="-1"/>
                    </w:rPr>
                    <w:t>a</w:t>
                  </w:r>
                  <w:r>
                    <w:rPr>
                      <w:rFonts w:cs="Georgia"/>
                      <w:spacing w:val="-2"/>
                    </w:rPr>
                    <w:t>i</w:t>
                  </w:r>
                  <w:r>
                    <w:rPr>
                      <w:rFonts w:cs="Georgia"/>
                      <w:spacing w:val="1"/>
                    </w:rPr>
                    <w:t>r</w:t>
                  </w:r>
                  <w:r>
                    <w:rPr>
                      <w:rFonts w:cs="Georgia"/>
                      <w:spacing w:val="-1"/>
                    </w:rPr>
                    <w:t>e</w:t>
                  </w:r>
                  <w:r>
                    <w:rPr>
                      <w:rFonts w:cs="Georgia"/>
                      <w:spacing w:val="1"/>
                    </w:rPr>
                    <w:t>s.</w:t>
                  </w:r>
                </w:p>
                <w:p>
                  <w:pPr>
                    <w:widowControl w:val="0"/>
                    <w:autoSpaceDE w:val="0"/>
                    <w:autoSpaceDN w:val="0"/>
                    <w:adjustRightInd w:val="0"/>
                    <w:spacing w:line="250" w:lineRule="exact"/>
                    <w:ind w:right="45"/>
                    <w:jc w:val="both"/>
                    <w:rPr>
                      <w:rFonts w:cs="Georgia"/>
                      <w:spacing w:val="1"/>
                    </w:rPr>
                  </w:pPr>
                </w:p>
                <w:p>
                  <w:pPr>
                    <w:widowControl w:val="0"/>
                    <w:autoSpaceDE w:val="0"/>
                    <w:autoSpaceDN w:val="0"/>
                    <w:adjustRightInd w:val="0"/>
                    <w:ind w:right="47"/>
                    <w:jc w:val="both"/>
                    <w:rPr>
                      <w:rFonts w:cs="Georgia"/>
                    </w:rPr>
                  </w:pPr>
                  <w:r>
                    <w:rPr>
                      <w:rFonts w:cs="Georgia"/>
                    </w:rPr>
                    <w:t>T</w:t>
                  </w:r>
                  <w:r>
                    <w:rPr>
                      <w:rFonts w:cs="Georgia"/>
                      <w:spacing w:val="-1"/>
                    </w:rPr>
                    <w:t>o</w:t>
                  </w:r>
                  <w:r>
                    <w:rPr>
                      <w:rFonts w:cs="Georgia"/>
                    </w:rPr>
                    <w:t>u</w:t>
                  </w:r>
                  <w:r>
                    <w:rPr>
                      <w:rFonts w:cs="Georgia"/>
                      <w:spacing w:val="1"/>
                    </w:rPr>
                    <w:t>t</w:t>
                  </w:r>
                  <w:r>
                    <w:rPr>
                      <w:rFonts w:cs="Georgia"/>
                      <w:spacing w:val="-1"/>
                    </w:rPr>
                    <w:t>e</w:t>
                  </w:r>
                  <w:r>
                    <w:rPr>
                      <w:rFonts w:cs="Georgia"/>
                      <w:spacing w:val="-2"/>
                    </w:rPr>
                    <w:t>f</w:t>
                  </w:r>
                  <w:r>
                    <w:rPr>
                      <w:rFonts w:cs="Georgia"/>
                      <w:spacing w:val="1"/>
                    </w:rPr>
                    <w:t>o</w:t>
                  </w:r>
                  <w:r>
                    <w:rPr>
                      <w:rFonts w:cs="Georgia"/>
                    </w:rPr>
                    <w:t>i</w:t>
                  </w:r>
                  <w:r>
                    <w:rPr>
                      <w:rFonts w:cs="Georgia"/>
                      <w:spacing w:val="1"/>
                    </w:rPr>
                    <w:t>s</w:t>
                  </w:r>
                  <w:r>
                    <w:rPr>
                      <w:rFonts w:cs="Georgia"/>
                    </w:rPr>
                    <w:t>,</w:t>
                  </w:r>
                  <w:r>
                    <w:rPr>
                      <w:rFonts w:cs="Georgia"/>
                      <w:spacing w:val="1"/>
                    </w:rPr>
                    <w:t xml:space="preserve"> </w:t>
                  </w:r>
                  <w:r>
                    <w:rPr>
                      <w:rFonts w:cs="Georgia"/>
                      <w:spacing w:val="-1"/>
                    </w:rPr>
                    <w:t>e</w:t>
                  </w:r>
                  <w:r>
                    <w:rPr>
                      <w:rFonts w:cs="Georgia"/>
                    </w:rPr>
                    <w:t>t</w:t>
                  </w:r>
                  <w:r>
                    <w:rPr>
                      <w:rFonts w:cs="Georgia"/>
                      <w:spacing w:val="4"/>
                    </w:rPr>
                    <w:t xml:space="preserve"> </w:t>
                  </w:r>
                  <w:r>
                    <w:rPr>
                      <w:rFonts w:cs="Georgia"/>
                    </w:rPr>
                    <w:t>à</w:t>
                  </w:r>
                  <w:r>
                    <w:rPr>
                      <w:rFonts w:cs="Georgia"/>
                      <w:spacing w:val="2"/>
                    </w:rPr>
                    <w:t xml:space="preserve"> </w:t>
                  </w:r>
                  <w:r>
                    <w:rPr>
                      <w:rFonts w:cs="Georgia"/>
                      <w:spacing w:val="-1"/>
                    </w:rPr>
                    <w:t>l</w:t>
                  </w:r>
                  <w:r>
                    <w:rPr>
                      <w:rFonts w:cs="Georgia"/>
                    </w:rPr>
                    <w:t>’</w:t>
                  </w:r>
                  <w:r>
                    <w:rPr>
                      <w:rFonts w:cs="Georgia"/>
                      <w:spacing w:val="-1"/>
                    </w:rPr>
                    <w:t>ex</w:t>
                  </w:r>
                  <w:r>
                    <w:rPr>
                      <w:rFonts w:cs="Georgia"/>
                      <w:spacing w:val="1"/>
                    </w:rPr>
                    <w:t>c</w:t>
                  </w:r>
                  <w:r>
                    <w:rPr>
                      <w:rFonts w:cs="Georgia"/>
                      <w:spacing w:val="-1"/>
                    </w:rPr>
                    <w:t>l</w:t>
                  </w:r>
                  <w:r>
                    <w:rPr>
                      <w:rFonts w:cs="Georgia"/>
                    </w:rPr>
                    <w:t>u</w:t>
                  </w:r>
                  <w:r>
                    <w:rPr>
                      <w:rFonts w:cs="Georgia"/>
                      <w:spacing w:val="-2"/>
                    </w:rPr>
                    <w:t>s</w:t>
                  </w:r>
                  <w:r>
                    <w:rPr>
                      <w:rFonts w:cs="Georgia"/>
                    </w:rPr>
                    <w:t>i</w:t>
                  </w:r>
                  <w:r>
                    <w:rPr>
                      <w:rFonts w:cs="Georgia"/>
                      <w:spacing w:val="1"/>
                    </w:rPr>
                    <w:t>o</w:t>
                  </w:r>
                  <w:r>
                    <w:rPr>
                      <w:rFonts w:cs="Georgia"/>
                    </w:rPr>
                    <w:t>n</w:t>
                  </w:r>
                  <w:r>
                    <w:rPr>
                      <w:rFonts w:cs="Georgia"/>
                      <w:spacing w:val="2"/>
                    </w:rPr>
                    <w:t xml:space="preserve"> </w:t>
                  </w:r>
                  <w:r>
                    <w:rPr>
                      <w:rFonts w:cs="Georgia"/>
                    </w:rPr>
                    <w:t>d</w:t>
                  </w:r>
                  <w:r>
                    <w:rPr>
                      <w:rFonts w:cs="Georgia"/>
                      <w:spacing w:val="-1"/>
                    </w:rPr>
                    <w:t>e</w:t>
                  </w:r>
                  <w:r>
                    <w:rPr>
                      <w:rFonts w:cs="Georgia"/>
                    </w:rPr>
                    <w:t>s</w:t>
                  </w:r>
                  <w:r>
                    <w:rPr>
                      <w:rFonts w:cs="Georgia"/>
                      <w:spacing w:val="2"/>
                    </w:rPr>
                    <w:t xml:space="preserve"> </w:t>
                  </w:r>
                  <w:r>
                    <w:rPr>
                      <w:rFonts w:cs="Georgia"/>
                    </w:rPr>
                    <w:t>m</w:t>
                  </w:r>
                  <w:r>
                    <w:rPr>
                      <w:rFonts w:cs="Georgia"/>
                      <w:spacing w:val="-1"/>
                    </w:rPr>
                    <w:t>a</w:t>
                  </w:r>
                  <w:r>
                    <w:rPr>
                      <w:rFonts w:cs="Georgia"/>
                    </w:rPr>
                    <w:t>î</w:t>
                  </w:r>
                  <w:r>
                    <w:rPr>
                      <w:rFonts w:cs="Georgia"/>
                      <w:spacing w:val="-2"/>
                    </w:rPr>
                    <w:t>t</w:t>
                  </w:r>
                  <w:r>
                    <w:rPr>
                      <w:rFonts w:cs="Georgia"/>
                      <w:spacing w:val="1"/>
                    </w:rPr>
                    <w:t>r</w:t>
                  </w:r>
                  <w:r>
                    <w:rPr>
                      <w:rFonts w:cs="Georgia"/>
                      <w:spacing w:val="-1"/>
                    </w:rPr>
                    <w:t>e</w:t>
                  </w:r>
                  <w:r>
                    <w:rPr>
                      <w:rFonts w:cs="Georgia"/>
                    </w:rPr>
                    <w:t>s</w:t>
                  </w:r>
                  <w:r>
                    <w:rPr>
                      <w:rFonts w:cs="Georgia"/>
                      <w:spacing w:val="4"/>
                    </w:rPr>
                    <w:t xml:space="preserve"> </w:t>
                  </w:r>
                  <w:r>
                    <w:rPr>
                      <w:rFonts w:cs="Georgia"/>
                    </w:rPr>
                    <w:t xml:space="preserve">de </w:t>
                  </w:r>
                  <w:r>
                    <w:rPr>
                      <w:rFonts w:cs="Georgia"/>
                      <w:spacing w:val="1"/>
                    </w:rPr>
                    <w:t>c</w:t>
                  </w:r>
                  <w:r>
                    <w:rPr>
                      <w:rFonts w:cs="Georgia"/>
                      <w:spacing w:val="-1"/>
                    </w:rPr>
                    <w:t>o</w:t>
                  </w:r>
                  <w:r>
                    <w:rPr>
                      <w:rFonts w:cs="Georgia"/>
                    </w:rPr>
                    <w:t>u</w:t>
                  </w:r>
                  <w:r>
                    <w:rPr>
                      <w:rFonts w:cs="Georgia"/>
                      <w:spacing w:val="-2"/>
                    </w:rPr>
                    <w:t>r</w:t>
                  </w:r>
                  <w:r>
                    <w:rPr>
                      <w:rFonts w:cs="Georgia"/>
                    </w:rPr>
                    <w:t>s</w:t>
                  </w:r>
                  <w:r>
                    <w:rPr>
                      <w:rFonts w:cs="Georgia"/>
                      <w:spacing w:val="2"/>
                    </w:rPr>
                    <w:t xml:space="preserve"> </w:t>
                  </w:r>
                  <w:r>
                    <w:rPr>
                      <w:rFonts w:cs="Georgia"/>
                      <w:spacing w:val="1"/>
                    </w:rPr>
                    <w:t>ph</w:t>
                  </w:r>
                  <w:r>
                    <w:rPr>
                      <w:rFonts w:cs="Georgia"/>
                    </w:rPr>
                    <w:t>i</w:t>
                  </w:r>
                  <w:r>
                    <w:rPr>
                      <w:rFonts w:cs="Georgia"/>
                      <w:spacing w:val="-3"/>
                    </w:rPr>
                    <w:t>l</w:t>
                  </w:r>
                  <w:r>
                    <w:rPr>
                      <w:rFonts w:cs="Georgia"/>
                      <w:spacing w:val="1"/>
                    </w:rPr>
                    <w:t>o</w:t>
                  </w:r>
                  <w:r>
                    <w:rPr>
                      <w:rFonts w:cs="Georgia"/>
                      <w:spacing w:val="-2"/>
                    </w:rPr>
                    <w:t>s</w:t>
                  </w:r>
                  <w:r>
                    <w:rPr>
                      <w:rFonts w:cs="Georgia"/>
                      <w:spacing w:val="1"/>
                    </w:rPr>
                    <w:t>o</w:t>
                  </w:r>
                  <w:r>
                    <w:rPr>
                      <w:rFonts w:cs="Georgia"/>
                      <w:spacing w:val="-1"/>
                    </w:rPr>
                    <w:t>p</w:t>
                  </w:r>
                  <w:r>
                    <w:rPr>
                      <w:rFonts w:cs="Georgia"/>
                      <w:spacing w:val="1"/>
                    </w:rPr>
                    <w:t>h</w:t>
                  </w:r>
                  <w:r>
                    <w:rPr>
                      <w:rFonts w:cs="Georgia"/>
                    </w:rPr>
                    <w:t>i</w:t>
                  </w:r>
                  <w:r>
                    <w:rPr>
                      <w:rFonts w:cs="Georgia"/>
                      <w:spacing w:val="-1"/>
                    </w:rPr>
                    <w:t>q</w:t>
                  </w:r>
                  <w:r>
                    <w:rPr>
                      <w:rFonts w:cs="Georgia"/>
                    </w:rPr>
                    <w:t>u</w:t>
                  </w:r>
                  <w:r>
                    <w:rPr>
                      <w:rFonts w:cs="Georgia"/>
                      <w:spacing w:val="-1"/>
                    </w:rPr>
                    <w:t>e</w:t>
                  </w:r>
                  <w:r>
                    <w:rPr>
                      <w:rFonts w:cs="Georgia"/>
                      <w:spacing w:val="1"/>
                    </w:rPr>
                    <w:t>s</w:t>
                  </w:r>
                  <w:r>
                    <w:rPr>
                      <w:rFonts w:cs="Georgia"/>
                    </w:rPr>
                    <w:t>,</w:t>
                  </w:r>
                  <w:r>
                    <w:rPr>
                      <w:rFonts w:cs="Georgia"/>
                      <w:spacing w:val="1"/>
                    </w:rPr>
                    <w:t xml:space="preserve"> </w:t>
                  </w:r>
                  <w:r>
                    <w:rPr>
                      <w:rFonts w:cs="Georgia"/>
                    </w:rPr>
                    <w:t xml:space="preserve">il </w:t>
                  </w:r>
                  <w:r>
                    <w:rPr>
                      <w:rFonts w:cs="Georgia"/>
                      <w:spacing w:val="1"/>
                    </w:rPr>
                    <w:t>p</w:t>
                  </w:r>
                  <w:r>
                    <w:rPr>
                      <w:rFonts w:cs="Georgia"/>
                      <w:spacing w:val="-1"/>
                    </w:rPr>
                    <w:t>e</w:t>
                  </w:r>
                  <w:r>
                    <w:rPr>
                      <w:rFonts w:cs="Georgia"/>
                    </w:rPr>
                    <w:t>ut</w:t>
                  </w:r>
                  <w:r>
                    <w:rPr>
                      <w:rFonts w:cs="Georgia"/>
                      <w:spacing w:val="4"/>
                    </w:rPr>
                    <w:t xml:space="preserve"> </w:t>
                  </w:r>
                  <w:r>
                    <w:rPr>
                      <w:rFonts w:cs="Georgia"/>
                      <w:spacing w:val="-3"/>
                    </w:rPr>
                    <w:t>ê</w:t>
                  </w:r>
                  <w:r>
                    <w:rPr>
                      <w:rFonts w:cs="Georgia"/>
                      <w:spacing w:val="1"/>
                    </w:rPr>
                    <w:t>tr</w:t>
                  </w:r>
                  <w:r>
                    <w:rPr>
                      <w:rFonts w:cs="Georgia"/>
                    </w:rPr>
                    <w:t>e</w:t>
                  </w:r>
                  <w:r>
                    <w:rPr>
                      <w:rFonts w:cs="Georgia"/>
                      <w:spacing w:val="2"/>
                    </w:rPr>
                    <w:t xml:space="preserve"> </w:t>
                  </w:r>
                  <w:r>
                    <w:rPr>
                      <w:rFonts w:cs="Georgia"/>
                    </w:rPr>
                    <w:t>f</w:t>
                  </w:r>
                  <w:r>
                    <w:rPr>
                      <w:rFonts w:cs="Georgia"/>
                      <w:spacing w:val="-1"/>
                    </w:rPr>
                    <w:t>a</w:t>
                  </w:r>
                  <w:r>
                    <w:rPr>
                      <w:rFonts w:cs="Georgia"/>
                    </w:rPr>
                    <w:t>it</w:t>
                  </w:r>
                  <w:r>
                    <w:rPr>
                      <w:rFonts w:cs="Georgia"/>
                      <w:spacing w:val="2"/>
                    </w:rPr>
                    <w:t xml:space="preserve"> </w:t>
                  </w:r>
                  <w:r>
                    <w:rPr>
                      <w:rFonts w:cs="Georgia"/>
                      <w:spacing w:val="-1"/>
                    </w:rPr>
                    <w:t>ap</w:t>
                  </w:r>
                  <w:r>
                    <w:rPr>
                      <w:rFonts w:cs="Georgia"/>
                      <w:spacing w:val="1"/>
                    </w:rPr>
                    <w:t>p</w:t>
                  </w:r>
                  <w:r>
                    <w:rPr>
                      <w:rFonts w:cs="Georgia"/>
                      <w:spacing w:val="-1"/>
                    </w:rPr>
                    <w:t>e</w:t>
                  </w:r>
                  <w:r>
                    <w:rPr>
                      <w:rFonts w:cs="Georgia"/>
                    </w:rPr>
                    <w:t>l</w:t>
                  </w:r>
                  <w:r>
                    <w:rPr>
                      <w:rFonts w:cs="Georgia"/>
                      <w:spacing w:val="3"/>
                    </w:rPr>
                    <w:t xml:space="preserve"> </w:t>
                  </w:r>
                  <w:r>
                    <w:rPr>
                      <w:rFonts w:cs="Georgia"/>
                    </w:rPr>
                    <w:t>à</w:t>
                  </w:r>
                  <w:r>
                    <w:rPr>
                      <w:rFonts w:cs="Georgia"/>
                      <w:spacing w:val="2"/>
                    </w:rPr>
                    <w:t xml:space="preserve"> </w:t>
                  </w:r>
                  <w:r>
                    <w:rPr>
                      <w:rFonts w:cs="Georgia"/>
                    </w:rPr>
                    <w:t>d’</w:t>
                  </w:r>
                  <w:r>
                    <w:rPr>
                      <w:rFonts w:cs="Georgia"/>
                      <w:spacing w:val="-1"/>
                    </w:rPr>
                    <w:t>a</w:t>
                  </w:r>
                  <w:r>
                    <w:rPr>
                      <w:rFonts w:cs="Georgia"/>
                      <w:spacing w:val="-2"/>
                    </w:rPr>
                    <w:t>u</w:t>
                  </w:r>
                  <w:r>
                    <w:rPr>
                      <w:rFonts w:cs="Georgia"/>
                      <w:spacing w:val="1"/>
                    </w:rPr>
                    <w:t>tr</w:t>
                  </w:r>
                  <w:r>
                    <w:rPr>
                      <w:rFonts w:cs="Georgia"/>
                      <w:spacing w:val="-3"/>
                    </w:rPr>
                    <w:t>e</w:t>
                  </w:r>
                  <w:r>
                    <w:rPr>
                      <w:rFonts w:cs="Georgia"/>
                    </w:rPr>
                    <w:t>s m</w:t>
                  </w:r>
                  <w:r>
                    <w:rPr>
                      <w:rFonts w:cs="Georgia"/>
                      <w:spacing w:val="-1"/>
                    </w:rPr>
                    <w:t>e</w:t>
                  </w:r>
                  <w:r>
                    <w:rPr>
                      <w:rFonts w:cs="Georgia"/>
                    </w:rPr>
                    <w:t>m</w:t>
                  </w:r>
                  <w:r>
                    <w:rPr>
                      <w:rFonts w:cs="Georgia"/>
                      <w:spacing w:val="1"/>
                    </w:rPr>
                    <w:t>br</w:t>
                  </w:r>
                  <w:r>
                    <w:rPr>
                      <w:rFonts w:cs="Georgia"/>
                      <w:spacing w:val="-1"/>
                    </w:rPr>
                    <w:t>e</w:t>
                  </w:r>
                  <w:r>
                    <w:rPr>
                      <w:rFonts w:cs="Georgia"/>
                    </w:rPr>
                    <w:t>s</w:t>
                  </w:r>
                  <w:r>
                    <w:rPr>
                      <w:rFonts w:cs="Georgia"/>
                      <w:spacing w:val="1"/>
                    </w:rPr>
                    <w:t xml:space="preserve"> </w:t>
                  </w:r>
                  <w:r>
                    <w:rPr>
                      <w:rFonts w:cs="Georgia"/>
                    </w:rPr>
                    <w:t>du</w:t>
                  </w:r>
                  <w:r>
                    <w:rPr>
                      <w:rFonts w:cs="Georgia"/>
                      <w:spacing w:val="3"/>
                    </w:rPr>
                    <w:t xml:space="preserve"> </w:t>
                  </w:r>
                  <w:r>
                    <w:rPr>
                      <w:rFonts w:cs="Georgia"/>
                      <w:spacing w:val="1"/>
                    </w:rPr>
                    <w:t>p</w:t>
                  </w:r>
                  <w:r>
                    <w:rPr>
                      <w:rFonts w:cs="Georgia"/>
                      <w:spacing w:val="-1"/>
                    </w:rPr>
                    <w:t>e</w:t>
                  </w:r>
                  <w:r>
                    <w:rPr>
                      <w:rFonts w:cs="Georgia"/>
                      <w:spacing w:val="-2"/>
                    </w:rPr>
                    <w:t>r</w:t>
                  </w:r>
                  <w:r>
                    <w:rPr>
                      <w:rFonts w:cs="Georgia"/>
                      <w:spacing w:val="1"/>
                    </w:rPr>
                    <w:t>so</w:t>
                  </w:r>
                  <w:r>
                    <w:rPr>
                      <w:rFonts w:cs="Georgia"/>
                      <w:spacing w:val="-1"/>
                    </w:rPr>
                    <w:t>nne</w:t>
                  </w:r>
                  <w:r>
                    <w:rPr>
                      <w:rFonts w:cs="Georgia"/>
                    </w:rPr>
                    <w:t>l di</w:t>
                  </w:r>
                  <w:r>
                    <w:rPr>
                      <w:rFonts w:cs="Georgia"/>
                      <w:spacing w:val="1"/>
                    </w:rPr>
                    <w:t>r</w:t>
                  </w:r>
                  <w:r>
                    <w:rPr>
                      <w:rFonts w:cs="Georgia"/>
                      <w:spacing w:val="-1"/>
                    </w:rPr>
                    <w:t>e</w:t>
                  </w:r>
                  <w:r>
                    <w:rPr>
                      <w:rFonts w:cs="Georgia"/>
                      <w:spacing w:val="1"/>
                    </w:rPr>
                    <w:t>ct</w:t>
                  </w:r>
                  <w:r>
                    <w:rPr>
                      <w:rFonts w:cs="Georgia"/>
                      <w:spacing w:val="-1"/>
                    </w:rPr>
                    <w:t>e</w:t>
                  </w:r>
                  <w:r>
                    <w:rPr>
                      <w:rFonts w:cs="Georgia"/>
                      <w:spacing w:val="-2"/>
                    </w:rPr>
                    <w:t>u</w:t>
                  </w:r>
                  <w:r>
                    <w:rPr>
                      <w:rFonts w:cs="Georgia"/>
                    </w:rPr>
                    <w:t>r</w:t>
                  </w:r>
                  <w:r>
                    <w:rPr>
                      <w:rFonts w:cs="Georgia"/>
                      <w:spacing w:val="4"/>
                    </w:rPr>
                    <w:t xml:space="preserve"> </w:t>
                  </w:r>
                  <w:r>
                    <w:rPr>
                      <w:rFonts w:cs="Georgia"/>
                      <w:spacing w:val="-1"/>
                    </w:rPr>
                    <w:t>e</w:t>
                  </w:r>
                  <w:r>
                    <w:rPr>
                      <w:rFonts w:cs="Georgia"/>
                    </w:rPr>
                    <w:t>t</w:t>
                  </w:r>
                  <w:r>
                    <w:rPr>
                      <w:rFonts w:cs="Georgia"/>
                      <w:spacing w:val="4"/>
                    </w:rPr>
                    <w:t xml:space="preserve"> </w:t>
                  </w:r>
                  <w:r>
                    <w:rPr>
                      <w:rFonts w:cs="Georgia"/>
                      <w:spacing w:val="-1"/>
                    </w:rPr>
                    <w:t>en</w:t>
                  </w:r>
                  <w:r>
                    <w:rPr>
                      <w:rFonts w:cs="Georgia"/>
                      <w:spacing w:val="1"/>
                    </w:rPr>
                    <w:t>s</w:t>
                  </w:r>
                  <w:r>
                    <w:rPr>
                      <w:rFonts w:cs="Georgia"/>
                      <w:spacing w:val="-1"/>
                    </w:rPr>
                    <w:t>e</w:t>
                  </w:r>
                  <w:r>
                    <w:rPr>
                      <w:rFonts w:cs="Georgia"/>
                    </w:rPr>
                    <w:t>ig</w:t>
                  </w:r>
                  <w:r>
                    <w:rPr>
                      <w:rFonts w:cs="Georgia"/>
                      <w:spacing w:val="-1"/>
                    </w:rPr>
                    <w:t>nan</w:t>
                  </w:r>
                  <w:r>
                    <w:rPr>
                      <w:rFonts w:cs="Georgia"/>
                      <w:spacing w:val="1"/>
                    </w:rPr>
                    <w:t>t</w:t>
                  </w:r>
                  <w:r>
                    <w:rPr>
                      <w:rFonts w:cs="Georgia"/>
                    </w:rPr>
                    <w:t>,</w:t>
                  </w:r>
                  <w:r>
                    <w:rPr>
                      <w:rFonts w:cs="Georgia"/>
                      <w:spacing w:val="3"/>
                    </w:rPr>
                    <w:t xml:space="preserve"> </w:t>
                  </w:r>
                  <w:r>
                    <w:rPr>
                      <w:rFonts w:cs="Georgia"/>
                      <w:spacing w:val="-1"/>
                    </w:rPr>
                    <w:t>a</w:t>
                  </w:r>
                  <w:r>
                    <w:rPr>
                      <w:rFonts w:cs="Georgia"/>
                      <w:spacing w:val="1"/>
                    </w:rPr>
                    <w:t>pr</w:t>
                  </w:r>
                  <w:r>
                    <w:rPr>
                      <w:rFonts w:cs="Georgia"/>
                      <w:spacing w:val="-1"/>
                    </w:rPr>
                    <w:t>è</w:t>
                  </w:r>
                  <w:r>
                    <w:rPr>
                      <w:rFonts w:cs="Georgia"/>
                    </w:rPr>
                    <w:t>s</w:t>
                  </w:r>
                  <w:r>
                    <w:rPr>
                      <w:rFonts w:cs="Georgia"/>
                      <w:spacing w:val="1"/>
                    </w:rPr>
                    <w:t xml:space="preserve"> co</w:t>
                  </w:r>
                  <w:r>
                    <w:rPr>
                      <w:rFonts w:cs="Georgia"/>
                      <w:spacing w:val="-1"/>
                    </w:rPr>
                    <w:t>n</w:t>
                  </w:r>
                  <w:r>
                    <w:rPr>
                      <w:rFonts w:cs="Georgia"/>
                      <w:spacing w:val="-2"/>
                    </w:rPr>
                    <w:t>s</w:t>
                  </w:r>
                  <w:r>
                    <w:rPr>
                      <w:rFonts w:cs="Georgia"/>
                    </w:rPr>
                    <w:t>u</w:t>
                  </w:r>
                  <w:r>
                    <w:rPr>
                      <w:rFonts w:cs="Georgia"/>
                      <w:spacing w:val="-1"/>
                    </w:rPr>
                    <w:t>l</w:t>
                  </w:r>
                  <w:r>
                    <w:rPr>
                      <w:rFonts w:cs="Georgia"/>
                      <w:spacing w:val="1"/>
                    </w:rPr>
                    <w:t>t</w:t>
                  </w:r>
                  <w:r>
                    <w:rPr>
                      <w:rFonts w:cs="Georgia"/>
                      <w:spacing w:val="-1"/>
                    </w:rPr>
                    <w:t>a</w:t>
                  </w:r>
                  <w:r>
                    <w:rPr>
                      <w:rFonts w:cs="Georgia"/>
                      <w:spacing w:val="1"/>
                    </w:rPr>
                    <w:t>t</w:t>
                  </w:r>
                  <w:r>
                    <w:rPr>
                      <w:rFonts w:cs="Georgia"/>
                      <w:spacing w:val="-2"/>
                    </w:rPr>
                    <w:t>i</w:t>
                  </w:r>
                  <w:r>
                    <w:rPr>
                      <w:rFonts w:cs="Georgia"/>
                      <w:spacing w:val="1"/>
                    </w:rPr>
                    <w:t>o</w:t>
                  </w:r>
                  <w:r>
                    <w:rPr>
                      <w:rFonts w:cs="Georgia"/>
                    </w:rPr>
                    <w:t>n</w:t>
                  </w:r>
                  <w:r>
                    <w:rPr>
                      <w:rFonts w:cs="Georgia"/>
                      <w:spacing w:val="2"/>
                    </w:rPr>
                    <w:t xml:space="preserve"> </w:t>
                  </w:r>
                  <w:r>
                    <w:rPr>
                      <w:rFonts w:cs="Georgia"/>
                    </w:rPr>
                    <w:t>d</w:t>
                  </w:r>
                  <w:r>
                    <w:rPr>
                      <w:rFonts w:cs="Georgia"/>
                      <w:spacing w:val="-1"/>
                    </w:rPr>
                    <w:t>e</w:t>
                  </w:r>
                  <w:r>
                    <w:rPr>
                      <w:rFonts w:cs="Georgia"/>
                    </w:rPr>
                    <w:t>s</w:t>
                  </w:r>
                  <w:r>
                    <w:rPr>
                      <w:rFonts w:cs="Georgia"/>
                      <w:spacing w:val="4"/>
                    </w:rPr>
                    <w:t xml:space="preserve"> </w:t>
                  </w:r>
                  <w:r>
                    <w:rPr>
                      <w:rFonts w:cs="Georgia"/>
                      <w:spacing w:val="1"/>
                    </w:rPr>
                    <w:t>o</w:t>
                  </w:r>
                  <w:r>
                    <w:rPr>
                      <w:rFonts w:cs="Georgia"/>
                      <w:spacing w:val="-2"/>
                    </w:rPr>
                    <w:t>r</w:t>
                  </w:r>
                  <w:r>
                    <w:rPr>
                      <w:rFonts w:cs="Georgia"/>
                    </w:rPr>
                    <w:t>g</w:t>
                  </w:r>
                  <w:r>
                    <w:rPr>
                      <w:rFonts w:cs="Georgia"/>
                      <w:spacing w:val="-1"/>
                    </w:rPr>
                    <w:t>ane</w:t>
                  </w:r>
                  <w:r>
                    <w:rPr>
                      <w:rFonts w:cs="Georgia"/>
                    </w:rPr>
                    <w:t>s</w:t>
                  </w:r>
                  <w:r>
                    <w:rPr>
                      <w:rFonts w:cs="Georgia"/>
                      <w:spacing w:val="4"/>
                    </w:rPr>
                    <w:t xml:space="preserve"> </w:t>
                  </w:r>
                  <w:r>
                    <w:rPr>
                      <w:rFonts w:cs="Georgia"/>
                      <w:spacing w:val="-1"/>
                    </w:rPr>
                    <w:t>lé</w:t>
                  </w:r>
                  <w:r>
                    <w:rPr>
                      <w:rFonts w:cs="Georgia"/>
                    </w:rPr>
                    <w:t>g</w:t>
                  </w:r>
                  <w:r>
                    <w:rPr>
                      <w:rFonts w:cs="Georgia"/>
                      <w:spacing w:val="-1"/>
                    </w:rPr>
                    <w:t>a</w:t>
                  </w:r>
                  <w:r>
                    <w:rPr>
                      <w:rFonts w:cs="Georgia"/>
                    </w:rPr>
                    <w:t>ux</w:t>
                  </w:r>
                  <w:r>
                    <w:rPr>
                      <w:rFonts w:cs="Georgia"/>
                      <w:spacing w:val="2"/>
                    </w:rPr>
                    <w:t xml:space="preserve"> </w:t>
                  </w:r>
                  <w:r>
                    <w:rPr>
                      <w:rFonts w:cs="Georgia"/>
                    </w:rPr>
                    <w:t xml:space="preserve">de </w:t>
                  </w:r>
                  <w:r>
                    <w:rPr>
                      <w:rFonts w:cs="Georgia"/>
                      <w:spacing w:val="1"/>
                    </w:rPr>
                    <w:t>co</w:t>
                  </w:r>
                  <w:r>
                    <w:rPr>
                      <w:rFonts w:cs="Georgia"/>
                      <w:spacing w:val="-1"/>
                    </w:rPr>
                    <w:t>n</w:t>
                  </w:r>
                  <w:r>
                    <w:rPr>
                      <w:rFonts w:cs="Georgia"/>
                      <w:spacing w:val="1"/>
                    </w:rPr>
                    <w:t>c</w:t>
                  </w:r>
                  <w:r>
                    <w:rPr>
                      <w:rFonts w:cs="Georgia"/>
                      <w:spacing w:val="-1"/>
                    </w:rPr>
                    <w:t>e</w:t>
                  </w:r>
                  <w:r>
                    <w:rPr>
                      <w:rFonts w:cs="Georgia"/>
                      <w:spacing w:val="-2"/>
                    </w:rPr>
                    <w:t>r</w:t>
                  </w:r>
                  <w:r>
                    <w:rPr>
                      <w:rFonts w:cs="Georgia"/>
                      <w:spacing w:val="1"/>
                    </w:rPr>
                    <w:t>t</w:t>
                  </w:r>
                  <w:r>
                    <w:rPr>
                      <w:rFonts w:cs="Georgia"/>
                      <w:spacing w:val="-1"/>
                    </w:rPr>
                    <w:t>a</w:t>
                  </w:r>
                  <w:r>
                    <w:rPr>
                      <w:rFonts w:cs="Georgia"/>
                      <w:spacing w:val="1"/>
                    </w:rPr>
                    <w:t>t</w:t>
                  </w:r>
                  <w:r>
                    <w:rPr>
                      <w:rFonts w:cs="Georgia"/>
                      <w:spacing w:val="-2"/>
                    </w:rPr>
                    <w:t>i</w:t>
                  </w:r>
                  <w:r>
                    <w:rPr>
                      <w:rFonts w:cs="Georgia"/>
                      <w:spacing w:val="1"/>
                    </w:rPr>
                    <w:t>o</w:t>
                  </w:r>
                  <w:r>
                    <w:rPr>
                      <w:rFonts w:cs="Georgia"/>
                    </w:rPr>
                    <w:t xml:space="preserve">n </w:t>
                  </w:r>
                  <w:r>
                    <w:rPr>
                      <w:rFonts w:cs="Georgia"/>
                      <w:spacing w:val="-1"/>
                    </w:rPr>
                    <w:t>e</w:t>
                  </w:r>
                  <w:r>
                    <w:rPr>
                      <w:rFonts w:cs="Georgia"/>
                    </w:rPr>
                    <w:t>t</w:t>
                  </w:r>
                  <w:r>
                    <w:rPr>
                      <w:rFonts w:cs="Georgia"/>
                      <w:spacing w:val="2"/>
                    </w:rPr>
                    <w:t xml:space="preserve"> </w:t>
                  </w:r>
                  <w:r>
                    <w:rPr>
                      <w:rFonts w:cs="Georgia"/>
                    </w:rPr>
                    <w:t>m</w:t>
                  </w:r>
                  <w:r>
                    <w:rPr>
                      <w:rFonts w:cs="Georgia"/>
                      <w:spacing w:val="1"/>
                    </w:rPr>
                    <w:t>o</w:t>
                  </w:r>
                  <w:r>
                    <w:rPr>
                      <w:rFonts w:cs="Georgia"/>
                      <w:spacing w:val="-1"/>
                    </w:rPr>
                    <w:t>yenn</w:t>
                  </w:r>
                  <w:r>
                    <w:rPr>
                      <w:rFonts w:cs="Georgia"/>
                      <w:spacing w:val="2"/>
                    </w:rPr>
                    <w:t>a</w:t>
                  </w:r>
                  <w:r>
                    <w:rPr>
                      <w:rFonts w:cs="Georgia"/>
                      <w:spacing w:val="-1"/>
                    </w:rPr>
                    <w:t>n</w:t>
                  </w:r>
                  <w:r>
                    <w:rPr>
                      <w:rFonts w:cs="Georgia"/>
                    </w:rPr>
                    <w:t>t</w:t>
                  </w:r>
                  <w:r>
                    <w:rPr>
                      <w:rFonts w:cs="Georgia"/>
                      <w:spacing w:val="2"/>
                    </w:rPr>
                    <w:t xml:space="preserve"> </w:t>
                  </w:r>
                  <w:r>
                    <w:rPr>
                      <w:rFonts w:cs="Georgia"/>
                      <w:spacing w:val="-1"/>
                    </w:rPr>
                    <w:t>l</w:t>
                  </w:r>
                  <w:r>
                    <w:rPr>
                      <w:rFonts w:cs="Georgia"/>
                    </w:rPr>
                    <w:t>e f</w:t>
                  </w:r>
                  <w:r>
                    <w:rPr>
                      <w:rFonts w:cs="Georgia"/>
                      <w:spacing w:val="-1"/>
                    </w:rPr>
                    <w:t>a</w:t>
                  </w:r>
                  <w:r>
                    <w:rPr>
                      <w:rFonts w:cs="Georgia"/>
                    </w:rPr>
                    <w:t>it</w:t>
                  </w:r>
                  <w:r>
                    <w:rPr>
                      <w:rFonts w:cs="Georgia"/>
                      <w:spacing w:val="4"/>
                    </w:rPr>
                    <w:t xml:space="preserve"> </w:t>
                  </w:r>
                  <w:r>
                    <w:rPr>
                      <w:rFonts w:cs="Georgia"/>
                      <w:spacing w:val="-1"/>
                    </w:rPr>
                    <w:t>q</w:t>
                  </w:r>
                  <w:r>
                    <w:rPr>
                      <w:rFonts w:cs="Georgia"/>
                    </w:rPr>
                    <w:t xml:space="preserve">ue </w:t>
                  </w:r>
                  <w:r>
                    <w:rPr>
                      <w:rFonts w:cs="Georgia"/>
                      <w:spacing w:val="1"/>
                    </w:rPr>
                    <w:t>c</w:t>
                  </w:r>
                  <w:r>
                    <w:rPr>
                      <w:rFonts w:cs="Georgia"/>
                    </w:rPr>
                    <w:t xml:space="preserve">e </w:t>
                  </w:r>
                  <w:r>
                    <w:rPr>
                      <w:rFonts w:cs="Georgia"/>
                      <w:spacing w:val="1"/>
                    </w:rPr>
                    <w:t>co</w:t>
                  </w:r>
                  <w:r>
                    <w:rPr>
                      <w:rFonts w:cs="Georgia"/>
                    </w:rPr>
                    <w:t>m</w:t>
                  </w:r>
                  <w:r>
                    <w:rPr>
                      <w:rFonts w:cs="Georgia"/>
                      <w:spacing w:val="1"/>
                    </w:rPr>
                    <w:t>p</w:t>
                  </w:r>
                  <w:r>
                    <w:rPr>
                      <w:rFonts w:cs="Georgia"/>
                      <w:spacing w:val="-1"/>
                    </w:rPr>
                    <w:t>lé</w:t>
                  </w:r>
                  <w:r>
                    <w:rPr>
                      <w:rFonts w:cs="Georgia"/>
                    </w:rPr>
                    <w:t>m</w:t>
                  </w:r>
                  <w:r>
                    <w:rPr>
                      <w:rFonts w:cs="Georgia"/>
                      <w:spacing w:val="-1"/>
                    </w:rPr>
                    <w:t>en</w:t>
                  </w:r>
                  <w:r>
                    <w:rPr>
                      <w:rFonts w:cs="Georgia"/>
                    </w:rPr>
                    <w:t>t</w:t>
                  </w:r>
                  <w:r>
                    <w:rPr>
                      <w:rFonts w:cs="Georgia"/>
                      <w:spacing w:val="2"/>
                    </w:rPr>
                    <w:t xml:space="preserve"> </w:t>
                  </w:r>
                  <w:r>
                    <w:rPr>
                      <w:rFonts w:cs="Georgia"/>
                    </w:rPr>
                    <w:t xml:space="preserve">de </w:t>
                  </w:r>
                  <w:r>
                    <w:rPr>
                      <w:rFonts w:cs="Georgia"/>
                      <w:spacing w:val="1"/>
                    </w:rPr>
                    <w:t>ch</w:t>
                  </w:r>
                  <w:r>
                    <w:rPr>
                      <w:rFonts w:cs="Georgia"/>
                      <w:spacing w:val="-1"/>
                    </w:rPr>
                    <w:t>a</w:t>
                  </w:r>
                  <w:r>
                    <w:rPr>
                      <w:rFonts w:cs="Georgia"/>
                      <w:spacing w:val="1"/>
                    </w:rPr>
                    <w:t>r</w:t>
                  </w:r>
                  <w:r>
                    <w:rPr>
                      <w:rFonts w:cs="Georgia"/>
                    </w:rPr>
                    <w:t xml:space="preserve">ge </w:t>
                  </w:r>
                  <w:r>
                    <w:rPr>
                      <w:rFonts w:cs="Georgia"/>
                      <w:spacing w:val="-1"/>
                    </w:rPr>
                    <w:t>n</w:t>
                  </w:r>
                  <w:r>
                    <w:rPr>
                      <w:rFonts w:cs="Georgia"/>
                    </w:rPr>
                    <w:t xml:space="preserve">e </w:t>
                  </w:r>
                  <w:r>
                    <w:rPr>
                      <w:rFonts w:cs="Georgia"/>
                      <w:spacing w:val="1"/>
                    </w:rPr>
                    <w:t>p</w:t>
                  </w:r>
                  <w:r>
                    <w:rPr>
                      <w:rFonts w:cs="Georgia"/>
                      <w:spacing w:val="-1"/>
                    </w:rPr>
                    <w:t>e</w:t>
                  </w:r>
                  <w:r>
                    <w:rPr>
                      <w:rFonts w:cs="Georgia"/>
                    </w:rPr>
                    <w:t>ut</w:t>
                  </w:r>
                  <w:r>
                    <w:rPr>
                      <w:rFonts w:cs="Georgia"/>
                      <w:spacing w:val="2"/>
                    </w:rPr>
                    <w:t xml:space="preserve"> </w:t>
                  </w:r>
                  <w:r>
                    <w:rPr>
                      <w:rFonts w:cs="Georgia"/>
                      <w:spacing w:val="-1"/>
                    </w:rPr>
                    <w:t>a</w:t>
                  </w:r>
                  <w:r>
                    <w:rPr>
                      <w:rFonts w:cs="Georgia"/>
                      <w:spacing w:val="1"/>
                    </w:rPr>
                    <w:t>vo</w:t>
                  </w:r>
                  <w:r>
                    <w:rPr>
                      <w:rFonts w:cs="Georgia"/>
                    </w:rPr>
                    <w:t>ir</w:t>
                  </w:r>
                  <w:r>
                    <w:rPr>
                      <w:rFonts w:cs="Georgia"/>
                      <w:spacing w:val="2"/>
                    </w:rPr>
                    <w:t xml:space="preserve"> </w:t>
                  </w:r>
                  <w:r>
                    <w:rPr>
                      <w:rFonts w:cs="Georgia"/>
                      <w:spacing w:val="-1"/>
                    </w:rPr>
                    <w:t>p</w:t>
                  </w:r>
                  <w:r>
                    <w:rPr>
                      <w:rFonts w:cs="Georgia"/>
                      <w:spacing w:val="1"/>
                    </w:rPr>
                    <w:t>o</w:t>
                  </w:r>
                  <w:r>
                    <w:rPr>
                      <w:rFonts w:cs="Georgia"/>
                      <w:spacing w:val="-2"/>
                    </w:rPr>
                    <w:t>u</w:t>
                  </w:r>
                  <w:r>
                    <w:rPr>
                      <w:rFonts w:cs="Georgia"/>
                    </w:rPr>
                    <w:t>r</w:t>
                  </w:r>
                  <w:r>
                    <w:rPr>
                      <w:rFonts w:cs="Georgia"/>
                      <w:spacing w:val="2"/>
                    </w:rPr>
                    <w:t xml:space="preserve"> </w:t>
                  </w:r>
                  <w:r>
                    <w:rPr>
                      <w:rFonts w:cs="Georgia"/>
                      <w:spacing w:val="1"/>
                    </w:rPr>
                    <w:t>co</w:t>
                  </w:r>
                  <w:r>
                    <w:rPr>
                      <w:rFonts w:cs="Georgia"/>
                      <w:spacing w:val="-1"/>
                    </w:rPr>
                    <w:t>n</w:t>
                  </w:r>
                  <w:r>
                    <w:rPr>
                      <w:rFonts w:cs="Georgia"/>
                      <w:spacing w:val="1"/>
                    </w:rPr>
                    <w:t>s</w:t>
                  </w:r>
                  <w:r>
                    <w:rPr>
                      <w:rFonts w:cs="Georgia"/>
                      <w:spacing w:val="-1"/>
                    </w:rPr>
                    <w:t>éq</w:t>
                  </w:r>
                  <w:r>
                    <w:rPr>
                      <w:rFonts w:cs="Georgia"/>
                    </w:rPr>
                    <w:t>u</w:t>
                  </w:r>
                  <w:r>
                    <w:rPr>
                      <w:rFonts w:cs="Georgia"/>
                      <w:spacing w:val="-1"/>
                    </w:rPr>
                    <w:t>en</w:t>
                  </w:r>
                  <w:r>
                    <w:rPr>
                      <w:rFonts w:cs="Georgia"/>
                      <w:spacing w:val="1"/>
                    </w:rPr>
                    <w:t>c</w:t>
                  </w:r>
                  <w:r>
                    <w:rPr>
                      <w:rFonts w:cs="Georgia"/>
                    </w:rPr>
                    <w:t xml:space="preserve">e </w:t>
                  </w:r>
                  <w:r>
                    <w:rPr>
                      <w:rFonts w:cs="Georgia"/>
                      <w:spacing w:val="-1"/>
                    </w:rPr>
                    <w:t>l</w:t>
                  </w:r>
                  <w:r>
                    <w:rPr>
                      <w:rFonts w:cs="Georgia"/>
                    </w:rPr>
                    <w:t>a mi</w:t>
                  </w:r>
                  <w:r>
                    <w:rPr>
                      <w:rFonts w:cs="Georgia"/>
                      <w:spacing w:val="1"/>
                    </w:rPr>
                    <w:t>s</w:t>
                  </w:r>
                  <w:r>
                    <w:rPr>
                      <w:rFonts w:cs="Georgia"/>
                    </w:rPr>
                    <w:t xml:space="preserve">e </w:t>
                  </w:r>
                  <w:r>
                    <w:rPr>
                      <w:rFonts w:cs="Georgia"/>
                      <w:spacing w:val="-1"/>
                    </w:rPr>
                    <w:t>e</w:t>
                  </w:r>
                  <w:r>
                    <w:rPr>
                      <w:rFonts w:cs="Georgia"/>
                    </w:rPr>
                    <w:t>n</w:t>
                  </w:r>
                  <w:r>
                    <w:rPr>
                      <w:rFonts w:cs="Georgia"/>
                      <w:spacing w:val="1"/>
                    </w:rPr>
                    <w:t xml:space="preserve"> </w:t>
                  </w:r>
                  <w:r>
                    <w:rPr>
                      <w:rFonts w:cs="Georgia"/>
                    </w:rPr>
                    <w:t>di</w:t>
                  </w:r>
                  <w:r>
                    <w:rPr>
                      <w:rFonts w:cs="Georgia"/>
                      <w:spacing w:val="1"/>
                    </w:rPr>
                    <w:t>spo</w:t>
                  </w:r>
                  <w:r>
                    <w:rPr>
                      <w:rFonts w:cs="Georgia"/>
                      <w:spacing w:val="-1"/>
                    </w:rPr>
                    <w:t>n</w:t>
                  </w:r>
                  <w:r>
                    <w:rPr>
                      <w:rFonts w:cs="Georgia"/>
                      <w:spacing w:val="-2"/>
                    </w:rPr>
                    <w:t>i</w:t>
                  </w:r>
                  <w:r>
                    <w:rPr>
                      <w:rFonts w:cs="Georgia"/>
                      <w:spacing w:val="1"/>
                    </w:rPr>
                    <w:t>b</w:t>
                  </w:r>
                  <w:r>
                    <w:rPr>
                      <w:rFonts w:cs="Georgia"/>
                    </w:rPr>
                    <w:t>i</w:t>
                  </w:r>
                  <w:r>
                    <w:rPr>
                      <w:rFonts w:cs="Georgia"/>
                      <w:spacing w:val="-1"/>
                    </w:rPr>
                    <w:t>l</w:t>
                  </w:r>
                  <w:r>
                    <w:rPr>
                      <w:rFonts w:cs="Georgia"/>
                    </w:rPr>
                    <w:t>i</w:t>
                  </w:r>
                  <w:r>
                    <w:rPr>
                      <w:rFonts w:cs="Georgia"/>
                      <w:spacing w:val="1"/>
                    </w:rPr>
                    <w:t>t</w:t>
                  </w:r>
                  <w:r>
                    <w:rPr>
                      <w:rFonts w:cs="Georgia"/>
                    </w:rPr>
                    <w:t xml:space="preserve">é </w:t>
                  </w:r>
                  <w:r>
                    <w:rPr>
                      <w:rFonts w:cs="Georgia"/>
                      <w:spacing w:val="1"/>
                    </w:rPr>
                    <w:t>p</w:t>
                  </w:r>
                  <w:r>
                    <w:rPr>
                      <w:rFonts w:cs="Georgia"/>
                      <w:spacing w:val="-3"/>
                    </w:rPr>
                    <w:t>a</w:t>
                  </w:r>
                  <w:r>
                    <w:rPr>
                      <w:rFonts w:cs="Georgia"/>
                      <w:spacing w:val="1"/>
                    </w:rPr>
                    <w:t>rt</w:t>
                  </w:r>
                  <w:r>
                    <w:rPr>
                      <w:rFonts w:cs="Georgia"/>
                    </w:rPr>
                    <w:t>i</w:t>
                  </w:r>
                  <w:r>
                    <w:rPr>
                      <w:rFonts w:cs="Georgia"/>
                      <w:spacing w:val="-1"/>
                    </w:rPr>
                    <w:t>ell</w:t>
                  </w:r>
                  <w:r>
                    <w:rPr>
                      <w:rFonts w:cs="Georgia"/>
                    </w:rPr>
                    <w:t xml:space="preserve">e </w:t>
                  </w:r>
                  <w:r>
                    <w:rPr>
                      <w:rFonts w:cs="Georgia"/>
                      <w:spacing w:val="1"/>
                    </w:rPr>
                    <w:t>o</w:t>
                  </w:r>
                  <w:r>
                    <w:rPr>
                      <w:rFonts w:cs="Georgia"/>
                    </w:rPr>
                    <w:t>u</w:t>
                  </w:r>
                  <w:r>
                    <w:rPr>
                      <w:rFonts w:cs="Georgia"/>
                      <w:spacing w:val="2"/>
                    </w:rPr>
                    <w:t xml:space="preserve"> </w:t>
                  </w:r>
                  <w:r>
                    <w:rPr>
                      <w:rFonts w:cs="Georgia"/>
                      <w:spacing w:val="1"/>
                    </w:rPr>
                    <w:t>tot</w:t>
                  </w:r>
                  <w:r>
                    <w:rPr>
                      <w:rFonts w:cs="Georgia"/>
                      <w:spacing w:val="-1"/>
                    </w:rPr>
                    <w:t>al</w:t>
                  </w:r>
                  <w:r>
                    <w:rPr>
                      <w:rFonts w:cs="Georgia"/>
                    </w:rPr>
                    <w:t>e d’un</w:t>
                  </w:r>
                  <w:r>
                    <w:rPr>
                      <w:rFonts w:cs="Georgia"/>
                      <w:spacing w:val="1"/>
                    </w:rPr>
                    <w:t xml:space="preserve"> </w:t>
                  </w:r>
                  <w:r>
                    <w:rPr>
                      <w:rFonts w:cs="Georgia"/>
                      <w:spacing w:val="-1"/>
                    </w:rPr>
                    <w:t>a</w:t>
                  </w:r>
                  <w:r>
                    <w:rPr>
                      <w:rFonts w:cs="Georgia"/>
                    </w:rPr>
                    <w:t>u</w:t>
                  </w:r>
                  <w:r>
                    <w:rPr>
                      <w:rFonts w:cs="Georgia"/>
                      <w:spacing w:val="-2"/>
                    </w:rPr>
                    <w:t>t</w:t>
                  </w:r>
                  <w:r>
                    <w:rPr>
                      <w:rFonts w:cs="Georgia"/>
                      <w:spacing w:val="1"/>
                    </w:rPr>
                    <w:t>r</w:t>
                  </w:r>
                  <w:r>
                    <w:rPr>
                      <w:rFonts w:cs="Georgia"/>
                    </w:rPr>
                    <w:t>e m</w:t>
                  </w:r>
                  <w:r>
                    <w:rPr>
                      <w:rFonts w:cs="Georgia"/>
                      <w:spacing w:val="-1"/>
                    </w:rPr>
                    <w:t>e</w:t>
                  </w:r>
                  <w:r>
                    <w:rPr>
                      <w:rFonts w:cs="Georgia"/>
                    </w:rPr>
                    <w:t>m</w:t>
                  </w:r>
                  <w:r>
                    <w:rPr>
                      <w:rFonts w:cs="Georgia"/>
                      <w:spacing w:val="1"/>
                    </w:rPr>
                    <w:t>br</w:t>
                  </w:r>
                  <w:r>
                    <w:rPr>
                      <w:rFonts w:cs="Georgia"/>
                    </w:rPr>
                    <w:t>e du</w:t>
                  </w:r>
                  <w:r>
                    <w:rPr>
                      <w:rFonts w:cs="Georgia"/>
                      <w:spacing w:val="2"/>
                    </w:rPr>
                    <w:t xml:space="preserve"> </w:t>
                  </w:r>
                  <w:r>
                    <w:rPr>
                      <w:rFonts w:cs="Georgia"/>
                      <w:spacing w:val="1"/>
                    </w:rPr>
                    <w:t>p</w:t>
                  </w:r>
                  <w:r>
                    <w:rPr>
                      <w:rFonts w:cs="Georgia"/>
                      <w:spacing w:val="-1"/>
                    </w:rPr>
                    <w:t>e</w:t>
                  </w:r>
                  <w:r>
                    <w:rPr>
                      <w:rFonts w:cs="Georgia"/>
                      <w:spacing w:val="-2"/>
                    </w:rPr>
                    <w:t>r</w:t>
                  </w:r>
                  <w:r>
                    <w:rPr>
                      <w:rFonts w:cs="Georgia"/>
                      <w:spacing w:val="1"/>
                    </w:rPr>
                    <w:t>so</w:t>
                  </w:r>
                  <w:r>
                    <w:rPr>
                      <w:rFonts w:cs="Georgia"/>
                      <w:spacing w:val="-1"/>
                    </w:rPr>
                    <w:t>nne</w:t>
                  </w:r>
                  <w:r>
                    <w:rPr>
                      <w:rFonts w:cs="Georgia"/>
                    </w:rPr>
                    <w:t>l</w:t>
                  </w:r>
                  <w:r>
                    <w:rPr>
                      <w:rFonts w:cs="Georgia"/>
                      <w:spacing w:val="1"/>
                    </w:rPr>
                    <w:t xml:space="preserve"> </w:t>
                  </w:r>
                  <w:r>
                    <w:rPr>
                      <w:rFonts w:cs="Georgia"/>
                    </w:rPr>
                    <w:t>di</w:t>
                  </w:r>
                  <w:r>
                    <w:rPr>
                      <w:rFonts w:cs="Georgia"/>
                      <w:spacing w:val="1"/>
                    </w:rPr>
                    <w:t>r</w:t>
                  </w:r>
                  <w:r>
                    <w:rPr>
                      <w:rFonts w:cs="Georgia"/>
                      <w:spacing w:val="-1"/>
                    </w:rPr>
                    <w:t>e</w:t>
                  </w:r>
                  <w:r>
                    <w:rPr>
                      <w:rFonts w:cs="Georgia"/>
                      <w:spacing w:val="1"/>
                    </w:rPr>
                    <w:t>ct</w:t>
                  </w:r>
                  <w:r>
                    <w:rPr>
                      <w:rFonts w:cs="Georgia"/>
                      <w:spacing w:val="-1"/>
                    </w:rPr>
                    <w:t>e</w:t>
                  </w:r>
                  <w:r>
                    <w:rPr>
                      <w:rFonts w:cs="Georgia"/>
                    </w:rPr>
                    <w:t>ur</w:t>
                  </w:r>
                  <w:r>
                    <w:rPr>
                      <w:rFonts w:cs="Georgia"/>
                      <w:spacing w:val="2"/>
                    </w:rPr>
                    <w:t xml:space="preserve"> </w:t>
                  </w:r>
                  <w:r>
                    <w:rPr>
                      <w:rFonts w:cs="Georgia"/>
                      <w:spacing w:val="-1"/>
                    </w:rPr>
                    <w:t>e</w:t>
                  </w:r>
                  <w:r>
                    <w:rPr>
                      <w:rFonts w:cs="Georgia"/>
                    </w:rPr>
                    <w:t>t</w:t>
                  </w:r>
                  <w:r>
                    <w:rPr>
                      <w:rFonts w:cs="Georgia"/>
                      <w:spacing w:val="2"/>
                    </w:rPr>
                    <w:t xml:space="preserve"> </w:t>
                  </w:r>
                  <w:r>
                    <w:rPr>
                      <w:rFonts w:cs="Georgia"/>
                      <w:spacing w:val="-1"/>
                    </w:rPr>
                    <w:t>en</w:t>
                  </w:r>
                  <w:r>
                    <w:rPr>
                      <w:rFonts w:cs="Georgia"/>
                      <w:spacing w:val="1"/>
                    </w:rPr>
                    <w:t>s</w:t>
                  </w:r>
                  <w:r>
                    <w:rPr>
                      <w:rFonts w:cs="Georgia"/>
                      <w:spacing w:val="-1"/>
                    </w:rPr>
                    <w:t>e</w:t>
                  </w:r>
                  <w:r>
                    <w:rPr>
                      <w:rFonts w:cs="Georgia"/>
                    </w:rPr>
                    <w:t>ig</w:t>
                  </w:r>
                  <w:r>
                    <w:rPr>
                      <w:rFonts w:cs="Georgia"/>
                      <w:spacing w:val="1"/>
                    </w:rPr>
                    <w:t>n</w:t>
                  </w:r>
                  <w:r>
                    <w:rPr>
                      <w:rFonts w:cs="Georgia"/>
                      <w:spacing w:val="-1"/>
                    </w:rPr>
                    <w:t xml:space="preserve">ant </w:t>
                  </w:r>
                  <w:r>
                    <w:rPr>
                      <w:rFonts w:cs="Georgia"/>
                    </w:rPr>
                    <w:t>d</w:t>
                  </w:r>
                  <w:r>
                    <w:rPr>
                      <w:rFonts w:cs="Georgia"/>
                      <w:spacing w:val="-1"/>
                    </w:rPr>
                    <w:t>an</w:t>
                  </w:r>
                  <w:r>
                    <w:rPr>
                      <w:rFonts w:cs="Georgia"/>
                    </w:rPr>
                    <w:t xml:space="preserve">s </w:t>
                  </w:r>
                  <w:r>
                    <w:rPr>
                      <w:rFonts w:cs="Georgia"/>
                      <w:spacing w:val="-1"/>
                    </w:rPr>
                    <w:t>l</w:t>
                  </w:r>
                  <w:r>
                    <w:rPr>
                      <w:rFonts w:cs="Georgia"/>
                    </w:rPr>
                    <w:t>’</w:t>
                  </w:r>
                  <w:r>
                    <w:rPr>
                      <w:rFonts w:cs="Georgia"/>
                      <w:spacing w:val="-1"/>
                    </w:rPr>
                    <w:t>é</w:t>
                  </w:r>
                  <w:r>
                    <w:rPr>
                      <w:rFonts w:cs="Georgia"/>
                      <w:spacing w:val="1"/>
                    </w:rPr>
                    <w:t>t</w:t>
                  </w:r>
                  <w:r>
                    <w:rPr>
                      <w:rFonts w:cs="Georgia"/>
                      <w:spacing w:val="-1"/>
                    </w:rPr>
                    <w:t>a</w:t>
                  </w:r>
                  <w:r>
                    <w:rPr>
                      <w:rFonts w:cs="Georgia"/>
                      <w:spacing w:val="1"/>
                    </w:rPr>
                    <w:t>b</w:t>
                  </w:r>
                  <w:r>
                    <w:rPr>
                      <w:rFonts w:cs="Georgia"/>
                      <w:spacing w:val="-1"/>
                    </w:rPr>
                    <w:t>l</w:t>
                  </w:r>
                  <w:r>
                    <w:rPr>
                      <w:rFonts w:cs="Georgia"/>
                    </w:rPr>
                    <w:t>i</w:t>
                  </w:r>
                  <w:r>
                    <w:rPr>
                      <w:rFonts w:cs="Georgia"/>
                      <w:spacing w:val="1"/>
                    </w:rPr>
                    <w:t>ss</w:t>
                  </w:r>
                  <w:r>
                    <w:rPr>
                      <w:rFonts w:cs="Georgia"/>
                      <w:spacing w:val="-1"/>
                    </w:rPr>
                    <w:t>e</w:t>
                  </w:r>
                  <w:r>
                    <w:rPr>
                      <w:rFonts w:cs="Georgia"/>
                    </w:rPr>
                    <w:t>m</w:t>
                  </w:r>
                  <w:r>
                    <w:rPr>
                      <w:rFonts w:cs="Georgia"/>
                      <w:spacing w:val="-1"/>
                    </w:rPr>
                    <w:t>en</w:t>
                  </w:r>
                  <w:r>
                    <w:rPr>
                      <w:rFonts w:cs="Georgia"/>
                      <w:spacing w:val="-2"/>
                    </w:rPr>
                    <w:t>t</w:t>
                  </w:r>
                  <w:r>
                    <w:rPr>
                      <w:rFonts w:cs="Georgia"/>
                    </w:rPr>
                    <w:t xml:space="preserve">. </w:t>
                  </w:r>
                </w:p>
                <w:p>
                  <w:pPr>
                    <w:widowControl w:val="0"/>
                    <w:autoSpaceDE w:val="0"/>
                    <w:autoSpaceDN w:val="0"/>
                    <w:adjustRightInd w:val="0"/>
                    <w:ind w:right="47"/>
                    <w:jc w:val="both"/>
                    <w:rPr>
                      <w:rFonts w:cs="Georgia"/>
                    </w:rPr>
                  </w:pPr>
                </w:p>
                <w:p>
                  <w:pPr>
                    <w:pStyle w:val="Titre5"/>
                  </w:pPr>
                  <w:bookmarkStart w:id="1759" w:name="_2.3.5_Enseignement_spécialisé"/>
                  <w:bookmarkStart w:id="1760" w:name="_Ref11410446"/>
                  <w:bookmarkEnd w:id="1759"/>
                  <w:r>
                    <w:rPr>
                      <w:color w:val="000000"/>
                    </w:rPr>
                    <w:t xml:space="preserve">2.4.5 </w:t>
                  </w:r>
                  <w:r>
                    <w:t>Enseignement spécialisé dispensé à domicile</w:t>
                  </w:r>
                  <w:bookmarkEnd w:id="1760"/>
                  <w:r>
                    <w:t xml:space="preserve"> </w:t>
                  </w:r>
                </w:p>
                <w:p>
                  <w:pPr>
                    <w:jc w:val="both"/>
                    <w:rPr>
                      <w:rFonts w:cs="Georgia"/>
                    </w:rPr>
                  </w:pPr>
                </w:p>
                <w:p>
                  <w:pPr>
                    <w:jc w:val="both"/>
                    <w:rPr>
                      <w:rFonts w:cs="Georgia"/>
                      <w:color w:val="000000"/>
                      <w:spacing w:val="-1"/>
                    </w:rPr>
                  </w:pPr>
                  <w:r>
                    <w:rPr>
                      <w:rFonts w:cs="Georgia"/>
                      <w:spacing w:val="1"/>
                    </w:rPr>
                    <w:t>S</w:t>
                  </w:r>
                  <w:r>
                    <w:rPr>
                      <w:rFonts w:cs="Georgia"/>
                      <w:spacing w:val="-1"/>
                    </w:rPr>
                    <w:t>e</w:t>
                  </w:r>
                  <w:r>
                    <w:rPr>
                      <w:rFonts w:cs="Georgia"/>
                    </w:rPr>
                    <w:t>u</w:t>
                  </w:r>
                  <w:r>
                    <w:rPr>
                      <w:rFonts w:cs="Georgia"/>
                      <w:spacing w:val="-1"/>
                    </w:rPr>
                    <w:t>l</w:t>
                  </w:r>
                  <w:r>
                    <w:rPr>
                      <w:rFonts w:cs="Georgia"/>
                    </w:rPr>
                    <w:t>s</w:t>
                  </w:r>
                  <w:r>
                    <w:rPr>
                      <w:rFonts w:cs="Georgia"/>
                      <w:spacing w:val="2"/>
                    </w:rPr>
                    <w:t xml:space="preserve"> </w:t>
                  </w:r>
                  <w:r>
                    <w:rPr>
                      <w:rFonts w:cs="Georgia"/>
                      <w:spacing w:val="-1"/>
                    </w:rPr>
                    <w:t>le</w:t>
                  </w:r>
                  <w:r>
                    <w:rPr>
                      <w:rFonts w:cs="Georgia"/>
                    </w:rPr>
                    <w:t>s</w:t>
                  </w:r>
                  <w:r>
                    <w:rPr>
                      <w:rFonts w:cs="Georgia"/>
                      <w:spacing w:val="2"/>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w:t>
                  </w:r>
                  <w:r>
                    <w:rPr>
                      <w:rFonts w:cs="Georgia"/>
                      <w:spacing w:val="-1"/>
                    </w:rPr>
                    <w:t>en</w:t>
                  </w:r>
                  <w:r>
                    <w:rPr>
                      <w:rFonts w:cs="Georgia"/>
                      <w:spacing w:val="1"/>
                    </w:rPr>
                    <w:t>s</w:t>
                  </w:r>
                  <w:r>
                    <w:rPr>
                      <w:rFonts w:cs="Georgia"/>
                      <w:spacing w:val="-1"/>
                    </w:rPr>
                    <w:t>e</w:t>
                  </w:r>
                  <w:r>
                    <w:rPr>
                      <w:rFonts w:cs="Georgia"/>
                      <w:spacing w:val="-2"/>
                    </w:rPr>
                    <w:t>i</w:t>
                  </w:r>
                  <w:r>
                    <w:rPr>
                      <w:rFonts w:cs="Georgia"/>
                    </w:rPr>
                    <w:t>g</w:t>
                  </w:r>
                  <w:r>
                    <w:rPr>
                      <w:rFonts w:cs="Georgia"/>
                      <w:spacing w:val="-1"/>
                    </w:rPr>
                    <w:t>ne</w:t>
                  </w:r>
                  <w:r>
                    <w:rPr>
                      <w:rFonts w:cs="Georgia"/>
                    </w:rPr>
                    <w:t>m</w:t>
                  </w:r>
                  <w:r>
                    <w:rPr>
                      <w:rFonts w:cs="Georgia"/>
                      <w:spacing w:val="-1"/>
                    </w:rPr>
                    <w:t>en</w:t>
                  </w:r>
                  <w:r>
                    <w:rPr>
                      <w:rFonts w:cs="Georgia"/>
                    </w:rPr>
                    <w:t>t</w:t>
                  </w:r>
                  <w:r>
                    <w:rPr>
                      <w:rFonts w:cs="Georgia"/>
                      <w:spacing w:val="2"/>
                    </w:rPr>
                    <w:t xml:space="preserve"> </w:t>
                  </w:r>
                  <w:r>
                    <w:rPr>
                      <w:rFonts w:cs="Georgia"/>
                    </w:rPr>
                    <w:t>i</w:t>
                  </w:r>
                  <w:r>
                    <w:rPr>
                      <w:rFonts w:cs="Georgia"/>
                      <w:spacing w:val="-1"/>
                    </w:rPr>
                    <w:t>n</w:t>
                  </w:r>
                  <w:r>
                    <w:rPr>
                      <w:rFonts w:cs="Georgia"/>
                    </w:rPr>
                    <w:t>di</w:t>
                  </w:r>
                  <w:r>
                    <w:rPr>
                      <w:rFonts w:cs="Georgia"/>
                      <w:spacing w:val="1"/>
                    </w:rPr>
                    <w:t>v</w:t>
                  </w:r>
                  <w:r>
                    <w:rPr>
                      <w:rFonts w:cs="Georgia"/>
                    </w:rPr>
                    <w:t>i</w:t>
                  </w:r>
                  <w:r>
                    <w:rPr>
                      <w:rFonts w:cs="Georgia"/>
                      <w:spacing w:val="-2"/>
                    </w:rPr>
                    <w:t>d</w:t>
                  </w:r>
                  <w:r>
                    <w:rPr>
                      <w:rFonts w:cs="Georgia"/>
                    </w:rPr>
                    <w:t>u</w:t>
                  </w:r>
                  <w:r>
                    <w:rPr>
                      <w:rFonts w:cs="Georgia"/>
                      <w:spacing w:val="-1"/>
                    </w:rPr>
                    <w:t>al</w:t>
                  </w:r>
                  <w:r>
                    <w:rPr>
                      <w:rFonts w:cs="Georgia"/>
                    </w:rPr>
                    <w:t>i</w:t>
                  </w:r>
                  <w:r>
                    <w:rPr>
                      <w:rFonts w:cs="Georgia"/>
                      <w:spacing w:val="1"/>
                    </w:rPr>
                    <w:t>s</w:t>
                  </w:r>
                  <w:r>
                    <w:rPr>
                      <w:rFonts w:cs="Georgia"/>
                    </w:rPr>
                    <w:t>é</w:t>
                  </w:r>
                  <w:r>
                    <w:rPr>
                      <w:rFonts w:cs="Georgia"/>
                      <w:spacing w:val="1"/>
                    </w:rPr>
                    <w:t xml:space="preserve"> </w:t>
                  </w:r>
                  <w:r>
                    <w:rPr>
                      <w:rFonts w:cs="Georgia"/>
                      <w:spacing w:val="-1"/>
                    </w:rPr>
                    <w:t>e</w:t>
                  </w:r>
                  <w:r>
                    <w:rPr>
                      <w:rFonts w:cs="Georgia"/>
                    </w:rPr>
                    <w:t>t</w:t>
                  </w:r>
                  <w:r>
                    <w:rPr>
                      <w:rFonts w:cs="Georgia"/>
                      <w:spacing w:val="2"/>
                    </w:rPr>
                    <w:t xml:space="preserve"> </w:t>
                  </w:r>
                  <w:r>
                    <w:rPr>
                      <w:rFonts w:cs="Georgia"/>
                      <w:spacing w:val="-1"/>
                    </w:rPr>
                    <w:t>le</w:t>
                  </w:r>
                  <w:r>
                    <w:rPr>
                      <w:rFonts w:cs="Georgia"/>
                    </w:rPr>
                    <w:t>s</w:t>
                  </w:r>
                  <w:r>
                    <w:rPr>
                      <w:rFonts w:cs="Georgia"/>
                      <w:spacing w:val="2"/>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w:t>
                  </w:r>
                  <w:r>
                    <w:rPr>
                      <w:rFonts w:cs="Georgia"/>
                      <w:spacing w:val="2"/>
                    </w:rPr>
                    <w:t xml:space="preserve"> </w:t>
                  </w:r>
                  <w:r>
                    <w:rPr>
                      <w:rFonts w:cs="Georgia"/>
                    </w:rPr>
                    <w:t>d’</w:t>
                  </w:r>
                  <w:r>
                    <w:rPr>
                      <w:rFonts w:cs="Georgia"/>
                      <w:spacing w:val="-3"/>
                    </w:rPr>
                    <w:t>a</w:t>
                  </w:r>
                  <w:r>
                    <w:rPr>
                      <w:rFonts w:cs="Georgia"/>
                      <w:spacing w:val="1"/>
                    </w:rPr>
                    <w:t>ct</w:t>
                  </w:r>
                  <w:r>
                    <w:rPr>
                      <w:rFonts w:cs="Georgia"/>
                    </w:rPr>
                    <w:t>i</w:t>
                  </w:r>
                  <w:r>
                    <w:rPr>
                      <w:rFonts w:cs="Georgia"/>
                      <w:spacing w:val="-2"/>
                    </w:rPr>
                    <w:t>v</w:t>
                  </w:r>
                  <w:r>
                    <w:rPr>
                      <w:rFonts w:cs="Georgia"/>
                    </w:rPr>
                    <w:t>i</w:t>
                  </w:r>
                  <w:r>
                    <w:rPr>
                      <w:rFonts w:cs="Georgia"/>
                      <w:spacing w:val="1"/>
                    </w:rPr>
                    <w:t>t</w:t>
                  </w:r>
                  <w:r>
                    <w:rPr>
                      <w:rFonts w:cs="Georgia"/>
                      <w:spacing w:val="-1"/>
                    </w:rPr>
                    <w:t>é</w:t>
                  </w:r>
                  <w:r>
                    <w:rPr>
                      <w:rFonts w:cs="Georgia"/>
                    </w:rPr>
                    <w:t>s</w:t>
                  </w:r>
                  <w:r>
                    <w:rPr>
                      <w:rFonts w:cs="Georgia"/>
                      <w:spacing w:val="2"/>
                    </w:rPr>
                    <w:t xml:space="preserve"> </w:t>
                  </w:r>
                  <w:r>
                    <w:rPr>
                      <w:rFonts w:cs="Georgia"/>
                      <w:spacing w:val="-3"/>
                    </w:rPr>
                    <w:t>é</w:t>
                  </w:r>
                  <w:r>
                    <w:rPr>
                      <w:rFonts w:cs="Georgia"/>
                    </w:rPr>
                    <w:t>du</w:t>
                  </w:r>
                  <w:r>
                    <w:rPr>
                      <w:rFonts w:cs="Georgia"/>
                      <w:spacing w:val="1"/>
                    </w:rPr>
                    <w:t>c</w:t>
                  </w:r>
                  <w:r>
                    <w:rPr>
                      <w:rFonts w:cs="Georgia"/>
                      <w:spacing w:val="-1"/>
                    </w:rPr>
                    <w:t>a</w:t>
                  </w:r>
                  <w:r>
                    <w:rPr>
                      <w:rFonts w:cs="Georgia"/>
                      <w:spacing w:val="1"/>
                    </w:rPr>
                    <w:t>t</w:t>
                  </w:r>
                  <w:r>
                    <w:rPr>
                      <w:rFonts w:cs="Georgia"/>
                      <w:spacing w:val="-2"/>
                    </w:rPr>
                    <w:t>i</w:t>
                  </w:r>
                  <w:r>
                    <w:rPr>
                      <w:rFonts w:cs="Georgia"/>
                      <w:spacing w:val="1"/>
                    </w:rPr>
                    <w:t>v</w:t>
                  </w:r>
                  <w:r>
                    <w:rPr>
                      <w:rFonts w:cs="Georgia"/>
                      <w:spacing w:val="-1"/>
                    </w:rPr>
                    <w:t>e</w:t>
                  </w:r>
                  <w:r>
                    <w:rPr>
                      <w:rFonts w:cs="Georgia"/>
                    </w:rPr>
                    <w:t>s</w:t>
                  </w:r>
                  <w:r>
                    <w:rPr>
                      <w:rFonts w:cs="Georgia"/>
                      <w:spacing w:val="2"/>
                    </w:rPr>
                    <w:t xml:space="preserve"> </w:t>
                  </w:r>
                  <w:r>
                    <w:rPr>
                      <w:rFonts w:cs="Georgia"/>
                      <w:spacing w:val="1"/>
                    </w:rPr>
                    <w:t>p</w:t>
                  </w:r>
                  <w:r>
                    <w:rPr>
                      <w:rFonts w:cs="Georgia"/>
                      <w:spacing w:val="-1"/>
                    </w:rPr>
                    <w:t>e</w:t>
                  </w:r>
                  <w:r>
                    <w:rPr>
                      <w:rFonts w:cs="Georgia"/>
                      <w:spacing w:val="-2"/>
                    </w:rPr>
                    <w:t>u</w:t>
                  </w:r>
                  <w:r>
                    <w:rPr>
                      <w:rFonts w:cs="Georgia"/>
                      <w:spacing w:val="1"/>
                    </w:rPr>
                    <w:t>v</w:t>
                  </w:r>
                  <w:r>
                    <w:rPr>
                      <w:rFonts w:cs="Georgia"/>
                      <w:spacing w:val="-1"/>
                    </w:rPr>
                    <w:t>en</w:t>
                  </w:r>
                  <w:r>
                    <w:rPr>
                      <w:rFonts w:cs="Georgia"/>
                    </w:rPr>
                    <w:t>t</w:t>
                  </w:r>
                  <w:r>
                    <w:rPr>
                      <w:rFonts w:cs="Georgia"/>
                      <w:spacing w:val="2"/>
                    </w:rPr>
                    <w:t xml:space="preserve"> </w:t>
                  </w:r>
                  <w:r>
                    <w:rPr>
                      <w:rFonts w:cs="Georgia"/>
                      <w:spacing w:val="-1"/>
                    </w:rPr>
                    <w:t>ê</w:t>
                  </w:r>
                  <w:r>
                    <w:rPr>
                      <w:rFonts w:cs="Georgia"/>
                      <w:spacing w:val="1"/>
                    </w:rPr>
                    <w:t>tre ch</w:t>
                  </w:r>
                  <w:r>
                    <w:rPr>
                      <w:rFonts w:cs="Georgia"/>
                      <w:spacing w:val="-1"/>
                    </w:rPr>
                    <w:t>a</w:t>
                  </w:r>
                  <w:r>
                    <w:rPr>
                      <w:rFonts w:cs="Georgia"/>
                      <w:spacing w:val="-2"/>
                    </w:rPr>
                    <w:t>r</w:t>
                  </w:r>
                  <w:r>
                    <w:rPr>
                      <w:rFonts w:cs="Georgia"/>
                    </w:rPr>
                    <w:t>g</w:t>
                  </w:r>
                  <w:r>
                    <w:rPr>
                      <w:rFonts w:cs="Georgia"/>
                      <w:spacing w:val="-1"/>
                    </w:rPr>
                    <w:t>é</w:t>
                  </w:r>
                  <w:r>
                    <w:rPr>
                      <w:rFonts w:cs="Georgia"/>
                    </w:rPr>
                    <w:t>s de</w:t>
                  </w:r>
                  <w:r>
                    <w:rPr>
                      <w:rFonts w:cs="Georgia"/>
                      <w:spacing w:val="-1"/>
                    </w:rPr>
                    <w:t xml:space="preserve"> l</w:t>
                  </w:r>
                  <w:r>
                    <w:rPr>
                      <w:rFonts w:cs="Georgia"/>
                    </w:rPr>
                    <w:t>’</w:t>
                  </w:r>
                  <w:r>
                    <w:rPr>
                      <w:rFonts w:cs="Georgia"/>
                      <w:spacing w:val="-1"/>
                    </w:rPr>
                    <w:t>en</w:t>
                  </w:r>
                  <w:r>
                    <w:rPr>
                      <w:rFonts w:cs="Georgia"/>
                      <w:spacing w:val="1"/>
                    </w:rPr>
                    <w:t>s</w:t>
                  </w:r>
                  <w:r>
                    <w:rPr>
                      <w:rFonts w:cs="Georgia"/>
                      <w:spacing w:val="-1"/>
                    </w:rPr>
                    <w:t>e</w:t>
                  </w:r>
                  <w:r>
                    <w:rPr>
                      <w:rFonts w:cs="Georgia"/>
                    </w:rPr>
                    <w:t>ig</w:t>
                  </w:r>
                  <w:r>
                    <w:rPr>
                      <w:rFonts w:cs="Georgia"/>
                      <w:spacing w:val="-1"/>
                    </w:rPr>
                    <w:t>ne</w:t>
                  </w:r>
                  <w:r>
                    <w:rPr>
                      <w:rFonts w:cs="Georgia"/>
                    </w:rPr>
                    <w:t>m</w:t>
                  </w:r>
                  <w:r>
                    <w:rPr>
                      <w:rFonts w:cs="Georgia"/>
                      <w:spacing w:val="-1"/>
                    </w:rPr>
                    <w:t>en</w:t>
                  </w:r>
                  <w:r>
                    <w:rPr>
                      <w:rFonts w:cs="Georgia"/>
                    </w:rPr>
                    <w:t>t spécialisé d</w:t>
                  </w:r>
                  <w:r>
                    <w:rPr>
                      <w:rFonts w:cs="Georgia"/>
                      <w:color w:val="000000"/>
                    </w:rPr>
                    <w:t>i</w:t>
                  </w:r>
                  <w:r>
                    <w:rPr>
                      <w:rFonts w:cs="Georgia"/>
                      <w:color w:val="000000"/>
                      <w:spacing w:val="-2"/>
                    </w:rPr>
                    <w:t>s</w:t>
                  </w:r>
                  <w:r>
                    <w:rPr>
                      <w:rFonts w:cs="Georgia"/>
                      <w:color w:val="000000"/>
                      <w:spacing w:val="1"/>
                    </w:rPr>
                    <w:t>p</w:t>
                  </w:r>
                  <w:r>
                    <w:rPr>
                      <w:rFonts w:cs="Georgia"/>
                      <w:color w:val="000000"/>
                      <w:spacing w:val="-1"/>
                    </w:rPr>
                    <w:t>en</w:t>
                  </w:r>
                  <w:r>
                    <w:rPr>
                      <w:rFonts w:cs="Georgia"/>
                      <w:color w:val="000000"/>
                      <w:spacing w:val="1"/>
                    </w:rPr>
                    <w:t>s</w:t>
                  </w:r>
                  <w:r>
                    <w:rPr>
                      <w:rFonts w:cs="Georgia"/>
                      <w:color w:val="000000"/>
                    </w:rPr>
                    <w:t>é</w:t>
                  </w:r>
                  <w:r>
                    <w:rPr>
                      <w:rFonts w:cs="Georgia"/>
                      <w:color w:val="000000"/>
                      <w:spacing w:val="-1"/>
                    </w:rPr>
                    <w:t xml:space="preserve"> </w:t>
                  </w:r>
                  <w:r>
                    <w:rPr>
                      <w:rFonts w:cs="Georgia"/>
                      <w:color w:val="000000"/>
                    </w:rPr>
                    <w:t>à</w:t>
                  </w:r>
                  <w:r>
                    <w:rPr>
                      <w:rFonts w:cs="Georgia"/>
                      <w:color w:val="000000"/>
                      <w:spacing w:val="-1"/>
                    </w:rPr>
                    <w:t xml:space="preserve"> </w:t>
                  </w:r>
                  <w:r>
                    <w:rPr>
                      <w:rFonts w:cs="Georgia"/>
                      <w:color w:val="000000"/>
                    </w:rPr>
                    <w:t>d</w:t>
                  </w:r>
                  <w:r>
                    <w:rPr>
                      <w:rFonts w:cs="Georgia"/>
                      <w:color w:val="000000"/>
                      <w:spacing w:val="1"/>
                    </w:rPr>
                    <w:t>o</w:t>
                  </w:r>
                  <w:r>
                    <w:rPr>
                      <w:rFonts w:cs="Georgia"/>
                      <w:color w:val="000000"/>
                    </w:rPr>
                    <w:t>mi</w:t>
                  </w:r>
                  <w:r>
                    <w:rPr>
                      <w:rFonts w:cs="Georgia"/>
                      <w:color w:val="000000"/>
                      <w:spacing w:val="-2"/>
                    </w:rPr>
                    <w:t>c</w:t>
                  </w:r>
                  <w:r>
                    <w:rPr>
                      <w:rFonts w:cs="Georgia"/>
                      <w:color w:val="000000"/>
                    </w:rPr>
                    <w:t>i</w:t>
                  </w:r>
                  <w:r>
                    <w:rPr>
                      <w:rFonts w:cs="Georgia"/>
                      <w:color w:val="000000"/>
                      <w:spacing w:val="-1"/>
                    </w:rPr>
                    <w:t>l</w:t>
                  </w:r>
                  <w:r>
                    <w:rPr>
                      <w:rFonts w:cs="Georgia"/>
                      <w:color w:val="000000"/>
                    </w:rPr>
                    <w:t>e</w:t>
                  </w:r>
                  <w:r>
                    <w:rPr>
                      <w:rFonts w:cs="Georgia"/>
                      <w:color w:val="000000"/>
                      <w:spacing w:val="-1"/>
                    </w:rPr>
                    <w:t xml:space="preserve"> a</w:t>
                  </w:r>
                  <w:r>
                    <w:rPr>
                      <w:rFonts w:cs="Georgia"/>
                      <w:color w:val="000000"/>
                    </w:rPr>
                    <w:t xml:space="preserve">u </w:t>
                  </w:r>
                  <w:r>
                    <w:rPr>
                      <w:rFonts w:cs="Georgia"/>
                      <w:color w:val="000000"/>
                      <w:spacing w:val="-1"/>
                    </w:rPr>
                    <w:t>n</w:t>
                  </w:r>
                  <w:r>
                    <w:rPr>
                      <w:rFonts w:cs="Georgia"/>
                      <w:color w:val="000000"/>
                    </w:rPr>
                    <w:t>i</w:t>
                  </w:r>
                  <w:r>
                    <w:rPr>
                      <w:rFonts w:cs="Georgia"/>
                      <w:color w:val="000000"/>
                      <w:spacing w:val="1"/>
                    </w:rPr>
                    <w:t>v</w:t>
                  </w:r>
                  <w:r>
                    <w:rPr>
                      <w:rFonts w:cs="Georgia"/>
                      <w:color w:val="000000"/>
                      <w:spacing w:val="-1"/>
                    </w:rPr>
                    <w:t>ea</w:t>
                  </w:r>
                  <w:r>
                    <w:rPr>
                      <w:rFonts w:cs="Georgia"/>
                      <w:color w:val="000000"/>
                    </w:rPr>
                    <w:t xml:space="preserve">u </w:t>
                  </w:r>
                  <w:r>
                    <w:rPr>
                      <w:rFonts w:cs="Georgia"/>
                      <w:color w:val="000000"/>
                      <w:spacing w:val="1"/>
                    </w:rPr>
                    <w:t>pr</w:t>
                  </w:r>
                  <w:r>
                    <w:rPr>
                      <w:rFonts w:cs="Georgia"/>
                      <w:color w:val="000000"/>
                    </w:rPr>
                    <w:t>im</w:t>
                  </w:r>
                  <w:r>
                    <w:rPr>
                      <w:rFonts w:cs="Georgia"/>
                      <w:color w:val="000000"/>
                      <w:spacing w:val="-1"/>
                    </w:rPr>
                    <w:t>a</w:t>
                  </w:r>
                  <w:r>
                    <w:rPr>
                      <w:rFonts w:cs="Georgia"/>
                      <w:color w:val="000000"/>
                      <w:spacing w:val="-2"/>
                    </w:rPr>
                    <w:t>i</w:t>
                  </w:r>
                  <w:r>
                    <w:rPr>
                      <w:rFonts w:cs="Georgia"/>
                      <w:color w:val="000000"/>
                      <w:spacing w:val="1"/>
                    </w:rPr>
                    <w:t>r</w:t>
                  </w:r>
                  <w:r>
                    <w:rPr>
                      <w:rFonts w:cs="Georgia"/>
                      <w:color w:val="000000"/>
                      <w:spacing w:val="-1"/>
                    </w:rPr>
                    <w:t>e.</w:t>
                  </w:r>
                </w:p>
                <w:p/>
                <w:p>
                  <w:bookmarkStart w:id="1761" w:name="_2.4.6._Prestations_du"/>
                  <w:bookmarkEnd w:id="1761"/>
                </w:p>
                <w:p/>
                <w:p/>
                <w:p/>
                <w:p/>
                <w:p/>
                <w:p/>
                <w:p/>
                <w:p/>
                <w:p/>
                <w:p/>
                <w:p/>
                <w:p/>
                <w:p>
                  <w:pPr>
                    <w:pStyle w:val="Titre5"/>
                  </w:pPr>
                  <w:r>
                    <w:rPr>
                      <w:color w:val="000000"/>
                    </w:rPr>
                    <w:t xml:space="preserve">2.4.6. </w:t>
                  </w:r>
                  <w:r>
                    <w:t>Prestations du personnel enseignant de l'enseignement maternel spécialisé</w:t>
                  </w:r>
                  <w:r>
                    <w:rPr>
                      <w:rStyle w:val="Appelnotedebasdep"/>
                    </w:rPr>
                    <w:footnoteReference w:id="107"/>
                  </w:r>
                </w:p>
                <w:p/>
                <w:p>
                  <w:pPr>
                    <w:pStyle w:val="Paragraphedeliste"/>
                    <w:widowControl w:val="0"/>
                    <w:numPr>
                      <w:ilvl w:val="0"/>
                      <w:numId w:val="276"/>
                    </w:numPr>
                    <w:autoSpaceDE w:val="0"/>
                    <w:autoSpaceDN w:val="0"/>
                    <w:adjustRightInd w:val="0"/>
                    <w:jc w:val="both"/>
                    <w:rPr>
                      <w:rFonts w:asciiTheme="majorHAnsi" w:hAnsiTheme="majorHAnsi" w:cs="Georgia"/>
                      <w:b/>
                      <w:sz w:val="22"/>
                    </w:rPr>
                  </w:pPr>
                  <w:r>
                    <w:rPr>
                      <w:rFonts w:asciiTheme="majorHAnsi" w:hAnsiTheme="majorHAnsi" w:cs="Georgia"/>
                      <w:b/>
                      <w:sz w:val="22"/>
                    </w:rPr>
                    <w:t xml:space="preserve">Travail en classe </w:t>
                  </w:r>
                </w:p>
                <w:p/>
                <w:tbl>
                  <w:tblPr>
                    <w:tblW w:w="9848" w:type="dxa"/>
                    <w:tblInd w:w="70" w:type="dxa"/>
                    <w:tblLayout w:type="fixed"/>
                    <w:tblCellMar>
                      <w:left w:w="70" w:type="dxa"/>
                      <w:right w:w="70" w:type="dxa"/>
                    </w:tblCellMar>
                    <w:tblLook w:val="0000" w:firstRow="0" w:lastRow="0" w:firstColumn="0" w:lastColumn="0" w:noHBand="0" w:noVBand="0"/>
                  </w:tblPr>
                  <w:tblGrid>
                    <w:gridCol w:w="2127"/>
                    <w:gridCol w:w="2127"/>
                    <w:gridCol w:w="5594"/>
                  </w:tblGrid>
                  <w:tr>
                    <w:trPr>
                      <w:cantSplit/>
                      <w:trHeight w:val="748"/>
                    </w:trPr>
                    <w:tc>
                      <w:tcPr>
                        <w:tcW w:w="2127" w:type="dxa"/>
                        <w:tcBorders>
                          <w:top w:val="single" w:sz="4" w:space="0" w:color="auto"/>
                          <w:left w:val="single" w:sz="4" w:space="0" w:color="auto"/>
                          <w:bottom w:val="single" w:sz="4" w:space="0" w:color="auto"/>
                          <w:right w:val="single" w:sz="4" w:space="0" w:color="auto"/>
                        </w:tcBorders>
                      </w:tcPr>
                      <w:p>
                        <w:pPr>
                          <w:widowControl w:val="0"/>
                          <w:tabs>
                            <w:tab w:val="left" w:pos="290"/>
                          </w:tabs>
                          <w:snapToGrid w:val="0"/>
                          <w:jc w:val="center"/>
                          <w:rPr>
                            <w:b/>
                            <w:color w:val="000000"/>
                          </w:rPr>
                        </w:pPr>
                        <w:r>
                          <w:rPr>
                            <w:b/>
                            <w:color w:val="000000"/>
                          </w:rPr>
                          <w:t>FONCTIONS</w:t>
                        </w:r>
                      </w:p>
                    </w:tc>
                    <w:tc>
                      <w:tcPr>
                        <w:tcW w:w="2127" w:type="dxa"/>
                        <w:tcBorders>
                          <w:top w:val="single" w:sz="4" w:space="0" w:color="auto"/>
                          <w:left w:val="single" w:sz="4" w:space="0" w:color="auto"/>
                          <w:bottom w:val="single" w:sz="4" w:space="0" w:color="auto"/>
                          <w:right w:val="single" w:sz="4" w:space="0" w:color="auto"/>
                        </w:tcBorders>
                      </w:tcPr>
                      <w:p>
                        <w:pPr>
                          <w:widowControl w:val="0"/>
                          <w:tabs>
                            <w:tab w:val="left" w:pos="290"/>
                          </w:tabs>
                          <w:snapToGrid w:val="0"/>
                          <w:jc w:val="center"/>
                          <w:rPr>
                            <w:b/>
                            <w:color w:val="000000"/>
                          </w:rPr>
                        </w:pPr>
                        <w:r>
                          <w:rPr>
                            <w:b/>
                            <w:color w:val="000000"/>
                          </w:rPr>
                          <w:t>Attributions</w:t>
                        </w:r>
                      </w:p>
                    </w:tc>
                    <w:tc>
                      <w:tcPr>
                        <w:tcW w:w="5594" w:type="dxa"/>
                        <w:tcBorders>
                          <w:top w:val="single" w:sz="4" w:space="0" w:color="auto"/>
                          <w:left w:val="single" w:sz="4" w:space="0" w:color="auto"/>
                          <w:bottom w:val="single" w:sz="4" w:space="0" w:color="auto"/>
                          <w:right w:val="single" w:sz="4" w:space="0" w:color="auto"/>
                        </w:tcBorders>
                      </w:tcPr>
                      <w:p>
                        <w:pPr>
                          <w:widowControl w:val="0"/>
                          <w:tabs>
                            <w:tab w:val="left" w:pos="290"/>
                          </w:tabs>
                          <w:snapToGrid w:val="0"/>
                          <w:jc w:val="center"/>
                          <w:rPr>
                            <w:b/>
                            <w:color w:val="000000"/>
                          </w:rPr>
                        </w:pPr>
                        <w:r>
                          <w:rPr>
                            <w:b/>
                            <w:color w:val="000000"/>
                          </w:rPr>
                          <w:t>Périodes hebdomadaires de travail en classe pour atteindre une charge complète</w:t>
                        </w:r>
                      </w:p>
                    </w:tc>
                  </w:tr>
                  <w:tr>
                    <w:trPr>
                      <w:cantSplit/>
                      <w:trHeight w:val="1941"/>
                    </w:trPr>
                    <w:tc>
                      <w:tcPr>
                        <w:tcW w:w="2127" w:type="dxa"/>
                        <w:tcBorders>
                          <w:top w:val="single" w:sz="4" w:space="0" w:color="auto"/>
                          <w:left w:val="single" w:sz="4" w:space="0" w:color="auto"/>
                        </w:tcBorders>
                        <w:vAlign w:val="center"/>
                      </w:tcPr>
                      <w:p>
                        <w:pPr>
                          <w:widowControl w:val="0"/>
                          <w:tabs>
                            <w:tab w:val="left" w:pos="110"/>
                          </w:tabs>
                          <w:snapToGrid w:val="0"/>
                        </w:pPr>
                        <w:r>
                          <w:rPr>
                            <w:rFonts w:ascii="Times New Roman" w:hAnsi="Times New Roman" w:cs="Times New Roman"/>
                          </w:rPr>
                          <w:t>▪</w:t>
                        </w:r>
                        <w:r>
                          <w:t xml:space="preserve"> Instituteur maternel</w:t>
                        </w:r>
                      </w:p>
                    </w:tc>
                    <w:tc>
                      <w:tcPr>
                        <w:tcW w:w="2127" w:type="dxa"/>
                        <w:tcBorders>
                          <w:top w:val="single" w:sz="4" w:space="0" w:color="auto"/>
                          <w:left w:val="single" w:sz="4" w:space="0" w:color="000000"/>
                        </w:tcBorders>
                      </w:tcPr>
                      <w:p>
                        <w:pPr>
                          <w:widowControl w:val="0"/>
                          <w:tabs>
                            <w:tab w:val="left" w:pos="290"/>
                          </w:tabs>
                          <w:snapToGrid w:val="0"/>
                          <w:jc w:val="center"/>
                          <w:rPr>
                            <w:b/>
                          </w:rPr>
                        </w:pPr>
                        <w:r>
                          <w:rPr>
                            <w:b/>
                          </w:rPr>
                          <w:t>- Titulaire du maternel</w:t>
                        </w:r>
                      </w:p>
                      <w:p>
                        <w:pPr>
                          <w:widowControl w:val="0"/>
                          <w:tabs>
                            <w:tab w:val="left" w:pos="290"/>
                          </w:tabs>
                          <w:snapToGrid w:val="0"/>
                          <w:jc w:val="center"/>
                          <w:rPr>
                            <w:b/>
                          </w:rPr>
                        </w:pPr>
                      </w:p>
                      <w:p>
                        <w:pPr>
                          <w:widowControl w:val="0"/>
                          <w:tabs>
                            <w:tab w:val="left" w:pos="290"/>
                          </w:tabs>
                          <w:jc w:val="center"/>
                          <w:rPr>
                            <w:b/>
                          </w:rPr>
                        </w:pPr>
                        <w:r>
                          <w:rPr>
                            <w:b/>
                          </w:rPr>
                          <w:t>- Maître d’enseignement individualisé</w:t>
                        </w:r>
                      </w:p>
                    </w:tc>
                    <w:tc>
                      <w:tcPr>
                        <w:tcW w:w="5594" w:type="dxa"/>
                        <w:tcBorders>
                          <w:top w:val="single" w:sz="4" w:space="0" w:color="auto"/>
                          <w:left w:val="single" w:sz="4" w:space="0" w:color="000000"/>
                          <w:right w:val="single" w:sz="4" w:space="0" w:color="auto"/>
                        </w:tcBorders>
                        <w:vAlign w:val="center"/>
                      </w:tcPr>
                      <w:p>
                        <w:pPr>
                          <w:widowControl w:val="0"/>
                          <w:tabs>
                            <w:tab w:val="left" w:pos="290"/>
                          </w:tabs>
                          <w:snapToGrid w:val="0"/>
                          <w:jc w:val="center"/>
                          <w:rPr>
                            <w:b/>
                          </w:rPr>
                        </w:pPr>
                        <w:r>
                          <w:rPr>
                            <w:b/>
                          </w:rPr>
                          <w:t>24</w:t>
                        </w:r>
                      </w:p>
                      <w:p>
                        <w:pPr>
                          <w:widowControl w:val="0"/>
                          <w:tabs>
                            <w:tab w:val="left" w:pos="290"/>
                          </w:tabs>
                          <w:jc w:val="center"/>
                        </w:pPr>
                        <w:r>
                          <w:t>*</w:t>
                        </w:r>
                      </w:p>
                    </w:tc>
                  </w:tr>
                  <w:tr>
                    <w:trPr>
                      <w:cantSplit/>
                      <w:trHeight w:val="1827"/>
                    </w:trPr>
                    <w:tc>
                      <w:tcPr>
                        <w:tcW w:w="2127" w:type="dxa"/>
                        <w:tcBorders>
                          <w:top w:val="single" w:sz="4" w:space="0" w:color="000000"/>
                          <w:left w:val="single" w:sz="4" w:space="0" w:color="auto"/>
                          <w:bottom w:val="single" w:sz="4" w:space="0" w:color="auto"/>
                        </w:tcBorders>
                      </w:tcPr>
                      <w:p>
                        <w:pPr>
                          <w:widowControl w:val="0"/>
                          <w:tabs>
                            <w:tab w:val="left" w:pos="110"/>
                          </w:tabs>
                          <w:snapToGrid w:val="0"/>
                        </w:pPr>
                        <w:r>
                          <w:rPr>
                            <w:rFonts w:ascii="Times New Roman" w:hAnsi="Times New Roman" w:cs="Times New Roman"/>
                          </w:rPr>
                          <w:t>▪</w:t>
                        </w:r>
                        <w:r>
                          <w:t xml:space="preserve"> Instituteurs maternels chargés des cours en immersion</w:t>
                        </w:r>
                      </w:p>
                    </w:tc>
                    <w:tc>
                      <w:tcPr>
                        <w:tcW w:w="2127" w:type="dxa"/>
                        <w:tcBorders>
                          <w:top w:val="single" w:sz="4" w:space="0" w:color="000000"/>
                          <w:left w:val="single" w:sz="4" w:space="0" w:color="000000"/>
                          <w:bottom w:val="single" w:sz="4" w:space="0" w:color="auto"/>
                        </w:tcBorders>
                        <w:vAlign w:val="center"/>
                      </w:tcPr>
                      <w:p>
                        <w:pPr>
                          <w:widowControl w:val="0"/>
                          <w:tabs>
                            <w:tab w:val="left" w:pos="290"/>
                          </w:tabs>
                          <w:snapToGrid w:val="0"/>
                          <w:jc w:val="center"/>
                        </w:pPr>
                        <w:r>
                          <w:rPr>
                            <w:b/>
                          </w:rPr>
                          <w:t xml:space="preserve">- Titulaire du maternel </w:t>
                        </w:r>
                        <w:r>
                          <w:t>(dans l'apprentissage d'une langue ou en langue des signes)</w:t>
                        </w:r>
                      </w:p>
                    </w:tc>
                    <w:tc>
                      <w:tcPr>
                        <w:tcW w:w="5594" w:type="dxa"/>
                        <w:tcBorders>
                          <w:top w:val="single" w:sz="4" w:space="0" w:color="000000"/>
                          <w:left w:val="single" w:sz="4" w:space="0" w:color="000000"/>
                          <w:bottom w:val="single" w:sz="4" w:space="0" w:color="auto"/>
                          <w:right w:val="single" w:sz="4" w:space="0" w:color="auto"/>
                        </w:tcBorders>
                        <w:vAlign w:val="center"/>
                      </w:tcPr>
                      <w:p>
                        <w:pPr>
                          <w:widowControl w:val="0"/>
                          <w:tabs>
                            <w:tab w:val="left" w:pos="290"/>
                          </w:tabs>
                          <w:snapToGrid w:val="0"/>
                          <w:jc w:val="center"/>
                          <w:rPr>
                            <w:b/>
                          </w:rPr>
                        </w:pPr>
                        <w:r>
                          <w:rPr>
                            <w:b/>
                          </w:rPr>
                          <w:t>24</w:t>
                        </w:r>
                      </w:p>
                      <w:p>
                        <w:pPr>
                          <w:widowControl w:val="0"/>
                          <w:tabs>
                            <w:tab w:val="left" w:pos="290"/>
                          </w:tabs>
                          <w:jc w:val="center"/>
                        </w:pPr>
                        <w:r>
                          <w:t>*</w:t>
                        </w:r>
                      </w:p>
                    </w:tc>
                  </w:tr>
                  <w:tr>
                    <w:trPr>
                      <w:cantSplit/>
                      <w:trHeight w:val="4020"/>
                    </w:trPr>
                    <w:tc>
                      <w:tcPr>
                        <w:tcW w:w="2127" w:type="dxa"/>
                        <w:tcBorders>
                          <w:top w:val="single" w:sz="4" w:space="0" w:color="auto"/>
                          <w:left w:val="single" w:sz="4" w:space="0" w:color="auto"/>
                          <w:bottom w:val="single" w:sz="4" w:space="0" w:color="000000"/>
                        </w:tcBorders>
                      </w:tcPr>
                      <w:p>
                        <w:pPr>
                          <w:widowControl w:val="0"/>
                          <w:tabs>
                            <w:tab w:val="left" w:pos="110"/>
                          </w:tabs>
                          <w:snapToGrid w:val="0"/>
                        </w:pPr>
                        <w:r>
                          <w:rPr>
                            <w:rFonts w:ascii="Times New Roman" w:hAnsi="Times New Roman" w:cs="Times New Roman"/>
                          </w:rPr>
                          <w:t>▪</w:t>
                        </w:r>
                        <w:r>
                          <w:t xml:space="preserve"> Instituteur maternel</w:t>
                        </w:r>
                      </w:p>
                      <w:p>
                        <w:pPr>
                          <w:widowControl w:val="0"/>
                          <w:tabs>
                            <w:tab w:val="left" w:pos="110"/>
                          </w:tabs>
                          <w:snapToGrid w:val="0"/>
                        </w:pPr>
                      </w:p>
                      <w:p>
                        <w:pPr>
                          <w:widowControl w:val="0"/>
                          <w:tabs>
                            <w:tab w:val="left" w:pos="110"/>
                          </w:tabs>
                          <w:rPr>
                            <w:vertAlign w:val="subscript"/>
                          </w:rPr>
                        </w:pPr>
                        <w:r>
                          <w:rPr>
                            <w:rFonts w:ascii="Times New Roman" w:hAnsi="Times New Roman" w:cs="Times New Roman"/>
                          </w:rPr>
                          <w:t>▪</w:t>
                        </w:r>
                        <w:r>
                          <w:t xml:space="preserve"> Instituteur primaire </w:t>
                        </w:r>
                      </w:p>
                      <w:p>
                        <w:pPr>
                          <w:widowControl w:val="0"/>
                          <w:tabs>
                            <w:tab w:val="left" w:pos="110"/>
                          </w:tabs>
                          <w:rPr>
                            <w:vertAlign w:val="subscript"/>
                          </w:rPr>
                        </w:pPr>
                      </w:p>
                      <w:p>
                        <w:pPr>
                          <w:widowControl w:val="0"/>
                          <w:tabs>
                            <w:tab w:val="left" w:pos="110"/>
                          </w:tabs>
                          <w:rPr>
                            <w:vertAlign w:val="subscript"/>
                          </w:rPr>
                        </w:pPr>
                        <w:r>
                          <w:rPr>
                            <w:rFonts w:ascii="Times New Roman" w:hAnsi="Times New Roman" w:cs="Times New Roman"/>
                          </w:rPr>
                          <w:t>▪</w:t>
                        </w:r>
                        <w:r>
                          <w:t xml:space="preserve"> Maître d'éducation physique </w:t>
                        </w:r>
                      </w:p>
                      <w:p>
                        <w:pPr>
                          <w:widowControl w:val="0"/>
                          <w:tabs>
                            <w:tab w:val="left" w:pos="110"/>
                          </w:tabs>
                          <w:rPr>
                            <w:vertAlign w:val="subscript"/>
                          </w:rPr>
                        </w:pPr>
                      </w:p>
                      <w:p>
                        <w:pPr>
                          <w:widowControl w:val="0"/>
                          <w:tabs>
                            <w:tab w:val="left" w:pos="110"/>
                          </w:tabs>
                          <w:rPr>
                            <w:vertAlign w:val="subscript"/>
                          </w:rPr>
                        </w:pPr>
                        <w:r>
                          <w:rPr>
                            <w:rFonts w:ascii="Times New Roman" w:hAnsi="Times New Roman" w:cs="Times New Roman"/>
                          </w:rPr>
                          <w:t>▪</w:t>
                        </w:r>
                        <w:r>
                          <w:t xml:space="preserve"> Maître de travaux manuels </w:t>
                        </w:r>
                      </w:p>
                      <w:p>
                        <w:pPr>
                          <w:widowControl w:val="0"/>
                          <w:tabs>
                            <w:tab w:val="left" w:pos="110"/>
                          </w:tabs>
                          <w:rPr>
                            <w:vertAlign w:val="subscript"/>
                          </w:rPr>
                        </w:pPr>
                      </w:p>
                      <w:p>
                        <w:pPr>
                          <w:widowControl w:val="0"/>
                          <w:tabs>
                            <w:tab w:val="left" w:pos="110"/>
                          </w:tabs>
                          <w:rPr>
                            <w:vertAlign w:val="subscript"/>
                          </w:rPr>
                        </w:pPr>
                        <w:r>
                          <w:rPr>
                            <w:rFonts w:ascii="Times New Roman" w:hAnsi="Times New Roman" w:cs="Times New Roman"/>
                          </w:rPr>
                          <w:t>▪</w:t>
                        </w:r>
                        <w:r>
                          <w:t xml:space="preserve"> Maître de psychomotricité</w:t>
                        </w:r>
                      </w:p>
                    </w:tc>
                    <w:tc>
                      <w:tcPr>
                        <w:tcW w:w="2127" w:type="dxa"/>
                        <w:tcBorders>
                          <w:top w:val="single" w:sz="4" w:space="0" w:color="auto"/>
                          <w:left w:val="single" w:sz="4" w:space="0" w:color="000000"/>
                          <w:bottom w:val="single" w:sz="4" w:space="0" w:color="000000"/>
                        </w:tcBorders>
                        <w:vAlign w:val="center"/>
                      </w:tcPr>
                      <w:p>
                        <w:pPr>
                          <w:widowControl w:val="0"/>
                          <w:tabs>
                            <w:tab w:val="left" w:pos="290"/>
                          </w:tabs>
                          <w:snapToGrid w:val="0"/>
                          <w:jc w:val="center"/>
                          <w:rPr>
                            <w:b/>
                          </w:rPr>
                        </w:pPr>
                        <w:r>
                          <w:rPr>
                            <w:b/>
                          </w:rPr>
                          <w:t>- Maître d'activités éducatives</w:t>
                        </w:r>
                      </w:p>
                    </w:tc>
                    <w:tc>
                      <w:tcPr>
                        <w:tcW w:w="5594" w:type="dxa"/>
                        <w:tcBorders>
                          <w:top w:val="single" w:sz="4" w:space="0" w:color="auto"/>
                          <w:left w:val="single" w:sz="4" w:space="0" w:color="000000"/>
                          <w:bottom w:val="single" w:sz="4" w:space="0" w:color="000000"/>
                          <w:right w:val="single" w:sz="4" w:space="0" w:color="auto"/>
                        </w:tcBorders>
                        <w:vAlign w:val="center"/>
                      </w:tcPr>
                      <w:p>
                        <w:pPr>
                          <w:widowControl w:val="0"/>
                          <w:tabs>
                            <w:tab w:val="left" w:pos="290"/>
                          </w:tabs>
                          <w:jc w:val="center"/>
                        </w:pPr>
                        <w:r>
                          <w:rPr>
                            <w:b/>
                          </w:rPr>
                          <w:t>24</w:t>
                        </w:r>
                        <w:r>
                          <w:rPr>
                            <w:b/>
                          </w:rPr>
                          <w:br/>
                        </w:r>
                      </w:p>
                    </w:tc>
                  </w:tr>
                </w:tbl>
                <w:p>
                  <w:pPr>
                    <w:pStyle w:val="Paragraphedeliste"/>
                    <w:widowControl w:val="0"/>
                    <w:suppressAutoHyphens w:val="0"/>
                    <w:autoSpaceDE w:val="0"/>
                    <w:autoSpaceDN w:val="0"/>
                    <w:adjustRightInd w:val="0"/>
                    <w:spacing w:before="81"/>
                    <w:ind w:left="0" w:hanging="284"/>
                    <w:contextualSpacing/>
                    <w:rPr>
                      <w:rFonts w:asciiTheme="majorHAnsi" w:hAnsiTheme="majorHAnsi" w:cs="Georgia"/>
                      <w:sz w:val="22"/>
                      <w:szCs w:val="22"/>
                    </w:rPr>
                  </w:pPr>
                  <w:r>
                    <w:rPr>
                      <w:noProof/>
                      <w:lang w:eastAsia="fr-BE"/>
                    </w:rPr>
                    <mc:AlternateContent>
                      <mc:Choice Requires="wps">
                        <w:drawing>
                          <wp:anchor distT="0" distB="0" distL="114300" distR="114300" simplePos="0" relativeHeight="252078080" behindDoc="0" locked="0" layoutInCell="1" allowOverlap="1">
                            <wp:simplePos x="0" y="0"/>
                            <wp:positionH relativeFrom="column">
                              <wp:posOffset>6430010</wp:posOffset>
                            </wp:positionH>
                            <wp:positionV relativeFrom="paragraph">
                              <wp:posOffset>-5005530</wp:posOffset>
                            </wp:positionV>
                            <wp:extent cx="0" cy="4953000"/>
                            <wp:effectExtent l="0" t="0" r="19050" b="19050"/>
                            <wp:wrapNone/>
                            <wp:docPr id="4957" name="Connecteur droit 4957"/>
                            <wp:cNvGraphicFramePr/>
                            <a:graphic xmlns:a="http://schemas.openxmlformats.org/drawingml/2006/main">
                              <a:graphicData uri="http://schemas.microsoft.com/office/word/2010/wordprocessingShape">
                                <wps:wsp>
                                  <wps:cNvCnPr/>
                                  <wps:spPr>
                                    <a:xfrm flipH="1">
                                      <a:off x="0" y="0"/>
                                      <a:ext cx="0" cy="49530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126B90" id="Connecteur droit 4957" o:spid="_x0000_s1026" style="position:absolute;flip:x;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6.3pt,-394.15pt" to="506.3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" strokecolor="black [3040]"/>
                        </w:pict>
                      </mc:Fallback>
                    </mc:AlternateContent>
                  </w:r>
                  <w:r>
                    <w:rPr>
                      <w:rFonts w:asciiTheme="majorHAnsi" w:hAnsiTheme="majorHAnsi" w:cs="Georgia"/>
                      <w:spacing w:val="-1"/>
                      <w:sz w:val="22"/>
                      <w:szCs w:val="22"/>
                    </w:rPr>
                    <w:t xml:space="preserve"> </w:t>
                  </w:r>
                </w:p>
                <w:p>
                  <w:pPr>
                    <w:jc w:val="both"/>
                  </w:pPr>
                  <w:r>
                    <w:t>*  Attention : l'horaire de la classe est de 28 périodes dans l'enseignement spécialisé.</w:t>
                  </w:r>
                </w:p>
                <w:p>
                  <w:pPr>
                    <w:jc w:val="both"/>
                  </w:pPr>
                </w:p>
                <w:p>
                  <w:pPr>
                    <w:pBdr>
                      <w:right w:val="single" w:sz="4" w:space="4" w:color="auto"/>
                    </w:pBdr>
                    <w:jc w:val="both"/>
                  </w:pPr>
                  <w:r>
                    <w:t>Lorsqu’ils exercent une fonction à prestations incomplètes, la répartition est la suivante :</w:t>
                  </w:r>
                </w:p>
                <w:p>
                  <w:pPr>
                    <w:pBdr>
                      <w:right w:val="single" w:sz="4" w:space="4" w:color="auto"/>
                    </w:pBdr>
                    <w:jc w:val="both"/>
                  </w:pPr>
                </w:p>
                <w:p>
                  <w:pPr>
                    <w:pStyle w:val="Paragraphedeliste"/>
                    <w:numPr>
                      <w:ilvl w:val="0"/>
                      <w:numId w:val="279"/>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Pour les 4/5 : 21 périodes (19 périodes + 2 périodes de travail collaboratif)</w:t>
                  </w:r>
                </w:p>
                <w:p>
                  <w:pPr>
                    <w:pStyle w:val="Paragraphedeliste"/>
                    <w:numPr>
                      <w:ilvl w:val="0"/>
                      <w:numId w:val="279"/>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Pour les 3/4</w:t>
                  </w:r>
                  <w:r>
                    <w:rPr>
                      <w:rFonts w:asciiTheme="majorHAnsi" w:eastAsiaTheme="minorHAnsi" w:hAnsiTheme="majorHAnsi" w:cstheme="minorBidi"/>
                      <w:sz w:val="22"/>
                      <w:szCs w:val="22"/>
                      <w:vertAlign w:val="superscript"/>
                      <w:lang w:eastAsia="en-US"/>
                    </w:rPr>
                    <w:t> </w:t>
                  </w:r>
                  <w:r>
                    <w:rPr>
                      <w:rFonts w:asciiTheme="majorHAnsi" w:eastAsiaTheme="minorHAnsi" w:hAnsiTheme="majorHAnsi" w:cstheme="minorBidi"/>
                      <w:sz w:val="22"/>
                      <w:szCs w:val="22"/>
                      <w:lang w:eastAsia="en-US"/>
                    </w:rPr>
                    <w:t>: 20 périodes (18 périodes +2 périodes de travail collaboratif)</w:t>
                  </w:r>
                </w:p>
                <w:p>
                  <w:pPr>
                    <w:pStyle w:val="Paragraphedeliste"/>
                    <w:numPr>
                      <w:ilvl w:val="0"/>
                      <w:numId w:val="279"/>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Pour les mi-temps : 13 périodes (12 périodes + 1 période de travail collaboratif)</w:t>
                  </w:r>
                </w:p>
                <w:p>
                  <w:pPr>
                    <w:pBdr>
                      <w:right w:val="single" w:sz="4" w:space="4" w:color="auto"/>
                    </w:pBdr>
                    <w:jc w:val="both"/>
                    <w:rPr>
                      <w:b/>
                    </w:rPr>
                  </w:pPr>
                </w:p>
                <w:p>
                  <w:pPr>
                    <w:pStyle w:val="Paragraphedeliste"/>
                    <w:numPr>
                      <w:ilvl w:val="0"/>
                      <w:numId w:val="264"/>
                    </w:numPr>
                    <w:pBdr>
                      <w:right w:val="single" w:sz="4" w:space="4" w:color="auto"/>
                    </w:pBdr>
                    <w:jc w:val="both"/>
                    <w:rPr>
                      <w:rFonts w:asciiTheme="majorHAnsi" w:hAnsiTheme="majorHAnsi"/>
                      <w:b/>
                      <w:sz w:val="22"/>
                    </w:rPr>
                  </w:pPr>
                  <w:r>
                    <w:rPr>
                      <w:rFonts w:asciiTheme="majorHAnsi" w:hAnsiTheme="majorHAnsi"/>
                      <w:b/>
                      <w:sz w:val="22"/>
                    </w:rPr>
                    <w:t>Service à l’école et aux élèves </w:t>
                  </w:r>
                </w:p>
                <w:p>
                  <w:pPr>
                    <w:pStyle w:val="Paragraphedeliste"/>
                    <w:pBdr>
                      <w:right w:val="single" w:sz="4" w:space="4" w:color="auto"/>
                    </w:pBdr>
                    <w:ind w:left="720"/>
                    <w:jc w:val="both"/>
                    <w:rPr>
                      <w:rFonts w:asciiTheme="majorHAnsi" w:hAnsiTheme="majorHAnsi"/>
                      <w:b/>
                      <w:sz w:val="22"/>
                    </w:rPr>
                  </w:pPr>
                </w:p>
                <w:p>
                  <w:pPr>
                    <w:pStyle w:val="Paragraphedeliste"/>
                    <w:numPr>
                      <w:ilvl w:val="0"/>
                      <w:numId w:val="66"/>
                    </w:numPr>
                    <w:pBdr>
                      <w:right w:val="single" w:sz="4" w:space="4" w:color="auto"/>
                    </w:pBdr>
                    <w:jc w:val="both"/>
                    <w:rPr>
                      <w:rFonts w:asciiTheme="majorHAnsi" w:hAnsiTheme="majorHAnsi"/>
                      <w:sz w:val="22"/>
                    </w:rPr>
                  </w:pPr>
                  <w:r>
                    <w:rPr>
                      <w:rFonts w:asciiTheme="majorHAnsi" w:hAnsiTheme="majorHAnsi"/>
                      <w:sz w:val="22"/>
                    </w:rPr>
                    <w:t xml:space="preserve">dans le cadre du service à l’école et aux élèves (S.E.E.), tous les membres du personnel sont tenus de participer aux réunions du Conseil de classe fixées anticipativement dans un calendrier annuel ou trimestriel. </w:t>
                  </w:r>
                </w:p>
                <w:p>
                  <w:pPr>
                    <w:pStyle w:val="Paragraphedeliste"/>
                    <w:pBdr>
                      <w:right w:val="single" w:sz="4" w:space="4" w:color="auto"/>
                    </w:pBdr>
                    <w:ind w:left="360"/>
                    <w:jc w:val="both"/>
                    <w:rPr>
                      <w:rFonts w:asciiTheme="majorHAnsi" w:hAnsiTheme="majorHAnsi"/>
                      <w:sz w:val="22"/>
                    </w:rPr>
                  </w:pPr>
                </w:p>
                <w:p>
                  <w:pPr>
                    <w:pStyle w:val="Paragraphedeliste"/>
                    <w:numPr>
                      <w:ilvl w:val="0"/>
                      <w:numId w:val="66"/>
                    </w:numPr>
                    <w:pBdr>
                      <w:right w:val="single" w:sz="4" w:space="4" w:color="auto"/>
                    </w:pBdr>
                    <w:jc w:val="both"/>
                    <w:rPr>
                      <w:rFonts w:asciiTheme="majorHAnsi" w:hAnsiTheme="majorHAnsi"/>
                      <w:sz w:val="22"/>
                    </w:rPr>
                  </w:pPr>
                  <w:r>
                    <w:rPr>
                      <w:rFonts w:asciiTheme="majorHAnsi" w:hAnsiTheme="majorHAnsi"/>
                      <w:sz w:val="22"/>
                    </w:rPr>
                    <w:t xml:space="preserve">des moyens supplémentaires pour l’exercice des missions collectives dans le cadre du service à l’école et aux élèves sont octroyés au bénéfice des enseignants expérimentés. </w:t>
                  </w:r>
                </w:p>
                <w:p>
                  <w:pPr>
                    <w:pStyle w:val="Paragraphedeliste"/>
                    <w:pBdr>
                      <w:right w:val="single" w:sz="4" w:space="4" w:color="auto"/>
                    </w:pBdr>
                    <w:ind w:left="360"/>
                    <w:jc w:val="both"/>
                    <w:rPr>
                      <w:rFonts w:asciiTheme="majorHAnsi" w:hAnsiTheme="majorHAnsi"/>
                      <w:sz w:val="22"/>
                    </w:rPr>
                  </w:pPr>
                  <w:r>
                    <w:rPr>
                      <w:rFonts w:asciiTheme="majorHAnsi" w:hAnsiTheme="majorHAnsi"/>
                      <w:sz w:val="22"/>
                    </w:rPr>
                    <w:t>Ainsi, à partir du 1</w:t>
                  </w:r>
                  <w:r>
                    <w:rPr>
                      <w:rFonts w:asciiTheme="majorHAnsi" w:hAnsiTheme="majorHAnsi"/>
                      <w:sz w:val="22"/>
                      <w:vertAlign w:val="superscript"/>
                    </w:rPr>
                    <w:t>er</w:t>
                  </w:r>
                  <w:r>
                    <w:rPr>
                      <w:rFonts w:asciiTheme="majorHAnsi" w:hAnsiTheme="majorHAnsi"/>
                      <w:sz w:val="22"/>
                    </w:rPr>
                    <w:t xml:space="preserve"> septembre 2019, ces moyens supplémentaires s’élèvent à 0,33 % du capital-périodes. </w:t>
                  </w:r>
                </w:p>
                <w:p>
                  <w:pPr>
                    <w:pStyle w:val="Paragraphedeliste"/>
                    <w:numPr>
                      <w:ilvl w:val="0"/>
                      <w:numId w:val="66"/>
                    </w:numPr>
                    <w:pBdr>
                      <w:right w:val="single" w:sz="4" w:space="4" w:color="auto"/>
                    </w:pBdr>
                    <w:jc w:val="both"/>
                    <w:rPr>
                      <w:rFonts w:asciiTheme="majorHAnsi" w:hAnsiTheme="majorHAnsi"/>
                      <w:sz w:val="22"/>
                    </w:rPr>
                  </w:pPr>
                  <w:r>
                    <w:rPr>
                      <w:rFonts w:asciiTheme="majorHAnsi" w:hAnsiTheme="majorHAnsi"/>
                      <w:sz w:val="22"/>
                    </w:rPr>
                    <w:t xml:space="preserve">les minutes de surveillance légales effectivement prestées comprises dans les 1560 minutes. </w:t>
                  </w:r>
                </w:p>
                <w:p>
                  <w:pPr>
                    <w:pStyle w:val="Paragraphedeliste"/>
                    <w:numPr>
                      <w:ilvl w:val="0"/>
                      <w:numId w:val="66"/>
                    </w:numPr>
                    <w:pBdr>
                      <w:right w:val="single" w:sz="4" w:space="4" w:color="auto"/>
                    </w:pBdr>
                    <w:jc w:val="both"/>
                    <w:rPr>
                      <w:rFonts w:asciiTheme="majorHAnsi" w:hAnsiTheme="majorHAnsi"/>
                      <w:sz w:val="22"/>
                    </w:rPr>
                  </w:pPr>
                  <w:r>
                    <w:rPr>
                      <w:rFonts w:asciiTheme="majorHAnsi" w:hAnsiTheme="majorHAnsi"/>
                      <w:sz w:val="22"/>
                    </w:rPr>
                    <w:t xml:space="preserve">les autres services rentrant dans les prestations nécessaires à la bonne marche de l’établissement, telles que concertées au sein de l’organe de concertation sociale. </w:t>
                  </w:r>
                  <w:r>
                    <w:rPr>
                      <w:rFonts w:asciiTheme="majorHAnsi" w:hAnsiTheme="majorHAnsi"/>
                      <w:sz w:val="22"/>
                    </w:rPr>
                    <w:br/>
                  </w:r>
                </w:p>
                <w:p>
                  <w:pPr>
                    <w:pStyle w:val="Paragraphedeliste"/>
                    <w:pBdr>
                      <w:right w:val="single" w:sz="4" w:space="4" w:color="auto"/>
                    </w:pBdr>
                    <w:ind w:left="360"/>
                    <w:jc w:val="both"/>
                    <w:rPr>
                      <w:rFonts w:asciiTheme="majorHAnsi" w:hAnsiTheme="majorHAnsi"/>
                      <w:sz w:val="22"/>
                    </w:rPr>
                  </w:pPr>
                  <w:r>
                    <w:rPr>
                      <w:rFonts w:asciiTheme="majorHAnsi" w:hAnsiTheme="majorHAnsi"/>
                      <w:sz w:val="22"/>
                    </w:rPr>
                    <w:t xml:space="preserve">Les modalités pratiques de ces missions, en ce compris les modalités d’accompagnement des voyages scolaires, sont concertées annuellement au sein de l’organe de concertation sociale. </w:t>
                  </w:r>
                </w:p>
                <w:p>
                  <w:pPr>
                    <w:pStyle w:val="Paragraphedeliste"/>
                    <w:ind w:left="360"/>
                    <w:jc w:val="both"/>
                    <w:rPr>
                      <w:rFonts w:asciiTheme="majorHAnsi" w:hAnsiTheme="majorHAnsi"/>
                      <w:sz w:val="22"/>
                    </w:rPr>
                  </w:pPr>
                </w:p>
                <w:p>
                  <w:pPr>
                    <w:pStyle w:val="Paragraphedeliste"/>
                    <w:numPr>
                      <w:ilvl w:val="0"/>
                      <w:numId w:val="264"/>
                    </w:numPr>
                    <w:jc w:val="both"/>
                    <w:rPr>
                      <w:rFonts w:asciiTheme="majorHAnsi" w:hAnsiTheme="majorHAnsi"/>
                      <w:b/>
                      <w:sz w:val="22"/>
                    </w:rPr>
                  </w:pPr>
                  <w:r>
                    <w:rPr>
                      <w:rFonts w:asciiTheme="majorHAnsi" w:hAnsiTheme="majorHAnsi"/>
                      <w:b/>
                      <w:sz w:val="22"/>
                    </w:rPr>
                    <w:t xml:space="preserve">Travail collaboratif </w:t>
                  </w:r>
                </w:p>
                <w:p>
                  <w:pPr>
                    <w:pStyle w:val="Paragraphedeliste"/>
                    <w:pBdr>
                      <w:right w:val="single" w:sz="4" w:space="4" w:color="auto"/>
                    </w:pBdr>
                    <w:ind w:left="720"/>
                    <w:jc w:val="both"/>
                    <w:rPr>
                      <w:rFonts w:asciiTheme="majorHAnsi" w:hAnsiTheme="majorHAnsi"/>
                      <w:b/>
                      <w:sz w:val="22"/>
                    </w:rPr>
                  </w:pPr>
                </w:p>
                <w:p>
                  <w:pPr>
                    <w:pBdr>
                      <w:right w:val="single" w:sz="4" w:space="4" w:color="auto"/>
                    </w:pBdr>
                    <w:jc w:val="both"/>
                  </w:pPr>
                  <w:r>
                    <w:t xml:space="preserve">Le travail collaboratif est quantifié de la manière suivante : </w:t>
                  </w:r>
                </w:p>
                <w:p>
                  <w:pPr>
                    <w:pStyle w:val="Paragraphedeliste"/>
                    <w:numPr>
                      <w:ilvl w:val="0"/>
                      <w:numId w:val="66"/>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Les enseignants sont tenus d’accomplir en supplément de leur travail en classe </w:t>
                  </w:r>
                </w:p>
                <w:p>
                  <w:pPr>
                    <w:pStyle w:val="Paragraphedeliste"/>
                    <w:numPr>
                      <w:ilvl w:val="2"/>
                      <w:numId w:val="66"/>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2 périodes par semaine si leurs prestations sont d’au moins 12 périodes (au sein du même P.O.).</w:t>
                  </w:r>
                </w:p>
                <w:p>
                  <w:pPr>
                    <w:pStyle w:val="Paragraphedeliste"/>
                    <w:numPr>
                      <w:ilvl w:val="2"/>
                      <w:numId w:val="66"/>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1 période par semaine si leurs prestations sont comprises entre 7 et 11 périodes (au sein du même P.O.). </w:t>
                  </w:r>
                </w:p>
                <w:p>
                  <w:pPr>
                    <w:pStyle w:val="Paragraphedeliste"/>
                    <w:numPr>
                      <w:ilvl w:val="2"/>
                      <w:numId w:val="66"/>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En deçà de 7 périodes par semaine au sein du même P.O., le membre du personnel est tenu de transmettre et de prendre connaissance des informations utiles à la bonne organisation des activités pédagogiques.  </w:t>
                  </w:r>
                </w:p>
                <w:p>
                  <w:pPr>
                    <w:pStyle w:val="Paragraphedeliste"/>
                    <w:pBdr>
                      <w:right w:val="single" w:sz="4" w:space="4" w:color="auto"/>
                    </w:pBdr>
                    <w:ind w:left="1080"/>
                    <w:jc w:val="both"/>
                    <w:rPr>
                      <w:rFonts w:asciiTheme="majorHAnsi" w:eastAsiaTheme="minorHAnsi" w:hAnsiTheme="majorHAnsi" w:cstheme="minorBidi"/>
                      <w:sz w:val="22"/>
                      <w:szCs w:val="22"/>
                      <w:lang w:eastAsia="en-US"/>
                    </w:rPr>
                  </w:pPr>
                </w:p>
                <w:p>
                  <w:pPr>
                    <w:pBdr>
                      <w:right w:val="single" w:sz="4" w:space="4" w:color="auto"/>
                    </w:pBdr>
                    <w:jc w:val="both"/>
                  </w:pPr>
                  <w:r>
                    <w:t xml:space="preserve">Les périodes de travail collaboratif sont comptabilisées dans le capital-périodes de l’établissement. </w:t>
                  </w:r>
                </w:p>
                <w:p>
                  <w:pPr>
                    <w:pBdr>
                      <w:right w:val="single" w:sz="4" w:space="4" w:color="auto"/>
                    </w:pBdr>
                    <w:jc w:val="both"/>
                  </w:pPr>
                </w:p>
                <w:p>
                  <w:r>
                    <w:br w:type="page"/>
                  </w:r>
                </w:p>
                <w:p>
                  <w:pPr>
                    <w:pStyle w:val="Titre5"/>
                  </w:pPr>
                  <w:bookmarkStart w:id="1762" w:name="_2.4.7._Prestations_du"/>
                  <w:bookmarkEnd w:id="1762"/>
                  <w:r>
                    <w:rPr>
                      <w:color w:val="000000"/>
                    </w:rPr>
                    <w:t xml:space="preserve">2.4.7. </w:t>
                  </w:r>
                  <w:r>
                    <w:t>Prestations du personnel enseignant de l'enseignement primaire spécialisé</w:t>
                  </w:r>
                  <w:r>
                    <w:rPr>
                      <w:rStyle w:val="Appelnotedebasdep"/>
                    </w:rPr>
                    <w:footnoteReference w:id="108"/>
                  </w:r>
                </w:p>
                <w:p/>
                <w:p>
                  <w:pPr>
                    <w:pStyle w:val="Paragraphedeliste"/>
                    <w:widowControl w:val="0"/>
                    <w:numPr>
                      <w:ilvl w:val="0"/>
                      <w:numId w:val="276"/>
                    </w:numPr>
                    <w:autoSpaceDE w:val="0"/>
                    <w:autoSpaceDN w:val="0"/>
                    <w:adjustRightInd w:val="0"/>
                    <w:jc w:val="both"/>
                    <w:rPr>
                      <w:rFonts w:asciiTheme="majorHAnsi" w:hAnsiTheme="majorHAnsi" w:cs="Georgia"/>
                      <w:b/>
                      <w:sz w:val="22"/>
                    </w:rPr>
                  </w:pPr>
                  <w:r>
                    <w:rPr>
                      <w:rFonts w:asciiTheme="majorHAnsi" w:hAnsiTheme="majorHAnsi" w:cs="Georgia"/>
                      <w:b/>
                      <w:sz w:val="22"/>
                    </w:rPr>
                    <w:t xml:space="preserve">Travail en classe </w:t>
                  </w:r>
                </w:p>
                <w:p>
                  <w:pPr>
                    <w:jc w:val="both"/>
                  </w:pPr>
                  <w:r>
                    <w:rPr>
                      <w:noProof/>
                      <w:lang w:eastAsia="fr-BE"/>
                    </w:rPr>
                    <mc:AlternateContent>
                      <mc:Choice Requires="wps">
                        <w:drawing>
                          <wp:anchor distT="0" distB="0" distL="114300" distR="114300" simplePos="0" relativeHeight="252092416" behindDoc="0" locked="0" layoutInCell="1" allowOverlap="1">
                            <wp:simplePos x="0" y="0"/>
                            <wp:positionH relativeFrom="column">
                              <wp:posOffset>6224270</wp:posOffset>
                            </wp:positionH>
                            <wp:positionV relativeFrom="paragraph">
                              <wp:posOffset>212090</wp:posOffset>
                            </wp:positionV>
                            <wp:extent cx="0" cy="4495800"/>
                            <wp:effectExtent l="0" t="0" r="19050" b="19050"/>
                            <wp:wrapNone/>
                            <wp:docPr id="4958" name="Connecteur droit 4958"/>
                            <wp:cNvGraphicFramePr/>
                            <a:graphic xmlns:a="http://schemas.openxmlformats.org/drawingml/2006/main">
                              <a:graphicData uri="http://schemas.microsoft.com/office/word/2010/wordprocessingShape">
                                <wps:wsp>
                                  <wps:cNvCnPr/>
                                  <wps:spPr>
                                    <a:xfrm>
                                      <a:off x="0" y="0"/>
                                      <a:ext cx="0" cy="44958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CF5054D" id="Connecteur droit 4958" o:spid="_x0000_s1026" style="position:absolute;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0.1pt,16.7pt" to="490.1pt,37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" strokecolor="black [3040]"/>
                        </w:pict>
                      </mc:Fallback>
                    </mc:AlternateContent>
                  </w:r>
                </w:p>
                <w:tbl>
                  <w:tblPr>
                    <w:tblW w:w="9493" w:type="dxa"/>
                    <w:tblLayout w:type="fixed"/>
                    <w:tblCellMar>
                      <w:left w:w="70" w:type="dxa"/>
                      <w:right w:w="70" w:type="dxa"/>
                    </w:tblCellMar>
                    <w:tblLook w:val="0000" w:firstRow="0" w:lastRow="0" w:firstColumn="0" w:lastColumn="0" w:noHBand="0" w:noVBand="0"/>
                  </w:tblPr>
                  <w:tblGrid>
                    <w:gridCol w:w="2050"/>
                    <w:gridCol w:w="2415"/>
                    <w:gridCol w:w="5028"/>
                  </w:tblGrid>
                  <w:tr>
                    <w:trPr>
                      <w:cantSplit/>
                      <w:trHeight w:val="722"/>
                    </w:trPr>
                    <w:tc>
                      <w:tcPr>
                        <w:tcW w:w="2050" w:type="dxa"/>
                        <w:tcBorders>
                          <w:top w:val="single" w:sz="4" w:space="0" w:color="auto"/>
                          <w:left w:val="single" w:sz="4" w:space="0" w:color="auto"/>
                          <w:bottom w:val="single" w:sz="4" w:space="0" w:color="auto"/>
                          <w:right w:val="single" w:sz="4" w:space="0" w:color="auto"/>
                        </w:tcBorders>
                      </w:tcPr>
                      <w:p>
                        <w:pPr>
                          <w:widowControl w:val="0"/>
                          <w:snapToGrid w:val="0"/>
                          <w:rPr>
                            <w:b/>
                            <w:color w:val="000000"/>
                          </w:rPr>
                        </w:pPr>
                      </w:p>
                      <w:p>
                        <w:pPr>
                          <w:widowControl w:val="0"/>
                          <w:snapToGrid w:val="0"/>
                          <w:jc w:val="center"/>
                          <w:rPr>
                            <w:b/>
                            <w:color w:val="000000"/>
                          </w:rPr>
                        </w:pPr>
                        <w:r>
                          <w:rPr>
                            <w:b/>
                            <w:color w:val="000000"/>
                          </w:rPr>
                          <w:t>FONCTIONS</w:t>
                        </w:r>
                      </w:p>
                    </w:tc>
                    <w:tc>
                      <w:tcPr>
                        <w:tcW w:w="2415" w:type="dxa"/>
                        <w:tcBorders>
                          <w:top w:val="single" w:sz="4" w:space="0" w:color="auto"/>
                          <w:left w:val="single" w:sz="4" w:space="0" w:color="auto"/>
                          <w:bottom w:val="single" w:sz="4" w:space="0" w:color="auto"/>
                          <w:right w:val="single" w:sz="4" w:space="0" w:color="auto"/>
                        </w:tcBorders>
                      </w:tcPr>
                      <w:p>
                        <w:pPr>
                          <w:widowControl w:val="0"/>
                          <w:tabs>
                            <w:tab w:val="left" w:pos="1134"/>
                          </w:tabs>
                          <w:snapToGrid w:val="0"/>
                          <w:jc w:val="center"/>
                          <w:rPr>
                            <w:b/>
                            <w:color w:val="000000"/>
                          </w:rPr>
                        </w:pPr>
                      </w:p>
                      <w:p>
                        <w:pPr>
                          <w:widowControl w:val="0"/>
                          <w:tabs>
                            <w:tab w:val="left" w:pos="1134"/>
                          </w:tabs>
                          <w:snapToGrid w:val="0"/>
                          <w:jc w:val="center"/>
                          <w:rPr>
                            <w:b/>
                            <w:color w:val="000000"/>
                          </w:rPr>
                        </w:pPr>
                        <w:r>
                          <w:rPr>
                            <w:b/>
                            <w:color w:val="000000"/>
                          </w:rPr>
                          <w:t>Attributions</w:t>
                        </w:r>
                      </w:p>
                    </w:tc>
                    <w:tc>
                      <w:tcPr>
                        <w:tcW w:w="5028" w:type="dxa"/>
                        <w:tcBorders>
                          <w:top w:val="single" w:sz="4" w:space="0" w:color="auto"/>
                          <w:left w:val="single" w:sz="4" w:space="0" w:color="auto"/>
                          <w:bottom w:val="single" w:sz="4" w:space="0" w:color="auto"/>
                          <w:right w:val="single" w:sz="4" w:space="0" w:color="auto"/>
                        </w:tcBorders>
                      </w:tcPr>
                      <w:p>
                        <w:pPr>
                          <w:widowControl w:val="0"/>
                          <w:tabs>
                            <w:tab w:val="left" w:pos="1134"/>
                          </w:tabs>
                          <w:snapToGrid w:val="0"/>
                          <w:jc w:val="center"/>
                          <w:rPr>
                            <w:b/>
                            <w:color w:val="000000"/>
                          </w:rPr>
                        </w:pPr>
                      </w:p>
                      <w:p>
                        <w:pPr>
                          <w:widowControl w:val="0"/>
                          <w:tabs>
                            <w:tab w:val="left" w:pos="1134"/>
                          </w:tabs>
                          <w:snapToGrid w:val="0"/>
                          <w:jc w:val="center"/>
                          <w:rPr>
                            <w:b/>
                            <w:color w:val="000000"/>
                          </w:rPr>
                        </w:pPr>
                        <w:r>
                          <w:rPr>
                            <w:b/>
                            <w:color w:val="000000"/>
                          </w:rPr>
                          <w:t>Périodes hebdomadaires de travail en classe pour atteindre une charge complète</w:t>
                        </w:r>
                      </w:p>
                    </w:tc>
                  </w:tr>
                  <w:tr>
                    <w:trPr>
                      <w:cantSplit/>
                      <w:trHeight w:val="722"/>
                    </w:trPr>
                    <w:tc>
                      <w:tcPr>
                        <w:tcW w:w="2050" w:type="dxa"/>
                        <w:tcBorders>
                          <w:top w:val="single" w:sz="4" w:space="0" w:color="auto"/>
                          <w:left w:val="single" w:sz="4" w:space="0" w:color="auto"/>
                          <w:bottom w:val="single" w:sz="4" w:space="0" w:color="auto"/>
                          <w:right w:val="single" w:sz="4" w:space="0" w:color="auto"/>
                        </w:tcBorders>
                      </w:tcPr>
                      <w:p>
                        <w:pPr>
                          <w:widowControl w:val="0"/>
                          <w:snapToGrid w:val="0"/>
                          <w:rPr>
                            <w:b/>
                          </w:rPr>
                        </w:pPr>
                        <w:r>
                          <w:t>Instituteurs primaires maturité I tout type et maturité II type 2</w:t>
                        </w:r>
                        <w:r>
                          <w:rPr>
                            <w:rStyle w:val="Appelnotedebasdep"/>
                            <w:sz w:val="16"/>
                          </w:rPr>
                          <w:footnoteReference w:id="109"/>
                        </w:r>
                      </w:p>
                    </w:tc>
                    <w:tc>
                      <w:tcPr>
                        <w:tcW w:w="2415" w:type="dxa"/>
                        <w:tcBorders>
                          <w:top w:val="single" w:sz="4" w:space="0" w:color="auto"/>
                          <w:left w:val="single" w:sz="4" w:space="0" w:color="auto"/>
                          <w:bottom w:val="single" w:sz="4" w:space="0" w:color="auto"/>
                          <w:right w:val="single" w:sz="4" w:space="0" w:color="auto"/>
                        </w:tcBorders>
                      </w:tcPr>
                      <w:p>
                        <w:pPr>
                          <w:widowControl w:val="0"/>
                          <w:tabs>
                            <w:tab w:val="left" w:pos="1134"/>
                          </w:tabs>
                          <w:snapToGrid w:val="0"/>
                          <w:jc w:val="center"/>
                          <w:rPr>
                            <w:b/>
                          </w:rPr>
                        </w:pPr>
                      </w:p>
                      <w:p>
                        <w:pPr>
                          <w:widowControl w:val="0"/>
                          <w:tabs>
                            <w:tab w:val="left" w:pos="1134"/>
                          </w:tabs>
                          <w:snapToGrid w:val="0"/>
                          <w:jc w:val="center"/>
                          <w:rPr>
                            <w:b/>
                          </w:rPr>
                        </w:pPr>
                        <w:r>
                          <w:rPr>
                            <w:b/>
                          </w:rPr>
                          <w:t>Instituteurs maternels ou primaires</w:t>
                        </w:r>
                      </w:p>
                      <w:p>
                        <w:pPr>
                          <w:widowControl w:val="0"/>
                          <w:tabs>
                            <w:tab w:val="left" w:pos="1134"/>
                          </w:tabs>
                          <w:snapToGrid w:val="0"/>
                          <w:jc w:val="center"/>
                          <w:rPr>
                            <w:b/>
                          </w:rPr>
                        </w:pPr>
                      </w:p>
                    </w:tc>
                    <w:tc>
                      <w:tcPr>
                        <w:tcW w:w="5028" w:type="dxa"/>
                        <w:tcBorders>
                          <w:top w:val="single" w:sz="4" w:space="0" w:color="auto"/>
                          <w:left w:val="single" w:sz="4" w:space="0" w:color="auto"/>
                          <w:bottom w:val="single" w:sz="4" w:space="0" w:color="auto"/>
                          <w:right w:val="single" w:sz="4" w:space="0" w:color="auto"/>
                        </w:tcBorders>
                      </w:tcPr>
                      <w:p>
                        <w:pPr>
                          <w:widowControl w:val="0"/>
                          <w:tabs>
                            <w:tab w:val="left" w:pos="1134"/>
                          </w:tabs>
                          <w:snapToGrid w:val="0"/>
                          <w:jc w:val="center"/>
                          <w:rPr>
                            <w:b/>
                          </w:rPr>
                        </w:pPr>
                      </w:p>
                      <w:p>
                        <w:pPr>
                          <w:widowControl w:val="0"/>
                          <w:tabs>
                            <w:tab w:val="left" w:pos="1134"/>
                          </w:tabs>
                          <w:snapToGrid w:val="0"/>
                          <w:jc w:val="center"/>
                          <w:rPr>
                            <w:b/>
                          </w:rPr>
                        </w:pPr>
                        <w:r>
                          <w:rPr>
                            <w:b/>
                          </w:rPr>
                          <w:t>22</w:t>
                        </w:r>
                      </w:p>
                      <w:p>
                        <w:pPr>
                          <w:widowControl w:val="0"/>
                          <w:tabs>
                            <w:tab w:val="left" w:pos="1134"/>
                          </w:tabs>
                          <w:snapToGrid w:val="0"/>
                          <w:jc w:val="center"/>
                          <w:rPr>
                            <w:b/>
                          </w:rPr>
                        </w:pPr>
                        <w:r>
                          <w:rPr>
                            <w:b/>
                          </w:rPr>
                          <w:t>*</w:t>
                        </w:r>
                      </w:p>
                    </w:tc>
                  </w:tr>
                  <w:tr>
                    <w:trPr>
                      <w:cantSplit/>
                      <w:trHeight w:val="2009"/>
                    </w:trPr>
                    <w:tc>
                      <w:tcPr>
                        <w:tcW w:w="2050" w:type="dxa"/>
                        <w:tcBorders>
                          <w:top w:val="single" w:sz="4" w:space="0" w:color="auto"/>
                          <w:left w:val="single" w:sz="4" w:space="0" w:color="000000"/>
                          <w:bottom w:val="single" w:sz="4" w:space="0" w:color="000000"/>
                        </w:tcBorders>
                        <w:vAlign w:val="center"/>
                      </w:tcPr>
                      <w:p>
                        <w:pPr>
                          <w:widowControl w:val="0"/>
                          <w:tabs>
                            <w:tab w:val="left" w:pos="1134"/>
                          </w:tabs>
                          <w:snapToGrid w:val="0"/>
                        </w:pPr>
                        <w:r>
                          <w:t xml:space="preserve">Instituteurs primaires </w:t>
                        </w:r>
                      </w:p>
                    </w:tc>
                    <w:tc>
                      <w:tcPr>
                        <w:tcW w:w="2415" w:type="dxa"/>
                        <w:tcBorders>
                          <w:top w:val="single" w:sz="4" w:space="0" w:color="auto"/>
                          <w:left w:val="single" w:sz="4" w:space="0" w:color="000000"/>
                          <w:bottom w:val="single" w:sz="4" w:space="0" w:color="000000"/>
                        </w:tcBorders>
                        <w:vAlign w:val="center"/>
                      </w:tcPr>
                      <w:p>
                        <w:pPr>
                          <w:pStyle w:val="Corpsdetexte"/>
                        </w:pPr>
                        <w:r>
                          <w:t xml:space="preserve">- Titulaire du </w:t>
                        </w:r>
                        <w:r>
                          <w:br/>
                          <w:t xml:space="preserve">   primaire</w:t>
                        </w:r>
                      </w:p>
                      <w:p>
                        <w:pPr>
                          <w:widowControl w:val="0"/>
                          <w:tabs>
                            <w:tab w:val="left" w:pos="1134"/>
                          </w:tabs>
                          <w:jc w:val="center"/>
                          <w:rPr>
                            <w:b/>
                          </w:rPr>
                        </w:pPr>
                        <w:r>
                          <w:rPr>
                            <w:b/>
                          </w:rPr>
                          <w:t>- Maître d'enseignement individualisé</w:t>
                        </w:r>
                      </w:p>
                      <w:p>
                        <w:pPr>
                          <w:widowControl w:val="0"/>
                          <w:tabs>
                            <w:tab w:val="left" w:pos="1134"/>
                          </w:tabs>
                          <w:jc w:val="center"/>
                          <w:rPr>
                            <w:b/>
                          </w:rPr>
                        </w:pPr>
                        <w:r>
                          <w:rPr>
                            <w:b/>
                          </w:rPr>
                          <w:t>- Maître d'activités éducatives.</w:t>
                        </w:r>
                      </w:p>
                    </w:tc>
                    <w:tc>
                      <w:tcPr>
                        <w:tcW w:w="5028" w:type="dxa"/>
                        <w:tcBorders>
                          <w:top w:val="single" w:sz="4" w:space="0" w:color="auto"/>
                          <w:left w:val="single" w:sz="4" w:space="0" w:color="000000"/>
                          <w:bottom w:val="single" w:sz="4" w:space="0" w:color="000000"/>
                          <w:right w:val="single" w:sz="4" w:space="0" w:color="auto"/>
                        </w:tcBorders>
                        <w:vAlign w:val="center"/>
                      </w:tcPr>
                      <w:p>
                        <w:pPr>
                          <w:widowControl w:val="0"/>
                          <w:tabs>
                            <w:tab w:val="left" w:pos="1134"/>
                          </w:tabs>
                          <w:snapToGrid w:val="0"/>
                          <w:jc w:val="center"/>
                          <w:rPr>
                            <w:b/>
                          </w:rPr>
                        </w:pPr>
                        <w:r>
                          <w:rPr>
                            <w:b/>
                          </w:rPr>
                          <w:t>22¨</w:t>
                        </w:r>
                      </w:p>
                      <w:p>
                        <w:pPr>
                          <w:widowControl w:val="0"/>
                          <w:tabs>
                            <w:tab w:val="left" w:pos="1134"/>
                          </w:tabs>
                          <w:snapToGrid w:val="0"/>
                          <w:jc w:val="center"/>
                          <w:rPr>
                            <w:b/>
                          </w:rPr>
                        </w:pPr>
                        <w:r>
                          <w:rPr>
                            <w:b/>
                          </w:rPr>
                          <w:t>*</w:t>
                        </w:r>
                      </w:p>
                    </w:tc>
                  </w:tr>
                  <w:tr>
                    <w:trPr>
                      <w:cantSplit/>
                      <w:trHeight w:val="752"/>
                    </w:trPr>
                    <w:tc>
                      <w:tcPr>
                        <w:tcW w:w="2050" w:type="dxa"/>
                        <w:tcBorders>
                          <w:top w:val="single" w:sz="4" w:space="0" w:color="000000"/>
                          <w:left w:val="single" w:sz="4" w:space="0" w:color="000000"/>
                          <w:bottom w:val="single" w:sz="4" w:space="0" w:color="000000"/>
                        </w:tcBorders>
                      </w:tcPr>
                      <w:p>
                        <w:pPr>
                          <w:widowControl w:val="0"/>
                          <w:tabs>
                            <w:tab w:val="left" w:pos="1134"/>
                          </w:tabs>
                          <w:snapToGrid w:val="0"/>
                        </w:pPr>
                        <w:r>
                          <w:t>Instituteurs primaires chargés des cours en immersion</w:t>
                        </w:r>
                      </w:p>
                    </w:tc>
                    <w:tc>
                      <w:tcPr>
                        <w:tcW w:w="2415" w:type="dxa"/>
                        <w:tcBorders>
                          <w:top w:val="single" w:sz="4" w:space="0" w:color="000000"/>
                          <w:left w:val="single" w:sz="4" w:space="0" w:color="000000"/>
                          <w:bottom w:val="single" w:sz="4" w:space="0" w:color="000000"/>
                        </w:tcBorders>
                        <w:vAlign w:val="center"/>
                      </w:tcPr>
                      <w:p>
                        <w:pPr>
                          <w:widowControl w:val="0"/>
                          <w:tabs>
                            <w:tab w:val="left" w:pos="1134"/>
                          </w:tabs>
                          <w:snapToGrid w:val="0"/>
                          <w:jc w:val="center"/>
                        </w:pPr>
                        <w:r>
                          <w:rPr>
                            <w:b/>
                          </w:rPr>
                          <w:t xml:space="preserve">- Titulaire du primaire </w:t>
                        </w:r>
                        <w:r>
                          <w:t>(dans l'apprentissage d'une langue ou en langue des signes)</w:t>
                        </w:r>
                      </w:p>
                    </w:tc>
                    <w:tc>
                      <w:tcPr>
                        <w:tcW w:w="5028" w:type="dxa"/>
                        <w:tcBorders>
                          <w:top w:val="single" w:sz="4" w:space="0" w:color="000000"/>
                          <w:left w:val="single" w:sz="4" w:space="0" w:color="000000"/>
                          <w:bottom w:val="single" w:sz="4" w:space="0" w:color="000000"/>
                          <w:right w:val="single" w:sz="4" w:space="0" w:color="auto"/>
                        </w:tcBorders>
                        <w:vAlign w:val="center"/>
                      </w:tcPr>
                      <w:p>
                        <w:pPr>
                          <w:widowControl w:val="0"/>
                          <w:tabs>
                            <w:tab w:val="left" w:pos="1134"/>
                          </w:tabs>
                          <w:snapToGrid w:val="0"/>
                          <w:jc w:val="center"/>
                          <w:rPr>
                            <w:b/>
                          </w:rPr>
                        </w:pPr>
                        <w:r>
                          <w:rPr>
                            <w:b/>
                          </w:rPr>
                          <w:t>22</w:t>
                        </w:r>
                      </w:p>
                      <w:p>
                        <w:pPr>
                          <w:widowControl w:val="0"/>
                          <w:tabs>
                            <w:tab w:val="left" w:pos="1134"/>
                          </w:tabs>
                          <w:snapToGrid w:val="0"/>
                          <w:jc w:val="center"/>
                          <w:rPr>
                            <w:b/>
                          </w:rPr>
                        </w:pPr>
                        <w:r>
                          <w:rPr>
                            <w:b/>
                          </w:rPr>
                          <w:t>*</w:t>
                        </w:r>
                      </w:p>
                    </w:tc>
                  </w:tr>
                  <w:tr>
                    <w:trPr>
                      <w:cantSplit/>
                      <w:trHeight w:val="256"/>
                    </w:trPr>
                    <w:tc>
                      <w:tcPr>
                        <w:tcW w:w="2050" w:type="dxa"/>
                        <w:tcBorders>
                          <w:top w:val="single" w:sz="4" w:space="0" w:color="000000"/>
                          <w:left w:val="single" w:sz="4" w:space="0" w:color="000000"/>
                          <w:bottom w:val="single" w:sz="4" w:space="0" w:color="000000"/>
                        </w:tcBorders>
                      </w:tcPr>
                      <w:p>
                        <w:pPr>
                          <w:widowControl w:val="0"/>
                          <w:tabs>
                            <w:tab w:val="left" w:pos="1134"/>
                          </w:tabs>
                          <w:snapToGrid w:val="0"/>
                        </w:pPr>
                        <w:r>
                          <w:t>Maître de religion ou de morale non confessionnelle ou de philosophie et citoyenneté</w:t>
                        </w:r>
                      </w:p>
                    </w:tc>
                    <w:tc>
                      <w:tcPr>
                        <w:tcW w:w="2415" w:type="dxa"/>
                        <w:tcBorders>
                          <w:top w:val="single" w:sz="4" w:space="0" w:color="000000"/>
                          <w:left w:val="single" w:sz="4" w:space="0" w:color="000000"/>
                          <w:bottom w:val="single" w:sz="4" w:space="0" w:color="000000"/>
                        </w:tcBorders>
                        <w:vAlign w:val="center"/>
                      </w:tcPr>
                      <w:p>
                        <w:pPr>
                          <w:widowControl w:val="0"/>
                          <w:tabs>
                            <w:tab w:val="left" w:pos="1134"/>
                          </w:tabs>
                          <w:snapToGrid w:val="0"/>
                          <w:jc w:val="center"/>
                          <w:rPr>
                            <w:b/>
                          </w:rPr>
                        </w:pPr>
                        <w:r>
                          <w:rPr>
                            <w:b/>
                          </w:rPr>
                          <w:t>Cours philosophiques</w:t>
                        </w:r>
                      </w:p>
                    </w:tc>
                    <w:tc>
                      <w:tcPr>
                        <w:tcW w:w="5028" w:type="dxa"/>
                        <w:tcBorders>
                          <w:top w:val="single" w:sz="4" w:space="0" w:color="000000"/>
                          <w:left w:val="single" w:sz="4" w:space="0" w:color="000000"/>
                          <w:bottom w:val="single" w:sz="4" w:space="0" w:color="000000"/>
                          <w:right w:val="single" w:sz="4" w:space="0" w:color="auto"/>
                        </w:tcBorders>
                        <w:vAlign w:val="center"/>
                      </w:tcPr>
                      <w:p>
                        <w:pPr>
                          <w:widowControl w:val="0"/>
                          <w:tabs>
                            <w:tab w:val="left" w:pos="1134"/>
                          </w:tabs>
                          <w:snapToGrid w:val="0"/>
                          <w:jc w:val="center"/>
                          <w:rPr>
                            <w:b/>
                          </w:rPr>
                        </w:pPr>
                        <w:r>
                          <w:rPr>
                            <w:b/>
                          </w:rPr>
                          <w:t>22</w:t>
                        </w:r>
                      </w:p>
                      <w:p>
                        <w:pPr>
                          <w:widowControl w:val="0"/>
                          <w:tabs>
                            <w:tab w:val="left" w:pos="1134"/>
                          </w:tabs>
                          <w:snapToGrid w:val="0"/>
                          <w:jc w:val="center"/>
                          <w:rPr>
                            <w:b/>
                          </w:rPr>
                        </w:pPr>
                        <w:r>
                          <w:rPr>
                            <w:b/>
                          </w:rPr>
                          <w:t>*</w:t>
                        </w:r>
                      </w:p>
                    </w:tc>
                  </w:tr>
                  <w:tr>
                    <w:trPr>
                      <w:cantSplit/>
                      <w:trHeight w:val="241"/>
                    </w:trPr>
                    <w:tc>
                      <w:tcPr>
                        <w:tcW w:w="2050" w:type="dxa"/>
                        <w:tcBorders>
                          <w:top w:val="single" w:sz="4" w:space="0" w:color="000000"/>
                          <w:left w:val="single" w:sz="4" w:space="0" w:color="000000"/>
                          <w:bottom w:val="single" w:sz="4" w:space="0" w:color="000000"/>
                        </w:tcBorders>
                      </w:tcPr>
                      <w:p>
                        <w:pPr>
                          <w:widowControl w:val="0"/>
                          <w:tabs>
                            <w:tab w:val="left" w:pos="1134"/>
                          </w:tabs>
                          <w:snapToGrid w:val="0"/>
                        </w:pPr>
                        <w:r>
                          <w:t>Maître de 2</w:t>
                        </w:r>
                        <w:r>
                          <w:rPr>
                            <w:vertAlign w:val="superscript"/>
                          </w:rPr>
                          <w:t>è</w:t>
                        </w:r>
                        <w:r>
                          <w:t xml:space="preserve"> langue</w:t>
                        </w:r>
                      </w:p>
                    </w:tc>
                    <w:tc>
                      <w:tcPr>
                        <w:tcW w:w="2415" w:type="dxa"/>
                        <w:tcBorders>
                          <w:top w:val="single" w:sz="4" w:space="0" w:color="000000"/>
                          <w:left w:val="single" w:sz="4" w:space="0" w:color="000000"/>
                          <w:bottom w:val="single" w:sz="4" w:space="0" w:color="000000"/>
                        </w:tcBorders>
                        <w:vAlign w:val="center"/>
                      </w:tcPr>
                      <w:p>
                        <w:pPr>
                          <w:widowControl w:val="0"/>
                          <w:tabs>
                            <w:tab w:val="left" w:pos="1134"/>
                          </w:tabs>
                          <w:snapToGrid w:val="0"/>
                          <w:jc w:val="center"/>
                          <w:rPr>
                            <w:b/>
                          </w:rPr>
                        </w:pPr>
                        <w:r>
                          <w:rPr>
                            <w:b/>
                          </w:rPr>
                          <w:t>Cours de 2</w:t>
                        </w:r>
                        <w:r>
                          <w:rPr>
                            <w:b/>
                            <w:vertAlign w:val="superscript"/>
                          </w:rPr>
                          <w:t>è</w:t>
                        </w:r>
                        <w:r>
                          <w:rPr>
                            <w:b/>
                          </w:rPr>
                          <w:t xml:space="preserve"> langue</w:t>
                        </w:r>
                      </w:p>
                    </w:tc>
                    <w:tc>
                      <w:tcPr>
                        <w:tcW w:w="5028" w:type="dxa"/>
                        <w:tcBorders>
                          <w:top w:val="single" w:sz="4" w:space="0" w:color="000000"/>
                          <w:left w:val="single" w:sz="4" w:space="0" w:color="000000"/>
                          <w:bottom w:val="single" w:sz="4" w:space="0" w:color="000000"/>
                          <w:right w:val="single" w:sz="4" w:space="0" w:color="auto"/>
                        </w:tcBorders>
                        <w:vAlign w:val="center"/>
                      </w:tcPr>
                      <w:p>
                        <w:pPr>
                          <w:widowControl w:val="0"/>
                          <w:tabs>
                            <w:tab w:val="left" w:pos="1134"/>
                          </w:tabs>
                          <w:snapToGrid w:val="0"/>
                          <w:jc w:val="center"/>
                          <w:rPr>
                            <w:b/>
                          </w:rPr>
                        </w:pPr>
                        <w:r>
                          <w:rPr>
                            <w:b/>
                          </w:rPr>
                          <w:t>22</w:t>
                        </w:r>
                      </w:p>
                      <w:p>
                        <w:pPr>
                          <w:widowControl w:val="0"/>
                          <w:tabs>
                            <w:tab w:val="left" w:pos="1134"/>
                          </w:tabs>
                          <w:snapToGrid w:val="0"/>
                          <w:jc w:val="center"/>
                          <w:rPr>
                            <w:b/>
                          </w:rPr>
                        </w:pPr>
                        <w:r>
                          <w:rPr>
                            <w:b/>
                          </w:rPr>
                          <w:t>*</w:t>
                        </w:r>
                      </w:p>
                    </w:tc>
                  </w:tr>
                  <w:tr>
                    <w:trPr>
                      <w:cantSplit/>
                      <w:trHeight w:val="767"/>
                    </w:trPr>
                    <w:tc>
                      <w:tcPr>
                        <w:tcW w:w="2050" w:type="dxa"/>
                        <w:tcBorders>
                          <w:top w:val="single" w:sz="4" w:space="0" w:color="000000"/>
                          <w:left w:val="single" w:sz="4" w:space="0" w:color="000000"/>
                          <w:bottom w:val="single" w:sz="4" w:space="0" w:color="000000"/>
                        </w:tcBorders>
                        <w:vAlign w:val="center"/>
                      </w:tcPr>
                      <w:p>
                        <w:pPr>
                          <w:widowControl w:val="0"/>
                          <w:tabs>
                            <w:tab w:val="left" w:pos="1134"/>
                          </w:tabs>
                          <w:snapToGrid w:val="0"/>
                        </w:pPr>
                        <w:r>
                          <w:t>Maître d'éducation physique</w:t>
                        </w:r>
                      </w:p>
                    </w:tc>
                    <w:tc>
                      <w:tcPr>
                        <w:tcW w:w="2415" w:type="dxa"/>
                        <w:tcBorders>
                          <w:top w:val="single" w:sz="4" w:space="0" w:color="000000"/>
                          <w:left w:val="single" w:sz="4" w:space="0" w:color="000000"/>
                          <w:bottom w:val="single" w:sz="4" w:space="0" w:color="000000"/>
                        </w:tcBorders>
                        <w:vAlign w:val="center"/>
                      </w:tcPr>
                      <w:p>
                        <w:pPr>
                          <w:widowControl w:val="0"/>
                          <w:tabs>
                            <w:tab w:val="left" w:pos="1134"/>
                          </w:tabs>
                          <w:snapToGrid w:val="0"/>
                          <w:jc w:val="center"/>
                          <w:rPr>
                            <w:b/>
                          </w:rPr>
                        </w:pPr>
                        <w:r>
                          <w:rPr>
                            <w:b/>
                          </w:rPr>
                          <w:t>- Education physique</w:t>
                        </w:r>
                      </w:p>
                      <w:p>
                        <w:pPr>
                          <w:widowControl w:val="0"/>
                          <w:tabs>
                            <w:tab w:val="left" w:pos="1134"/>
                          </w:tabs>
                          <w:jc w:val="center"/>
                          <w:rPr>
                            <w:b/>
                          </w:rPr>
                        </w:pPr>
                        <w:r>
                          <w:rPr>
                            <w:b/>
                          </w:rPr>
                          <w:t>- Maître d’activités éducatives du primaire</w:t>
                        </w:r>
                      </w:p>
                    </w:tc>
                    <w:tc>
                      <w:tcPr>
                        <w:tcW w:w="5028" w:type="dxa"/>
                        <w:tcBorders>
                          <w:top w:val="single" w:sz="4" w:space="0" w:color="000000"/>
                          <w:left w:val="single" w:sz="4" w:space="0" w:color="000000"/>
                          <w:bottom w:val="single" w:sz="4" w:space="0" w:color="000000"/>
                          <w:right w:val="single" w:sz="4" w:space="0" w:color="auto"/>
                        </w:tcBorders>
                        <w:vAlign w:val="center"/>
                      </w:tcPr>
                      <w:p>
                        <w:pPr>
                          <w:widowControl w:val="0"/>
                          <w:tabs>
                            <w:tab w:val="left" w:pos="1134"/>
                          </w:tabs>
                          <w:snapToGrid w:val="0"/>
                          <w:jc w:val="center"/>
                          <w:rPr>
                            <w:b/>
                          </w:rPr>
                        </w:pPr>
                        <w:r>
                          <w:rPr>
                            <w:b/>
                          </w:rPr>
                          <w:t>22</w:t>
                        </w:r>
                      </w:p>
                      <w:p>
                        <w:pPr>
                          <w:widowControl w:val="0"/>
                          <w:tabs>
                            <w:tab w:val="left" w:pos="1134"/>
                          </w:tabs>
                          <w:snapToGrid w:val="0"/>
                          <w:jc w:val="center"/>
                          <w:rPr>
                            <w:b/>
                          </w:rPr>
                        </w:pPr>
                        <w:r>
                          <w:rPr>
                            <w:b/>
                          </w:rPr>
                          <w:t>*</w:t>
                        </w:r>
                      </w:p>
                    </w:tc>
                  </w:tr>
                  <w:tr>
                    <w:trPr>
                      <w:cantSplit/>
                      <w:trHeight w:val="752"/>
                    </w:trPr>
                    <w:tc>
                      <w:tcPr>
                        <w:tcW w:w="2050" w:type="dxa"/>
                        <w:tcBorders>
                          <w:top w:val="single" w:sz="4" w:space="0" w:color="000000"/>
                          <w:left w:val="single" w:sz="4" w:space="0" w:color="000000"/>
                          <w:bottom w:val="single" w:sz="4" w:space="0" w:color="000000"/>
                        </w:tcBorders>
                        <w:vAlign w:val="center"/>
                      </w:tcPr>
                      <w:p>
                        <w:pPr>
                          <w:widowControl w:val="0"/>
                          <w:tabs>
                            <w:tab w:val="left" w:pos="1134"/>
                          </w:tabs>
                          <w:snapToGrid w:val="0"/>
                        </w:pPr>
                        <w:r>
                          <w:t>Maître d’activités manuelles</w:t>
                        </w:r>
                      </w:p>
                      <w:p>
                        <w:pPr>
                          <w:widowControl w:val="0"/>
                          <w:tabs>
                            <w:tab w:val="left" w:pos="1134"/>
                          </w:tabs>
                          <w:snapToGrid w:val="0"/>
                        </w:pPr>
                      </w:p>
                      <w:p>
                        <w:pPr>
                          <w:widowControl w:val="0"/>
                          <w:tabs>
                            <w:tab w:val="left" w:pos="1134"/>
                          </w:tabs>
                          <w:snapToGrid w:val="0"/>
                        </w:pPr>
                        <w:r>
                          <w:t>Maître de psychomotricité</w:t>
                        </w:r>
                      </w:p>
                    </w:tc>
                    <w:tc>
                      <w:tcPr>
                        <w:tcW w:w="2415" w:type="dxa"/>
                        <w:tcBorders>
                          <w:top w:val="single" w:sz="4" w:space="0" w:color="000000"/>
                          <w:left w:val="single" w:sz="4" w:space="0" w:color="000000"/>
                          <w:bottom w:val="single" w:sz="4" w:space="0" w:color="000000"/>
                        </w:tcBorders>
                        <w:vAlign w:val="center"/>
                      </w:tcPr>
                      <w:p>
                        <w:pPr>
                          <w:widowControl w:val="0"/>
                          <w:tabs>
                            <w:tab w:val="left" w:pos="1134"/>
                          </w:tabs>
                          <w:snapToGrid w:val="0"/>
                          <w:jc w:val="center"/>
                          <w:rPr>
                            <w:b/>
                          </w:rPr>
                        </w:pPr>
                        <w:r>
                          <w:rPr>
                            <w:b/>
                          </w:rPr>
                          <w:t>- Travaux manuels</w:t>
                        </w:r>
                      </w:p>
                      <w:p>
                        <w:pPr>
                          <w:widowControl w:val="0"/>
                          <w:tabs>
                            <w:tab w:val="left" w:pos="1134"/>
                          </w:tabs>
                          <w:jc w:val="center"/>
                          <w:rPr>
                            <w:b/>
                          </w:rPr>
                        </w:pPr>
                        <w:r>
                          <w:rPr>
                            <w:b/>
                          </w:rPr>
                          <w:t>- Maître d’activités éducatives du primaire</w:t>
                        </w:r>
                      </w:p>
                    </w:tc>
                    <w:tc>
                      <w:tcPr>
                        <w:tcW w:w="5028" w:type="dxa"/>
                        <w:tcBorders>
                          <w:top w:val="single" w:sz="4" w:space="0" w:color="000000"/>
                          <w:left w:val="single" w:sz="4" w:space="0" w:color="000000"/>
                          <w:bottom w:val="single" w:sz="4" w:space="0" w:color="000000"/>
                          <w:right w:val="single" w:sz="4" w:space="0" w:color="auto"/>
                        </w:tcBorders>
                        <w:vAlign w:val="center"/>
                      </w:tcPr>
                      <w:p>
                        <w:pPr>
                          <w:widowControl w:val="0"/>
                          <w:tabs>
                            <w:tab w:val="left" w:pos="1134"/>
                          </w:tabs>
                          <w:snapToGrid w:val="0"/>
                          <w:jc w:val="center"/>
                          <w:rPr>
                            <w:b/>
                          </w:rPr>
                        </w:pPr>
                        <w:r>
                          <w:rPr>
                            <w:b/>
                          </w:rPr>
                          <w:t>22</w:t>
                        </w:r>
                      </w:p>
                      <w:p>
                        <w:pPr>
                          <w:widowControl w:val="0"/>
                          <w:tabs>
                            <w:tab w:val="left" w:pos="1134"/>
                          </w:tabs>
                          <w:snapToGrid w:val="0"/>
                          <w:jc w:val="center"/>
                          <w:rPr>
                            <w:b/>
                          </w:rPr>
                        </w:pPr>
                        <w:r>
                          <w:rPr>
                            <w:b/>
                          </w:rPr>
                          <w:t>*</w:t>
                        </w:r>
                      </w:p>
                    </w:tc>
                  </w:tr>
                  <w:tr>
                    <w:trPr>
                      <w:cantSplit/>
                      <w:trHeight w:val="1001"/>
                    </w:trPr>
                    <w:tc>
                      <w:tcPr>
                        <w:tcW w:w="2050" w:type="dxa"/>
                        <w:tcBorders>
                          <w:top w:val="single" w:sz="4" w:space="0" w:color="000000"/>
                          <w:left w:val="single" w:sz="4" w:space="0" w:color="000000"/>
                          <w:bottom w:val="single" w:sz="4" w:space="0" w:color="000000"/>
                        </w:tcBorders>
                        <w:vAlign w:val="center"/>
                      </w:tcPr>
                      <w:p>
                        <w:pPr>
                          <w:widowControl w:val="0"/>
                          <w:tabs>
                            <w:tab w:val="left" w:pos="1134"/>
                          </w:tabs>
                          <w:snapToGrid w:val="0"/>
                        </w:pPr>
                        <w:r>
                          <w:t>Maître d’éducation musicale</w:t>
                        </w:r>
                      </w:p>
                      <w:p>
                        <w:pPr>
                          <w:widowControl w:val="0"/>
                          <w:tabs>
                            <w:tab w:val="left" w:pos="1134"/>
                          </w:tabs>
                          <w:rPr>
                            <w:i/>
                            <w:iCs/>
                          </w:rPr>
                        </w:pPr>
                        <w:r>
                          <w:rPr>
                            <w:i/>
                            <w:iCs/>
                          </w:rPr>
                          <w:t>(subventionné uniquement)</w:t>
                        </w:r>
                      </w:p>
                    </w:tc>
                    <w:tc>
                      <w:tcPr>
                        <w:tcW w:w="2415" w:type="dxa"/>
                        <w:tcBorders>
                          <w:top w:val="single" w:sz="4" w:space="0" w:color="000000"/>
                          <w:left w:val="single" w:sz="4" w:space="0" w:color="000000"/>
                          <w:bottom w:val="single" w:sz="4" w:space="0" w:color="000000"/>
                        </w:tcBorders>
                        <w:vAlign w:val="center"/>
                      </w:tcPr>
                      <w:p>
                        <w:pPr>
                          <w:widowControl w:val="0"/>
                          <w:tabs>
                            <w:tab w:val="left" w:pos="1134"/>
                          </w:tabs>
                          <w:snapToGrid w:val="0"/>
                          <w:jc w:val="center"/>
                          <w:rPr>
                            <w:b/>
                          </w:rPr>
                        </w:pPr>
                        <w:r>
                          <w:rPr>
                            <w:b/>
                          </w:rPr>
                          <w:t>Maître d’activités éducatives du primaire</w:t>
                        </w:r>
                      </w:p>
                    </w:tc>
                    <w:tc>
                      <w:tcPr>
                        <w:tcW w:w="5028" w:type="dxa"/>
                        <w:tcBorders>
                          <w:top w:val="single" w:sz="4" w:space="0" w:color="000000"/>
                          <w:left w:val="single" w:sz="4" w:space="0" w:color="000000"/>
                          <w:bottom w:val="single" w:sz="4" w:space="0" w:color="000000"/>
                          <w:right w:val="single" w:sz="4" w:space="0" w:color="auto"/>
                        </w:tcBorders>
                        <w:vAlign w:val="center"/>
                      </w:tcPr>
                      <w:p>
                        <w:pPr>
                          <w:widowControl w:val="0"/>
                          <w:tabs>
                            <w:tab w:val="left" w:pos="1134"/>
                          </w:tabs>
                          <w:snapToGrid w:val="0"/>
                          <w:jc w:val="center"/>
                          <w:rPr>
                            <w:b/>
                          </w:rPr>
                        </w:pPr>
                        <w:r>
                          <w:rPr>
                            <w:b/>
                          </w:rPr>
                          <w:t>22</w:t>
                        </w:r>
                      </w:p>
                      <w:p>
                        <w:pPr>
                          <w:widowControl w:val="0"/>
                          <w:tabs>
                            <w:tab w:val="left" w:pos="1134"/>
                          </w:tabs>
                          <w:snapToGrid w:val="0"/>
                          <w:jc w:val="center"/>
                          <w:rPr>
                            <w:b/>
                          </w:rPr>
                        </w:pPr>
                        <w:r>
                          <w:rPr>
                            <w:b/>
                          </w:rPr>
                          <w:t>*</w:t>
                        </w:r>
                      </w:p>
                    </w:tc>
                  </w:tr>
                  <w:tr>
                    <w:trPr>
                      <w:cantSplit/>
                      <w:trHeight w:val="1001"/>
                    </w:trPr>
                    <w:tc>
                      <w:tcPr>
                        <w:tcW w:w="2050" w:type="dxa"/>
                        <w:tcBorders>
                          <w:top w:val="single" w:sz="4" w:space="0" w:color="000000"/>
                          <w:left w:val="single" w:sz="4" w:space="0" w:color="000000"/>
                          <w:bottom w:val="single" w:sz="4" w:space="0" w:color="000000"/>
                        </w:tcBorders>
                        <w:vAlign w:val="center"/>
                      </w:tcPr>
                      <w:p>
                        <w:pPr>
                          <w:widowControl w:val="0"/>
                          <w:tabs>
                            <w:tab w:val="left" w:pos="1134"/>
                          </w:tabs>
                          <w:snapToGrid w:val="0"/>
                        </w:pPr>
                        <w:r>
                          <w:t>Maître de psychomotricité</w:t>
                        </w:r>
                      </w:p>
                    </w:tc>
                    <w:tc>
                      <w:tcPr>
                        <w:tcW w:w="2415" w:type="dxa"/>
                        <w:tcBorders>
                          <w:top w:val="single" w:sz="4" w:space="0" w:color="000000"/>
                          <w:left w:val="single" w:sz="4" w:space="0" w:color="000000"/>
                          <w:bottom w:val="single" w:sz="4" w:space="0" w:color="000000"/>
                        </w:tcBorders>
                        <w:vAlign w:val="center"/>
                      </w:tcPr>
                      <w:p>
                        <w:pPr>
                          <w:widowControl w:val="0"/>
                          <w:tabs>
                            <w:tab w:val="left" w:pos="1134"/>
                          </w:tabs>
                          <w:snapToGrid w:val="0"/>
                          <w:jc w:val="center"/>
                          <w:rPr>
                            <w:b/>
                          </w:rPr>
                        </w:pPr>
                        <w:r>
                          <w:rPr>
                            <w:b/>
                          </w:rPr>
                          <w:t>Maître d’activités éducatives du primaire</w:t>
                        </w:r>
                      </w:p>
                    </w:tc>
                    <w:tc>
                      <w:tcPr>
                        <w:tcW w:w="5028" w:type="dxa"/>
                        <w:tcBorders>
                          <w:top w:val="single" w:sz="4" w:space="0" w:color="000000"/>
                          <w:left w:val="single" w:sz="4" w:space="0" w:color="000000"/>
                          <w:bottom w:val="single" w:sz="4" w:space="0" w:color="000000"/>
                          <w:right w:val="single" w:sz="4" w:space="0" w:color="auto"/>
                        </w:tcBorders>
                        <w:vAlign w:val="center"/>
                      </w:tcPr>
                      <w:p>
                        <w:pPr>
                          <w:widowControl w:val="0"/>
                          <w:tabs>
                            <w:tab w:val="left" w:pos="1134"/>
                          </w:tabs>
                          <w:snapToGrid w:val="0"/>
                          <w:jc w:val="center"/>
                          <w:rPr>
                            <w:b/>
                          </w:rPr>
                        </w:pPr>
                        <w:r>
                          <w:rPr>
                            <w:b/>
                          </w:rPr>
                          <w:t>22</w:t>
                        </w:r>
                      </w:p>
                      <w:p>
                        <w:pPr>
                          <w:widowControl w:val="0"/>
                          <w:tabs>
                            <w:tab w:val="left" w:pos="1134"/>
                          </w:tabs>
                          <w:snapToGrid w:val="0"/>
                          <w:jc w:val="center"/>
                          <w:rPr>
                            <w:b/>
                          </w:rPr>
                        </w:pPr>
                        <w:r>
                          <w:rPr>
                            <w:b/>
                          </w:rPr>
                          <w:t>*</w:t>
                        </w:r>
                      </w:p>
                    </w:tc>
                  </w:tr>
                </w:tbl>
                <w:p>
                  <w:pPr>
                    <w:widowControl w:val="0"/>
                    <w:autoSpaceDE w:val="0"/>
                    <w:autoSpaceDN w:val="0"/>
                    <w:adjustRightInd w:val="0"/>
                    <w:spacing w:line="250" w:lineRule="exact"/>
                  </w:pPr>
                  <w:r>
                    <w:rPr>
                      <w:b/>
                      <w:noProof/>
                      <w:color w:val="000000"/>
                      <w:u w:val="single"/>
                      <w:lang w:eastAsia="fr-BE"/>
                    </w:rPr>
                    <mc:AlternateContent>
                      <mc:Choice Requires="wps">
                        <w:drawing>
                          <wp:anchor distT="0" distB="0" distL="114300" distR="114300" simplePos="0" relativeHeight="252081152" behindDoc="0" locked="0" layoutInCell="1" allowOverlap="1">
                            <wp:simplePos x="0" y="0"/>
                            <wp:positionH relativeFrom="column">
                              <wp:posOffset>6224270</wp:posOffset>
                            </wp:positionH>
                            <wp:positionV relativeFrom="paragraph">
                              <wp:posOffset>-1229995</wp:posOffset>
                            </wp:positionV>
                            <wp:extent cx="0" cy="1181100"/>
                            <wp:effectExtent l="0" t="0" r="19050" b="19050"/>
                            <wp:wrapNone/>
                            <wp:docPr id="471" name="Connecteur droit 471"/>
                            <wp:cNvGraphicFramePr/>
                            <a:graphic xmlns:a="http://schemas.openxmlformats.org/drawingml/2006/main">
                              <a:graphicData uri="http://schemas.microsoft.com/office/word/2010/wordprocessingShape">
                                <wps:wsp>
                                  <wps:cNvCnPr/>
                                  <wps:spPr>
                                    <a:xfrm>
                                      <a:off x="0" y="0"/>
                                      <a:ext cx="0" cy="11811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457848" id="Connecteur droit 471" o:spid="_x0000_s1026" style="position:absolute;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0.1pt,-96.85pt" to="490.1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" strokecolor="black [3040]"/>
                        </w:pict>
                      </mc:Fallback>
                    </mc:AlternateContent>
                  </w:r>
                  <w:r>
                    <w:t>*  Attention : l'horaire de la classe est de 28 périodes dans l'enseignement spécialisé.</w:t>
                  </w:r>
                </w:p>
                <w:p>
                  <w:pPr>
                    <w:widowControl w:val="0"/>
                    <w:autoSpaceDE w:val="0"/>
                    <w:autoSpaceDN w:val="0"/>
                    <w:adjustRightInd w:val="0"/>
                    <w:spacing w:line="250" w:lineRule="exact"/>
                    <w:rPr>
                      <w:b/>
                      <w:color w:val="000000"/>
                      <w:u w:val="single"/>
                    </w:rPr>
                  </w:pPr>
                </w:p>
                <w:p>
                  <w:pPr>
                    <w:pBdr>
                      <w:right w:val="single" w:sz="4" w:space="4" w:color="auto"/>
                    </w:pBdr>
                    <w:jc w:val="both"/>
                  </w:pPr>
                  <w:r>
                    <w:t>Lorsqu’ils exercent une fonction à prestations incomplètes, la répartition est la suivante :</w:t>
                  </w:r>
                </w:p>
                <w:p>
                  <w:pPr>
                    <w:pBdr>
                      <w:right w:val="single" w:sz="4" w:space="4" w:color="auto"/>
                    </w:pBdr>
                    <w:jc w:val="both"/>
                  </w:pPr>
                </w:p>
                <w:p>
                  <w:pPr>
                    <w:pStyle w:val="Paragraphedeliste"/>
                    <w:numPr>
                      <w:ilvl w:val="0"/>
                      <w:numId w:val="279"/>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Pour les 4/5 : 20 périodes (18 périodes + 2 périodes de travail collaboratif)</w:t>
                  </w:r>
                </w:p>
                <w:p>
                  <w:pPr>
                    <w:pStyle w:val="Paragraphedeliste"/>
                    <w:numPr>
                      <w:ilvl w:val="0"/>
                      <w:numId w:val="279"/>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Pour les 3/4</w:t>
                  </w:r>
                  <w:r>
                    <w:rPr>
                      <w:rFonts w:asciiTheme="majorHAnsi" w:eastAsiaTheme="minorHAnsi" w:hAnsiTheme="majorHAnsi" w:cstheme="minorBidi"/>
                      <w:sz w:val="22"/>
                      <w:szCs w:val="22"/>
                      <w:vertAlign w:val="superscript"/>
                      <w:lang w:eastAsia="en-US"/>
                    </w:rPr>
                    <w:t> </w:t>
                  </w:r>
                  <w:r>
                    <w:rPr>
                      <w:rFonts w:asciiTheme="majorHAnsi" w:eastAsiaTheme="minorHAnsi" w:hAnsiTheme="majorHAnsi" w:cstheme="minorBidi"/>
                      <w:sz w:val="22"/>
                      <w:szCs w:val="22"/>
                      <w:lang w:eastAsia="en-US"/>
                    </w:rPr>
                    <w:t>: 18 périodes (16 périodes +2 périodes de travail collaboratif)</w:t>
                  </w:r>
                </w:p>
                <w:p>
                  <w:pPr>
                    <w:pStyle w:val="Paragraphedeliste"/>
                    <w:numPr>
                      <w:ilvl w:val="0"/>
                      <w:numId w:val="279"/>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Pour les mi-temps : 12 périodes (11 périodes + 1 période de travail collaboratif)</w:t>
                  </w:r>
                </w:p>
                <w:p>
                  <w:pPr>
                    <w:pStyle w:val="Paragraphedeliste"/>
                    <w:pBdr>
                      <w:right w:val="single" w:sz="4" w:space="4" w:color="auto"/>
                    </w:pBdr>
                    <w:ind w:left="720"/>
                    <w:jc w:val="both"/>
                    <w:rPr>
                      <w:rFonts w:asciiTheme="majorHAnsi" w:hAnsiTheme="majorHAnsi"/>
                      <w:b/>
                      <w:sz w:val="22"/>
                    </w:rPr>
                  </w:pPr>
                </w:p>
                <w:p>
                  <w:pPr>
                    <w:pStyle w:val="Paragraphedeliste"/>
                    <w:numPr>
                      <w:ilvl w:val="0"/>
                      <w:numId w:val="264"/>
                    </w:numPr>
                    <w:pBdr>
                      <w:right w:val="single" w:sz="4" w:space="4" w:color="auto"/>
                    </w:pBdr>
                    <w:jc w:val="both"/>
                    <w:rPr>
                      <w:rFonts w:asciiTheme="majorHAnsi" w:hAnsiTheme="majorHAnsi"/>
                      <w:b/>
                      <w:sz w:val="22"/>
                    </w:rPr>
                  </w:pPr>
                  <w:r>
                    <w:rPr>
                      <w:rFonts w:asciiTheme="majorHAnsi" w:hAnsiTheme="majorHAnsi"/>
                      <w:b/>
                      <w:sz w:val="22"/>
                    </w:rPr>
                    <w:t>Service à l’école et aux élèves </w:t>
                  </w:r>
                </w:p>
                <w:p>
                  <w:pPr>
                    <w:pStyle w:val="Paragraphedeliste"/>
                    <w:pBdr>
                      <w:right w:val="single" w:sz="4" w:space="4" w:color="auto"/>
                    </w:pBdr>
                    <w:ind w:left="720"/>
                    <w:jc w:val="both"/>
                    <w:rPr>
                      <w:rFonts w:asciiTheme="majorHAnsi" w:hAnsiTheme="majorHAnsi"/>
                      <w:b/>
                      <w:sz w:val="22"/>
                    </w:rPr>
                  </w:pPr>
                </w:p>
                <w:p>
                  <w:pPr>
                    <w:pStyle w:val="Paragraphedeliste"/>
                    <w:numPr>
                      <w:ilvl w:val="0"/>
                      <w:numId w:val="66"/>
                    </w:numPr>
                    <w:pBdr>
                      <w:right w:val="single" w:sz="4" w:space="4" w:color="auto"/>
                    </w:pBdr>
                    <w:jc w:val="both"/>
                    <w:rPr>
                      <w:rFonts w:asciiTheme="majorHAnsi" w:hAnsiTheme="majorHAnsi"/>
                      <w:sz w:val="22"/>
                    </w:rPr>
                  </w:pPr>
                  <w:r>
                    <w:rPr>
                      <w:rFonts w:asciiTheme="majorHAnsi" w:hAnsiTheme="majorHAnsi"/>
                      <w:sz w:val="22"/>
                    </w:rPr>
                    <w:t xml:space="preserve">dans le cadre du service à l’école et aux élèves (S.E.E.), tous les membres du personnel sont tenus de participer aux réunions du Conseil de classe fixées anticipativement dans un calendrier annuel ou trimestriel. </w:t>
                  </w:r>
                </w:p>
                <w:p>
                  <w:pPr>
                    <w:pStyle w:val="Paragraphedeliste"/>
                    <w:numPr>
                      <w:ilvl w:val="0"/>
                      <w:numId w:val="66"/>
                    </w:numPr>
                    <w:pBdr>
                      <w:right w:val="single" w:sz="4" w:space="4" w:color="auto"/>
                    </w:pBdr>
                    <w:jc w:val="both"/>
                    <w:rPr>
                      <w:rFonts w:asciiTheme="majorHAnsi" w:hAnsiTheme="majorHAnsi"/>
                      <w:sz w:val="22"/>
                    </w:rPr>
                  </w:pPr>
                  <w:r>
                    <w:rPr>
                      <w:rFonts w:asciiTheme="majorHAnsi" w:hAnsiTheme="majorHAnsi"/>
                      <w:sz w:val="22"/>
                    </w:rPr>
                    <w:t xml:space="preserve">des moyens supplémentaires pour l’exercice des missions collectives dans le cadre du service à l’école et aux élèves sont octroyés au bénéfice des enseignants expérimentés. </w:t>
                  </w:r>
                </w:p>
                <w:p>
                  <w:pPr>
                    <w:pStyle w:val="Paragraphedeliste"/>
                    <w:pBdr>
                      <w:right w:val="single" w:sz="4" w:space="4" w:color="auto"/>
                    </w:pBdr>
                    <w:ind w:left="360"/>
                    <w:jc w:val="both"/>
                    <w:rPr>
                      <w:rFonts w:asciiTheme="majorHAnsi" w:hAnsiTheme="majorHAnsi"/>
                      <w:sz w:val="22"/>
                    </w:rPr>
                  </w:pPr>
                  <w:r>
                    <w:rPr>
                      <w:rFonts w:asciiTheme="majorHAnsi" w:hAnsiTheme="majorHAnsi"/>
                      <w:sz w:val="22"/>
                    </w:rPr>
                    <w:t>Ainsi, à partir du 1</w:t>
                  </w:r>
                  <w:r>
                    <w:rPr>
                      <w:rFonts w:asciiTheme="majorHAnsi" w:hAnsiTheme="majorHAnsi"/>
                      <w:sz w:val="22"/>
                      <w:vertAlign w:val="superscript"/>
                    </w:rPr>
                    <w:t>er</w:t>
                  </w:r>
                  <w:r>
                    <w:rPr>
                      <w:rFonts w:asciiTheme="majorHAnsi" w:hAnsiTheme="majorHAnsi"/>
                      <w:sz w:val="22"/>
                    </w:rPr>
                    <w:t xml:space="preserve"> septembre 2019, ces moyens supplémentaires s’élèvent à 0,33 % du capital-périodes. </w:t>
                  </w:r>
                </w:p>
                <w:p>
                  <w:pPr>
                    <w:pStyle w:val="Paragraphedeliste"/>
                    <w:numPr>
                      <w:ilvl w:val="0"/>
                      <w:numId w:val="66"/>
                    </w:numPr>
                    <w:pBdr>
                      <w:right w:val="single" w:sz="4" w:space="4" w:color="auto"/>
                    </w:pBdr>
                    <w:jc w:val="both"/>
                    <w:rPr>
                      <w:rFonts w:asciiTheme="majorHAnsi" w:hAnsiTheme="majorHAnsi"/>
                      <w:sz w:val="22"/>
                    </w:rPr>
                  </w:pPr>
                  <w:r>
                    <w:rPr>
                      <w:rFonts w:asciiTheme="majorHAnsi" w:hAnsiTheme="majorHAnsi"/>
                      <w:sz w:val="22"/>
                    </w:rPr>
                    <w:t xml:space="preserve">les minutes de surveillance légales effectivement prestées comprises dans les 1560 minutes. </w:t>
                  </w:r>
                </w:p>
                <w:p>
                  <w:pPr>
                    <w:pStyle w:val="Paragraphedeliste"/>
                    <w:numPr>
                      <w:ilvl w:val="0"/>
                      <w:numId w:val="66"/>
                    </w:numPr>
                    <w:pBdr>
                      <w:right w:val="single" w:sz="4" w:space="4" w:color="auto"/>
                    </w:pBdr>
                    <w:jc w:val="both"/>
                    <w:rPr>
                      <w:rFonts w:asciiTheme="majorHAnsi" w:hAnsiTheme="majorHAnsi"/>
                      <w:sz w:val="22"/>
                    </w:rPr>
                  </w:pPr>
                  <w:r>
                    <w:rPr>
                      <w:rFonts w:asciiTheme="majorHAnsi" w:hAnsiTheme="majorHAnsi"/>
                      <w:sz w:val="22"/>
                    </w:rPr>
                    <w:t xml:space="preserve">les autres services rentrant dans les prestations nécessaires à la bonne marche de l’établissement, telles que concertées au sein de l’organe de concertation sociale. </w:t>
                  </w:r>
                  <w:r>
                    <w:rPr>
                      <w:rFonts w:asciiTheme="majorHAnsi" w:hAnsiTheme="majorHAnsi"/>
                      <w:sz w:val="22"/>
                    </w:rPr>
                    <w:br/>
                  </w:r>
                </w:p>
                <w:p>
                  <w:pPr>
                    <w:pStyle w:val="Paragraphedeliste"/>
                    <w:ind w:left="360"/>
                    <w:jc w:val="both"/>
                    <w:rPr>
                      <w:rFonts w:asciiTheme="majorHAnsi" w:hAnsiTheme="majorHAnsi"/>
                      <w:sz w:val="22"/>
                    </w:rPr>
                  </w:pPr>
                  <w:r>
                    <w:rPr>
                      <w:rFonts w:asciiTheme="majorHAnsi" w:hAnsiTheme="majorHAnsi"/>
                      <w:sz w:val="22"/>
                    </w:rPr>
                    <w:t xml:space="preserve">Les modalités pratiques de ces missions, en ce compris les modalités d’accompagnement des voyages scolaires, sont concertées annuellement au sein de l’organe de concertation sociale. </w:t>
                  </w:r>
                </w:p>
                <w:p>
                  <w:pPr>
                    <w:pStyle w:val="Paragraphedeliste"/>
                    <w:ind w:left="360"/>
                    <w:jc w:val="both"/>
                    <w:rPr>
                      <w:rFonts w:asciiTheme="majorHAnsi" w:hAnsiTheme="majorHAnsi"/>
                      <w:sz w:val="22"/>
                    </w:rPr>
                  </w:pPr>
                </w:p>
                <w:p>
                  <w:pPr>
                    <w:pStyle w:val="Paragraphedeliste"/>
                    <w:numPr>
                      <w:ilvl w:val="0"/>
                      <w:numId w:val="264"/>
                    </w:numPr>
                    <w:jc w:val="both"/>
                    <w:rPr>
                      <w:rFonts w:asciiTheme="majorHAnsi" w:hAnsiTheme="majorHAnsi"/>
                      <w:b/>
                      <w:sz w:val="22"/>
                    </w:rPr>
                  </w:pPr>
                  <w:r>
                    <w:rPr>
                      <w:rFonts w:asciiTheme="majorHAnsi" w:hAnsiTheme="majorHAnsi"/>
                      <w:b/>
                      <w:sz w:val="22"/>
                    </w:rPr>
                    <w:t xml:space="preserve">Travail collaboratif </w:t>
                  </w:r>
                </w:p>
                <w:p>
                  <w:pPr>
                    <w:pStyle w:val="Paragraphedeliste"/>
                    <w:pBdr>
                      <w:right w:val="single" w:sz="4" w:space="4" w:color="auto"/>
                    </w:pBdr>
                    <w:ind w:left="720"/>
                    <w:jc w:val="both"/>
                    <w:rPr>
                      <w:rFonts w:asciiTheme="majorHAnsi" w:hAnsiTheme="majorHAnsi"/>
                      <w:b/>
                      <w:sz w:val="22"/>
                    </w:rPr>
                  </w:pPr>
                </w:p>
                <w:p>
                  <w:pPr>
                    <w:pBdr>
                      <w:right w:val="single" w:sz="4" w:space="4" w:color="auto"/>
                    </w:pBdr>
                    <w:jc w:val="both"/>
                  </w:pPr>
                  <w:r>
                    <w:t xml:space="preserve">Le travail collaboratif est quantifié de la manière suivante : </w:t>
                  </w:r>
                </w:p>
                <w:p>
                  <w:pPr>
                    <w:pStyle w:val="Paragraphedeliste"/>
                    <w:numPr>
                      <w:ilvl w:val="0"/>
                      <w:numId w:val="66"/>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Les enseignants sont tenus d’accomplir en supplément de leur travail en classe </w:t>
                  </w:r>
                </w:p>
                <w:p>
                  <w:pPr>
                    <w:pStyle w:val="Paragraphedeliste"/>
                    <w:numPr>
                      <w:ilvl w:val="2"/>
                      <w:numId w:val="66"/>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2 périodes par semaine si leurs prestations sont d’au moins 11 périodes (au sein du même P.O.)</w:t>
                  </w:r>
                </w:p>
                <w:p>
                  <w:pPr>
                    <w:pStyle w:val="Paragraphedeliste"/>
                    <w:numPr>
                      <w:ilvl w:val="2"/>
                      <w:numId w:val="66"/>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1 période par semaine si leurs prestations sont comprises entre 7 et 10 périodes (au sein du même P.O.). </w:t>
                  </w:r>
                </w:p>
                <w:p>
                  <w:pPr>
                    <w:pStyle w:val="Paragraphedeliste"/>
                    <w:numPr>
                      <w:ilvl w:val="2"/>
                      <w:numId w:val="66"/>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En deçà de 7 périodes au sein du même P.O., le membre du personnel est tenu de transmettre les informations utiles. </w:t>
                  </w:r>
                </w:p>
                <w:p>
                  <w:pPr>
                    <w:pBdr>
                      <w:right w:val="single" w:sz="4" w:space="4" w:color="auto"/>
                    </w:pBdr>
                    <w:jc w:val="both"/>
                  </w:pPr>
                </w:p>
                <w:p>
                  <w:pPr>
                    <w:pBdr>
                      <w:right w:val="single" w:sz="4" w:space="4" w:color="auto"/>
                    </w:pBdr>
                    <w:jc w:val="both"/>
                  </w:pPr>
                  <w:r>
                    <w:t xml:space="preserve">Les périodes de travail collaboratif sont comptabilisées dans le capital-périodes de l’établissement. </w:t>
                  </w:r>
                </w:p>
                <w:p/>
                <w:p>
                  <w:pPr>
                    <w:pStyle w:val="Titre5"/>
                    <w:rPr>
                      <w:rFonts w:cs="Georgia"/>
                    </w:rPr>
                  </w:pPr>
                  <w:r>
                    <w:t>2.4.8. Maîtres de religion, de morale non confessionnelle, de philosophie et  citoyenneté</w:t>
                  </w:r>
                  <w:r>
                    <w:rPr>
                      <w:rFonts w:cs="Georgia"/>
                    </w:rPr>
                    <w:t xml:space="preserve"> </w:t>
                  </w:r>
                </w:p>
                <w:p>
                  <w:pPr>
                    <w:jc w:val="both"/>
                    <w:rPr>
                      <w:b/>
                      <w:u w:val="single"/>
                    </w:rPr>
                  </w:pPr>
                </w:p>
                <w:p>
                  <w:pPr>
                    <w:jc w:val="both"/>
                  </w:pPr>
                  <w:hyperlink r:id="rId143" w:history="1">
                    <w:r>
                      <w:rPr>
                        <w:rStyle w:val="Lienhypertexte"/>
                        <w:rFonts w:cstheme="minorBidi"/>
                      </w:rPr>
                      <w:t>Circulaire n°6279 du 12 juillet 2017 relative à  l’encadrement des cours de religion, de morale non confessionnelle et de philosophie et de citoyenneté pour les élèves dispensés et du cours de philosophie et de citoyenneté commun dans l’enseignement spécialisé primaire et secondaire</w:t>
                    </w:r>
                  </w:hyperlink>
                  <w:r>
                    <w:t xml:space="preserve"> </w:t>
                  </w:r>
                </w:p>
                <w:p>
                  <w:pPr>
                    <w:jc w:val="both"/>
                    <w:rPr>
                      <w:b/>
                      <w:u w:val="single"/>
                    </w:rPr>
                  </w:pPr>
                </w:p>
                <w:p>
                  <w:pPr>
                    <w:pStyle w:val="Titre5"/>
                  </w:pPr>
                  <w:bookmarkStart w:id="1763" w:name="_2.4.9._Maîtres_de"/>
                  <w:bookmarkEnd w:id="1763"/>
                  <w:r>
                    <w:t>2.4.9. Maîtres de travaux manuels</w:t>
                  </w:r>
                </w:p>
                <w:p>
                  <w:pPr>
                    <w:widowControl w:val="0"/>
                    <w:autoSpaceDE w:val="0"/>
                    <w:autoSpaceDN w:val="0"/>
                    <w:adjustRightInd w:val="0"/>
                    <w:jc w:val="both"/>
                    <w:rPr>
                      <w:rFonts w:cs="Georgia"/>
                    </w:rPr>
                  </w:pPr>
                </w:p>
                <w:p>
                  <w:pPr>
                    <w:pStyle w:val="Paragraphedeliste"/>
                    <w:widowControl w:val="0"/>
                    <w:numPr>
                      <w:ilvl w:val="0"/>
                      <w:numId w:val="56"/>
                    </w:numPr>
                    <w:pBdr>
                      <w:right w:val="single" w:sz="4" w:space="4" w:color="auto"/>
                    </w:pBdr>
                    <w:suppressAutoHyphens w:val="0"/>
                    <w:autoSpaceDE w:val="0"/>
                    <w:autoSpaceDN w:val="0"/>
                    <w:adjustRightInd w:val="0"/>
                    <w:spacing w:line="250" w:lineRule="exact"/>
                    <w:ind w:left="360"/>
                    <w:contextualSpacing/>
                    <w:jc w:val="both"/>
                    <w:rPr>
                      <w:rFonts w:asciiTheme="majorHAnsi" w:hAnsiTheme="majorHAnsi" w:cs="Georgia"/>
                      <w:sz w:val="22"/>
                      <w:szCs w:val="22"/>
                    </w:rPr>
                  </w:pPr>
                  <w:r>
                    <w:rPr>
                      <w:rFonts w:asciiTheme="majorHAnsi" w:hAnsiTheme="majorHAnsi" w:cs="Georgia"/>
                      <w:sz w:val="22"/>
                      <w:szCs w:val="22"/>
                    </w:rPr>
                    <w:t xml:space="preserve">peut </w:t>
                  </w:r>
                  <w:r>
                    <w:rPr>
                      <w:rFonts w:asciiTheme="majorHAnsi" w:hAnsiTheme="majorHAnsi" w:cs="Georgia"/>
                      <w:spacing w:val="-1"/>
                      <w:sz w:val="22"/>
                      <w:szCs w:val="22"/>
                    </w:rPr>
                    <w:t>ê</w:t>
                  </w:r>
                  <w:r>
                    <w:rPr>
                      <w:rFonts w:asciiTheme="majorHAnsi" w:hAnsiTheme="majorHAnsi" w:cs="Georgia"/>
                      <w:spacing w:val="-2"/>
                      <w:sz w:val="22"/>
                      <w:szCs w:val="22"/>
                    </w:rPr>
                    <w:t>t</w:t>
                  </w:r>
                  <w:r>
                    <w:rPr>
                      <w:rFonts w:asciiTheme="majorHAnsi" w:hAnsiTheme="majorHAnsi" w:cs="Georgia"/>
                      <w:spacing w:val="1"/>
                      <w:sz w:val="22"/>
                      <w:szCs w:val="22"/>
                    </w:rPr>
                    <w:t>r</w:t>
                  </w:r>
                  <w:r>
                    <w:rPr>
                      <w:rFonts w:asciiTheme="majorHAnsi" w:hAnsiTheme="majorHAnsi" w:cs="Georgia"/>
                      <w:sz w:val="22"/>
                      <w:szCs w:val="22"/>
                    </w:rPr>
                    <w:t>e</w:t>
                  </w:r>
                  <w:r>
                    <w:rPr>
                      <w:rFonts w:asciiTheme="majorHAnsi" w:hAnsiTheme="majorHAnsi" w:cs="Georgia"/>
                      <w:spacing w:val="-1"/>
                      <w:sz w:val="22"/>
                      <w:szCs w:val="22"/>
                    </w:rPr>
                    <w:t xml:space="preserve"> a</w:t>
                  </w:r>
                  <w:r>
                    <w:rPr>
                      <w:rFonts w:asciiTheme="majorHAnsi" w:hAnsiTheme="majorHAnsi" w:cs="Georgia"/>
                      <w:spacing w:val="1"/>
                      <w:sz w:val="22"/>
                      <w:szCs w:val="22"/>
                    </w:rPr>
                    <w:t>ttr</w:t>
                  </w:r>
                  <w:r>
                    <w:rPr>
                      <w:rFonts w:asciiTheme="majorHAnsi" w:hAnsiTheme="majorHAnsi" w:cs="Georgia"/>
                      <w:spacing w:val="-2"/>
                      <w:sz w:val="22"/>
                      <w:szCs w:val="22"/>
                    </w:rPr>
                    <w:t>i</w:t>
                  </w:r>
                  <w:r>
                    <w:rPr>
                      <w:rFonts w:asciiTheme="majorHAnsi" w:hAnsiTheme="majorHAnsi" w:cs="Georgia"/>
                      <w:spacing w:val="1"/>
                      <w:sz w:val="22"/>
                      <w:szCs w:val="22"/>
                    </w:rPr>
                    <w:t>b</w:t>
                  </w:r>
                  <w:r>
                    <w:rPr>
                      <w:rFonts w:asciiTheme="majorHAnsi" w:hAnsiTheme="majorHAnsi" w:cs="Georgia"/>
                      <w:sz w:val="22"/>
                      <w:szCs w:val="22"/>
                    </w:rPr>
                    <w:t>u</w:t>
                  </w:r>
                  <w:r>
                    <w:rPr>
                      <w:rFonts w:asciiTheme="majorHAnsi" w:hAnsiTheme="majorHAnsi" w:cs="Georgia"/>
                      <w:spacing w:val="-1"/>
                      <w:sz w:val="22"/>
                      <w:szCs w:val="22"/>
                    </w:rPr>
                    <w:t>é</w:t>
                  </w:r>
                  <w:r>
                    <w:rPr>
                      <w:rFonts w:asciiTheme="majorHAnsi" w:hAnsiTheme="majorHAnsi" w:cs="Georgia"/>
                      <w:sz w:val="22"/>
                      <w:szCs w:val="22"/>
                    </w:rPr>
                    <w:t>,</w:t>
                  </w:r>
                  <w:r>
                    <w:rPr>
                      <w:rFonts w:asciiTheme="majorHAnsi" w:hAnsiTheme="majorHAnsi" w:cs="Georgia"/>
                      <w:spacing w:val="-2"/>
                      <w:sz w:val="22"/>
                      <w:szCs w:val="22"/>
                    </w:rPr>
                    <w:t xml:space="preserve"> </w:t>
                  </w:r>
                  <w:r>
                    <w:rPr>
                      <w:rFonts w:asciiTheme="majorHAnsi" w:hAnsiTheme="majorHAnsi" w:cs="Georgia"/>
                      <w:sz w:val="22"/>
                      <w:szCs w:val="22"/>
                    </w:rPr>
                    <w:t>d</w:t>
                  </w:r>
                  <w:r>
                    <w:rPr>
                      <w:rFonts w:asciiTheme="majorHAnsi" w:hAnsiTheme="majorHAnsi" w:cs="Georgia"/>
                      <w:spacing w:val="-1"/>
                      <w:sz w:val="22"/>
                      <w:szCs w:val="22"/>
                    </w:rPr>
                    <w:t>an</w:t>
                  </w:r>
                  <w:r>
                    <w:rPr>
                      <w:rFonts w:asciiTheme="majorHAnsi" w:hAnsiTheme="majorHAnsi" w:cs="Georgia"/>
                      <w:sz w:val="22"/>
                      <w:szCs w:val="22"/>
                    </w:rPr>
                    <w:t xml:space="preserve">s </w:t>
                  </w:r>
                  <w:r>
                    <w:rPr>
                      <w:rFonts w:asciiTheme="majorHAnsi" w:hAnsiTheme="majorHAnsi" w:cs="Georgia"/>
                      <w:spacing w:val="-1"/>
                      <w:sz w:val="22"/>
                      <w:szCs w:val="22"/>
                    </w:rPr>
                    <w:t>l</w:t>
                  </w:r>
                  <w:r>
                    <w:rPr>
                      <w:rFonts w:asciiTheme="majorHAnsi" w:hAnsiTheme="majorHAnsi" w:cs="Georgia"/>
                      <w:spacing w:val="-2"/>
                      <w:sz w:val="22"/>
                      <w:szCs w:val="22"/>
                    </w:rPr>
                    <w:t>’</w:t>
                  </w:r>
                  <w:r>
                    <w:rPr>
                      <w:rFonts w:asciiTheme="majorHAnsi" w:hAnsiTheme="majorHAnsi" w:cs="Georgia"/>
                      <w:spacing w:val="-1"/>
                      <w:sz w:val="22"/>
                      <w:szCs w:val="22"/>
                    </w:rPr>
                    <w:t>en</w:t>
                  </w:r>
                  <w:r>
                    <w:rPr>
                      <w:rFonts w:asciiTheme="majorHAnsi" w:hAnsiTheme="majorHAnsi" w:cs="Georgia"/>
                      <w:spacing w:val="1"/>
                      <w:sz w:val="22"/>
                      <w:szCs w:val="22"/>
                    </w:rPr>
                    <w:t>s</w:t>
                  </w:r>
                  <w:r>
                    <w:rPr>
                      <w:rFonts w:asciiTheme="majorHAnsi" w:hAnsiTheme="majorHAnsi" w:cs="Georgia"/>
                      <w:spacing w:val="-1"/>
                      <w:sz w:val="22"/>
                      <w:szCs w:val="22"/>
                    </w:rPr>
                    <w:t>e</w:t>
                  </w:r>
                  <w:r>
                    <w:rPr>
                      <w:rFonts w:asciiTheme="majorHAnsi" w:hAnsiTheme="majorHAnsi" w:cs="Georgia"/>
                      <w:sz w:val="22"/>
                      <w:szCs w:val="22"/>
                    </w:rPr>
                    <w:t>ig</w:t>
                  </w:r>
                  <w:r>
                    <w:rPr>
                      <w:rFonts w:asciiTheme="majorHAnsi" w:hAnsiTheme="majorHAnsi" w:cs="Georgia"/>
                      <w:spacing w:val="-1"/>
                      <w:sz w:val="22"/>
                      <w:szCs w:val="22"/>
                    </w:rPr>
                    <w:t>ne</w:t>
                  </w:r>
                  <w:r>
                    <w:rPr>
                      <w:rFonts w:asciiTheme="majorHAnsi" w:hAnsiTheme="majorHAnsi" w:cs="Georgia"/>
                      <w:sz w:val="22"/>
                      <w:szCs w:val="22"/>
                    </w:rPr>
                    <w:t>m</w:t>
                  </w:r>
                  <w:r>
                    <w:rPr>
                      <w:rFonts w:asciiTheme="majorHAnsi" w:hAnsiTheme="majorHAnsi" w:cs="Georgia"/>
                      <w:spacing w:val="-1"/>
                      <w:sz w:val="22"/>
                      <w:szCs w:val="22"/>
                    </w:rPr>
                    <w:t>en</w:t>
                  </w:r>
                  <w:r>
                    <w:rPr>
                      <w:rFonts w:asciiTheme="majorHAnsi" w:hAnsiTheme="majorHAnsi" w:cs="Georgia"/>
                      <w:sz w:val="22"/>
                      <w:szCs w:val="22"/>
                    </w:rPr>
                    <w:t xml:space="preserve">t </w:t>
                  </w:r>
                  <w:r>
                    <w:rPr>
                      <w:rFonts w:asciiTheme="majorHAnsi" w:hAnsiTheme="majorHAnsi" w:cs="Georgia"/>
                      <w:spacing w:val="1"/>
                      <w:sz w:val="22"/>
                      <w:szCs w:val="22"/>
                    </w:rPr>
                    <w:t>or</w:t>
                  </w:r>
                  <w:r>
                    <w:rPr>
                      <w:rFonts w:asciiTheme="majorHAnsi" w:hAnsiTheme="majorHAnsi" w:cs="Georgia"/>
                      <w:sz w:val="22"/>
                      <w:szCs w:val="22"/>
                    </w:rPr>
                    <w:t>g</w:t>
                  </w:r>
                  <w:r>
                    <w:rPr>
                      <w:rFonts w:asciiTheme="majorHAnsi" w:hAnsiTheme="majorHAnsi" w:cs="Georgia"/>
                      <w:spacing w:val="-1"/>
                      <w:sz w:val="22"/>
                      <w:szCs w:val="22"/>
                    </w:rPr>
                    <w:t>an</w:t>
                  </w:r>
                  <w:r>
                    <w:rPr>
                      <w:rFonts w:asciiTheme="majorHAnsi" w:hAnsiTheme="majorHAnsi" w:cs="Georgia"/>
                      <w:sz w:val="22"/>
                      <w:szCs w:val="22"/>
                    </w:rPr>
                    <w:t>i</w:t>
                  </w:r>
                  <w:r>
                    <w:rPr>
                      <w:rFonts w:asciiTheme="majorHAnsi" w:hAnsiTheme="majorHAnsi" w:cs="Georgia"/>
                      <w:spacing w:val="1"/>
                      <w:sz w:val="22"/>
                      <w:szCs w:val="22"/>
                    </w:rPr>
                    <w:t>s</w:t>
                  </w:r>
                  <w:r>
                    <w:rPr>
                      <w:rFonts w:asciiTheme="majorHAnsi" w:hAnsiTheme="majorHAnsi" w:cs="Georgia"/>
                      <w:sz w:val="22"/>
                      <w:szCs w:val="22"/>
                    </w:rPr>
                    <w:t>é</w:t>
                  </w:r>
                  <w:r>
                    <w:rPr>
                      <w:rFonts w:asciiTheme="majorHAnsi" w:hAnsiTheme="majorHAnsi" w:cs="Georgia"/>
                      <w:spacing w:val="-1"/>
                      <w:sz w:val="22"/>
                      <w:szCs w:val="22"/>
                    </w:rPr>
                    <w:t xml:space="preserve">  et subventionné pa</w:t>
                  </w:r>
                  <w:r>
                    <w:rPr>
                      <w:rFonts w:asciiTheme="majorHAnsi" w:hAnsiTheme="majorHAnsi" w:cs="Georgia"/>
                      <w:sz w:val="22"/>
                      <w:szCs w:val="22"/>
                    </w:rPr>
                    <w:t xml:space="preserve">r </w:t>
                  </w:r>
                  <w:r>
                    <w:rPr>
                      <w:rFonts w:asciiTheme="majorHAnsi" w:hAnsiTheme="majorHAnsi" w:cs="Georgia"/>
                      <w:spacing w:val="-1"/>
                      <w:sz w:val="22"/>
                      <w:szCs w:val="22"/>
                    </w:rPr>
                    <w:t>l</w:t>
                  </w:r>
                  <w:r>
                    <w:rPr>
                      <w:rFonts w:asciiTheme="majorHAnsi" w:hAnsiTheme="majorHAnsi" w:cs="Georgia"/>
                      <w:sz w:val="22"/>
                      <w:szCs w:val="22"/>
                    </w:rPr>
                    <w:t>a</w:t>
                  </w:r>
                  <w:r>
                    <w:rPr>
                      <w:rFonts w:asciiTheme="majorHAnsi" w:hAnsiTheme="majorHAnsi" w:cs="Georgia"/>
                      <w:spacing w:val="-1"/>
                      <w:sz w:val="22"/>
                      <w:szCs w:val="22"/>
                    </w:rPr>
                    <w:t xml:space="preserve"> </w:t>
                  </w:r>
                  <w:r>
                    <w:rPr>
                      <w:rFonts w:asciiTheme="majorHAnsi" w:hAnsiTheme="majorHAnsi" w:cs="Georgia"/>
                      <w:sz w:val="22"/>
                      <w:szCs w:val="22"/>
                    </w:rPr>
                    <w:t>F</w:t>
                  </w:r>
                  <w:r>
                    <w:rPr>
                      <w:rFonts w:asciiTheme="majorHAnsi" w:hAnsiTheme="majorHAnsi" w:cs="Georgia"/>
                      <w:spacing w:val="-1"/>
                      <w:sz w:val="22"/>
                      <w:szCs w:val="22"/>
                    </w:rPr>
                    <w:t>é</w:t>
                  </w:r>
                  <w:r>
                    <w:rPr>
                      <w:rFonts w:asciiTheme="majorHAnsi" w:hAnsiTheme="majorHAnsi" w:cs="Georgia"/>
                      <w:sz w:val="22"/>
                      <w:szCs w:val="22"/>
                    </w:rPr>
                    <w:t>d</w:t>
                  </w:r>
                  <w:r>
                    <w:rPr>
                      <w:rFonts w:asciiTheme="majorHAnsi" w:hAnsiTheme="majorHAnsi" w:cs="Georgia"/>
                      <w:spacing w:val="-1"/>
                      <w:sz w:val="22"/>
                      <w:szCs w:val="22"/>
                    </w:rPr>
                    <w:t>é</w:t>
                  </w:r>
                  <w:r>
                    <w:rPr>
                      <w:rFonts w:asciiTheme="majorHAnsi" w:hAnsiTheme="majorHAnsi" w:cs="Georgia"/>
                      <w:spacing w:val="1"/>
                      <w:sz w:val="22"/>
                      <w:szCs w:val="22"/>
                    </w:rPr>
                    <w:t>r</w:t>
                  </w:r>
                  <w:r>
                    <w:rPr>
                      <w:rFonts w:asciiTheme="majorHAnsi" w:hAnsiTheme="majorHAnsi" w:cs="Georgia"/>
                      <w:spacing w:val="-1"/>
                      <w:sz w:val="22"/>
                      <w:szCs w:val="22"/>
                    </w:rPr>
                    <w:t>a</w:t>
                  </w:r>
                  <w:r>
                    <w:rPr>
                      <w:rFonts w:asciiTheme="majorHAnsi" w:hAnsiTheme="majorHAnsi" w:cs="Georgia"/>
                      <w:spacing w:val="1"/>
                      <w:sz w:val="22"/>
                      <w:szCs w:val="22"/>
                    </w:rPr>
                    <w:t>t</w:t>
                  </w:r>
                  <w:r>
                    <w:rPr>
                      <w:rFonts w:asciiTheme="majorHAnsi" w:hAnsiTheme="majorHAnsi" w:cs="Georgia"/>
                      <w:sz w:val="22"/>
                      <w:szCs w:val="22"/>
                    </w:rPr>
                    <w:t>i</w:t>
                  </w:r>
                  <w:r>
                    <w:rPr>
                      <w:rFonts w:asciiTheme="majorHAnsi" w:hAnsiTheme="majorHAnsi" w:cs="Georgia"/>
                      <w:spacing w:val="1"/>
                      <w:sz w:val="22"/>
                      <w:szCs w:val="22"/>
                    </w:rPr>
                    <w:t>o</w:t>
                  </w:r>
                  <w:r>
                    <w:rPr>
                      <w:rFonts w:asciiTheme="majorHAnsi" w:hAnsiTheme="majorHAnsi" w:cs="Georgia"/>
                      <w:sz w:val="22"/>
                      <w:szCs w:val="22"/>
                    </w:rPr>
                    <w:t>n</w:t>
                  </w:r>
                  <w:r>
                    <w:rPr>
                      <w:rFonts w:asciiTheme="majorHAnsi" w:hAnsiTheme="majorHAnsi" w:cs="Georgia"/>
                      <w:spacing w:val="-1"/>
                      <w:sz w:val="22"/>
                      <w:szCs w:val="22"/>
                    </w:rPr>
                    <w:t xml:space="preserve"> </w:t>
                  </w:r>
                  <w:r>
                    <w:rPr>
                      <w:rFonts w:asciiTheme="majorHAnsi" w:hAnsiTheme="majorHAnsi" w:cs="Georgia"/>
                      <w:sz w:val="22"/>
                      <w:szCs w:val="22"/>
                    </w:rPr>
                    <w:t>W</w:t>
                  </w:r>
                  <w:r>
                    <w:rPr>
                      <w:rFonts w:asciiTheme="majorHAnsi" w:hAnsiTheme="majorHAnsi" w:cs="Georgia"/>
                      <w:spacing w:val="-1"/>
                      <w:sz w:val="22"/>
                      <w:szCs w:val="22"/>
                    </w:rPr>
                    <w:t>all</w:t>
                  </w:r>
                  <w:r>
                    <w:rPr>
                      <w:rFonts w:asciiTheme="majorHAnsi" w:hAnsiTheme="majorHAnsi" w:cs="Georgia"/>
                      <w:spacing w:val="1"/>
                      <w:sz w:val="22"/>
                      <w:szCs w:val="22"/>
                    </w:rPr>
                    <w:t>o</w:t>
                  </w:r>
                  <w:r>
                    <w:rPr>
                      <w:rFonts w:asciiTheme="majorHAnsi" w:hAnsiTheme="majorHAnsi" w:cs="Georgia"/>
                      <w:spacing w:val="-1"/>
                      <w:sz w:val="22"/>
                      <w:szCs w:val="22"/>
                    </w:rPr>
                    <w:t>n</w:t>
                  </w:r>
                  <w:r>
                    <w:rPr>
                      <w:rFonts w:asciiTheme="majorHAnsi" w:hAnsiTheme="majorHAnsi" w:cs="Georgia"/>
                      <w:spacing w:val="-2"/>
                      <w:sz w:val="22"/>
                      <w:szCs w:val="22"/>
                    </w:rPr>
                    <w:t>i</w:t>
                  </w:r>
                  <w:r>
                    <w:rPr>
                      <w:rFonts w:asciiTheme="majorHAnsi" w:hAnsiTheme="majorHAnsi" w:cs="Georgia"/>
                      <w:spacing w:val="-1"/>
                      <w:sz w:val="22"/>
                      <w:szCs w:val="22"/>
                    </w:rPr>
                    <w:t>e-</w:t>
                  </w:r>
                  <w:r>
                    <w:rPr>
                      <w:rFonts w:asciiTheme="majorHAnsi" w:hAnsiTheme="majorHAnsi" w:cs="Georgia"/>
                      <w:sz w:val="22"/>
                      <w:szCs w:val="22"/>
                    </w:rPr>
                    <w:t>B</w:t>
                  </w:r>
                  <w:r>
                    <w:rPr>
                      <w:rFonts w:asciiTheme="majorHAnsi" w:hAnsiTheme="majorHAnsi" w:cs="Georgia"/>
                      <w:spacing w:val="1"/>
                      <w:sz w:val="22"/>
                      <w:szCs w:val="22"/>
                    </w:rPr>
                    <w:t>r</w:t>
                  </w:r>
                  <w:r>
                    <w:rPr>
                      <w:rFonts w:asciiTheme="majorHAnsi" w:hAnsiTheme="majorHAnsi" w:cs="Georgia"/>
                      <w:sz w:val="22"/>
                      <w:szCs w:val="22"/>
                    </w:rPr>
                    <w:t>u</w:t>
                  </w:r>
                  <w:r>
                    <w:rPr>
                      <w:rFonts w:asciiTheme="majorHAnsi" w:hAnsiTheme="majorHAnsi" w:cs="Georgia"/>
                      <w:spacing w:val="-1"/>
                      <w:sz w:val="22"/>
                      <w:szCs w:val="22"/>
                    </w:rPr>
                    <w:t>xelle</w:t>
                  </w:r>
                  <w:r>
                    <w:rPr>
                      <w:rFonts w:asciiTheme="majorHAnsi" w:hAnsiTheme="majorHAnsi" w:cs="Georgia"/>
                      <w:spacing w:val="1"/>
                      <w:sz w:val="22"/>
                      <w:szCs w:val="22"/>
                    </w:rPr>
                    <w:t>s</w:t>
                  </w:r>
                  <w:r>
                    <w:rPr>
                      <w:rFonts w:asciiTheme="majorHAnsi" w:hAnsiTheme="majorHAnsi" w:cs="Georgia"/>
                      <w:sz w:val="22"/>
                      <w:szCs w:val="22"/>
                    </w:rPr>
                    <w:t>.</w:t>
                  </w:r>
                </w:p>
                <w:p>
                  <w:pPr>
                    <w:widowControl w:val="0"/>
                    <w:tabs>
                      <w:tab w:val="left" w:pos="840"/>
                    </w:tabs>
                    <w:autoSpaceDE w:val="0"/>
                    <w:autoSpaceDN w:val="0"/>
                    <w:adjustRightInd w:val="0"/>
                    <w:spacing w:before="1" w:line="250" w:lineRule="exact"/>
                    <w:jc w:val="both"/>
                    <w:rPr>
                      <w:rFonts w:cs="Georgia"/>
                      <w:spacing w:val="-1"/>
                    </w:rPr>
                  </w:pPr>
                </w:p>
                <w:p>
                  <w:pPr>
                    <w:widowControl w:val="0"/>
                    <w:tabs>
                      <w:tab w:val="left" w:pos="840"/>
                    </w:tabs>
                    <w:autoSpaceDE w:val="0"/>
                    <w:autoSpaceDN w:val="0"/>
                    <w:adjustRightInd w:val="0"/>
                    <w:spacing w:before="1" w:line="250" w:lineRule="exact"/>
                    <w:jc w:val="both"/>
                    <w:rPr>
                      <w:rFonts w:cs="Georgia"/>
                      <w:spacing w:val="1"/>
                    </w:rPr>
                  </w:pPr>
                  <w:r>
                    <w:rPr>
                      <w:rFonts w:cs="Georgia"/>
                      <w:spacing w:val="-1"/>
                    </w:rPr>
                    <w:t>Le nombre de périodes e</w:t>
                  </w:r>
                  <w:r>
                    <w:rPr>
                      <w:rFonts w:cs="Georgia"/>
                      <w:spacing w:val="1"/>
                    </w:rPr>
                    <w:t>s</w:t>
                  </w:r>
                  <w:r>
                    <w:rPr>
                      <w:rFonts w:cs="Georgia"/>
                    </w:rPr>
                    <w:t>t fi</w:t>
                  </w:r>
                  <w:r>
                    <w:rPr>
                      <w:rFonts w:cs="Georgia"/>
                      <w:spacing w:val="-1"/>
                    </w:rPr>
                    <w:t>x</w:t>
                  </w:r>
                  <w:r>
                    <w:rPr>
                      <w:rFonts w:cs="Georgia"/>
                    </w:rPr>
                    <w:t>é</w:t>
                  </w:r>
                  <w:r>
                    <w:rPr>
                      <w:rFonts w:cs="Georgia"/>
                      <w:spacing w:val="-1"/>
                    </w:rPr>
                    <w:t xml:space="preserve"> </w:t>
                  </w:r>
                  <w:r>
                    <w:rPr>
                      <w:rFonts w:cs="Georgia"/>
                    </w:rPr>
                    <w:t>à</w:t>
                  </w:r>
                  <w:r>
                    <w:rPr>
                      <w:rFonts w:cs="Georgia"/>
                      <w:spacing w:val="-1"/>
                    </w:rPr>
                    <w:t xml:space="preserve"> </w:t>
                  </w:r>
                  <w:r>
                    <w:rPr>
                      <w:rFonts w:cs="Georgia"/>
                      <w:u w:val="single"/>
                    </w:rPr>
                    <w:t>2</w:t>
                  </w:r>
                  <w:r>
                    <w:rPr>
                      <w:rFonts w:cs="Georgia"/>
                      <w:spacing w:val="-2"/>
                      <w:u w:val="single"/>
                    </w:rPr>
                    <w:t xml:space="preserve"> </w:t>
                  </w:r>
                  <w:r>
                    <w:rPr>
                      <w:rFonts w:cs="Georgia"/>
                      <w:spacing w:val="1"/>
                    </w:rPr>
                    <w:t>p</w:t>
                  </w:r>
                  <w:r>
                    <w:rPr>
                      <w:rFonts w:cs="Georgia"/>
                      <w:spacing w:val="-1"/>
                    </w:rPr>
                    <w:t>a</w:t>
                  </w:r>
                  <w:r>
                    <w:rPr>
                      <w:rFonts w:cs="Georgia"/>
                    </w:rPr>
                    <w:t xml:space="preserve">r </w:t>
                  </w:r>
                  <w:r>
                    <w:rPr>
                      <w:rFonts w:cs="Georgia"/>
                      <w:spacing w:val="-2"/>
                    </w:rPr>
                    <w:t>g</w:t>
                  </w:r>
                  <w:r>
                    <w:rPr>
                      <w:rFonts w:cs="Georgia"/>
                      <w:spacing w:val="1"/>
                    </w:rPr>
                    <w:t>ro</w:t>
                  </w:r>
                  <w:r>
                    <w:rPr>
                      <w:rFonts w:cs="Georgia"/>
                      <w:spacing w:val="-2"/>
                    </w:rPr>
                    <w:t>u</w:t>
                  </w:r>
                  <w:r>
                    <w:rPr>
                      <w:rFonts w:cs="Georgia"/>
                      <w:spacing w:val="1"/>
                    </w:rPr>
                    <w:t>p</w:t>
                  </w:r>
                  <w:r>
                    <w:rPr>
                      <w:rFonts w:cs="Georgia"/>
                    </w:rPr>
                    <w:t>e</w:t>
                  </w:r>
                  <w:r>
                    <w:rPr>
                      <w:rFonts w:cs="Georgia"/>
                      <w:spacing w:val="-1"/>
                    </w:rPr>
                    <w:t xml:space="preserve"> </w:t>
                  </w:r>
                  <w:r>
                    <w:rPr>
                      <w:rFonts w:cs="Georgia"/>
                    </w:rPr>
                    <w:t>d</w:t>
                  </w:r>
                  <w:r>
                    <w:rPr>
                      <w:rFonts w:cs="Georgia"/>
                      <w:spacing w:val="1"/>
                    </w:rPr>
                    <w:t>'</w:t>
                  </w:r>
                  <w:r>
                    <w:rPr>
                      <w:rFonts w:cs="Georgia"/>
                      <w:spacing w:val="-1"/>
                    </w:rPr>
                    <w:t>élè</w:t>
                  </w:r>
                  <w:r>
                    <w:rPr>
                      <w:rFonts w:cs="Georgia"/>
                      <w:spacing w:val="1"/>
                    </w:rPr>
                    <w:t>v</w:t>
                  </w:r>
                  <w:r>
                    <w:rPr>
                      <w:rFonts w:cs="Georgia"/>
                      <w:spacing w:val="-1"/>
                    </w:rPr>
                    <w:t>e</w:t>
                  </w:r>
                  <w:r>
                    <w:rPr>
                      <w:rFonts w:cs="Georgia"/>
                    </w:rPr>
                    <w:t>s de</w:t>
                  </w:r>
                  <w:r>
                    <w:rPr>
                      <w:rFonts w:cs="Georgia"/>
                      <w:spacing w:val="-1"/>
                    </w:rPr>
                    <w:t xml:space="preserve"> </w:t>
                  </w:r>
                  <w:r>
                    <w:rPr>
                      <w:rFonts w:cs="Georgia"/>
                      <w:spacing w:val="1"/>
                    </w:rPr>
                    <w:t>1</w:t>
                  </w:r>
                  <w:r>
                    <w:rPr>
                      <w:rFonts w:cs="Georgia"/>
                    </w:rPr>
                    <w:t>2</w:t>
                  </w:r>
                  <w:r>
                    <w:rPr>
                      <w:rFonts w:cs="Georgia"/>
                      <w:spacing w:val="-1"/>
                    </w:rPr>
                    <w:t xml:space="preserve"> an</w:t>
                  </w:r>
                  <w:r>
                    <w:rPr>
                      <w:rFonts w:cs="Georgia"/>
                    </w:rPr>
                    <w:t>s</w:t>
                  </w:r>
                  <w:r>
                    <w:rPr>
                      <w:rFonts w:cs="Georgia"/>
                      <w:spacing w:val="-2"/>
                    </w:rPr>
                    <w:t xml:space="preserve"> </w:t>
                  </w:r>
                  <w:r>
                    <w:rPr>
                      <w:rFonts w:cs="Georgia"/>
                      <w:spacing w:val="-1"/>
                    </w:rPr>
                    <w:t>e</w:t>
                  </w:r>
                  <w:r>
                    <w:rPr>
                      <w:rFonts w:cs="Georgia"/>
                    </w:rPr>
                    <w:t xml:space="preserve">t </w:t>
                  </w:r>
                  <w:r>
                    <w:rPr>
                      <w:rFonts w:cs="Georgia"/>
                      <w:spacing w:val="1"/>
                    </w:rPr>
                    <w:t>p</w:t>
                  </w:r>
                  <w:r>
                    <w:rPr>
                      <w:rFonts w:cs="Georgia"/>
                      <w:spacing w:val="-1"/>
                    </w:rPr>
                    <w:t>l</w:t>
                  </w:r>
                  <w:r>
                    <w:rPr>
                      <w:rFonts w:cs="Georgia"/>
                    </w:rPr>
                    <w:t>us</w:t>
                  </w:r>
                  <w:r>
                    <w:rPr>
                      <w:rStyle w:val="Appelnotedebasdep"/>
                      <w:sz w:val="16"/>
                    </w:rPr>
                    <w:footnoteReference w:id="110"/>
                  </w:r>
                  <w:r>
                    <w:rPr>
                      <w:rFonts w:cs="Georgia"/>
                      <w:spacing w:val="1"/>
                      <w:sz w:val="16"/>
                    </w:rPr>
                    <w:t>.</w:t>
                  </w:r>
                </w:p>
                <w:p>
                  <w:pPr>
                    <w:widowControl w:val="0"/>
                    <w:tabs>
                      <w:tab w:val="left" w:pos="840"/>
                    </w:tabs>
                    <w:autoSpaceDE w:val="0"/>
                    <w:autoSpaceDN w:val="0"/>
                    <w:adjustRightInd w:val="0"/>
                    <w:spacing w:before="1" w:line="250" w:lineRule="exact"/>
                    <w:rPr>
                      <w:rFonts w:cs="Georgia"/>
                      <w:spacing w:val="1"/>
                    </w:rPr>
                  </w:pPr>
                </w:p>
                <w:p>
                  <w:pPr>
                    <w:widowControl w:val="0"/>
                    <w:tabs>
                      <w:tab w:val="left" w:pos="840"/>
                    </w:tabs>
                    <w:autoSpaceDE w:val="0"/>
                    <w:autoSpaceDN w:val="0"/>
                    <w:adjustRightInd w:val="0"/>
                    <w:spacing w:before="1" w:line="250" w:lineRule="exact"/>
                    <w:jc w:val="both"/>
                    <w:rPr>
                      <w:rFonts w:cs="Georgia"/>
                    </w:rPr>
                  </w:pPr>
                  <w:r>
                    <w:rPr>
                      <w:rFonts w:cs="Georgia"/>
                    </w:rPr>
                    <w:t>Le calcul du nombre de groupes est détaillé ci-dessous.</w:t>
                  </w:r>
                </w:p>
                <w:p>
                  <w:pPr>
                    <w:widowControl w:val="0"/>
                    <w:autoSpaceDE w:val="0"/>
                    <w:autoSpaceDN w:val="0"/>
                    <w:adjustRightInd w:val="0"/>
                    <w:spacing w:before="14" w:line="200" w:lineRule="exact"/>
                    <w:jc w:val="both"/>
                    <w:rPr>
                      <w:rFonts w:cs="Georgia"/>
                    </w:rPr>
                  </w:pPr>
                </w:p>
                <w:p>
                  <w:pPr>
                    <w:widowControl w:val="0"/>
                    <w:autoSpaceDE w:val="0"/>
                    <w:autoSpaceDN w:val="0"/>
                    <w:adjustRightInd w:val="0"/>
                    <w:spacing w:before="38" w:line="250" w:lineRule="exact"/>
                    <w:jc w:val="both"/>
                    <w:rPr>
                      <w:rFonts w:cs="Georgia"/>
                    </w:rPr>
                  </w:pPr>
                  <w:r>
                    <w:rPr>
                      <w:rFonts w:cs="Georgia"/>
                      <w:spacing w:val="1"/>
                    </w:rPr>
                    <w:t>L</w:t>
                  </w:r>
                  <w:r>
                    <w:rPr>
                      <w:rFonts w:cs="Georgia"/>
                      <w:spacing w:val="-1"/>
                    </w:rPr>
                    <w:t>e</w:t>
                  </w:r>
                  <w:r>
                    <w:rPr>
                      <w:rFonts w:cs="Georgia"/>
                    </w:rPr>
                    <w:t xml:space="preserve">s </w:t>
                  </w:r>
                  <w:r>
                    <w:rPr>
                      <w:rFonts w:cs="Georgia"/>
                      <w:spacing w:val="-1"/>
                    </w:rPr>
                    <w:t>é</w:t>
                  </w:r>
                  <w:r>
                    <w:rPr>
                      <w:rFonts w:cs="Georgia"/>
                      <w:spacing w:val="1"/>
                    </w:rPr>
                    <w:t>co</w:t>
                  </w:r>
                  <w:r>
                    <w:rPr>
                      <w:rFonts w:cs="Georgia"/>
                      <w:spacing w:val="-1"/>
                    </w:rPr>
                    <w:t>le</w:t>
                  </w:r>
                  <w:r>
                    <w:rPr>
                      <w:rFonts w:cs="Georgia"/>
                    </w:rPr>
                    <w:t xml:space="preserve">s </w:t>
                  </w:r>
                  <w:r>
                    <w:rPr>
                      <w:rFonts w:cs="Georgia"/>
                      <w:spacing w:val="-1"/>
                    </w:rPr>
                    <w:t>q</w:t>
                  </w:r>
                  <w:r>
                    <w:rPr>
                      <w:rFonts w:cs="Georgia"/>
                    </w:rPr>
                    <w:t xml:space="preserve">ui </w:t>
                  </w:r>
                  <w:r>
                    <w:rPr>
                      <w:rFonts w:cs="Georgia"/>
                      <w:spacing w:val="-1"/>
                    </w:rPr>
                    <w:t>l</w:t>
                  </w:r>
                  <w:r>
                    <w:rPr>
                      <w:rFonts w:cs="Georgia"/>
                    </w:rPr>
                    <w:t xml:space="preserve">e </w:t>
                  </w:r>
                  <w:r>
                    <w:rPr>
                      <w:rFonts w:cs="Georgia"/>
                      <w:spacing w:val="-2"/>
                    </w:rPr>
                    <w:t>s</w:t>
                  </w:r>
                  <w:r>
                    <w:rPr>
                      <w:rFonts w:cs="Georgia"/>
                      <w:spacing w:val="1"/>
                    </w:rPr>
                    <w:t>o</w:t>
                  </w:r>
                  <w:r>
                    <w:rPr>
                      <w:rFonts w:cs="Georgia"/>
                      <w:spacing w:val="-2"/>
                    </w:rPr>
                    <w:t>u</w:t>
                  </w:r>
                  <w:r>
                    <w:rPr>
                      <w:rFonts w:cs="Georgia"/>
                      <w:spacing w:val="1"/>
                    </w:rPr>
                    <w:t>h</w:t>
                  </w:r>
                  <w:r>
                    <w:rPr>
                      <w:rFonts w:cs="Georgia"/>
                      <w:spacing w:val="-1"/>
                    </w:rPr>
                    <w:t>a</w:t>
                  </w:r>
                  <w:r>
                    <w:rPr>
                      <w:rFonts w:cs="Georgia"/>
                    </w:rPr>
                    <w:t>i</w:t>
                  </w:r>
                  <w:r>
                    <w:rPr>
                      <w:rFonts w:cs="Georgia"/>
                      <w:spacing w:val="1"/>
                    </w:rPr>
                    <w:t>t</w:t>
                  </w:r>
                  <w:r>
                    <w:rPr>
                      <w:rFonts w:cs="Georgia"/>
                      <w:spacing w:val="-1"/>
                    </w:rPr>
                    <w:t>en</w:t>
                  </w:r>
                  <w:r>
                    <w:rPr>
                      <w:rFonts w:cs="Georgia"/>
                    </w:rPr>
                    <w:t>t</w:t>
                  </w:r>
                  <w:r>
                    <w:rPr>
                      <w:rFonts w:cs="Georgia"/>
                      <w:spacing w:val="1"/>
                    </w:rPr>
                    <w:t xml:space="preserve"> p</w:t>
                  </w:r>
                  <w:r>
                    <w:rPr>
                      <w:rFonts w:cs="Georgia"/>
                      <w:spacing w:val="-1"/>
                    </w:rPr>
                    <w:t>e</w:t>
                  </w:r>
                  <w:r>
                    <w:rPr>
                      <w:rFonts w:cs="Georgia"/>
                    </w:rPr>
                    <w:t>u</w:t>
                  </w:r>
                  <w:r>
                    <w:rPr>
                      <w:rFonts w:cs="Georgia"/>
                      <w:spacing w:val="1"/>
                    </w:rPr>
                    <w:t>v</w:t>
                  </w:r>
                  <w:r>
                    <w:rPr>
                      <w:rFonts w:cs="Georgia"/>
                      <w:spacing w:val="-1"/>
                    </w:rPr>
                    <w:t>en</w:t>
                  </w:r>
                  <w:r>
                    <w:rPr>
                      <w:rFonts w:cs="Georgia"/>
                    </w:rPr>
                    <w:t>t</w:t>
                  </w:r>
                  <w:r>
                    <w:rPr>
                      <w:rFonts w:cs="Georgia"/>
                      <w:spacing w:val="1"/>
                    </w:rPr>
                    <w:t xml:space="preserve"> </w:t>
                  </w:r>
                  <w:r>
                    <w:rPr>
                      <w:rFonts w:cs="Georgia"/>
                      <w:spacing w:val="-1"/>
                    </w:rPr>
                    <w:t>a</w:t>
                  </w:r>
                  <w:r>
                    <w:rPr>
                      <w:rFonts w:cs="Georgia"/>
                      <w:spacing w:val="-2"/>
                    </w:rPr>
                    <w:t>u</w:t>
                  </w:r>
                  <w:r>
                    <w:rPr>
                      <w:rFonts w:cs="Georgia"/>
                    </w:rPr>
                    <w:t>gm</w:t>
                  </w:r>
                  <w:r>
                    <w:rPr>
                      <w:rFonts w:cs="Georgia"/>
                      <w:spacing w:val="-1"/>
                    </w:rPr>
                    <w:t>en</w:t>
                  </w:r>
                  <w:r>
                    <w:rPr>
                      <w:rFonts w:cs="Georgia"/>
                      <w:spacing w:val="1"/>
                    </w:rPr>
                    <w:t>t</w:t>
                  </w:r>
                  <w:r>
                    <w:rPr>
                      <w:rFonts w:cs="Georgia"/>
                      <w:spacing w:val="-1"/>
                    </w:rPr>
                    <w:t>e</w:t>
                  </w:r>
                  <w:r>
                    <w:rPr>
                      <w:rFonts w:cs="Georgia"/>
                    </w:rPr>
                    <w:t>r</w:t>
                  </w:r>
                  <w:r>
                    <w:rPr>
                      <w:rFonts w:cs="Georgia"/>
                      <w:spacing w:val="1"/>
                    </w:rPr>
                    <w:t xml:space="preserve"> </w:t>
                  </w:r>
                  <w:r>
                    <w:rPr>
                      <w:rFonts w:cs="Georgia"/>
                      <w:spacing w:val="-1"/>
                    </w:rPr>
                    <w:t>l</w:t>
                  </w:r>
                  <w:r>
                    <w:rPr>
                      <w:rFonts w:cs="Georgia"/>
                    </w:rPr>
                    <w:t xml:space="preserve">e </w:t>
                  </w:r>
                  <w:r>
                    <w:rPr>
                      <w:rFonts w:cs="Georgia"/>
                      <w:spacing w:val="-1"/>
                    </w:rPr>
                    <w:t>n</w:t>
                  </w:r>
                  <w:r>
                    <w:rPr>
                      <w:rFonts w:cs="Georgia"/>
                      <w:spacing w:val="1"/>
                    </w:rPr>
                    <w:t>o</w:t>
                  </w:r>
                  <w:r>
                    <w:rPr>
                      <w:rFonts w:cs="Georgia"/>
                    </w:rPr>
                    <w:t>m</w:t>
                  </w:r>
                  <w:r>
                    <w:rPr>
                      <w:rFonts w:cs="Georgia"/>
                      <w:spacing w:val="-1"/>
                    </w:rPr>
                    <w:t>b</w:t>
                  </w:r>
                  <w:r>
                    <w:rPr>
                      <w:rFonts w:cs="Georgia"/>
                      <w:spacing w:val="1"/>
                    </w:rPr>
                    <w:t>r</w:t>
                  </w:r>
                  <w:r>
                    <w:rPr>
                      <w:rFonts w:cs="Georgia"/>
                    </w:rPr>
                    <w:t>e d’</w:t>
                  </w:r>
                  <w:r>
                    <w:rPr>
                      <w:rFonts w:cs="Georgia"/>
                      <w:spacing w:val="1"/>
                    </w:rPr>
                    <w:t>h</w:t>
                  </w:r>
                  <w:r>
                    <w:rPr>
                      <w:rFonts w:cs="Georgia"/>
                      <w:spacing w:val="-1"/>
                    </w:rPr>
                    <w:t>e</w:t>
                  </w:r>
                  <w:r>
                    <w:rPr>
                      <w:rFonts w:cs="Georgia"/>
                      <w:spacing w:val="-2"/>
                    </w:rPr>
                    <w:t>u</w:t>
                  </w:r>
                  <w:r>
                    <w:rPr>
                      <w:rFonts w:cs="Georgia"/>
                      <w:spacing w:val="1"/>
                    </w:rPr>
                    <w:t>r</w:t>
                  </w:r>
                  <w:r>
                    <w:rPr>
                      <w:rFonts w:cs="Georgia"/>
                      <w:spacing w:val="-1"/>
                    </w:rPr>
                    <w:t>e</w:t>
                  </w:r>
                  <w:r>
                    <w:rPr>
                      <w:rFonts w:cs="Georgia"/>
                    </w:rPr>
                    <w:t>s</w:t>
                  </w:r>
                  <w:r>
                    <w:rPr>
                      <w:rFonts w:cs="Georgia"/>
                      <w:spacing w:val="1"/>
                    </w:rPr>
                    <w:t xml:space="preserve"> </w:t>
                  </w:r>
                  <w:r>
                    <w:rPr>
                      <w:rFonts w:cs="Georgia"/>
                      <w:spacing w:val="-2"/>
                    </w:rPr>
                    <w:t>d</w:t>
                  </w:r>
                  <w:r>
                    <w:rPr>
                      <w:rFonts w:cs="Georgia"/>
                    </w:rPr>
                    <w:t xml:space="preserve">e </w:t>
                  </w:r>
                  <w:r>
                    <w:rPr>
                      <w:rFonts w:cs="Georgia"/>
                      <w:spacing w:val="1"/>
                    </w:rPr>
                    <w:t>tr</w:t>
                  </w:r>
                  <w:r>
                    <w:rPr>
                      <w:rFonts w:cs="Georgia"/>
                      <w:spacing w:val="-1"/>
                    </w:rPr>
                    <w:t>a</w:t>
                  </w:r>
                  <w:r>
                    <w:rPr>
                      <w:rFonts w:cs="Georgia"/>
                      <w:spacing w:val="1"/>
                    </w:rPr>
                    <w:t>v</w:t>
                  </w:r>
                  <w:r>
                    <w:rPr>
                      <w:rFonts w:cs="Georgia"/>
                      <w:spacing w:val="-1"/>
                    </w:rPr>
                    <w:t>a</w:t>
                  </w:r>
                  <w:r>
                    <w:rPr>
                      <w:rFonts w:cs="Georgia"/>
                    </w:rPr>
                    <w:t>ux m</w:t>
                  </w:r>
                  <w:r>
                    <w:rPr>
                      <w:rFonts w:cs="Georgia"/>
                      <w:spacing w:val="-1"/>
                    </w:rPr>
                    <w:t>an</w:t>
                  </w:r>
                  <w:r>
                    <w:rPr>
                      <w:rFonts w:cs="Georgia"/>
                    </w:rPr>
                    <w:t>u</w:t>
                  </w:r>
                  <w:r>
                    <w:rPr>
                      <w:rFonts w:cs="Georgia"/>
                      <w:spacing w:val="-1"/>
                    </w:rPr>
                    <w:t>e</w:t>
                  </w:r>
                  <w:r>
                    <w:rPr>
                      <w:rFonts w:cs="Georgia"/>
                      <w:spacing w:val="-3"/>
                    </w:rPr>
                    <w:t>l</w:t>
                  </w:r>
                  <w:r>
                    <w:rPr>
                      <w:rFonts w:cs="Georgia"/>
                    </w:rPr>
                    <w:t xml:space="preserve">s </w:t>
                  </w:r>
                  <w:r>
                    <w:rPr>
                      <w:rFonts w:cs="Georgia"/>
                      <w:spacing w:val="1"/>
                    </w:rPr>
                    <w:t>pr</w:t>
                  </w:r>
                  <w:r>
                    <w:rPr>
                      <w:rFonts w:cs="Georgia"/>
                      <w:spacing w:val="-1"/>
                    </w:rPr>
                    <w:t>e</w:t>
                  </w:r>
                  <w:r>
                    <w:rPr>
                      <w:rFonts w:cs="Georgia"/>
                      <w:spacing w:val="1"/>
                    </w:rPr>
                    <w:t>st</w:t>
                  </w:r>
                  <w:r>
                    <w:rPr>
                      <w:rFonts w:cs="Georgia"/>
                      <w:spacing w:val="-3"/>
                    </w:rPr>
                    <w:t>é</w:t>
                  </w:r>
                  <w:r>
                    <w:rPr>
                      <w:rFonts w:cs="Georgia"/>
                    </w:rPr>
                    <w:t xml:space="preserve">s </w:t>
                  </w:r>
                  <w:r>
                    <w:rPr>
                      <w:rFonts w:cs="Georgia"/>
                      <w:spacing w:val="1"/>
                    </w:rPr>
                    <w:t>p</w:t>
                  </w:r>
                  <w:r>
                    <w:rPr>
                      <w:rFonts w:cs="Georgia"/>
                      <w:spacing w:val="-1"/>
                    </w:rPr>
                    <w:t>a</w:t>
                  </w:r>
                  <w:r>
                    <w:rPr>
                      <w:rFonts w:cs="Georgia"/>
                    </w:rPr>
                    <w:t xml:space="preserve">r </w:t>
                  </w:r>
                  <w:r>
                    <w:rPr>
                      <w:rFonts w:cs="Georgia"/>
                      <w:spacing w:val="-1"/>
                    </w:rPr>
                    <w:t>l</w:t>
                  </w:r>
                  <w:r>
                    <w:rPr>
                      <w:rFonts w:cs="Georgia"/>
                    </w:rPr>
                    <w:t>e</w:t>
                  </w:r>
                  <w:r>
                    <w:rPr>
                      <w:rFonts w:cs="Georgia"/>
                      <w:spacing w:val="-1"/>
                    </w:rPr>
                    <w:t xml:space="preserve"> </w:t>
                  </w:r>
                  <w:r>
                    <w:rPr>
                      <w:rFonts w:cs="Georgia"/>
                    </w:rPr>
                    <w:t>m</w:t>
                  </w:r>
                  <w:r>
                    <w:rPr>
                      <w:rFonts w:cs="Georgia"/>
                      <w:spacing w:val="-1"/>
                    </w:rPr>
                    <w:t>a</w:t>
                  </w:r>
                  <w:r>
                    <w:rPr>
                      <w:rFonts w:cs="Georgia"/>
                    </w:rPr>
                    <w:t>î</w:t>
                  </w:r>
                  <w:r>
                    <w:rPr>
                      <w:rFonts w:cs="Georgia"/>
                      <w:spacing w:val="-2"/>
                    </w:rPr>
                    <w:t>t</w:t>
                  </w:r>
                  <w:r>
                    <w:rPr>
                      <w:rFonts w:cs="Georgia"/>
                      <w:spacing w:val="1"/>
                    </w:rPr>
                    <w:t>r</w:t>
                  </w:r>
                  <w:r>
                    <w:rPr>
                      <w:rFonts w:cs="Georgia"/>
                    </w:rPr>
                    <w:t>e</w:t>
                  </w:r>
                  <w:r>
                    <w:rPr>
                      <w:rFonts w:cs="Georgia"/>
                      <w:spacing w:val="-1"/>
                    </w:rPr>
                    <w:t xml:space="preserve"> </w:t>
                  </w:r>
                  <w:r>
                    <w:rPr>
                      <w:rFonts w:cs="Georgia"/>
                    </w:rPr>
                    <w:t>de</w:t>
                  </w:r>
                  <w:r>
                    <w:rPr>
                      <w:rFonts w:cs="Georgia"/>
                      <w:spacing w:val="-1"/>
                    </w:rPr>
                    <w:t xml:space="preserve"> </w:t>
                  </w:r>
                  <w:r>
                    <w:rPr>
                      <w:rFonts w:cs="Georgia"/>
                      <w:spacing w:val="1"/>
                    </w:rPr>
                    <w:t>tr</w:t>
                  </w:r>
                  <w:r>
                    <w:rPr>
                      <w:rFonts w:cs="Georgia"/>
                      <w:spacing w:val="-1"/>
                    </w:rPr>
                    <w:t>a</w:t>
                  </w:r>
                  <w:r>
                    <w:rPr>
                      <w:rFonts w:cs="Georgia"/>
                      <w:spacing w:val="1"/>
                    </w:rPr>
                    <w:t>v</w:t>
                  </w:r>
                  <w:r>
                    <w:rPr>
                      <w:rFonts w:cs="Georgia"/>
                      <w:spacing w:val="-1"/>
                    </w:rPr>
                    <w:t>a</w:t>
                  </w:r>
                  <w:r>
                    <w:rPr>
                      <w:rFonts w:cs="Georgia"/>
                    </w:rPr>
                    <w:t>ux</w:t>
                  </w:r>
                  <w:r>
                    <w:rPr>
                      <w:rFonts w:cs="Georgia"/>
                      <w:spacing w:val="-1"/>
                    </w:rPr>
                    <w:t xml:space="preserve"> </w:t>
                  </w:r>
                  <w:r>
                    <w:rPr>
                      <w:rFonts w:cs="Georgia"/>
                    </w:rPr>
                    <w:t>m</w:t>
                  </w:r>
                  <w:r>
                    <w:rPr>
                      <w:rFonts w:cs="Georgia"/>
                      <w:spacing w:val="-1"/>
                    </w:rPr>
                    <w:t>an</w:t>
                  </w:r>
                  <w:r>
                    <w:rPr>
                      <w:rFonts w:cs="Georgia"/>
                    </w:rPr>
                    <w:t>u</w:t>
                  </w:r>
                  <w:r>
                    <w:rPr>
                      <w:rFonts w:cs="Georgia"/>
                      <w:spacing w:val="-1"/>
                    </w:rPr>
                    <w:t>el</w:t>
                  </w:r>
                  <w:r>
                    <w:rPr>
                      <w:rFonts w:cs="Georgia"/>
                      <w:spacing w:val="1"/>
                    </w:rPr>
                    <w:t>s</w:t>
                  </w:r>
                  <w:r>
                    <w:rPr>
                      <w:rFonts w:cs="Georgia"/>
                    </w:rPr>
                    <w:t xml:space="preserve">, </w:t>
                  </w:r>
                  <w:r>
                    <w:rPr>
                      <w:rFonts w:cs="Georgia"/>
                      <w:spacing w:val="-1"/>
                    </w:rPr>
                    <w:t>p</w:t>
                  </w:r>
                  <w:r>
                    <w:rPr>
                      <w:rFonts w:cs="Georgia"/>
                      <w:spacing w:val="1"/>
                    </w:rPr>
                    <w:t>o</w:t>
                  </w:r>
                  <w:r>
                    <w:rPr>
                      <w:rFonts w:cs="Georgia"/>
                      <w:spacing w:val="-2"/>
                    </w:rPr>
                    <w:t>u</w:t>
                  </w:r>
                  <w:r>
                    <w:rPr>
                      <w:rFonts w:cs="Georgia"/>
                    </w:rPr>
                    <w:t xml:space="preserve">r </w:t>
                  </w:r>
                  <w:r>
                    <w:rPr>
                      <w:rFonts w:cs="Georgia"/>
                      <w:spacing w:val="-1"/>
                    </w:rPr>
                    <w:t>a</w:t>
                  </w:r>
                  <w:r>
                    <w:rPr>
                      <w:rFonts w:cs="Georgia"/>
                    </w:rPr>
                    <w:t>u</w:t>
                  </w:r>
                  <w:r>
                    <w:rPr>
                      <w:rFonts w:cs="Georgia"/>
                      <w:spacing w:val="1"/>
                    </w:rPr>
                    <w:t>t</w:t>
                  </w:r>
                  <w:r>
                    <w:rPr>
                      <w:rFonts w:cs="Georgia"/>
                      <w:spacing w:val="-1"/>
                    </w:rPr>
                    <w:t>an</w:t>
                  </w:r>
                  <w:r>
                    <w:rPr>
                      <w:rFonts w:cs="Georgia"/>
                    </w:rPr>
                    <w:t>t :</w:t>
                  </w:r>
                </w:p>
                <w:p>
                  <w:pPr>
                    <w:widowControl w:val="0"/>
                    <w:autoSpaceDE w:val="0"/>
                    <w:autoSpaceDN w:val="0"/>
                    <w:adjustRightInd w:val="0"/>
                    <w:spacing w:before="38" w:line="250" w:lineRule="exact"/>
                    <w:jc w:val="both"/>
                    <w:rPr>
                      <w:rFonts w:cs="Georgia"/>
                    </w:rPr>
                  </w:pPr>
                </w:p>
                <w:p>
                  <w:pPr>
                    <w:pStyle w:val="Paragraphedeliste"/>
                    <w:widowControl w:val="0"/>
                    <w:numPr>
                      <w:ilvl w:val="0"/>
                      <w:numId w:val="57"/>
                    </w:numPr>
                    <w:suppressAutoHyphens w:val="0"/>
                    <w:autoSpaceDE w:val="0"/>
                    <w:autoSpaceDN w:val="0"/>
                    <w:adjustRightInd w:val="0"/>
                    <w:spacing w:line="248" w:lineRule="exact"/>
                    <w:ind w:left="927"/>
                    <w:contextualSpacing/>
                    <w:jc w:val="both"/>
                    <w:rPr>
                      <w:rFonts w:asciiTheme="majorHAnsi" w:hAnsiTheme="majorHAnsi" w:cs="Georgia"/>
                      <w:sz w:val="22"/>
                      <w:szCs w:val="22"/>
                    </w:rPr>
                  </w:pPr>
                  <w:r>
                    <w:rPr>
                      <w:rFonts w:asciiTheme="majorHAnsi" w:hAnsiTheme="majorHAnsi" w:cs="Georgia"/>
                      <w:spacing w:val="-1"/>
                      <w:sz w:val="22"/>
                      <w:szCs w:val="22"/>
                    </w:rPr>
                    <w:t>q</w:t>
                  </w:r>
                  <w:r>
                    <w:rPr>
                      <w:rFonts w:asciiTheme="majorHAnsi" w:hAnsiTheme="majorHAnsi" w:cs="Georgia"/>
                      <w:sz w:val="22"/>
                      <w:szCs w:val="22"/>
                    </w:rPr>
                    <w:t>u’il</w:t>
                  </w:r>
                  <w:r>
                    <w:rPr>
                      <w:rFonts w:asciiTheme="majorHAnsi" w:hAnsiTheme="majorHAnsi" w:cs="Georgia"/>
                      <w:spacing w:val="-1"/>
                      <w:sz w:val="22"/>
                      <w:szCs w:val="22"/>
                    </w:rPr>
                    <w:t xml:space="preserve"> n</w:t>
                  </w:r>
                  <w:r>
                    <w:rPr>
                      <w:rFonts w:asciiTheme="majorHAnsi" w:hAnsiTheme="majorHAnsi" w:cs="Georgia"/>
                      <w:sz w:val="22"/>
                      <w:szCs w:val="22"/>
                    </w:rPr>
                    <w:t>’y</w:t>
                  </w:r>
                  <w:r>
                    <w:rPr>
                      <w:rFonts w:asciiTheme="majorHAnsi" w:hAnsiTheme="majorHAnsi" w:cs="Georgia"/>
                      <w:spacing w:val="-1"/>
                      <w:sz w:val="22"/>
                      <w:szCs w:val="22"/>
                    </w:rPr>
                    <w:t xml:space="preserve"> a</w:t>
                  </w:r>
                  <w:r>
                    <w:rPr>
                      <w:rFonts w:asciiTheme="majorHAnsi" w:hAnsiTheme="majorHAnsi" w:cs="Georgia"/>
                      <w:sz w:val="22"/>
                      <w:szCs w:val="22"/>
                    </w:rPr>
                    <w:t xml:space="preserve">it </w:t>
                  </w:r>
                  <w:r>
                    <w:rPr>
                      <w:rFonts w:asciiTheme="majorHAnsi" w:hAnsiTheme="majorHAnsi" w:cs="Georgia"/>
                      <w:spacing w:val="1"/>
                      <w:sz w:val="22"/>
                      <w:szCs w:val="22"/>
                    </w:rPr>
                    <w:t>p</w:t>
                  </w:r>
                  <w:r>
                    <w:rPr>
                      <w:rFonts w:asciiTheme="majorHAnsi" w:hAnsiTheme="majorHAnsi" w:cs="Georgia"/>
                      <w:spacing w:val="-1"/>
                      <w:sz w:val="22"/>
                      <w:szCs w:val="22"/>
                    </w:rPr>
                    <w:t>a</w:t>
                  </w:r>
                  <w:r>
                    <w:rPr>
                      <w:rFonts w:asciiTheme="majorHAnsi" w:hAnsiTheme="majorHAnsi" w:cs="Georgia"/>
                      <w:sz w:val="22"/>
                      <w:szCs w:val="22"/>
                    </w:rPr>
                    <w:t>s de</w:t>
                  </w:r>
                  <w:r>
                    <w:rPr>
                      <w:rFonts w:asciiTheme="majorHAnsi" w:hAnsiTheme="majorHAnsi" w:cs="Georgia"/>
                      <w:spacing w:val="-1"/>
                      <w:sz w:val="22"/>
                      <w:szCs w:val="22"/>
                    </w:rPr>
                    <w:t xml:space="preserve"> </w:t>
                  </w:r>
                  <w:r>
                    <w:rPr>
                      <w:rFonts w:asciiTheme="majorHAnsi" w:hAnsiTheme="majorHAnsi" w:cs="Georgia"/>
                      <w:spacing w:val="1"/>
                      <w:sz w:val="22"/>
                      <w:szCs w:val="22"/>
                    </w:rPr>
                    <w:t>p</w:t>
                  </w:r>
                  <w:r>
                    <w:rPr>
                      <w:rFonts w:asciiTheme="majorHAnsi" w:hAnsiTheme="majorHAnsi" w:cs="Georgia"/>
                      <w:spacing w:val="-1"/>
                      <w:sz w:val="22"/>
                      <w:szCs w:val="22"/>
                    </w:rPr>
                    <w:t>e</w:t>
                  </w:r>
                  <w:r>
                    <w:rPr>
                      <w:rFonts w:asciiTheme="majorHAnsi" w:hAnsiTheme="majorHAnsi" w:cs="Georgia"/>
                      <w:spacing w:val="1"/>
                      <w:sz w:val="22"/>
                      <w:szCs w:val="22"/>
                    </w:rPr>
                    <w:t>rt</w:t>
                  </w:r>
                  <w:r>
                    <w:rPr>
                      <w:rFonts w:asciiTheme="majorHAnsi" w:hAnsiTheme="majorHAnsi" w:cs="Georgia"/>
                      <w:sz w:val="22"/>
                      <w:szCs w:val="22"/>
                    </w:rPr>
                    <w:t>e</w:t>
                  </w:r>
                  <w:r>
                    <w:rPr>
                      <w:rFonts w:asciiTheme="majorHAnsi" w:hAnsiTheme="majorHAnsi" w:cs="Georgia"/>
                      <w:spacing w:val="-4"/>
                      <w:sz w:val="22"/>
                      <w:szCs w:val="22"/>
                    </w:rPr>
                    <w:t xml:space="preserve"> </w:t>
                  </w:r>
                  <w:r>
                    <w:rPr>
                      <w:rFonts w:asciiTheme="majorHAnsi" w:hAnsiTheme="majorHAnsi" w:cs="Georgia"/>
                      <w:sz w:val="22"/>
                      <w:szCs w:val="22"/>
                    </w:rPr>
                    <w:t>d’</w:t>
                  </w:r>
                  <w:r>
                    <w:rPr>
                      <w:rFonts w:asciiTheme="majorHAnsi" w:hAnsiTheme="majorHAnsi" w:cs="Georgia"/>
                      <w:spacing w:val="-1"/>
                      <w:sz w:val="22"/>
                      <w:szCs w:val="22"/>
                    </w:rPr>
                    <w:t>e</w:t>
                  </w:r>
                  <w:r>
                    <w:rPr>
                      <w:rFonts w:asciiTheme="majorHAnsi" w:hAnsiTheme="majorHAnsi" w:cs="Georgia"/>
                      <w:sz w:val="22"/>
                      <w:szCs w:val="22"/>
                    </w:rPr>
                    <w:t>m</w:t>
                  </w:r>
                  <w:r>
                    <w:rPr>
                      <w:rFonts w:asciiTheme="majorHAnsi" w:hAnsiTheme="majorHAnsi" w:cs="Georgia"/>
                      <w:spacing w:val="1"/>
                      <w:sz w:val="22"/>
                      <w:szCs w:val="22"/>
                    </w:rPr>
                    <w:t>p</w:t>
                  </w:r>
                  <w:r>
                    <w:rPr>
                      <w:rFonts w:asciiTheme="majorHAnsi" w:hAnsiTheme="majorHAnsi" w:cs="Georgia"/>
                      <w:spacing w:val="-1"/>
                      <w:sz w:val="22"/>
                      <w:szCs w:val="22"/>
                    </w:rPr>
                    <w:t>lo</w:t>
                  </w:r>
                  <w:r>
                    <w:rPr>
                      <w:rFonts w:asciiTheme="majorHAnsi" w:hAnsiTheme="majorHAnsi" w:cs="Georgia"/>
                      <w:sz w:val="22"/>
                      <w:szCs w:val="22"/>
                    </w:rPr>
                    <w:t xml:space="preserve">is </w:t>
                  </w:r>
                  <w:r>
                    <w:rPr>
                      <w:rFonts w:asciiTheme="majorHAnsi" w:hAnsiTheme="majorHAnsi" w:cs="Georgia"/>
                      <w:spacing w:val="-1"/>
                      <w:sz w:val="22"/>
                      <w:szCs w:val="22"/>
                    </w:rPr>
                    <w:t>o</w:t>
                  </w:r>
                  <w:r>
                    <w:rPr>
                      <w:rFonts w:asciiTheme="majorHAnsi" w:hAnsiTheme="majorHAnsi" w:cs="Georgia"/>
                      <w:sz w:val="22"/>
                      <w:szCs w:val="22"/>
                    </w:rPr>
                    <w:t>u de</w:t>
                  </w:r>
                  <w:r>
                    <w:rPr>
                      <w:rFonts w:asciiTheme="majorHAnsi" w:hAnsiTheme="majorHAnsi" w:cs="Georgia"/>
                      <w:spacing w:val="-1"/>
                      <w:sz w:val="22"/>
                      <w:szCs w:val="22"/>
                    </w:rPr>
                    <w:t xml:space="preserve"> </w:t>
                  </w:r>
                  <w:r>
                    <w:rPr>
                      <w:rFonts w:asciiTheme="majorHAnsi" w:hAnsiTheme="majorHAnsi" w:cs="Georgia"/>
                      <w:spacing w:val="1"/>
                      <w:sz w:val="22"/>
                      <w:szCs w:val="22"/>
                    </w:rPr>
                    <w:t>r</w:t>
                  </w:r>
                  <w:r>
                    <w:rPr>
                      <w:rFonts w:asciiTheme="majorHAnsi" w:hAnsiTheme="majorHAnsi" w:cs="Georgia"/>
                      <w:spacing w:val="-1"/>
                      <w:sz w:val="22"/>
                      <w:szCs w:val="22"/>
                    </w:rPr>
                    <w:t>é</w:t>
                  </w:r>
                  <w:r>
                    <w:rPr>
                      <w:rFonts w:asciiTheme="majorHAnsi" w:hAnsiTheme="majorHAnsi" w:cs="Georgia"/>
                      <w:sz w:val="22"/>
                      <w:szCs w:val="22"/>
                    </w:rPr>
                    <w:t>d</w:t>
                  </w:r>
                  <w:r>
                    <w:rPr>
                      <w:rFonts w:asciiTheme="majorHAnsi" w:hAnsiTheme="majorHAnsi" w:cs="Georgia"/>
                      <w:spacing w:val="-2"/>
                      <w:sz w:val="22"/>
                      <w:szCs w:val="22"/>
                    </w:rPr>
                    <w:t>u</w:t>
                  </w:r>
                  <w:r>
                    <w:rPr>
                      <w:rFonts w:asciiTheme="majorHAnsi" w:hAnsiTheme="majorHAnsi" w:cs="Georgia"/>
                      <w:spacing w:val="1"/>
                      <w:sz w:val="22"/>
                      <w:szCs w:val="22"/>
                    </w:rPr>
                    <w:t>ct</w:t>
                  </w:r>
                  <w:r>
                    <w:rPr>
                      <w:rFonts w:asciiTheme="majorHAnsi" w:hAnsiTheme="majorHAnsi" w:cs="Georgia"/>
                      <w:spacing w:val="-2"/>
                      <w:sz w:val="22"/>
                      <w:szCs w:val="22"/>
                    </w:rPr>
                    <w:t>i</w:t>
                  </w:r>
                  <w:r>
                    <w:rPr>
                      <w:rFonts w:asciiTheme="majorHAnsi" w:hAnsiTheme="majorHAnsi" w:cs="Georgia"/>
                      <w:spacing w:val="-1"/>
                      <w:sz w:val="22"/>
                      <w:szCs w:val="22"/>
                    </w:rPr>
                    <w:t>o</w:t>
                  </w:r>
                  <w:r>
                    <w:rPr>
                      <w:rFonts w:asciiTheme="majorHAnsi" w:hAnsiTheme="majorHAnsi" w:cs="Georgia"/>
                      <w:sz w:val="22"/>
                      <w:szCs w:val="22"/>
                    </w:rPr>
                    <w:t>n</w:t>
                  </w:r>
                  <w:r>
                    <w:rPr>
                      <w:rFonts w:asciiTheme="majorHAnsi" w:hAnsiTheme="majorHAnsi" w:cs="Georgia"/>
                      <w:spacing w:val="-1"/>
                      <w:sz w:val="22"/>
                      <w:szCs w:val="22"/>
                    </w:rPr>
                    <w:t xml:space="preserve"> </w:t>
                  </w:r>
                  <w:r>
                    <w:rPr>
                      <w:rFonts w:asciiTheme="majorHAnsi" w:hAnsiTheme="majorHAnsi" w:cs="Georgia"/>
                      <w:sz w:val="22"/>
                      <w:szCs w:val="22"/>
                    </w:rPr>
                    <w:t>de</w:t>
                  </w:r>
                  <w:r>
                    <w:rPr>
                      <w:rFonts w:asciiTheme="majorHAnsi" w:hAnsiTheme="majorHAnsi" w:cs="Georgia"/>
                      <w:spacing w:val="-1"/>
                      <w:sz w:val="22"/>
                      <w:szCs w:val="22"/>
                    </w:rPr>
                    <w:t xml:space="preserve"> </w:t>
                  </w:r>
                  <w:r>
                    <w:rPr>
                      <w:rFonts w:asciiTheme="majorHAnsi" w:hAnsiTheme="majorHAnsi" w:cs="Georgia"/>
                      <w:spacing w:val="1"/>
                      <w:sz w:val="22"/>
                      <w:szCs w:val="22"/>
                    </w:rPr>
                    <w:t>ch</w:t>
                  </w:r>
                  <w:r>
                    <w:rPr>
                      <w:rFonts w:asciiTheme="majorHAnsi" w:hAnsiTheme="majorHAnsi" w:cs="Georgia"/>
                      <w:spacing w:val="-1"/>
                      <w:sz w:val="22"/>
                      <w:szCs w:val="22"/>
                    </w:rPr>
                    <w:t>a</w:t>
                  </w:r>
                  <w:r>
                    <w:rPr>
                      <w:rFonts w:asciiTheme="majorHAnsi" w:hAnsiTheme="majorHAnsi" w:cs="Georgia"/>
                      <w:spacing w:val="1"/>
                      <w:sz w:val="22"/>
                      <w:szCs w:val="22"/>
                    </w:rPr>
                    <w:t>r</w:t>
                  </w:r>
                  <w:r>
                    <w:rPr>
                      <w:rFonts w:asciiTheme="majorHAnsi" w:hAnsiTheme="majorHAnsi" w:cs="Georgia"/>
                      <w:sz w:val="22"/>
                      <w:szCs w:val="22"/>
                    </w:rPr>
                    <w:t>ge</w:t>
                  </w:r>
                  <w:r>
                    <w:rPr>
                      <w:rFonts w:asciiTheme="majorHAnsi" w:hAnsiTheme="majorHAnsi" w:cs="Georgia"/>
                      <w:spacing w:val="-1"/>
                      <w:sz w:val="22"/>
                      <w:szCs w:val="22"/>
                    </w:rPr>
                    <w:t xml:space="preserve"> </w:t>
                  </w:r>
                  <w:r>
                    <w:rPr>
                      <w:rFonts w:asciiTheme="majorHAnsi" w:hAnsiTheme="majorHAnsi" w:cs="Georgia"/>
                      <w:spacing w:val="-2"/>
                      <w:sz w:val="22"/>
                      <w:szCs w:val="22"/>
                    </w:rPr>
                    <w:t>c</w:t>
                  </w:r>
                  <w:r>
                    <w:rPr>
                      <w:rFonts w:asciiTheme="majorHAnsi" w:hAnsiTheme="majorHAnsi" w:cs="Georgia"/>
                      <w:spacing w:val="1"/>
                      <w:sz w:val="22"/>
                      <w:szCs w:val="22"/>
                    </w:rPr>
                    <w:t>h</w:t>
                  </w:r>
                  <w:r>
                    <w:rPr>
                      <w:rFonts w:asciiTheme="majorHAnsi" w:hAnsiTheme="majorHAnsi" w:cs="Georgia"/>
                      <w:spacing w:val="-1"/>
                      <w:sz w:val="22"/>
                      <w:szCs w:val="22"/>
                    </w:rPr>
                    <w:t>e</w:t>
                  </w:r>
                  <w:r>
                    <w:rPr>
                      <w:rFonts w:asciiTheme="majorHAnsi" w:hAnsiTheme="majorHAnsi" w:cs="Georgia"/>
                      <w:sz w:val="22"/>
                      <w:szCs w:val="22"/>
                    </w:rPr>
                    <w:t xml:space="preserve">z </w:t>
                  </w:r>
                  <w:r>
                    <w:rPr>
                      <w:rFonts w:asciiTheme="majorHAnsi" w:hAnsiTheme="majorHAnsi" w:cs="Georgia"/>
                      <w:spacing w:val="-1"/>
                      <w:sz w:val="22"/>
                      <w:szCs w:val="22"/>
                    </w:rPr>
                    <w:t>le</w:t>
                  </w:r>
                  <w:r>
                    <w:rPr>
                      <w:rFonts w:asciiTheme="majorHAnsi" w:hAnsiTheme="majorHAnsi" w:cs="Georgia"/>
                      <w:sz w:val="22"/>
                      <w:szCs w:val="22"/>
                    </w:rPr>
                    <w:t xml:space="preserve">s </w:t>
                  </w:r>
                  <w:r>
                    <w:rPr>
                      <w:rFonts w:asciiTheme="majorHAnsi" w:hAnsiTheme="majorHAnsi" w:cs="Georgia"/>
                      <w:spacing w:val="-1"/>
                      <w:sz w:val="22"/>
                      <w:szCs w:val="22"/>
                    </w:rPr>
                    <w:t>a</w:t>
                  </w:r>
                  <w:r>
                    <w:rPr>
                      <w:rFonts w:asciiTheme="majorHAnsi" w:hAnsiTheme="majorHAnsi" w:cs="Georgia"/>
                      <w:sz w:val="22"/>
                      <w:szCs w:val="22"/>
                    </w:rPr>
                    <w:t>u</w:t>
                  </w:r>
                  <w:r>
                    <w:rPr>
                      <w:rFonts w:asciiTheme="majorHAnsi" w:hAnsiTheme="majorHAnsi" w:cs="Georgia"/>
                      <w:spacing w:val="1"/>
                      <w:sz w:val="22"/>
                      <w:szCs w:val="22"/>
                    </w:rPr>
                    <w:t>t</w:t>
                  </w:r>
                  <w:r>
                    <w:rPr>
                      <w:rFonts w:asciiTheme="majorHAnsi" w:hAnsiTheme="majorHAnsi" w:cs="Georgia"/>
                      <w:spacing w:val="-2"/>
                      <w:sz w:val="22"/>
                      <w:szCs w:val="22"/>
                    </w:rPr>
                    <w:t>r</w:t>
                  </w:r>
                  <w:r>
                    <w:rPr>
                      <w:rFonts w:asciiTheme="majorHAnsi" w:hAnsiTheme="majorHAnsi" w:cs="Georgia"/>
                      <w:spacing w:val="-1"/>
                      <w:sz w:val="22"/>
                      <w:szCs w:val="22"/>
                    </w:rPr>
                    <w:t>e</w:t>
                  </w:r>
                  <w:r>
                    <w:rPr>
                      <w:rFonts w:asciiTheme="majorHAnsi" w:hAnsiTheme="majorHAnsi" w:cs="Georgia"/>
                      <w:sz w:val="22"/>
                      <w:szCs w:val="22"/>
                    </w:rPr>
                    <w:t xml:space="preserve">s </w:t>
                  </w:r>
                  <w:r>
                    <w:rPr>
                      <w:rFonts w:asciiTheme="majorHAnsi" w:hAnsiTheme="majorHAnsi" w:cs="Georgia"/>
                      <w:spacing w:val="1"/>
                      <w:sz w:val="22"/>
                      <w:szCs w:val="22"/>
                    </w:rPr>
                    <w:t>p</w:t>
                  </w:r>
                  <w:r>
                    <w:rPr>
                      <w:rFonts w:asciiTheme="majorHAnsi" w:hAnsiTheme="majorHAnsi" w:cs="Georgia"/>
                      <w:spacing w:val="-1"/>
                      <w:sz w:val="22"/>
                      <w:szCs w:val="22"/>
                    </w:rPr>
                    <w:t>e</w:t>
                  </w:r>
                  <w:r>
                    <w:rPr>
                      <w:rFonts w:asciiTheme="majorHAnsi" w:hAnsiTheme="majorHAnsi" w:cs="Georgia"/>
                      <w:spacing w:val="1"/>
                      <w:sz w:val="22"/>
                      <w:szCs w:val="22"/>
                    </w:rPr>
                    <w:t>r</w:t>
                  </w:r>
                  <w:r>
                    <w:rPr>
                      <w:rFonts w:asciiTheme="majorHAnsi" w:hAnsiTheme="majorHAnsi" w:cs="Georgia"/>
                      <w:spacing w:val="-2"/>
                      <w:sz w:val="22"/>
                      <w:szCs w:val="22"/>
                    </w:rPr>
                    <w:t>s</w:t>
                  </w:r>
                  <w:r>
                    <w:rPr>
                      <w:rFonts w:asciiTheme="majorHAnsi" w:hAnsiTheme="majorHAnsi" w:cs="Georgia"/>
                      <w:spacing w:val="1"/>
                      <w:sz w:val="22"/>
                      <w:szCs w:val="22"/>
                    </w:rPr>
                    <w:t>o</w:t>
                  </w:r>
                  <w:r>
                    <w:rPr>
                      <w:rFonts w:asciiTheme="majorHAnsi" w:hAnsiTheme="majorHAnsi" w:cs="Georgia"/>
                      <w:spacing w:val="-1"/>
                      <w:sz w:val="22"/>
                      <w:szCs w:val="22"/>
                    </w:rPr>
                    <w:t>nnel</w:t>
                  </w:r>
                  <w:r>
                    <w:rPr>
                      <w:rFonts w:asciiTheme="majorHAnsi" w:hAnsiTheme="majorHAnsi" w:cs="Georgia"/>
                      <w:spacing w:val="1"/>
                      <w:sz w:val="22"/>
                      <w:szCs w:val="22"/>
                    </w:rPr>
                    <w:t>s</w:t>
                  </w:r>
                  <w:r>
                    <w:rPr>
                      <w:rFonts w:asciiTheme="majorHAnsi" w:hAnsiTheme="majorHAnsi" w:cs="Georgia"/>
                      <w:sz w:val="22"/>
                      <w:szCs w:val="22"/>
                    </w:rPr>
                    <w:t>,</w:t>
                  </w:r>
                </w:p>
                <w:p>
                  <w:pPr>
                    <w:pStyle w:val="Paragraphedeliste"/>
                    <w:widowControl w:val="0"/>
                    <w:numPr>
                      <w:ilvl w:val="0"/>
                      <w:numId w:val="57"/>
                    </w:numPr>
                    <w:suppressAutoHyphens w:val="0"/>
                    <w:autoSpaceDE w:val="0"/>
                    <w:autoSpaceDN w:val="0"/>
                    <w:adjustRightInd w:val="0"/>
                    <w:spacing w:line="248" w:lineRule="exact"/>
                    <w:ind w:left="927"/>
                    <w:contextualSpacing/>
                    <w:jc w:val="both"/>
                    <w:rPr>
                      <w:rFonts w:asciiTheme="majorHAnsi" w:hAnsiTheme="majorHAnsi" w:cs="Georgia"/>
                      <w:sz w:val="22"/>
                      <w:szCs w:val="22"/>
                    </w:rPr>
                  </w:pPr>
                  <w:r>
                    <w:rPr>
                      <w:rFonts w:asciiTheme="majorHAnsi" w:hAnsiTheme="majorHAnsi" w:cs="Georgia"/>
                      <w:spacing w:val="-1"/>
                      <w:sz w:val="22"/>
                      <w:szCs w:val="22"/>
                    </w:rPr>
                    <w:t>q</w:t>
                  </w:r>
                  <w:r>
                    <w:rPr>
                      <w:rFonts w:asciiTheme="majorHAnsi" w:hAnsiTheme="majorHAnsi" w:cs="Georgia"/>
                      <w:sz w:val="22"/>
                      <w:szCs w:val="22"/>
                    </w:rPr>
                    <w:t>ue</w:t>
                  </w:r>
                  <w:r>
                    <w:rPr>
                      <w:rFonts w:asciiTheme="majorHAnsi" w:hAnsiTheme="majorHAnsi" w:cs="Georgia"/>
                      <w:spacing w:val="-1"/>
                      <w:sz w:val="22"/>
                      <w:szCs w:val="22"/>
                    </w:rPr>
                    <w:t xml:space="preserve"> l’organe de concertation concerné a</w:t>
                  </w:r>
                  <w:r>
                    <w:rPr>
                      <w:rFonts w:asciiTheme="majorHAnsi" w:hAnsiTheme="majorHAnsi" w:cs="Georgia"/>
                      <w:sz w:val="22"/>
                      <w:szCs w:val="22"/>
                    </w:rPr>
                    <w:t>it m</w:t>
                  </w:r>
                  <w:r>
                    <w:rPr>
                      <w:rFonts w:asciiTheme="majorHAnsi" w:hAnsiTheme="majorHAnsi" w:cs="Georgia"/>
                      <w:spacing w:val="-1"/>
                      <w:sz w:val="22"/>
                      <w:szCs w:val="22"/>
                    </w:rPr>
                    <w:t>a</w:t>
                  </w:r>
                  <w:r>
                    <w:rPr>
                      <w:rFonts w:asciiTheme="majorHAnsi" w:hAnsiTheme="majorHAnsi" w:cs="Georgia"/>
                      <w:spacing w:val="1"/>
                      <w:sz w:val="22"/>
                      <w:szCs w:val="22"/>
                    </w:rPr>
                    <w:t>r</w:t>
                  </w:r>
                  <w:r>
                    <w:rPr>
                      <w:rFonts w:asciiTheme="majorHAnsi" w:hAnsiTheme="majorHAnsi" w:cs="Georgia"/>
                      <w:spacing w:val="-4"/>
                      <w:sz w:val="22"/>
                      <w:szCs w:val="22"/>
                    </w:rPr>
                    <w:t>q</w:t>
                  </w:r>
                  <w:r>
                    <w:rPr>
                      <w:rFonts w:asciiTheme="majorHAnsi" w:hAnsiTheme="majorHAnsi" w:cs="Georgia"/>
                      <w:sz w:val="22"/>
                      <w:szCs w:val="22"/>
                    </w:rPr>
                    <w:t>ué</w:t>
                  </w:r>
                  <w:r>
                    <w:rPr>
                      <w:rFonts w:asciiTheme="majorHAnsi" w:hAnsiTheme="majorHAnsi" w:cs="Georgia"/>
                      <w:spacing w:val="-1"/>
                      <w:sz w:val="22"/>
                      <w:szCs w:val="22"/>
                    </w:rPr>
                    <w:t xml:space="preserve"> </w:t>
                  </w:r>
                  <w:r>
                    <w:rPr>
                      <w:rFonts w:asciiTheme="majorHAnsi" w:hAnsiTheme="majorHAnsi" w:cs="Georgia"/>
                      <w:spacing w:val="1"/>
                      <w:sz w:val="22"/>
                      <w:szCs w:val="22"/>
                    </w:rPr>
                    <w:t>so</w:t>
                  </w:r>
                  <w:r>
                    <w:rPr>
                      <w:rFonts w:asciiTheme="majorHAnsi" w:hAnsiTheme="majorHAnsi" w:cs="Georgia"/>
                      <w:sz w:val="22"/>
                      <w:szCs w:val="22"/>
                    </w:rPr>
                    <w:t>n</w:t>
                  </w:r>
                  <w:r>
                    <w:rPr>
                      <w:rFonts w:asciiTheme="majorHAnsi" w:hAnsiTheme="majorHAnsi" w:cs="Georgia"/>
                      <w:spacing w:val="-1"/>
                      <w:sz w:val="22"/>
                      <w:szCs w:val="22"/>
                    </w:rPr>
                    <w:t xml:space="preserve"> a</w:t>
                  </w:r>
                  <w:r>
                    <w:rPr>
                      <w:rFonts w:asciiTheme="majorHAnsi" w:hAnsiTheme="majorHAnsi" w:cs="Georgia"/>
                      <w:spacing w:val="1"/>
                      <w:sz w:val="22"/>
                      <w:szCs w:val="22"/>
                    </w:rPr>
                    <w:t>c</w:t>
                  </w:r>
                  <w:r>
                    <w:rPr>
                      <w:rFonts w:asciiTheme="majorHAnsi" w:hAnsiTheme="majorHAnsi" w:cs="Georgia"/>
                      <w:spacing w:val="-2"/>
                      <w:sz w:val="22"/>
                      <w:szCs w:val="22"/>
                    </w:rPr>
                    <w:t>c</w:t>
                  </w:r>
                  <w:r>
                    <w:rPr>
                      <w:rFonts w:asciiTheme="majorHAnsi" w:hAnsiTheme="majorHAnsi" w:cs="Georgia"/>
                      <w:spacing w:val="1"/>
                      <w:sz w:val="22"/>
                      <w:szCs w:val="22"/>
                    </w:rPr>
                    <w:t>or</w:t>
                  </w:r>
                  <w:r>
                    <w:rPr>
                      <w:rFonts w:asciiTheme="majorHAnsi" w:hAnsiTheme="majorHAnsi" w:cs="Georgia"/>
                      <w:spacing w:val="-2"/>
                      <w:sz w:val="22"/>
                      <w:szCs w:val="22"/>
                    </w:rPr>
                    <w:t>d</w:t>
                  </w:r>
                  <w:r>
                    <w:rPr>
                      <w:rFonts w:asciiTheme="majorHAnsi" w:hAnsiTheme="majorHAnsi" w:cs="Georgia"/>
                      <w:sz w:val="22"/>
                      <w:szCs w:val="22"/>
                    </w:rPr>
                    <w:t>.</w:t>
                  </w:r>
                </w:p>
                <w:p/>
                <w:p/>
                <w:p>
                  <w:pPr>
                    <w:pStyle w:val="Titre5"/>
                  </w:pPr>
                  <w:r>
                    <w:t>2.4.10. Nombre de groupes</w:t>
                  </w:r>
                </w:p>
                <w:p>
                  <w:pPr>
                    <w:widowControl w:val="0"/>
                    <w:autoSpaceDE w:val="0"/>
                    <w:autoSpaceDN w:val="0"/>
                    <w:adjustRightInd w:val="0"/>
                    <w:spacing w:before="9" w:line="240" w:lineRule="exact"/>
                    <w:jc w:val="both"/>
                    <w:rPr>
                      <w:rFonts w:cs="Georgia"/>
                    </w:rPr>
                  </w:pPr>
                </w:p>
                <w:p>
                  <w:pPr>
                    <w:widowControl w:val="0"/>
                    <w:autoSpaceDE w:val="0"/>
                    <w:autoSpaceDN w:val="0"/>
                    <w:adjustRightInd w:val="0"/>
                    <w:spacing w:before="37" w:line="244" w:lineRule="exact"/>
                    <w:jc w:val="both"/>
                    <w:rPr>
                      <w:rFonts w:cs="Georgia"/>
                      <w:color w:val="000000"/>
                    </w:rPr>
                  </w:pPr>
                  <w:r>
                    <w:rPr>
                      <w:rFonts w:cs="Georgia"/>
                      <w:color w:val="000000"/>
                      <w:spacing w:val="1"/>
                      <w:position w:val="-1"/>
                      <w:u w:val="single"/>
                    </w:rPr>
                    <w:t>Détermination du n</w:t>
                  </w:r>
                  <w:r>
                    <w:rPr>
                      <w:rFonts w:cs="Georgia"/>
                      <w:color w:val="000000"/>
                      <w:spacing w:val="-1"/>
                      <w:position w:val="-1"/>
                      <w:u w:val="single"/>
                    </w:rPr>
                    <w:t>o</w:t>
                  </w:r>
                  <w:r>
                    <w:rPr>
                      <w:rFonts w:cs="Georgia"/>
                      <w:color w:val="000000"/>
                      <w:position w:val="-1"/>
                      <w:u w:val="single"/>
                    </w:rPr>
                    <w:t>m</w:t>
                  </w:r>
                  <w:r>
                    <w:rPr>
                      <w:rFonts w:cs="Georgia"/>
                      <w:color w:val="000000"/>
                      <w:spacing w:val="-1"/>
                      <w:position w:val="-1"/>
                      <w:u w:val="single"/>
                    </w:rPr>
                    <w:t>b</w:t>
                  </w:r>
                  <w:r>
                    <w:rPr>
                      <w:rFonts w:cs="Georgia"/>
                      <w:color w:val="000000"/>
                      <w:spacing w:val="1"/>
                      <w:position w:val="-1"/>
                      <w:u w:val="single"/>
                    </w:rPr>
                    <w:t>r</w:t>
                  </w:r>
                  <w:r>
                    <w:rPr>
                      <w:rFonts w:cs="Georgia"/>
                      <w:color w:val="000000"/>
                      <w:position w:val="-1"/>
                      <w:u w:val="single"/>
                    </w:rPr>
                    <w:t>e</w:t>
                  </w:r>
                  <w:r>
                    <w:rPr>
                      <w:rFonts w:cs="Georgia"/>
                      <w:color w:val="000000"/>
                      <w:spacing w:val="-1"/>
                      <w:position w:val="-1"/>
                      <w:u w:val="single"/>
                    </w:rPr>
                    <w:t xml:space="preserve"> </w:t>
                  </w:r>
                  <w:r>
                    <w:rPr>
                      <w:rFonts w:cs="Georgia"/>
                      <w:color w:val="000000"/>
                      <w:position w:val="-1"/>
                      <w:u w:val="single"/>
                    </w:rPr>
                    <w:t>de</w:t>
                  </w:r>
                  <w:r>
                    <w:rPr>
                      <w:rFonts w:cs="Georgia"/>
                      <w:color w:val="000000"/>
                      <w:spacing w:val="-1"/>
                      <w:position w:val="-1"/>
                      <w:u w:val="single"/>
                    </w:rPr>
                    <w:t xml:space="preserve"> </w:t>
                  </w:r>
                  <w:r>
                    <w:rPr>
                      <w:rFonts w:cs="Georgia"/>
                      <w:color w:val="000000"/>
                      <w:position w:val="-1"/>
                      <w:u w:val="single"/>
                    </w:rPr>
                    <w:t>g</w:t>
                  </w:r>
                  <w:r>
                    <w:rPr>
                      <w:rFonts w:cs="Georgia"/>
                      <w:color w:val="000000"/>
                      <w:spacing w:val="1"/>
                      <w:position w:val="-1"/>
                      <w:u w:val="single"/>
                    </w:rPr>
                    <w:t>r</w:t>
                  </w:r>
                  <w:r>
                    <w:rPr>
                      <w:rFonts w:cs="Georgia"/>
                      <w:color w:val="000000"/>
                      <w:spacing w:val="-1"/>
                      <w:position w:val="-1"/>
                      <w:u w:val="single"/>
                    </w:rPr>
                    <w:t>o</w:t>
                  </w:r>
                  <w:r>
                    <w:rPr>
                      <w:rFonts w:cs="Georgia"/>
                      <w:color w:val="000000"/>
                      <w:position w:val="-1"/>
                      <w:u w:val="single"/>
                    </w:rPr>
                    <w:t>u</w:t>
                  </w:r>
                  <w:r>
                    <w:rPr>
                      <w:rFonts w:cs="Georgia"/>
                      <w:color w:val="000000"/>
                      <w:spacing w:val="1"/>
                      <w:position w:val="-1"/>
                      <w:u w:val="single"/>
                    </w:rPr>
                    <w:t>p</w:t>
                  </w:r>
                  <w:r>
                    <w:rPr>
                      <w:rFonts w:cs="Georgia"/>
                      <w:color w:val="000000"/>
                      <w:spacing w:val="-1"/>
                      <w:position w:val="-1"/>
                      <w:u w:val="single"/>
                    </w:rPr>
                    <w:t>e</w:t>
                  </w:r>
                  <w:r>
                    <w:rPr>
                      <w:rFonts w:cs="Georgia"/>
                      <w:color w:val="000000"/>
                      <w:position w:val="-1"/>
                      <w:u w:val="single"/>
                    </w:rPr>
                    <w:t>s</w:t>
                  </w:r>
                  <w:r>
                    <w:rPr>
                      <w:rFonts w:cs="Georgia"/>
                      <w:color w:val="000000"/>
                      <w:spacing w:val="-2"/>
                      <w:position w:val="-1"/>
                      <w:u w:val="single"/>
                    </w:rPr>
                    <w:t xml:space="preserve"> </w:t>
                  </w:r>
                  <w:r>
                    <w:rPr>
                      <w:rFonts w:cs="Georgia"/>
                      <w:color w:val="000000"/>
                      <w:position w:val="-1"/>
                      <w:u w:val="single"/>
                    </w:rPr>
                    <w:t>:</w:t>
                  </w:r>
                </w:p>
                <w:p>
                  <w:pPr>
                    <w:widowControl w:val="0"/>
                    <w:autoSpaceDE w:val="0"/>
                    <w:autoSpaceDN w:val="0"/>
                    <w:adjustRightInd w:val="0"/>
                    <w:spacing w:before="18" w:line="200" w:lineRule="exact"/>
                    <w:jc w:val="both"/>
                    <w:rPr>
                      <w:rFonts w:cs="Georgia"/>
                      <w:color w:val="000000"/>
                    </w:rPr>
                  </w:pPr>
                </w:p>
                <w:p>
                  <w:pPr>
                    <w:widowControl w:val="0"/>
                    <w:autoSpaceDE w:val="0"/>
                    <w:autoSpaceDN w:val="0"/>
                    <w:adjustRightInd w:val="0"/>
                    <w:spacing w:before="38" w:line="250" w:lineRule="exact"/>
                    <w:jc w:val="both"/>
                    <w:rPr>
                      <w:rFonts w:cs="Georgia"/>
                      <w:color w:val="000000"/>
                    </w:rPr>
                  </w:pPr>
                  <w:r>
                    <w:rPr>
                      <w:rFonts w:cs="Georgia"/>
                      <w:spacing w:val="1"/>
                    </w:rPr>
                    <w:t>L</w:t>
                  </w:r>
                  <w:r>
                    <w:rPr>
                      <w:rFonts w:cs="Georgia"/>
                    </w:rPr>
                    <w:t>e</w:t>
                  </w:r>
                  <w:r>
                    <w:rPr>
                      <w:rFonts w:cs="Georgia"/>
                      <w:spacing w:val="1"/>
                    </w:rPr>
                    <w:t xml:space="preserve"> </w:t>
                  </w:r>
                  <w:r>
                    <w:rPr>
                      <w:rFonts w:cs="Georgia"/>
                      <w:spacing w:val="-1"/>
                    </w:rPr>
                    <w:t>n</w:t>
                  </w:r>
                  <w:r>
                    <w:rPr>
                      <w:rFonts w:cs="Georgia"/>
                      <w:spacing w:val="1"/>
                    </w:rPr>
                    <w:t>o</w:t>
                  </w:r>
                  <w:r>
                    <w:rPr>
                      <w:rFonts w:cs="Georgia"/>
                    </w:rPr>
                    <w:t>m</w:t>
                  </w:r>
                  <w:r>
                    <w:rPr>
                      <w:rFonts w:cs="Georgia"/>
                      <w:spacing w:val="-1"/>
                    </w:rPr>
                    <w:t>b</w:t>
                  </w:r>
                  <w:r>
                    <w:rPr>
                      <w:rFonts w:cs="Georgia"/>
                      <w:spacing w:val="1"/>
                    </w:rPr>
                    <w:t>r</w:t>
                  </w:r>
                  <w:r>
                    <w:rPr>
                      <w:rFonts w:cs="Georgia"/>
                    </w:rPr>
                    <w:t>e</w:t>
                  </w:r>
                  <w:r>
                    <w:rPr>
                      <w:rFonts w:cs="Georgia"/>
                      <w:spacing w:val="1"/>
                    </w:rPr>
                    <w:t xml:space="preserve"> </w:t>
                  </w:r>
                  <w:r>
                    <w:rPr>
                      <w:rFonts w:cs="Georgia"/>
                    </w:rPr>
                    <w:t>de</w:t>
                  </w:r>
                  <w:r>
                    <w:rPr>
                      <w:rFonts w:cs="Georgia"/>
                      <w:spacing w:val="1"/>
                    </w:rPr>
                    <w:t xml:space="preserve"> </w:t>
                  </w:r>
                  <w:r>
                    <w:rPr>
                      <w:rFonts w:cs="Georgia"/>
                    </w:rPr>
                    <w:t>g</w:t>
                  </w:r>
                  <w:r>
                    <w:rPr>
                      <w:rFonts w:cs="Georgia"/>
                      <w:spacing w:val="1"/>
                    </w:rPr>
                    <w:t>r</w:t>
                  </w:r>
                  <w:r>
                    <w:rPr>
                      <w:rFonts w:cs="Georgia"/>
                      <w:spacing w:val="-1"/>
                    </w:rPr>
                    <w:t>o</w:t>
                  </w:r>
                  <w:r>
                    <w:rPr>
                      <w:rFonts w:cs="Georgia"/>
                    </w:rPr>
                    <w:t>u</w:t>
                  </w:r>
                  <w:r>
                    <w:rPr>
                      <w:rFonts w:cs="Georgia"/>
                      <w:spacing w:val="1"/>
                    </w:rPr>
                    <w:t>p</w:t>
                  </w:r>
                  <w:r>
                    <w:rPr>
                      <w:rFonts w:cs="Georgia"/>
                      <w:spacing w:val="-1"/>
                    </w:rPr>
                    <w:t>e</w:t>
                  </w:r>
                  <w:r>
                    <w:rPr>
                      <w:rFonts w:cs="Georgia"/>
                    </w:rPr>
                    <w:t xml:space="preserve">s </w:t>
                  </w:r>
                  <w:r>
                    <w:rPr>
                      <w:rFonts w:cs="Georgia"/>
                      <w:spacing w:val="1"/>
                    </w:rPr>
                    <w:t>co</w:t>
                  </w:r>
                  <w:r>
                    <w:rPr>
                      <w:rFonts w:cs="Georgia"/>
                      <w:spacing w:val="-1"/>
                    </w:rPr>
                    <w:t>n</w:t>
                  </w:r>
                  <w:r>
                    <w:rPr>
                      <w:rFonts w:cs="Georgia"/>
                      <w:spacing w:val="1"/>
                    </w:rPr>
                    <w:t>st</w:t>
                  </w:r>
                  <w:r>
                    <w:rPr>
                      <w:rFonts w:cs="Georgia"/>
                      <w:spacing w:val="-2"/>
                    </w:rPr>
                    <w:t>i</w:t>
                  </w:r>
                  <w:r>
                    <w:rPr>
                      <w:rFonts w:cs="Georgia"/>
                      <w:spacing w:val="1"/>
                    </w:rPr>
                    <w:t>t</w:t>
                  </w:r>
                  <w:r>
                    <w:rPr>
                      <w:rFonts w:cs="Georgia"/>
                    </w:rPr>
                    <w:t>u</w:t>
                  </w:r>
                  <w:r>
                    <w:rPr>
                      <w:rFonts w:cs="Georgia"/>
                      <w:spacing w:val="-1"/>
                    </w:rPr>
                    <w:t>é</w:t>
                  </w:r>
                  <w:r>
                    <w:rPr>
                      <w:rFonts w:cs="Georgia"/>
                    </w:rPr>
                    <w:t>s</w:t>
                  </w:r>
                  <w:r>
                    <w:rPr>
                      <w:rFonts w:cs="Georgia"/>
                      <w:spacing w:val="3"/>
                    </w:rPr>
                    <w:t xml:space="preserve"> </w:t>
                  </w:r>
                  <w:r>
                    <w:rPr>
                      <w:rFonts w:cs="Georgia"/>
                      <w:spacing w:val="-1"/>
                    </w:rPr>
                    <w:t>p</w:t>
                  </w:r>
                  <w:r>
                    <w:rPr>
                      <w:rFonts w:cs="Georgia"/>
                      <w:spacing w:val="1"/>
                    </w:rPr>
                    <w:t>o</w:t>
                  </w:r>
                  <w:r>
                    <w:rPr>
                      <w:rFonts w:cs="Georgia"/>
                      <w:spacing w:val="-2"/>
                    </w:rPr>
                    <w:t>u</w:t>
                  </w:r>
                  <w:r>
                    <w:rPr>
                      <w:rFonts w:cs="Georgia"/>
                    </w:rPr>
                    <w:t>r</w:t>
                  </w:r>
                  <w:r>
                    <w:rPr>
                      <w:rFonts w:cs="Georgia"/>
                      <w:spacing w:val="3"/>
                    </w:rPr>
                    <w:t xml:space="preserve"> </w:t>
                  </w:r>
                  <w:r>
                    <w:rPr>
                      <w:rFonts w:cs="Georgia"/>
                      <w:spacing w:val="-1"/>
                    </w:rPr>
                    <w:t>l</w:t>
                  </w:r>
                  <w:r>
                    <w:rPr>
                      <w:rFonts w:cs="Georgia"/>
                    </w:rPr>
                    <w:t>a</w:t>
                  </w:r>
                  <w:r>
                    <w:rPr>
                      <w:rFonts w:cs="Georgia"/>
                      <w:spacing w:val="1"/>
                    </w:rPr>
                    <w:t xml:space="preserve"> r</w:t>
                  </w:r>
                  <w:r>
                    <w:rPr>
                      <w:rFonts w:cs="Georgia"/>
                      <w:spacing w:val="-1"/>
                    </w:rPr>
                    <w:t>el</w:t>
                  </w:r>
                  <w:r>
                    <w:rPr>
                      <w:rFonts w:cs="Georgia"/>
                    </w:rPr>
                    <w:t>igi</w:t>
                  </w:r>
                  <w:r>
                    <w:rPr>
                      <w:rFonts w:cs="Georgia"/>
                      <w:spacing w:val="1"/>
                    </w:rPr>
                    <w:t>o</w:t>
                  </w:r>
                  <w:r>
                    <w:rPr>
                      <w:rFonts w:cs="Georgia"/>
                    </w:rPr>
                    <w:t>n,</w:t>
                  </w:r>
                  <w:r>
                    <w:rPr>
                      <w:rFonts w:cs="Georgia"/>
                      <w:spacing w:val="2"/>
                    </w:rPr>
                    <w:t xml:space="preserve"> </w:t>
                  </w:r>
                  <w:r>
                    <w:rPr>
                      <w:rFonts w:cs="Georgia"/>
                      <w:spacing w:val="-1"/>
                    </w:rPr>
                    <w:t>l</w:t>
                  </w:r>
                  <w:r>
                    <w:rPr>
                      <w:rFonts w:cs="Georgia"/>
                    </w:rPr>
                    <w:t>a</w:t>
                  </w:r>
                  <w:r>
                    <w:rPr>
                      <w:rFonts w:cs="Georgia"/>
                      <w:spacing w:val="1"/>
                    </w:rPr>
                    <w:t xml:space="preserve"> </w:t>
                  </w:r>
                  <w:r>
                    <w:rPr>
                      <w:rFonts w:cs="Georgia"/>
                    </w:rPr>
                    <w:t>m</w:t>
                  </w:r>
                  <w:r>
                    <w:rPr>
                      <w:rFonts w:cs="Georgia"/>
                      <w:spacing w:val="-1"/>
                    </w:rPr>
                    <w:t>o</w:t>
                  </w:r>
                  <w:r>
                    <w:rPr>
                      <w:rFonts w:cs="Georgia"/>
                      <w:spacing w:val="1"/>
                    </w:rPr>
                    <w:t>r</w:t>
                  </w:r>
                  <w:r>
                    <w:rPr>
                      <w:rFonts w:cs="Georgia"/>
                      <w:spacing w:val="-1"/>
                    </w:rPr>
                    <w:t>al</w:t>
                  </w:r>
                  <w:r>
                    <w:rPr>
                      <w:rFonts w:cs="Georgia"/>
                    </w:rPr>
                    <w:t>e</w:t>
                  </w:r>
                  <w:r>
                    <w:rPr>
                      <w:rFonts w:cs="Georgia"/>
                      <w:spacing w:val="1"/>
                    </w:rPr>
                    <w:t xml:space="preserve"> </w:t>
                  </w:r>
                  <w:r>
                    <w:rPr>
                      <w:rFonts w:cs="Georgia"/>
                      <w:spacing w:val="-1"/>
                    </w:rPr>
                    <w:t>n</w:t>
                  </w:r>
                  <w:r>
                    <w:rPr>
                      <w:rFonts w:cs="Georgia"/>
                      <w:spacing w:val="1"/>
                    </w:rPr>
                    <w:t>o</w:t>
                  </w:r>
                  <w:r>
                    <w:rPr>
                      <w:rFonts w:cs="Georgia"/>
                    </w:rPr>
                    <w:t>n</w:t>
                  </w:r>
                  <w:r>
                    <w:rPr>
                      <w:rFonts w:cs="Georgia"/>
                      <w:spacing w:val="1"/>
                    </w:rPr>
                    <w:t xml:space="preserve"> co</w:t>
                  </w:r>
                  <w:r>
                    <w:rPr>
                      <w:rFonts w:cs="Georgia"/>
                      <w:spacing w:val="-1"/>
                    </w:rPr>
                    <w:t>n</w:t>
                  </w:r>
                  <w:r>
                    <w:rPr>
                      <w:rFonts w:cs="Georgia"/>
                    </w:rPr>
                    <w:t>f</w:t>
                  </w:r>
                  <w:r>
                    <w:rPr>
                      <w:rFonts w:cs="Georgia"/>
                      <w:spacing w:val="-1"/>
                    </w:rPr>
                    <w:t>e</w:t>
                  </w:r>
                  <w:r>
                    <w:rPr>
                      <w:rFonts w:cs="Georgia"/>
                      <w:spacing w:val="1"/>
                    </w:rPr>
                    <w:t>ss</w:t>
                  </w:r>
                  <w:r>
                    <w:rPr>
                      <w:rFonts w:cs="Georgia"/>
                      <w:spacing w:val="-2"/>
                    </w:rPr>
                    <w:t>i</w:t>
                  </w:r>
                  <w:r>
                    <w:rPr>
                      <w:rFonts w:cs="Georgia"/>
                      <w:spacing w:val="1"/>
                    </w:rPr>
                    <w:t>o</w:t>
                  </w:r>
                  <w:r>
                    <w:rPr>
                      <w:rFonts w:cs="Georgia"/>
                      <w:spacing w:val="-1"/>
                    </w:rPr>
                    <w:t>nnell</w:t>
                  </w:r>
                  <w:r>
                    <w:rPr>
                      <w:rFonts w:cs="Georgia"/>
                    </w:rPr>
                    <w:t>e ou de philosophie et citoyenneté (PC dispense)</w:t>
                  </w:r>
                  <w:r>
                    <w:rPr>
                      <w:rFonts w:cs="Georgia"/>
                      <w:spacing w:val="1"/>
                    </w:rPr>
                    <w:t xml:space="preserve"> (</w:t>
                  </w:r>
                  <w:r>
                    <w:rPr>
                      <w:rFonts w:cs="Georgia"/>
                      <w:spacing w:val="2"/>
                    </w:rPr>
                    <w:t>c</w:t>
                  </w:r>
                  <w:r>
                    <w:rPr>
                      <w:rFonts w:cs="Georgia"/>
                      <w:spacing w:val="1"/>
                    </w:rPr>
                    <w:t>o</w:t>
                  </w:r>
                  <w:r>
                    <w:rPr>
                      <w:rFonts w:cs="Georgia"/>
                    </w:rPr>
                    <w:t>u</w:t>
                  </w:r>
                  <w:r>
                    <w:rPr>
                      <w:rFonts w:cs="Georgia"/>
                      <w:spacing w:val="-2"/>
                    </w:rPr>
                    <w:t xml:space="preserve">rs </w:t>
                  </w:r>
                  <w:r>
                    <w:rPr>
                      <w:rFonts w:cs="Georgia"/>
                      <w:spacing w:val="1"/>
                    </w:rPr>
                    <w:t>ph</w:t>
                  </w:r>
                  <w:r>
                    <w:rPr>
                      <w:rFonts w:cs="Georgia"/>
                    </w:rPr>
                    <w:t>i</w:t>
                  </w:r>
                  <w:r>
                    <w:rPr>
                      <w:rFonts w:cs="Georgia"/>
                      <w:spacing w:val="-3"/>
                    </w:rPr>
                    <w:t>l</w:t>
                  </w:r>
                  <w:r>
                    <w:rPr>
                      <w:rFonts w:cs="Georgia"/>
                      <w:spacing w:val="1"/>
                    </w:rPr>
                    <w:t>o</w:t>
                  </w:r>
                  <w:r>
                    <w:rPr>
                      <w:rFonts w:cs="Georgia"/>
                      <w:spacing w:val="-2"/>
                    </w:rPr>
                    <w:t>s</w:t>
                  </w:r>
                  <w:r>
                    <w:rPr>
                      <w:rFonts w:cs="Georgia"/>
                      <w:spacing w:val="1"/>
                    </w:rPr>
                    <w:t>o</w:t>
                  </w:r>
                  <w:r>
                    <w:rPr>
                      <w:rFonts w:cs="Georgia"/>
                      <w:spacing w:val="-1"/>
                    </w:rPr>
                    <w:t>p</w:t>
                  </w:r>
                  <w:r>
                    <w:rPr>
                      <w:rFonts w:cs="Georgia"/>
                      <w:spacing w:val="1"/>
                    </w:rPr>
                    <w:t>h</w:t>
                  </w:r>
                  <w:r>
                    <w:rPr>
                      <w:rFonts w:cs="Georgia"/>
                    </w:rPr>
                    <w:t>i</w:t>
                  </w:r>
                  <w:r>
                    <w:rPr>
                      <w:rFonts w:cs="Georgia"/>
                      <w:spacing w:val="-1"/>
                    </w:rPr>
                    <w:t>q</w:t>
                  </w:r>
                  <w:r>
                    <w:rPr>
                      <w:rFonts w:cs="Georgia"/>
                    </w:rPr>
                    <w:t>ue</w:t>
                  </w:r>
                  <w:r>
                    <w:rPr>
                      <w:rFonts w:cs="Georgia"/>
                      <w:spacing w:val="1"/>
                    </w:rPr>
                    <w:t xml:space="preserve"> </w:t>
                  </w:r>
                  <w:r>
                    <w:rPr>
                      <w:rFonts w:cs="Georgia"/>
                      <w:spacing w:val="-1"/>
                    </w:rPr>
                    <w:t>l</w:t>
                  </w:r>
                  <w:r>
                    <w:rPr>
                      <w:rFonts w:cs="Georgia"/>
                    </w:rPr>
                    <w:t>e</w:t>
                  </w:r>
                  <w:r>
                    <w:rPr>
                      <w:rFonts w:cs="Georgia"/>
                      <w:spacing w:val="1"/>
                    </w:rPr>
                    <w:t xml:space="preserve"> p</w:t>
                  </w:r>
                  <w:r>
                    <w:rPr>
                      <w:rFonts w:cs="Georgia"/>
                      <w:spacing w:val="-1"/>
                    </w:rPr>
                    <w:t>l</w:t>
                  </w:r>
                  <w:r>
                    <w:rPr>
                      <w:rFonts w:cs="Georgia"/>
                    </w:rPr>
                    <w:t>us</w:t>
                  </w:r>
                  <w:r>
                    <w:rPr>
                      <w:rFonts w:cs="Georgia"/>
                      <w:spacing w:val="3"/>
                    </w:rPr>
                    <w:t xml:space="preserve"> </w:t>
                  </w:r>
                  <w:r>
                    <w:rPr>
                      <w:rFonts w:cs="Georgia"/>
                      <w:spacing w:val="1"/>
                    </w:rPr>
                    <w:t>s</w:t>
                  </w:r>
                  <w:r>
                    <w:rPr>
                      <w:rFonts w:cs="Georgia"/>
                      <w:spacing w:val="-2"/>
                    </w:rPr>
                    <w:t>ui</w:t>
                  </w:r>
                  <w:r>
                    <w:rPr>
                      <w:rFonts w:cs="Georgia"/>
                      <w:spacing w:val="1"/>
                    </w:rPr>
                    <w:t>v</w:t>
                  </w:r>
                  <w:r>
                    <w:rPr>
                      <w:rFonts w:cs="Georgia"/>
                    </w:rPr>
                    <w:t>i)</w:t>
                  </w:r>
                  <w:r>
                    <w:rPr>
                      <w:rFonts w:cs="Georgia"/>
                      <w:spacing w:val="3"/>
                    </w:rPr>
                    <w:t xml:space="preserve"> </w:t>
                  </w:r>
                  <w:r>
                    <w:rPr>
                      <w:rFonts w:cs="Georgia"/>
                      <w:spacing w:val="-1"/>
                    </w:rPr>
                    <w:t>e</w:t>
                  </w:r>
                  <w:r>
                    <w:rPr>
                      <w:rFonts w:cs="Georgia"/>
                    </w:rPr>
                    <w:t xml:space="preserve">t </w:t>
                  </w:r>
                  <w:r>
                    <w:rPr>
                      <w:rFonts w:cs="Georgia"/>
                      <w:spacing w:val="1"/>
                    </w:rPr>
                    <w:t>po</w:t>
                  </w:r>
                  <w:r>
                    <w:rPr>
                      <w:rFonts w:cs="Georgia"/>
                      <w:spacing w:val="-2"/>
                    </w:rPr>
                    <w:t>u</w:t>
                  </w:r>
                  <w:r>
                    <w:rPr>
                      <w:rFonts w:cs="Georgia"/>
                    </w:rPr>
                    <w:t>r</w:t>
                  </w:r>
                  <w:r>
                    <w:rPr>
                      <w:rFonts w:cs="Georgia"/>
                      <w:spacing w:val="3"/>
                    </w:rPr>
                    <w:t xml:space="preserve"> </w:t>
                  </w:r>
                  <w:r>
                    <w:rPr>
                      <w:rFonts w:cs="Georgia"/>
                      <w:spacing w:val="-1"/>
                    </w:rPr>
                    <w:t>l</w:t>
                  </w:r>
                  <w:r>
                    <w:rPr>
                      <w:rFonts w:cs="Georgia"/>
                    </w:rPr>
                    <w:t>e</w:t>
                  </w:r>
                  <w:r>
                    <w:rPr>
                      <w:rFonts w:cs="Georgia"/>
                      <w:spacing w:val="1"/>
                    </w:rPr>
                    <w:t xml:space="preserve"> tr</w:t>
                  </w:r>
                  <w:r>
                    <w:rPr>
                      <w:rFonts w:cs="Georgia"/>
                      <w:spacing w:val="-1"/>
                    </w:rPr>
                    <w:t>a</w:t>
                  </w:r>
                  <w:r>
                    <w:rPr>
                      <w:rFonts w:cs="Georgia"/>
                      <w:spacing w:val="1"/>
                    </w:rPr>
                    <w:t>v</w:t>
                  </w:r>
                  <w:r>
                    <w:rPr>
                      <w:rFonts w:cs="Georgia"/>
                      <w:spacing w:val="-1"/>
                    </w:rPr>
                    <w:t>a</w:t>
                  </w:r>
                  <w:r>
                    <w:rPr>
                      <w:rFonts w:cs="Georgia"/>
                    </w:rPr>
                    <w:t>il</w:t>
                  </w:r>
                  <w:r>
                    <w:rPr>
                      <w:rFonts w:cs="Georgia"/>
                      <w:spacing w:val="1"/>
                    </w:rPr>
                    <w:t xml:space="preserve"> </w:t>
                  </w:r>
                  <w:r>
                    <w:rPr>
                      <w:rFonts w:cs="Georgia"/>
                    </w:rPr>
                    <w:t>m</w:t>
                  </w:r>
                  <w:r>
                    <w:rPr>
                      <w:rFonts w:cs="Georgia"/>
                      <w:spacing w:val="-1"/>
                    </w:rPr>
                    <w:t>an</w:t>
                  </w:r>
                  <w:r>
                    <w:rPr>
                      <w:rFonts w:cs="Georgia"/>
                    </w:rPr>
                    <w:t>u</w:t>
                  </w:r>
                  <w:r>
                    <w:rPr>
                      <w:rFonts w:cs="Georgia"/>
                      <w:spacing w:val="-1"/>
                    </w:rPr>
                    <w:t>e</w:t>
                  </w:r>
                  <w:r>
                    <w:rPr>
                      <w:rFonts w:cs="Georgia"/>
                    </w:rPr>
                    <w:t>l</w:t>
                  </w:r>
                  <w:r>
                    <w:rPr>
                      <w:rFonts w:cs="Georgia"/>
                      <w:spacing w:val="1"/>
                    </w:rPr>
                    <w:t xml:space="preserve"> </w:t>
                  </w:r>
                  <w:r>
                    <w:rPr>
                      <w:rFonts w:cs="Georgia"/>
                      <w:spacing w:val="-1"/>
                    </w:rPr>
                    <w:t>e</w:t>
                  </w:r>
                  <w:r>
                    <w:rPr>
                      <w:rFonts w:cs="Georgia"/>
                      <w:spacing w:val="1"/>
                    </w:rPr>
                    <w:t>s</w:t>
                  </w:r>
                  <w:r>
                    <w:rPr>
                      <w:rFonts w:cs="Georgia"/>
                    </w:rPr>
                    <w:t>t</w:t>
                  </w:r>
                  <w:r>
                    <w:rPr>
                      <w:rFonts w:cs="Georgia"/>
                      <w:spacing w:val="3"/>
                    </w:rPr>
                    <w:t xml:space="preserve"> </w:t>
                  </w:r>
                  <w:r>
                    <w:rPr>
                      <w:rFonts w:cs="Georgia"/>
                      <w:spacing w:val="-1"/>
                    </w:rPr>
                    <w:t>é</w:t>
                  </w:r>
                  <w:r>
                    <w:rPr>
                      <w:rFonts w:cs="Georgia"/>
                    </w:rPr>
                    <w:t>g</w:t>
                  </w:r>
                  <w:r>
                    <w:rPr>
                      <w:rFonts w:cs="Georgia"/>
                      <w:spacing w:val="-1"/>
                    </w:rPr>
                    <w:t>a</w:t>
                  </w:r>
                  <w:r>
                    <w:rPr>
                      <w:rFonts w:cs="Georgia"/>
                    </w:rPr>
                    <w:t>l</w:t>
                  </w:r>
                  <w:r>
                    <w:rPr>
                      <w:rFonts w:cs="Georgia"/>
                      <w:spacing w:val="1"/>
                    </w:rPr>
                    <w:t xml:space="preserve"> </w:t>
                  </w:r>
                  <w:r>
                    <w:rPr>
                      <w:rFonts w:cs="Georgia"/>
                    </w:rPr>
                    <w:t>à</w:t>
                  </w:r>
                  <w:r>
                    <w:rPr>
                      <w:rFonts w:cs="Georgia"/>
                      <w:spacing w:val="1"/>
                    </w:rPr>
                    <w:t xml:space="preserve"> </w:t>
                  </w:r>
                  <w:r>
                    <w:rPr>
                      <w:rFonts w:cs="Georgia"/>
                      <w:color w:val="000000"/>
                      <w:spacing w:val="2"/>
                    </w:rPr>
                    <w:t>l</w:t>
                  </w:r>
                  <w:r>
                    <w:rPr>
                      <w:rFonts w:cs="Georgia"/>
                      <w:color w:val="000000"/>
                    </w:rPr>
                    <w:t>a</w:t>
                  </w:r>
                  <w:r>
                    <w:rPr>
                      <w:rFonts w:cs="Georgia"/>
                      <w:color w:val="000000"/>
                      <w:spacing w:val="1"/>
                    </w:rPr>
                    <w:t xml:space="preserve"> so</w:t>
                  </w:r>
                  <w:r>
                    <w:rPr>
                      <w:rFonts w:cs="Georgia"/>
                      <w:color w:val="000000"/>
                    </w:rPr>
                    <w:t>mme</w:t>
                  </w:r>
                  <w:r>
                    <w:rPr>
                      <w:rFonts w:cs="Georgia"/>
                      <w:color w:val="000000"/>
                      <w:spacing w:val="1"/>
                    </w:rPr>
                    <w:t xml:space="preserve"> </w:t>
                  </w:r>
                  <w:r>
                    <w:rPr>
                      <w:rFonts w:cs="Georgia"/>
                      <w:color w:val="000000"/>
                      <w:spacing w:val="-2"/>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q</w:t>
                  </w:r>
                  <w:r>
                    <w:rPr>
                      <w:rFonts w:cs="Georgia"/>
                      <w:color w:val="000000"/>
                    </w:rPr>
                    <w:t>u</w:t>
                  </w:r>
                  <w:r>
                    <w:rPr>
                      <w:rFonts w:cs="Georgia"/>
                      <w:color w:val="000000"/>
                      <w:spacing w:val="1"/>
                    </w:rPr>
                    <w:t>ot</w:t>
                  </w:r>
                  <w:r>
                    <w:rPr>
                      <w:rFonts w:cs="Georgia"/>
                      <w:color w:val="000000"/>
                    </w:rPr>
                    <w:t>i</w:t>
                  </w:r>
                  <w:r>
                    <w:rPr>
                      <w:rFonts w:cs="Georgia"/>
                      <w:color w:val="000000"/>
                      <w:spacing w:val="-1"/>
                    </w:rPr>
                    <w:t>en</w:t>
                  </w:r>
                  <w:r>
                    <w:rPr>
                      <w:rFonts w:cs="Georgia"/>
                      <w:color w:val="000000"/>
                      <w:spacing w:val="1"/>
                    </w:rPr>
                    <w:t>t</w:t>
                  </w:r>
                  <w:r>
                    <w:rPr>
                      <w:rFonts w:cs="Georgia"/>
                      <w:color w:val="000000"/>
                    </w:rPr>
                    <w:t xml:space="preserve">s </w:t>
                  </w:r>
                  <w:r>
                    <w:rPr>
                      <w:rFonts w:cs="Georgia"/>
                      <w:color w:val="000000"/>
                      <w:spacing w:val="1"/>
                    </w:rPr>
                    <w:t>o</w:t>
                  </w:r>
                  <w:r>
                    <w:rPr>
                      <w:rFonts w:cs="Georgia"/>
                      <w:color w:val="000000"/>
                      <w:spacing w:val="-1"/>
                    </w:rPr>
                    <w:t>b</w:t>
                  </w:r>
                  <w:r>
                    <w:rPr>
                      <w:rFonts w:cs="Georgia"/>
                      <w:color w:val="000000"/>
                      <w:spacing w:val="1"/>
                    </w:rPr>
                    <w:t>t</w:t>
                  </w:r>
                  <w:r>
                    <w:rPr>
                      <w:rFonts w:cs="Georgia"/>
                      <w:color w:val="000000"/>
                      <w:spacing w:val="-1"/>
                    </w:rPr>
                    <w:t>en</w:t>
                  </w:r>
                  <w:r>
                    <w:rPr>
                      <w:rFonts w:cs="Georgia"/>
                      <w:color w:val="000000"/>
                    </w:rPr>
                    <w:t>us</w:t>
                  </w:r>
                  <w:r>
                    <w:rPr>
                      <w:rFonts w:cs="Georgia"/>
                      <w:color w:val="000000"/>
                      <w:spacing w:val="3"/>
                    </w:rPr>
                    <w:t xml:space="preserve"> </w:t>
                  </w:r>
                  <w:r>
                    <w:rPr>
                      <w:rFonts w:cs="Georgia"/>
                      <w:color w:val="000000"/>
                      <w:spacing w:val="-1"/>
                    </w:rPr>
                    <w:t>e</w:t>
                  </w:r>
                  <w:r>
                    <w:rPr>
                      <w:rFonts w:cs="Georgia"/>
                      <w:color w:val="000000"/>
                    </w:rPr>
                    <w:t>n di</w:t>
                  </w:r>
                  <w:r>
                    <w:rPr>
                      <w:rFonts w:cs="Georgia"/>
                      <w:color w:val="000000"/>
                      <w:spacing w:val="1"/>
                    </w:rPr>
                    <w:t>v</w:t>
                  </w:r>
                  <w:r>
                    <w:rPr>
                      <w:rFonts w:cs="Georgia"/>
                      <w:color w:val="000000"/>
                      <w:spacing w:val="-2"/>
                    </w:rPr>
                    <w:t>i</w:t>
                  </w:r>
                  <w:r>
                    <w:rPr>
                      <w:rFonts w:cs="Georgia"/>
                      <w:color w:val="000000"/>
                      <w:spacing w:val="1"/>
                    </w:rPr>
                    <w:t>s</w:t>
                  </w:r>
                  <w:r>
                    <w:rPr>
                      <w:rFonts w:cs="Georgia"/>
                      <w:color w:val="000000"/>
                      <w:spacing w:val="-1"/>
                    </w:rPr>
                    <w:t>an</w:t>
                  </w:r>
                  <w:r>
                    <w:rPr>
                      <w:rFonts w:cs="Georgia"/>
                      <w:color w:val="000000"/>
                      <w:spacing w:val="1"/>
                    </w:rPr>
                    <w:t>t</w:t>
                  </w:r>
                  <w:r>
                    <w:rPr>
                      <w:rFonts w:cs="Georgia"/>
                      <w:color w:val="000000"/>
                    </w:rPr>
                    <w:t xml:space="preserve">, </w:t>
                  </w:r>
                  <w:r>
                    <w:rPr>
                      <w:rFonts w:cs="Georgia"/>
                      <w:color w:val="000000"/>
                      <w:spacing w:val="1"/>
                    </w:rPr>
                    <w:t>p</w:t>
                  </w:r>
                  <w:r>
                    <w:rPr>
                      <w:rFonts w:cs="Georgia"/>
                      <w:color w:val="000000"/>
                      <w:spacing w:val="-1"/>
                    </w:rPr>
                    <w:t>o</w:t>
                  </w:r>
                  <w:r>
                    <w:rPr>
                      <w:rFonts w:cs="Georgia"/>
                      <w:color w:val="000000"/>
                    </w:rPr>
                    <w:t xml:space="preserve">ur </w:t>
                  </w:r>
                  <w:r>
                    <w:rPr>
                      <w:rFonts w:cs="Georgia"/>
                      <w:color w:val="000000"/>
                      <w:spacing w:val="-2"/>
                    </w:rPr>
                    <w:t>c</w:t>
                  </w:r>
                  <w:r>
                    <w:rPr>
                      <w:rFonts w:cs="Georgia"/>
                      <w:color w:val="000000"/>
                      <w:spacing w:val="1"/>
                    </w:rPr>
                    <w:t>h</w:t>
                  </w:r>
                  <w:r>
                    <w:rPr>
                      <w:rFonts w:cs="Georgia"/>
                      <w:color w:val="000000"/>
                      <w:spacing w:val="-1"/>
                    </w:rPr>
                    <w:t>aq</w:t>
                  </w:r>
                  <w:r>
                    <w:rPr>
                      <w:rFonts w:cs="Georgia"/>
                      <w:color w:val="000000"/>
                    </w:rPr>
                    <w:t>ue</w:t>
                  </w:r>
                  <w:r>
                    <w:rPr>
                      <w:rFonts w:cs="Georgia"/>
                      <w:color w:val="000000"/>
                      <w:spacing w:val="1"/>
                    </w:rPr>
                    <w:t xml:space="preserve"> t</w:t>
                  </w:r>
                  <w:r>
                    <w:rPr>
                      <w:rFonts w:cs="Georgia"/>
                      <w:color w:val="000000"/>
                      <w:spacing w:val="-3"/>
                    </w:rPr>
                    <w:t>y</w:t>
                  </w:r>
                  <w:r>
                    <w:rPr>
                      <w:rFonts w:cs="Georgia"/>
                      <w:color w:val="000000"/>
                      <w:spacing w:val="1"/>
                    </w:rPr>
                    <w:t>p</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spacing w:val="1"/>
                    </w:rPr>
                    <w:t>t</w:t>
                  </w:r>
                  <w:r>
                    <w:rPr>
                      <w:rFonts w:cs="Georgia"/>
                      <w:color w:val="000000"/>
                    </w:rPr>
                    <w:t xml:space="preserve">,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3"/>
                    </w:rPr>
                    <w:t>n</w:t>
                  </w:r>
                  <w:r>
                    <w:rPr>
                      <w:rFonts w:cs="Georgia"/>
                      <w:color w:val="000000"/>
                      <w:spacing w:val="1"/>
                    </w:rPr>
                    <w:t>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2"/>
                    </w:rPr>
                    <w:t>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2"/>
                    </w:rPr>
                    <w:t>c</w:t>
                  </w:r>
                  <w:r>
                    <w:rPr>
                      <w:rFonts w:cs="Georgia"/>
                      <w:color w:val="000000"/>
                      <w:spacing w:val="1"/>
                    </w:rPr>
                    <w:t>o</w:t>
                  </w:r>
                  <w:r>
                    <w:rPr>
                      <w:rFonts w:cs="Georgia"/>
                      <w:color w:val="000000"/>
                      <w:spacing w:val="-1"/>
                    </w:rPr>
                    <w:t>n</w:t>
                  </w:r>
                  <w:r>
                    <w:rPr>
                      <w:rFonts w:cs="Georgia"/>
                      <w:color w:val="000000"/>
                      <w:spacing w:val="1"/>
                    </w:rPr>
                    <w:t>c</w:t>
                  </w:r>
                  <w:r>
                    <w:rPr>
                      <w:rFonts w:cs="Georgia"/>
                      <w:color w:val="000000"/>
                      <w:spacing w:val="-1"/>
                    </w:rPr>
                    <w:t>e</w:t>
                  </w:r>
                  <w:r>
                    <w:rPr>
                      <w:rFonts w:cs="Georgia"/>
                      <w:color w:val="000000"/>
                      <w:spacing w:val="1"/>
                    </w:rPr>
                    <w:t>r</w:t>
                  </w:r>
                  <w:r>
                    <w:rPr>
                      <w:rFonts w:cs="Georgia"/>
                      <w:color w:val="000000"/>
                      <w:spacing w:val="-1"/>
                    </w:rPr>
                    <w:t>n</w:t>
                  </w:r>
                  <w:r>
                    <w:rPr>
                      <w:rFonts w:cs="Georgia"/>
                      <w:color w:val="000000"/>
                      <w:spacing w:val="-3"/>
                    </w:rPr>
                    <w:t>é</w:t>
                  </w:r>
                  <w:r>
                    <w:rPr>
                      <w:rFonts w:cs="Georgia"/>
                      <w:color w:val="000000"/>
                    </w:rPr>
                    <w:t>s</w:t>
                  </w:r>
                  <w:r>
                    <w:rPr>
                      <w:rFonts w:cs="Georgia"/>
                      <w:color w:val="000000"/>
                      <w:spacing w:val="3"/>
                    </w:rPr>
                    <w:t xml:space="preserve"> </w:t>
                  </w:r>
                  <w:r>
                    <w:rPr>
                      <w:rFonts w:cs="Georgia"/>
                      <w:color w:val="000000"/>
                      <w:spacing w:val="1"/>
                    </w:rPr>
                    <w:t>p</w:t>
                  </w:r>
                  <w:r>
                    <w:rPr>
                      <w:rFonts w:cs="Georgia"/>
                      <w:color w:val="000000"/>
                      <w:spacing w:val="-3"/>
                    </w:rPr>
                    <w:t>a</w:t>
                  </w:r>
                  <w:r>
                    <w:rPr>
                      <w:rFonts w:cs="Georgia"/>
                      <w:color w:val="000000"/>
                    </w:rPr>
                    <w:t>r</w:t>
                  </w:r>
                  <w:r>
                    <w:rPr>
                      <w:rFonts w:cs="Georgia"/>
                      <w:color w:val="000000"/>
                      <w:spacing w:val="3"/>
                    </w:rPr>
                    <w:t xml:space="preserve">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no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2"/>
                    </w:rPr>
                    <w:t>g</w:t>
                  </w:r>
                  <w:r>
                    <w:rPr>
                      <w:rFonts w:cs="Georgia"/>
                      <w:color w:val="000000"/>
                    </w:rPr>
                    <w:t xml:space="preserve">uide </w:t>
                  </w:r>
                  <w:r>
                    <w:rPr>
                      <w:rFonts w:cs="Georgia"/>
                      <w:color w:val="000000"/>
                      <w:spacing w:val="1"/>
                    </w:rPr>
                    <w:t>co</w:t>
                  </w:r>
                  <w:r>
                    <w:rPr>
                      <w:rFonts w:cs="Georgia"/>
                      <w:color w:val="000000"/>
                      <w:spacing w:val="-2"/>
                    </w:rPr>
                    <w:t>r</w:t>
                  </w:r>
                  <w:r>
                    <w:rPr>
                      <w:rFonts w:cs="Georgia"/>
                      <w:color w:val="000000"/>
                      <w:spacing w:val="1"/>
                    </w:rPr>
                    <w:t>r</w:t>
                  </w:r>
                  <w:r>
                    <w:rPr>
                      <w:rFonts w:cs="Georgia"/>
                      <w:color w:val="000000"/>
                      <w:spacing w:val="-1"/>
                    </w:rPr>
                    <w:t>e</w:t>
                  </w:r>
                  <w:r>
                    <w:rPr>
                      <w:rFonts w:cs="Georgia"/>
                      <w:color w:val="000000"/>
                      <w:spacing w:val="-2"/>
                    </w:rPr>
                    <w:t>s</w:t>
                  </w:r>
                  <w:r>
                    <w:rPr>
                      <w:rFonts w:cs="Georgia"/>
                      <w:color w:val="000000"/>
                      <w:spacing w:val="1"/>
                    </w:rPr>
                    <w:t>po</w:t>
                  </w:r>
                  <w:r>
                    <w:rPr>
                      <w:rFonts w:cs="Georgia"/>
                      <w:color w:val="000000"/>
                      <w:spacing w:val="-1"/>
                    </w:rPr>
                    <w:t>n</w:t>
                  </w:r>
                  <w:r>
                    <w:rPr>
                      <w:rFonts w:cs="Georgia"/>
                      <w:color w:val="000000"/>
                    </w:rPr>
                    <w:t>d</w:t>
                  </w:r>
                  <w:r>
                    <w:rPr>
                      <w:rFonts w:cs="Georgia"/>
                      <w:color w:val="000000"/>
                      <w:spacing w:val="-1"/>
                    </w:rPr>
                    <w:t>an</w:t>
                  </w:r>
                  <w:r>
                    <w:rPr>
                      <w:rFonts w:cs="Georgia"/>
                      <w:color w:val="000000"/>
                      <w:spacing w:val="-2"/>
                    </w:rPr>
                    <w:t>t</w:t>
                  </w:r>
                  <w:r>
                    <w:rPr>
                      <w:rFonts w:cs="Georgia"/>
                      <w:color w:val="000000"/>
                    </w:rPr>
                    <w:t>.</w:t>
                  </w:r>
                </w:p>
                <w:p>
                  <w:pPr>
                    <w:widowControl w:val="0"/>
                    <w:autoSpaceDE w:val="0"/>
                    <w:autoSpaceDN w:val="0"/>
                    <w:adjustRightInd w:val="0"/>
                    <w:spacing w:before="38" w:line="250" w:lineRule="exact"/>
                    <w:jc w:val="both"/>
                    <w:rPr>
                      <w:rFonts w:cs="Georgia"/>
                      <w:color w:val="000000"/>
                    </w:rPr>
                  </w:pPr>
                </w:p>
                <w:p>
                  <w:pPr>
                    <w:widowControl w:val="0"/>
                    <w:autoSpaceDE w:val="0"/>
                    <w:autoSpaceDN w:val="0"/>
                    <w:adjustRightInd w:val="0"/>
                    <w:spacing w:before="77"/>
                    <w:rPr>
                      <w:rFonts w:cs="Georgia"/>
                      <w:color w:val="000000"/>
                      <w:spacing w:val="-1"/>
                      <w:u w:val="single"/>
                    </w:rPr>
                  </w:pPr>
                  <w:r>
                    <w:rPr>
                      <w:rFonts w:cs="Georgia"/>
                      <w:color w:val="000000"/>
                      <w:spacing w:val="1"/>
                      <w:u w:val="single"/>
                    </w:rPr>
                    <w:t>So</w:t>
                  </w:r>
                  <w:r>
                    <w:rPr>
                      <w:rFonts w:cs="Georgia"/>
                      <w:color w:val="000000"/>
                      <w:spacing w:val="-2"/>
                      <w:u w:val="single"/>
                    </w:rPr>
                    <w:t>i</w:t>
                  </w:r>
                  <w:r>
                    <w:rPr>
                      <w:rFonts w:cs="Georgia"/>
                      <w:color w:val="000000"/>
                      <w:u w:val="single"/>
                    </w:rPr>
                    <w:t xml:space="preserve">t </w:t>
                  </w:r>
                  <w:r>
                    <w:rPr>
                      <w:rFonts w:cs="Georgia"/>
                      <w:color w:val="000000"/>
                      <w:spacing w:val="-1"/>
                      <w:u w:val="single"/>
                    </w:rPr>
                    <w:t>l</w:t>
                  </w:r>
                  <w:r>
                    <w:rPr>
                      <w:rFonts w:cs="Georgia"/>
                      <w:color w:val="000000"/>
                      <w:u w:val="single"/>
                    </w:rPr>
                    <w:t>a</w:t>
                  </w:r>
                  <w:r>
                    <w:rPr>
                      <w:rFonts w:cs="Georgia"/>
                      <w:color w:val="000000"/>
                      <w:spacing w:val="-1"/>
                      <w:u w:val="single"/>
                    </w:rPr>
                    <w:t xml:space="preserve"> </w:t>
                  </w:r>
                  <w:r>
                    <w:rPr>
                      <w:rFonts w:cs="Georgia"/>
                      <w:color w:val="000000"/>
                      <w:u w:val="single"/>
                    </w:rPr>
                    <w:t>f</w:t>
                  </w:r>
                  <w:r>
                    <w:rPr>
                      <w:rFonts w:cs="Georgia"/>
                      <w:color w:val="000000"/>
                      <w:spacing w:val="1"/>
                      <w:u w:val="single"/>
                    </w:rPr>
                    <w:t>or</w:t>
                  </w:r>
                  <w:r>
                    <w:rPr>
                      <w:rFonts w:cs="Georgia"/>
                      <w:color w:val="000000"/>
                      <w:spacing w:val="-3"/>
                      <w:u w:val="single"/>
                    </w:rPr>
                    <w:t>m</w:t>
                  </w:r>
                  <w:r>
                    <w:rPr>
                      <w:rFonts w:cs="Georgia"/>
                      <w:color w:val="000000"/>
                      <w:u w:val="single"/>
                    </w:rPr>
                    <w:t>u</w:t>
                  </w:r>
                  <w:r>
                    <w:rPr>
                      <w:rFonts w:cs="Georgia"/>
                      <w:color w:val="000000"/>
                      <w:spacing w:val="-1"/>
                      <w:u w:val="single"/>
                    </w:rPr>
                    <w:t>l</w:t>
                  </w:r>
                  <w:r>
                    <w:rPr>
                      <w:rFonts w:cs="Georgia"/>
                      <w:color w:val="000000"/>
                      <w:u w:val="single"/>
                    </w:rPr>
                    <w:t>e</w:t>
                  </w:r>
                  <w:r>
                    <w:rPr>
                      <w:rFonts w:cs="Georgia"/>
                      <w:color w:val="000000"/>
                      <w:spacing w:val="-1"/>
                      <w:u w:val="single"/>
                    </w:rPr>
                    <w:t> :</w:t>
                  </w:r>
                </w:p>
                <w:p>
                  <w:pPr>
                    <w:widowControl w:val="0"/>
                    <w:autoSpaceDE w:val="0"/>
                    <w:autoSpaceDN w:val="0"/>
                    <w:adjustRightInd w:val="0"/>
                    <w:jc w:val="center"/>
                    <w:rPr>
                      <w:rFonts w:cs="Georgia"/>
                      <w:b/>
                      <w:color w:val="000000"/>
                    </w:rPr>
                  </w:pPr>
                  <w:r>
                    <w:rPr>
                      <w:rFonts w:cs="Georgia"/>
                      <w:b/>
                      <w:color w:val="000000"/>
                      <w:spacing w:val="1"/>
                      <w:u w:val="single"/>
                    </w:rPr>
                    <w:t>N</w:t>
                  </w:r>
                  <w:r>
                    <w:rPr>
                      <w:rFonts w:cs="Georgia"/>
                      <w:b/>
                      <w:color w:val="000000"/>
                      <w:spacing w:val="-1"/>
                      <w:u w:val="single"/>
                    </w:rPr>
                    <w:t>o</w:t>
                  </w:r>
                  <w:r>
                    <w:rPr>
                      <w:rFonts w:cs="Georgia"/>
                      <w:b/>
                      <w:color w:val="000000"/>
                      <w:u w:val="single"/>
                    </w:rPr>
                    <w:t>m</w:t>
                  </w:r>
                  <w:r>
                    <w:rPr>
                      <w:rFonts w:cs="Georgia"/>
                      <w:b/>
                      <w:color w:val="000000"/>
                      <w:spacing w:val="-1"/>
                      <w:u w:val="single"/>
                    </w:rPr>
                    <w:t>b</w:t>
                  </w:r>
                  <w:r>
                    <w:rPr>
                      <w:rFonts w:cs="Georgia"/>
                      <w:b/>
                      <w:color w:val="000000"/>
                      <w:spacing w:val="1"/>
                      <w:u w:val="single"/>
                    </w:rPr>
                    <w:t>r</w:t>
                  </w:r>
                  <w:r>
                    <w:rPr>
                      <w:rFonts w:cs="Georgia"/>
                      <w:b/>
                      <w:color w:val="000000"/>
                      <w:u w:val="single"/>
                    </w:rPr>
                    <w:t>e</w:t>
                  </w:r>
                  <w:r>
                    <w:rPr>
                      <w:rFonts w:cs="Georgia"/>
                      <w:b/>
                      <w:color w:val="000000"/>
                      <w:spacing w:val="-2"/>
                      <w:u w:val="single"/>
                    </w:rPr>
                    <w:t xml:space="preserve"> </w:t>
                  </w:r>
                  <w:r>
                    <w:rPr>
                      <w:rFonts w:cs="Georgia"/>
                      <w:b/>
                      <w:color w:val="000000"/>
                      <w:u w:val="single"/>
                    </w:rPr>
                    <w:t>d</w:t>
                  </w:r>
                  <w:r>
                    <w:rPr>
                      <w:rFonts w:cs="Georgia"/>
                      <w:b/>
                      <w:color w:val="000000"/>
                      <w:spacing w:val="1"/>
                      <w:u w:val="single"/>
                    </w:rPr>
                    <w:t>'</w:t>
                  </w:r>
                  <w:r>
                    <w:rPr>
                      <w:rFonts w:cs="Georgia"/>
                      <w:b/>
                      <w:color w:val="000000"/>
                      <w:spacing w:val="-1"/>
                      <w:u w:val="single"/>
                    </w:rPr>
                    <w:t>élè</w:t>
                  </w:r>
                  <w:r>
                    <w:rPr>
                      <w:rFonts w:cs="Georgia"/>
                      <w:b/>
                      <w:color w:val="000000"/>
                      <w:spacing w:val="1"/>
                      <w:u w:val="single"/>
                    </w:rPr>
                    <w:t>v</w:t>
                  </w:r>
                  <w:r>
                    <w:rPr>
                      <w:rFonts w:cs="Georgia"/>
                      <w:b/>
                      <w:color w:val="000000"/>
                      <w:spacing w:val="-1"/>
                      <w:u w:val="single"/>
                    </w:rPr>
                    <w:t>es</w:t>
                  </w:r>
                  <w:r>
                    <w:rPr>
                      <w:rFonts w:cs="Georgia"/>
                      <w:b/>
                      <w:color w:val="000000"/>
                      <w:spacing w:val="1"/>
                      <w:u w:val="single"/>
                    </w:rPr>
                    <w:t xml:space="preserve"> co</w:t>
                  </w:r>
                  <w:r>
                    <w:rPr>
                      <w:rFonts w:cs="Georgia"/>
                      <w:b/>
                      <w:color w:val="000000"/>
                      <w:spacing w:val="-3"/>
                      <w:u w:val="single"/>
                    </w:rPr>
                    <w:t>n</w:t>
                  </w:r>
                  <w:r>
                    <w:rPr>
                      <w:rFonts w:cs="Georgia"/>
                      <w:b/>
                      <w:color w:val="000000"/>
                      <w:spacing w:val="1"/>
                      <w:u w:val="single"/>
                    </w:rPr>
                    <w:t>c</w:t>
                  </w:r>
                  <w:r>
                    <w:rPr>
                      <w:rFonts w:cs="Georgia"/>
                      <w:b/>
                      <w:color w:val="000000"/>
                      <w:spacing w:val="-1"/>
                      <w:u w:val="single"/>
                    </w:rPr>
                    <w:t>e</w:t>
                  </w:r>
                  <w:r>
                    <w:rPr>
                      <w:rFonts w:cs="Georgia"/>
                      <w:b/>
                      <w:color w:val="000000"/>
                      <w:spacing w:val="1"/>
                      <w:u w:val="single"/>
                    </w:rPr>
                    <w:t>r</w:t>
                  </w:r>
                  <w:r>
                    <w:rPr>
                      <w:rFonts w:cs="Georgia"/>
                      <w:b/>
                      <w:color w:val="000000"/>
                      <w:spacing w:val="-3"/>
                      <w:u w:val="single"/>
                    </w:rPr>
                    <w:t>n</w:t>
                  </w:r>
                  <w:r>
                    <w:rPr>
                      <w:rFonts w:cs="Georgia"/>
                      <w:b/>
                      <w:color w:val="000000"/>
                      <w:spacing w:val="-1"/>
                      <w:u w:val="single"/>
                    </w:rPr>
                    <w:t>és</w:t>
                  </w:r>
                </w:p>
                <w:p>
                  <w:pPr>
                    <w:widowControl w:val="0"/>
                    <w:autoSpaceDE w:val="0"/>
                    <w:autoSpaceDN w:val="0"/>
                    <w:adjustRightInd w:val="0"/>
                    <w:spacing w:line="244" w:lineRule="exact"/>
                    <w:jc w:val="center"/>
                    <w:rPr>
                      <w:rFonts w:cs="Georgia"/>
                      <w:b/>
                      <w:color w:val="000000"/>
                    </w:rPr>
                  </w:pPr>
                  <w:r>
                    <w:rPr>
                      <w:rFonts w:cs="Georgia"/>
                      <w:b/>
                      <w:color w:val="000000"/>
                      <w:spacing w:val="1"/>
                      <w:position w:val="-1"/>
                    </w:rPr>
                    <w:t>No</w:t>
                  </w:r>
                  <w:r>
                    <w:rPr>
                      <w:rFonts w:cs="Georgia"/>
                      <w:b/>
                      <w:color w:val="000000"/>
                      <w:position w:val="-1"/>
                    </w:rPr>
                    <w:t>m</w:t>
                  </w:r>
                  <w:r>
                    <w:rPr>
                      <w:rFonts w:cs="Georgia"/>
                      <w:b/>
                      <w:color w:val="000000"/>
                      <w:spacing w:val="1"/>
                      <w:position w:val="-1"/>
                    </w:rPr>
                    <w:t>br</w:t>
                  </w:r>
                  <w:r>
                    <w:rPr>
                      <w:rFonts w:cs="Georgia"/>
                      <w:b/>
                      <w:color w:val="000000"/>
                      <w:position w:val="-1"/>
                    </w:rPr>
                    <w:t>e</w:t>
                  </w:r>
                  <w:r>
                    <w:rPr>
                      <w:rFonts w:cs="Georgia"/>
                      <w:b/>
                      <w:color w:val="000000"/>
                      <w:spacing w:val="-1"/>
                      <w:position w:val="-1"/>
                    </w:rPr>
                    <w:t xml:space="preserve"> </w:t>
                  </w:r>
                  <w:r>
                    <w:rPr>
                      <w:rFonts w:cs="Georgia"/>
                      <w:b/>
                      <w:color w:val="000000"/>
                      <w:position w:val="-1"/>
                    </w:rPr>
                    <w:t>guide</w:t>
                  </w:r>
                  <w:r>
                    <w:rPr>
                      <w:rFonts w:cs="Georgia"/>
                      <w:b/>
                      <w:color w:val="000000"/>
                      <w:spacing w:val="-1"/>
                      <w:position w:val="-1"/>
                    </w:rPr>
                    <w:t xml:space="preserve"> </w:t>
                  </w:r>
                  <w:r>
                    <w:rPr>
                      <w:rFonts w:cs="Georgia"/>
                      <w:b/>
                      <w:color w:val="000000"/>
                      <w:spacing w:val="2"/>
                      <w:position w:val="-1"/>
                    </w:rPr>
                    <w:t>(</w:t>
                  </w:r>
                  <w:hyperlink w:anchor="_2.2._Calcul_du" w:history="1">
                    <w:r>
                      <w:rPr>
                        <w:rStyle w:val="Lienhypertexte"/>
                        <w:rFonts w:cs="Georgia"/>
                        <w:b/>
                        <w:spacing w:val="-1"/>
                        <w:position w:val="-1"/>
                      </w:rPr>
                      <w:t>Vo</w:t>
                    </w:r>
                    <w:r>
                      <w:rPr>
                        <w:rStyle w:val="Lienhypertexte"/>
                        <w:rFonts w:cs="Georgia"/>
                        <w:b/>
                        <w:position w:val="-1"/>
                      </w:rPr>
                      <w:t>ir</w:t>
                    </w:r>
                    <w:r>
                      <w:rPr>
                        <w:rStyle w:val="Lienhypertexte"/>
                        <w:rFonts w:cs="Georgia"/>
                        <w:b/>
                        <w:spacing w:val="-2"/>
                        <w:position w:val="-1"/>
                      </w:rPr>
                      <w:t xml:space="preserve"> </w:t>
                    </w:r>
                    <w:r>
                      <w:rPr>
                        <w:rStyle w:val="Lienhypertexte"/>
                        <w:rFonts w:cs="Georgia"/>
                        <w:b/>
                        <w:spacing w:val="1"/>
                        <w:position w:val="-1"/>
                      </w:rPr>
                      <w:t>po</w:t>
                    </w:r>
                    <w:r>
                      <w:rPr>
                        <w:rStyle w:val="Lienhypertexte"/>
                        <w:rFonts w:cs="Georgia"/>
                        <w:b/>
                        <w:position w:val="-1"/>
                      </w:rPr>
                      <w:t>i</w:t>
                    </w:r>
                    <w:r>
                      <w:rPr>
                        <w:rStyle w:val="Lienhypertexte"/>
                        <w:rFonts w:cs="Georgia"/>
                        <w:b/>
                        <w:spacing w:val="-1"/>
                        <w:position w:val="-1"/>
                      </w:rPr>
                      <w:t>nt</w:t>
                    </w:r>
                    <w:r>
                      <w:rPr>
                        <w:rStyle w:val="Lienhypertexte"/>
                        <w:rFonts w:cs="Georgia"/>
                        <w:b/>
                        <w:spacing w:val="1"/>
                        <w:position w:val="-1"/>
                      </w:rPr>
                      <w:t xml:space="preserve"> </w:t>
                    </w:r>
                    <w:r>
                      <w:rPr>
                        <w:rStyle w:val="Lienhypertexte"/>
                        <w:rFonts w:cs="Georgia"/>
                        <w:b/>
                        <w:spacing w:val="-1"/>
                        <w:position w:val="-1"/>
                      </w:rPr>
                      <w:t>2</w:t>
                    </w:r>
                    <w:r>
                      <w:rPr>
                        <w:rStyle w:val="Lienhypertexte"/>
                        <w:rFonts w:cs="Georgia"/>
                        <w:b/>
                        <w:position w:val="-1"/>
                      </w:rPr>
                      <w:t>.</w:t>
                    </w:r>
                    <w:r>
                      <w:rPr>
                        <w:rStyle w:val="Lienhypertexte"/>
                        <w:rFonts w:cs="Georgia"/>
                        <w:b/>
                        <w:spacing w:val="-3"/>
                        <w:position w:val="-1"/>
                      </w:rPr>
                      <w:t>2.1</w:t>
                    </w:r>
                  </w:hyperlink>
                  <w:r>
                    <w:rPr>
                      <w:rFonts w:cs="Georgia"/>
                      <w:b/>
                      <w:color w:val="000000"/>
                      <w:spacing w:val="-2"/>
                      <w:position w:val="-1"/>
                    </w:rPr>
                    <w:t>)</w:t>
                  </w:r>
                </w:p>
                <w:p>
                  <w:pPr>
                    <w:widowControl w:val="0"/>
                    <w:autoSpaceDE w:val="0"/>
                    <w:autoSpaceDN w:val="0"/>
                    <w:adjustRightInd w:val="0"/>
                    <w:spacing w:before="36"/>
                    <w:rPr>
                      <w:rFonts w:cs="Georgia"/>
                      <w:color w:val="000000"/>
                      <w:spacing w:val="1"/>
                    </w:rPr>
                  </w:pPr>
                </w:p>
                <w:p>
                  <w:pPr>
                    <w:widowControl w:val="0"/>
                    <w:autoSpaceDE w:val="0"/>
                    <w:autoSpaceDN w:val="0"/>
                    <w:adjustRightInd w:val="0"/>
                    <w:spacing w:before="36"/>
                    <w:jc w:val="both"/>
                    <w:rPr>
                      <w:rFonts w:cs="Georgia"/>
                      <w:color w:val="000000"/>
                    </w:rPr>
                  </w:pPr>
                  <w:r>
                    <w:rPr>
                      <w:rFonts w:cs="Georgia"/>
                      <w:color w:val="000000"/>
                      <w:spacing w:val="1"/>
                    </w:rPr>
                    <w:t>S</w:t>
                  </w:r>
                  <w:r>
                    <w:rPr>
                      <w:rFonts w:cs="Georgia"/>
                      <w:color w:val="000000"/>
                      <w:spacing w:val="-1"/>
                    </w:rPr>
                    <w:t>e</w:t>
                  </w:r>
                  <w:r>
                    <w:rPr>
                      <w:rFonts w:cs="Georgia"/>
                      <w:color w:val="000000"/>
                    </w:rPr>
                    <w:t>ul</w:t>
                  </w:r>
                  <w:r>
                    <w:rPr>
                      <w:rFonts w:cs="Georgia"/>
                      <w:color w:val="000000"/>
                      <w:spacing w:val="-1"/>
                    </w:rPr>
                    <w:t xml:space="preserve"> l</w:t>
                  </w:r>
                  <w:r>
                    <w:rPr>
                      <w:rFonts w:cs="Georgia"/>
                      <w:color w:val="000000"/>
                    </w:rPr>
                    <w:t>e</w:t>
                  </w:r>
                  <w:r>
                    <w:rPr>
                      <w:rFonts w:cs="Georgia"/>
                      <w:color w:val="000000"/>
                      <w:spacing w:val="-1"/>
                    </w:rPr>
                    <w:t xml:space="preserve"> </w:t>
                  </w:r>
                  <w:r>
                    <w:rPr>
                      <w:rFonts w:cs="Georgia"/>
                      <w:color w:val="000000"/>
                      <w:spacing w:val="1"/>
                    </w:rPr>
                    <w:t>tot</w:t>
                  </w:r>
                  <w:r>
                    <w:rPr>
                      <w:rFonts w:cs="Georgia"/>
                      <w:color w:val="000000"/>
                      <w:spacing w:val="-1"/>
                    </w:rPr>
                    <w:t>a</w:t>
                  </w:r>
                  <w:r>
                    <w:rPr>
                      <w:rFonts w:cs="Georgia"/>
                      <w:color w:val="000000"/>
                    </w:rPr>
                    <w:t>l</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spacing w:val="1"/>
                    </w:rPr>
                    <w:t>'</w:t>
                  </w:r>
                  <w:r>
                    <w:rPr>
                      <w:rFonts w:cs="Georgia"/>
                      <w:color w:val="000000"/>
                      <w:spacing w:val="-1"/>
                    </w:rPr>
                    <w:t>a</w:t>
                  </w:r>
                  <w:r>
                    <w:rPr>
                      <w:rFonts w:cs="Georgia"/>
                      <w:color w:val="000000"/>
                    </w:rPr>
                    <w:t>ddi</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4"/>
                    </w:rPr>
                    <w:t xml:space="preserve"> </w:t>
                  </w:r>
                  <w:r>
                    <w:rPr>
                      <w:rFonts w:cs="Georgia"/>
                      <w:color w:val="000000"/>
                      <w:spacing w:val="-1"/>
                    </w:rPr>
                    <w:t>e</w:t>
                  </w:r>
                  <w:r>
                    <w:rPr>
                      <w:rFonts w:cs="Georgia"/>
                      <w:color w:val="000000"/>
                      <w:spacing w:val="1"/>
                    </w:rPr>
                    <w:t>s</w:t>
                  </w:r>
                  <w:r>
                    <w:rPr>
                      <w:rFonts w:cs="Georgia"/>
                      <w:color w:val="000000"/>
                    </w:rPr>
                    <w:t xml:space="preserve">t </w:t>
                  </w:r>
                  <w:r>
                    <w:rPr>
                      <w:rFonts w:cs="Georgia"/>
                      <w:color w:val="000000"/>
                      <w:spacing w:val="-1"/>
                    </w:rPr>
                    <w:t>a</w:t>
                  </w:r>
                  <w:r>
                    <w:rPr>
                      <w:rFonts w:cs="Georgia"/>
                      <w:color w:val="000000"/>
                      <w:spacing w:val="1"/>
                    </w:rPr>
                    <w:t>rro</w:t>
                  </w:r>
                  <w:r>
                    <w:rPr>
                      <w:rFonts w:cs="Georgia"/>
                      <w:color w:val="000000"/>
                      <w:spacing w:val="-3"/>
                    </w:rPr>
                    <w:t>n</w:t>
                  </w:r>
                  <w:r>
                    <w:rPr>
                      <w:rFonts w:cs="Georgia"/>
                      <w:color w:val="000000"/>
                    </w:rPr>
                    <w:t>di à</w:t>
                  </w:r>
                  <w:r>
                    <w:rPr>
                      <w:rFonts w:cs="Georgia"/>
                      <w:color w:val="000000"/>
                      <w:spacing w:val="-1"/>
                    </w:rPr>
                    <w:t xml:space="preserve"> l</w:t>
                  </w:r>
                  <w:r>
                    <w:rPr>
                      <w:rFonts w:cs="Georgia"/>
                      <w:color w:val="000000"/>
                      <w:spacing w:val="1"/>
                    </w:rPr>
                    <w:t>'</w:t>
                  </w:r>
                  <w:r>
                    <w:rPr>
                      <w:rFonts w:cs="Georgia"/>
                      <w:color w:val="000000"/>
                    </w:rPr>
                    <w:t>u</w:t>
                  </w:r>
                  <w:r>
                    <w:rPr>
                      <w:rFonts w:cs="Georgia"/>
                      <w:color w:val="000000"/>
                      <w:spacing w:val="-1"/>
                    </w:rPr>
                    <w:t>n</w:t>
                  </w:r>
                  <w:r>
                    <w:rPr>
                      <w:rFonts w:cs="Georgia"/>
                      <w:color w:val="000000"/>
                    </w:rPr>
                    <w:t>i</w:t>
                  </w:r>
                  <w:r>
                    <w:rPr>
                      <w:rFonts w:cs="Georgia"/>
                      <w:color w:val="000000"/>
                      <w:spacing w:val="1"/>
                    </w:rPr>
                    <w:t>t</w:t>
                  </w:r>
                  <w:r>
                    <w:rPr>
                      <w:rFonts w:cs="Georgia"/>
                      <w:color w:val="000000"/>
                    </w:rPr>
                    <w:t>é</w:t>
                  </w:r>
                  <w:r>
                    <w:rPr>
                      <w:rFonts w:cs="Georgia"/>
                      <w:color w:val="000000"/>
                      <w:spacing w:val="-1"/>
                    </w:rPr>
                    <w:t xml:space="preserve"> </w:t>
                  </w:r>
                  <w:r>
                    <w:rPr>
                      <w:rFonts w:cs="Georgia"/>
                      <w:color w:val="000000"/>
                      <w:spacing w:val="1"/>
                    </w:rPr>
                    <w:t>s</w:t>
                  </w:r>
                  <w:r>
                    <w:rPr>
                      <w:rFonts w:cs="Georgia"/>
                      <w:color w:val="000000"/>
                      <w:spacing w:val="-2"/>
                    </w:rPr>
                    <w:t>u</w:t>
                  </w:r>
                  <w:r>
                    <w:rPr>
                      <w:rFonts w:cs="Georgia"/>
                      <w:color w:val="000000"/>
                      <w:spacing w:val="1"/>
                    </w:rPr>
                    <w:t>p</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e</w:t>
                  </w:r>
                  <w:r>
                    <w:rPr>
                      <w:rFonts w:cs="Georgia"/>
                      <w:color w:val="000000"/>
                    </w:rPr>
                    <w:t>u</w:t>
                  </w:r>
                  <w:r>
                    <w:rPr>
                      <w:rFonts w:cs="Georgia"/>
                      <w:color w:val="000000"/>
                      <w:spacing w:val="1"/>
                    </w:rPr>
                    <w:t>r</w:t>
                  </w:r>
                  <w:r>
                    <w:rPr>
                      <w:rFonts w:cs="Georgia"/>
                      <w:color w:val="000000"/>
                      <w:spacing w:val="-1"/>
                    </w:rPr>
                    <w:t>e</w:t>
                  </w:r>
                  <w:r>
                    <w:rPr>
                      <w:rFonts w:cs="Georgia"/>
                      <w:color w:val="000000"/>
                    </w:rPr>
                    <w:t>.</w:t>
                  </w:r>
                </w:p>
                <w:p>
                  <w:pPr>
                    <w:widowControl w:val="0"/>
                    <w:autoSpaceDE w:val="0"/>
                    <w:autoSpaceDN w:val="0"/>
                    <w:adjustRightInd w:val="0"/>
                    <w:spacing w:line="241" w:lineRule="auto"/>
                    <w:jc w:val="both"/>
                    <w:rPr>
                      <w:rFonts w:cs="Georgia"/>
                      <w:b/>
                      <w:bCs/>
                    </w:rPr>
                  </w:pPr>
                </w:p>
                <w:p>
                  <w:pPr>
                    <w:widowControl w:val="0"/>
                    <w:autoSpaceDE w:val="0"/>
                    <w:autoSpaceDN w:val="0"/>
                    <w:adjustRightInd w:val="0"/>
                    <w:spacing w:line="250" w:lineRule="exact"/>
                    <w:jc w:val="both"/>
                    <w:rPr>
                      <w:rFonts w:cs="Georgia"/>
                      <w:color w:val="000000"/>
                    </w:rPr>
                  </w:pPr>
                  <w:r>
                    <w:rPr>
                      <w:rFonts w:cs="Georgia"/>
                      <w:color w:val="000000"/>
                      <w:spacing w:val="1"/>
                    </w:rPr>
                    <w:t>U</w:t>
                  </w:r>
                  <w:r>
                    <w:rPr>
                      <w:rFonts w:cs="Georgia"/>
                      <w:color w:val="000000"/>
                    </w:rPr>
                    <w:t>n</w:t>
                  </w:r>
                  <w:r>
                    <w:rPr>
                      <w:rFonts w:cs="Georgia"/>
                      <w:color w:val="000000"/>
                      <w:spacing w:val="18"/>
                    </w:rPr>
                    <w:t xml:space="preserve"> </w:t>
                  </w:r>
                  <w:r>
                    <w:rPr>
                      <w:rFonts w:cs="Georgia"/>
                      <w:color w:val="000000"/>
                    </w:rPr>
                    <w:t>g</w:t>
                  </w:r>
                  <w:r>
                    <w:rPr>
                      <w:rFonts w:cs="Georgia"/>
                      <w:color w:val="000000"/>
                      <w:spacing w:val="-2"/>
                    </w:rPr>
                    <w:t>r</w:t>
                  </w:r>
                  <w:r>
                    <w:rPr>
                      <w:rFonts w:cs="Georgia"/>
                      <w:color w:val="000000"/>
                      <w:spacing w:val="1"/>
                    </w:rPr>
                    <w:t>o</w:t>
                  </w:r>
                  <w:r>
                    <w:rPr>
                      <w:rFonts w:cs="Georgia"/>
                      <w:color w:val="000000"/>
                      <w:spacing w:val="-2"/>
                    </w:rPr>
                    <w:t>u</w:t>
                  </w:r>
                  <w:r>
                    <w:rPr>
                      <w:rFonts w:cs="Georgia"/>
                      <w:color w:val="000000"/>
                      <w:spacing w:val="1"/>
                    </w:rPr>
                    <w:t>p</w:t>
                  </w:r>
                  <w:r>
                    <w:rPr>
                      <w:rFonts w:cs="Georgia"/>
                      <w:color w:val="000000"/>
                    </w:rPr>
                    <w:t>e</w:t>
                  </w:r>
                  <w:r>
                    <w:rPr>
                      <w:rFonts w:cs="Georgia"/>
                      <w:color w:val="000000"/>
                      <w:spacing w:val="18"/>
                    </w:rPr>
                    <w:t xml:space="preserve"> </w:t>
                  </w:r>
                  <w:r>
                    <w:rPr>
                      <w:rFonts w:cs="Georgia"/>
                      <w:color w:val="000000"/>
                      <w:spacing w:val="-2"/>
                    </w:rPr>
                    <w:t>d</w:t>
                  </w:r>
                  <w:r>
                    <w:rPr>
                      <w:rFonts w:cs="Georgia"/>
                      <w:color w:val="000000"/>
                      <w:spacing w:val="1"/>
                    </w:rPr>
                    <w:t>o</w:t>
                  </w:r>
                  <w:r>
                    <w:rPr>
                      <w:rFonts w:cs="Georgia"/>
                      <w:color w:val="000000"/>
                    </w:rPr>
                    <w:t>i</w:t>
                  </w:r>
                  <w:r>
                    <w:rPr>
                      <w:rFonts w:cs="Georgia"/>
                      <w:color w:val="000000"/>
                      <w:spacing w:val="1"/>
                    </w:rPr>
                    <w:t>t</w:t>
                  </w:r>
                  <w:r>
                    <w:rPr>
                      <w:rFonts w:cs="Georgia"/>
                      <w:color w:val="000000"/>
                    </w:rPr>
                    <w:t>,</w:t>
                  </w:r>
                  <w:r>
                    <w:rPr>
                      <w:rFonts w:cs="Georgia"/>
                      <w:color w:val="000000"/>
                      <w:spacing w:val="19"/>
                    </w:rPr>
                    <w:t xml:space="preserve"> </w:t>
                  </w:r>
                  <w:r>
                    <w:rPr>
                      <w:rFonts w:cs="Georgia"/>
                      <w:color w:val="000000"/>
                      <w:spacing w:val="-3"/>
                    </w:rPr>
                    <w:t>l</w:t>
                  </w:r>
                  <w:r>
                    <w:rPr>
                      <w:rFonts w:cs="Georgia"/>
                      <w:color w:val="000000"/>
                      <w:spacing w:val="1"/>
                    </w:rPr>
                    <w:t>o</w:t>
                  </w:r>
                  <w:r>
                    <w:rPr>
                      <w:rFonts w:cs="Georgia"/>
                      <w:color w:val="000000"/>
                      <w:spacing w:val="-2"/>
                    </w:rPr>
                    <w:t>r</w:t>
                  </w:r>
                  <w:r>
                    <w:rPr>
                      <w:rFonts w:cs="Georgia"/>
                      <w:color w:val="000000"/>
                    </w:rPr>
                    <w:t>s</w:t>
                  </w:r>
                  <w:r>
                    <w:rPr>
                      <w:rFonts w:cs="Georgia"/>
                      <w:color w:val="000000"/>
                      <w:spacing w:val="20"/>
                    </w:rPr>
                    <w:t xml:space="preserve"> </w:t>
                  </w:r>
                  <w:r>
                    <w:rPr>
                      <w:rFonts w:cs="Georgia"/>
                      <w:color w:val="000000"/>
                    </w:rPr>
                    <w:t>de</w:t>
                  </w:r>
                  <w:r>
                    <w:rPr>
                      <w:rFonts w:cs="Georgia"/>
                      <w:color w:val="000000"/>
                      <w:spacing w:val="16"/>
                    </w:rPr>
                    <w:t xml:space="preserve"> </w:t>
                  </w:r>
                  <w:r>
                    <w:rPr>
                      <w:rFonts w:cs="Georgia"/>
                      <w:color w:val="000000"/>
                      <w:spacing w:val="1"/>
                    </w:rPr>
                    <w:t>s</w:t>
                  </w:r>
                  <w:r>
                    <w:rPr>
                      <w:rFonts w:cs="Georgia"/>
                      <w:color w:val="000000"/>
                    </w:rPr>
                    <w:t>a</w:t>
                  </w:r>
                  <w:r>
                    <w:rPr>
                      <w:rFonts w:cs="Georgia"/>
                      <w:color w:val="000000"/>
                      <w:spacing w:val="18"/>
                    </w:rPr>
                    <w:t xml:space="preserve"> </w:t>
                  </w:r>
                  <w:r>
                    <w:rPr>
                      <w:rFonts w:cs="Georgia"/>
                      <w:color w:val="000000"/>
                      <w:spacing w:val="1"/>
                    </w:rPr>
                    <w:t>co</w:t>
                  </w:r>
                  <w:r>
                    <w:rPr>
                      <w:rFonts w:cs="Georgia"/>
                      <w:color w:val="000000"/>
                      <w:spacing w:val="-1"/>
                    </w:rPr>
                    <w:t>n</w:t>
                  </w:r>
                  <w:r>
                    <w:rPr>
                      <w:rFonts w:cs="Georgia"/>
                      <w:color w:val="000000"/>
                      <w:spacing w:val="-2"/>
                    </w:rPr>
                    <w:t>s</w:t>
                  </w:r>
                  <w:r>
                    <w:rPr>
                      <w:rFonts w:cs="Georgia"/>
                      <w:color w:val="000000"/>
                      <w:spacing w:val="1"/>
                    </w:rPr>
                    <w:t>t</w:t>
                  </w:r>
                  <w:r>
                    <w:rPr>
                      <w:rFonts w:cs="Georgia"/>
                      <w:color w:val="000000"/>
                    </w:rPr>
                    <w:t>i</w:t>
                  </w:r>
                  <w:r>
                    <w:rPr>
                      <w:rFonts w:cs="Georgia"/>
                      <w:color w:val="000000"/>
                      <w:spacing w:val="-2"/>
                    </w:rPr>
                    <w:t>t</w:t>
                  </w:r>
                  <w:r>
                    <w:rPr>
                      <w:rFonts w:cs="Georgia"/>
                      <w:color w:val="000000"/>
                    </w:rPr>
                    <w:t>u</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w:t>
                  </w:r>
                  <w:r>
                    <w:rPr>
                      <w:rFonts w:cs="Georgia"/>
                      <w:color w:val="000000"/>
                      <w:spacing w:val="19"/>
                    </w:rPr>
                    <w:t xml:space="preserve"> </w:t>
                  </w:r>
                  <w:r>
                    <w:rPr>
                      <w:rFonts w:cs="Georgia"/>
                      <w:color w:val="000000"/>
                      <w:spacing w:val="-2"/>
                    </w:rPr>
                    <w:t>c</w:t>
                  </w:r>
                  <w:r>
                    <w:rPr>
                      <w:rFonts w:cs="Georgia"/>
                      <w:color w:val="000000"/>
                      <w:spacing w:val="1"/>
                    </w:rPr>
                    <w:t>o</w:t>
                  </w:r>
                  <w:r>
                    <w:rPr>
                      <w:rFonts w:cs="Georgia"/>
                      <w:color w:val="000000"/>
                      <w:spacing w:val="-3"/>
                    </w:rPr>
                    <w:t>m</w:t>
                  </w:r>
                  <w:r>
                    <w:rPr>
                      <w:rFonts w:cs="Georgia"/>
                      <w:color w:val="000000"/>
                      <w:spacing w:val="1"/>
                    </w:rPr>
                    <w:t>pt</w:t>
                  </w:r>
                  <w:r>
                    <w:rPr>
                      <w:rFonts w:cs="Georgia"/>
                      <w:color w:val="000000"/>
                      <w:spacing w:val="-1"/>
                    </w:rPr>
                    <w:t>e</w:t>
                  </w:r>
                  <w:r>
                    <w:rPr>
                      <w:rFonts w:cs="Georgia"/>
                      <w:color w:val="000000"/>
                    </w:rPr>
                    <w:t>r</w:t>
                  </w:r>
                  <w:r>
                    <w:rPr>
                      <w:rFonts w:cs="Georgia"/>
                      <w:color w:val="000000"/>
                      <w:spacing w:val="17"/>
                    </w:rPr>
                    <w:t xml:space="preserve"> </w:t>
                  </w:r>
                  <w:r>
                    <w:rPr>
                      <w:rFonts w:cs="Georgia"/>
                      <w:color w:val="000000"/>
                    </w:rPr>
                    <w:t>un</w:t>
                  </w:r>
                  <w:r>
                    <w:rPr>
                      <w:rFonts w:cs="Georgia"/>
                      <w:color w:val="000000"/>
                      <w:spacing w:val="18"/>
                    </w:rPr>
                    <w:t xml:space="preserve"> </w:t>
                  </w:r>
                  <w:r>
                    <w:rPr>
                      <w:rFonts w:cs="Georgia"/>
                      <w:color w:val="000000"/>
                      <w:spacing w:val="-1"/>
                    </w:rPr>
                    <w:t>n</w:t>
                  </w:r>
                  <w:r>
                    <w:rPr>
                      <w:rFonts w:cs="Georgia"/>
                      <w:color w:val="000000"/>
                      <w:spacing w:val="1"/>
                    </w:rPr>
                    <w:t>o</w:t>
                  </w:r>
                  <w:r>
                    <w:rPr>
                      <w:rFonts w:cs="Georgia"/>
                      <w:color w:val="000000"/>
                      <w:spacing w:val="-3"/>
                    </w:rPr>
                    <w:t>m</w:t>
                  </w:r>
                  <w:r>
                    <w:rPr>
                      <w:rFonts w:cs="Georgia"/>
                      <w:color w:val="000000"/>
                      <w:spacing w:val="1"/>
                    </w:rPr>
                    <w:t>br</w:t>
                  </w:r>
                  <w:r>
                    <w:rPr>
                      <w:rFonts w:cs="Georgia"/>
                      <w:color w:val="000000"/>
                    </w:rPr>
                    <w:t>e</w:t>
                  </w:r>
                  <w:r>
                    <w:rPr>
                      <w:rFonts w:cs="Georgia"/>
                      <w:color w:val="000000"/>
                      <w:spacing w:val="18"/>
                    </w:rPr>
                    <w:t xml:space="preserve"> </w:t>
                  </w:r>
                  <w:r>
                    <w:rPr>
                      <w:rFonts w:cs="Georgia"/>
                      <w:color w:val="000000"/>
                    </w:rPr>
                    <w:t>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0"/>
                    </w:rPr>
                    <w:t xml:space="preserve"> </w:t>
                  </w:r>
                  <w:r>
                    <w:rPr>
                      <w:rFonts w:cs="Georgia"/>
                      <w:color w:val="000000"/>
                    </w:rPr>
                    <w:t>i</w:t>
                  </w:r>
                  <w:r>
                    <w:rPr>
                      <w:rFonts w:cs="Georgia"/>
                      <w:color w:val="000000"/>
                      <w:spacing w:val="-1"/>
                    </w:rPr>
                    <w:t>n</w:t>
                  </w:r>
                  <w:r>
                    <w:rPr>
                      <w:rFonts w:cs="Georgia"/>
                      <w:color w:val="000000"/>
                    </w:rPr>
                    <w:t>f</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e</w:t>
                  </w:r>
                  <w:r>
                    <w:rPr>
                      <w:rFonts w:cs="Georgia"/>
                      <w:color w:val="000000"/>
                    </w:rPr>
                    <w:t>ur</w:t>
                  </w:r>
                  <w:r>
                    <w:rPr>
                      <w:rFonts w:cs="Georgia"/>
                      <w:color w:val="000000"/>
                      <w:spacing w:val="20"/>
                    </w:rPr>
                    <w:t xml:space="preserve"> </w:t>
                  </w:r>
                  <w:r>
                    <w:rPr>
                      <w:rFonts w:cs="Georgia"/>
                      <w:color w:val="000000"/>
                      <w:spacing w:val="-1"/>
                    </w:rPr>
                    <w:t>a</w:t>
                  </w:r>
                  <w:r>
                    <w:rPr>
                      <w:rFonts w:cs="Georgia"/>
                      <w:color w:val="000000"/>
                    </w:rPr>
                    <w:t>u</w:t>
                  </w:r>
                  <w:r>
                    <w:rPr>
                      <w:rFonts w:cs="Georgia"/>
                      <w:color w:val="000000"/>
                      <w:spacing w:val="17"/>
                    </w:rPr>
                    <w:t xml:space="preserve"> </w:t>
                  </w:r>
                  <w:r>
                    <w:rPr>
                      <w:rFonts w:cs="Georgia"/>
                      <w:color w:val="000000"/>
                    </w:rPr>
                    <w:t>d</w:t>
                  </w:r>
                  <w:r>
                    <w:rPr>
                      <w:rFonts w:cs="Georgia"/>
                      <w:color w:val="000000"/>
                      <w:spacing w:val="1"/>
                    </w:rPr>
                    <w:t>o</w:t>
                  </w:r>
                  <w:r>
                    <w:rPr>
                      <w:rFonts w:cs="Georgia"/>
                      <w:color w:val="000000"/>
                      <w:spacing w:val="-2"/>
                    </w:rPr>
                    <w:t>u</w:t>
                  </w:r>
                  <w:r>
                    <w:rPr>
                      <w:rFonts w:cs="Georgia"/>
                      <w:color w:val="000000"/>
                      <w:spacing w:val="1"/>
                    </w:rPr>
                    <w:t>b</w:t>
                  </w:r>
                  <w:r>
                    <w:rPr>
                      <w:rFonts w:cs="Georgia"/>
                      <w:color w:val="000000"/>
                      <w:spacing w:val="-1"/>
                    </w:rPr>
                    <w:t>l</w:t>
                  </w:r>
                  <w:r>
                    <w:rPr>
                      <w:rFonts w:cs="Georgia"/>
                      <w:color w:val="000000"/>
                    </w:rPr>
                    <w:t>e</w:t>
                  </w:r>
                  <w:r>
                    <w:rPr>
                      <w:rFonts w:cs="Georgia"/>
                      <w:color w:val="000000"/>
                      <w:spacing w:val="18"/>
                    </w:rPr>
                    <w:t xml:space="preserve"> </w:t>
                  </w:r>
                  <w:r>
                    <w:rPr>
                      <w:rFonts w:cs="Georgia"/>
                      <w:color w:val="000000"/>
                    </w:rPr>
                    <w:t>du</w:t>
                  </w:r>
                  <w:r>
                    <w:rPr>
                      <w:rFonts w:cs="Georgia"/>
                      <w:color w:val="000000"/>
                      <w:spacing w:val="17"/>
                    </w:rPr>
                    <w:t xml:space="preserve"> </w:t>
                  </w:r>
                  <w:r>
                    <w:rPr>
                      <w:rFonts w:cs="Georgia"/>
                      <w:color w:val="000000"/>
                      <w:spacing w:val="1"/>
                    </w:rPr>
                    <w:t>p</w:t>
                  </w:r>
                  <w:r>
                    <w:rPr>
                      <w:rFonts w:cs="Georgia"/>
                      <w:color w:val="000000"/>
                      <w:spacing w:val="-1"/>
                    </w:rPr>
                    <w:t>l</w:t>
                  </w:r>
                  <w:r>
                    <w:rPr>
                      <w:rFonts w:cs="Georgia"/>
                      <w:color w:val="000000"/>
                      <w:spacing w:val="-2"/>
                    </w:rPr>
                    <w:t>u</w:t>
                  </w:r>
                  <w:r>
                    <w:rPr>
                      <w:rFonts w:cs="Georgia"/>
                      <w:color w:val="000000"/>
                    </w:rPr>
                    <w:t xml:space="preserve">s </w:t>
                  </w:r>
                  <w:r>
                    <w:rPr>
                      <w:rFonts w:cs="Georgia"/>
                      <w:color w:val="000000"/>
                      <w:spacing w:val="1"/>
                    </w:rPr>
                    <w:t>p</w:t>
                  </w:r>
                  <w:r>
                    <w:rPr>
                      <w:rFonts w:cs="Georgia"/>
                      <w:color w:val="000000"/>
                      <w:spacing w:val="-1"/>
                    </w:rPr>
                    <w:t>e</w:t>
                  </w:r>
                  <w:r>
                    <w:rPr>
                      <w:rFonts w:cs="Georgia"/>
                      <w:color w:val="000000"/>
                      <w:spacing w:val="1"/>
                    </w:rPr>
                    <w:t>t</w:t>
                  </w:r>
                  <w:r>
                    <w:rPr>
                      <w:rFonts w:cs="Georgia"/>
                      <w:color w:val="000000"/>
                    </w:rPr>
                    <w:t xml:space="preserve">it </w:t>
                  </w:r>
                  <w:r>
                    <w:rPr>
                      <w:rFonts w:cs="Georgia"/>
                      <w:color w:val="000000"/>
                      <w:spacing w:val="-1"/>
                    </w:rPr>
                    <w:t>no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guide</w:t>
                  </w:r>
                  <w:r>
                    <w:rPr>
                      <w:rFonts w:cs="Georgia"/>
                      <w:color w:val="000000"/>
                      <w:spacing w:val="-1"/>
                    </w:rPr>
                    <w:t xml:space="preserve"> a</w:t>
                  </w:r>
                  <w:r>
                    <w:rPr>
                      <w:rFonts w:cs="Georgia"/>
                      <w:color w:val="000000"/>
                      <w:spacing w:val="-2"/>
                    </w:rPr>
                    <w:t>t</w:t>
                  </w:r>
                  <w:r>
                    <w:rPr>
                      <w:rFonts w:cs="Georgia"/>
                      <w:color w:val="000000"/>
                      <w:spacing w:val="1"/>
                    </w:rPr>
                    <w:t>tr</w:t>
                  </w:r>
                  <w:r>
                    <w:rPr>
                      <w:rFonts w:cs="Georgia"/>
                      <w:color w:val="000000"/>
                      <w:spacing w:val="-2"/>
                    </w:rPr>
                    <w:t>i</w:t>
                  </w:r>
                  <w:r>
                    <w:rPr>
                      <w:rFonts w:cs="Georgia"/>
                      <w:color w:val="000000"/>
                      <w:spacing w:val="-1"/>
                    </w:rPr>
                    <w:t>b</w:t>
                  </w:r>
                  <w:r>
                    <w:rPr>
                      <w:rFonts w:cs="Georgia"/>
                      <w:color w:val="000000"/>
                    </w:rPr>
                    <w:t>ué</w:t>
                  </w:r>
                  <w:r>
                    <w:rPr>
                      <w:rFonts w:cs="Georgia"/>
                      <w:color w:val="000000"/>
                      <w:spacing w:val="-1"/>
                    </w:rPr>
                    <w:t xml:space="preserve"> a</w:t>
                  </w:r>
                  <w:r>
                    <w:rPr>
                      <w:rFonts w:cs="Georgia"/>
                      <w:color w:val="000000"/>
                    </w:rPr>
                    <w:t xml:space="preserve">u </w:t>
                  </w:r>
                  <w:r>
                    <w:rPr>
                      <w:rFonts w:cs="Georgia"/>
                      <w:color w:val="000000"/>
                      <w:spacing w:val="1"/>
                    </w:rPr>
                    <w:t>t</w:t>
                  </w:r>
                  <w:r>
                    <w:rPr>
                      <w:rFonts w:cs="Georgia"/>
                      <w:color w:val="000000"/>
                      <w:spacing w:val="-1"/>
                    </w:rPr>
                    <w:t>y</w:t>
                  </w:r>
                  <w:r>
                    <w:rPr>
                      <w:rFonts w:cs="Georgia"/>
                      <w:color w:val="000000"/>
                      <w:spacing w:val="1"/>
                    </w:rPr>
                    <w:t>p</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 d</w:t>
                  </w:r>
                  <w:r>
                    <w:rPr>
                      <w:rFonts w:cs="Georgia"/>
                      <w:color w:val="000000"/>
                      <w:spacing w:val="1"/>
                    </w:rPr>
                    <w:t>o</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r</w:t>
                  </w:r>
                  <w:r>
                    <w:rPr>
                      <w:rFonts w:cs="Georgia"/>
                      <w:color w:val="000000"/>
                      <w:spacing w:val="-1"/>
                    </w:rPr>
                    <w:t>elè</w:t>
                  </w:r>
                  <w:r>
                    <w:rPr>
                      <w:rFonts w:cs="Georgia"/>
                      <w:color w:val="000000"/>
                      <w:spacing w:val="1"/>
                    </w:rPr>
                    <w:t>v</w:t>
                  </w:r>
                  <w:r>
                    <w:rPr>
                      <w:rFonts w:cs="Georgia"/>
                      <w:color w:val="000000"/>
                      <w:spacing w:val="-1"/>
                    </w:rPr>
                    <w:t>en</w:t>
                  </w:r>
                  <w:r>
                    <w:rPr>
                      <w:rFonts w:cs="Georgia"/>
                      <w:color w:val="000000"/>
                    </w:rPr>
                    <w:t xml:space="preserve">t </w:t>
                  </w:r>
                  <w:r>
                    <w:rPr>
                      <w:rFonts w:cs="Georgia"/>
                      <w:color w:val="000000"/>
                      <w:spacing w:val="1"/>
                    </w:rPr>
                    <w:t>c</w:t>
                  </w:r>
                  <w:r>
                    <w:rPr>
                      <w:rFonts w:cs="Georgia"/>
                      <w:color w:val="000000"/>
                      <w:spacing w:val="-1"/>
                    </w:rPr>
                    <w:t>e</w:t>
                  </w:r>
                  <w:r>
                    <w:rPr>
                      <w:rFonts w:cs="Georgia"/>
                      <w:color w:val="000000"/>
                    </w:rPr>
                    <w:t xml:space="preserve">s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1"/>
                    </w:rPr>
                    <w:t xml:space="preserve"> </w:t>
                  </w:r>
                  <w:r>
                    <w:rPr>
                      <w:rFonts w:cs="Georgia"/>
                      <w:color w:val="000000"/>
                    </w:rPr>
                    <w:t xml:space="preserve">: </w:t>
                  </w:r>
                </w:p>
                <w:p>
                  <w:pPr>
                    <w:widowControl w:val="0"/>
                    <w:autoSpaceDE w:val="0"/>
                    <w:autoSpaceDN w:val="0"/>
                    <w:adjustRightInd w:val="0"/>
                    <w:spacing w:line="250" w:lineRule="exact"/>
                    <w:jc w:val="both"/>
                    <w:rPr>
                      <w:rFonts w:cs="Georgia"/>
                      <w:color w:val="000000"/>
                    </w:rPr>
                  </w:pPr>
                  <w:r>
                    <w:rPr>
                      <w:rFonts w:cs="Georgia"/>
                      <w:color w:val="000000"/>
                      <w:spacing w:val="1"/>
                    </w:rPr>
                    <w:t>(</w:t>
                  </w:r>
                  <w:r>
                    <w:rPr>
                      <w:rFonts w:cs="Georgia"/>
                      <w:color w:val="000000"/>
                      <w:spacing w:val="-1"/>
                    </w:rPr>
                    <w:t>N</w:t>
                  </w:r>
                  <w:r>
                    <w:rPr>
                      <w:rFonts w:cs="Georgia"/>
                      <w:color w:val="000000"/>
                      <w:spacing w:val="1"/>
                    </w:rPr>
                    <w:t>o</w:t>
                  </w:r>
                  <w:r>
                    <w:rPr>
                      <w:rFonts w:cs="Georgia"/>
                      <w:color w:val="000000"/>
                      <w:spacing w:val="-3"/>
                    </w:rPr>
                    <w:t>m</w:t>
                  </w:r>
                  <w:r>
                    <w:rPr>
                      <w:rFonts w:cs="Georgia"/>
                      <w:color w:val="000000"/>
                      <w:spacing w:val="1"/>
                    </w:rPr>
                    <w:t>br</w:t>
                  </w:r>
                  <w:r>
                    <w:rPr>
                      <w:rFonts w:cs="Georgia"/>
                      <w:color w:val="000000"/>
                    </w:rPr>
                    <w:t>e</w:t>
                  </w:r>
                  <w:r>
                    <w:rPr>
                      <w:rFonts w:cs="Georgia"/>
                      <w:color w:val="000000"/>
                      <w:spacing w:val="-1"/>
                    </w:rPr>
                    <w:t xml:space="preserve"> </w:t>
                  </w:r>
                  <w:r>
                    <w:rPr>
                      <w:rFonts w:cs="Georgia"/>
                      <w:color w:val="000000"/>
                    </w:rPr>
                    <w:t>g</w:t>
                  </w:r>
                  <w:r>
                    <w:rPr>
                      <w:rFonts w:cs="Georgia"/>
                      <w:color w:val="000000"/>
                      <w:spacing w:val="-2"/>
                    </w:rPr>
                    <w:t>u</w:t>
                  </w:r>
                  <w:r>
                    <w:rPr>
                      <w:rFonts w:cs="Georgia"/>
                      <w:color w:val="000000"/>
                    </w:rPr>
                    <w:t>ide</w:t>
                  </w:r>
                  <w:r>
                    <w:rPr>
                      <w:rFonts w:cs="Georgia"/>
                      <w:color w:val="000000"/>
                      <w:spacing w:val="-1"/>
                    </w:rPr>
                    <w:t xml:space="preserve"> </w:t>
                  </w:r>
                  <w:r>
                    <w:rPr>
                      <w:rFonts w:cs="Georgia"/>
                      <w:color w:val="000000"/>
                    </w:rPr>
                    <w:t>X</w:t>
                  </w:r>
                  <w:r>
                    <w:rPr>
                      <w:rFonts w:cs="Georgia"/>
                      <w:color w:val="000000"/>
                      <w:spacing w:val="-1"/>
                    </w:rPr>
                    <w:t xml:space="preserve"> </w:t>
                  </w:r>
                  <w:r>
                    <w:rPr>
                      <w:rFonts w:cs="Georgia"/>
                      <w:color w:val="000000"/>
                    </w:rPr>
                    <w:t>2</w:t>
                  </w:r>
                  <w:r>
                    <w:rPr>
                      <w:rFonts w:cs="Georgia"/>
                      <w:color w:val="000000"/>
                      <w:spacing w:val="-1"/>
                    </w:rPr>
                    <w:t xml:space="preserve"> </w:t>
                  </w:r>
                  <w:r>
                    <w:rPr>
                      <w:rFonts w:cs="Georgia"/>
                      <w:color w:val="000000"/>
                    </w:rPr>
                    <w:t>m</w:t>
                  </w:r>
                  <w:r>
                    <w:rPr>
                      <w:rFonts w:cs="Georgia"/>
                      <w:color w:val="000000"/>
                      <w:spacing w:val="1"/>
                    </w:rPr>
                    <w:t>o</w:t>
                  </w:r>
                  <w:r>
                    <w:rPr>
                      <w:rFonts w:cs="Georgia"/>
                      <w:color w:val="000000"/>
                    </w:rPr>
                    <w:t>i</w:t>
                  </w:r>
                  <w:r>
                    <w:rPr>
                      <w:rFonts w:cs="Georgia"/>
                      <w:color w:val="000000"/>
                      <w:spacing w:val="-3"/>
                    </w:rPr>
                    <w:t>n</w:t>
                  </w:r>
                  <w:r>
                    <w:rPr>
                      <w:rFonts w:cs="Georgia"/>
                      <w:color w:val="000000"/>
                    </w:rPr>
                    <w:t xml:space="preserve">s </w:t>
                  </w:r>
                  <w:r>
                    <w:rPr>
                      <w:rFonts w:cs="Georgia"/>
                      <w:color w:val="000000"/>
                      <w:spacing w:val="-1"/>
                    </w:rPr>
                    <w:t>1</w:t>
                  </w:r>
                  <w:r>
                    <w:rPr>
                      <w:rFonts w:cs="Georgia"/>
                      <w:color w:val="000000"/>
                      <w:spacing w:val="1"/>
                    </w:rPr>
                    <w:t>).</w:t>
                  </w:r>
                </w:p>
                <w:p>
                  <w:pPr>
                    <w:widowControl w:val="0"/>
                    <w:autoSpaceDE w:val="0"/>
                    <w:autoSpaceDN w:val="0"/>
                    <w:adjustRightInd w:val="0"/>
                    <w:spacing w:line="244" w:lineRule="exact"/>
                    <w:rPr>
                      <w:rFonts w:cs="Georgia"/>
                      <w:b/>
                      <w:bCs/>
                      <w:color w:val="000000"/>
                      <w:spacing w:val="-1"/>
                      <w:position w:val="-1"/>
                      <w:u w:val="single"/>
                    </w:rPr>
                  </w:pPr>
                </w:p>
                <w:p>
                  <w:pPr>
                    <w:widowControl w:val="0"/>
                    <w:autoSpaceDE w:val="0"/>
                    <w:autoSpaceDN w:val="0"/>
                    <w:adjustRightInd w:val="0"/>
                    <w:spacing w:line="244" w:lineRule="exact"/>
                    <w:jc w:val="both"/>
                    <w:rPr>
                      <w:rFonts w:cs="Georgia"/>
                      <w:b/>
                      <w:bCs/>
                      <w:i/>
                      <w:iCs/>
                      <w:color w:val="000000"/>
                      <w:position w:val="-1"/>
                    </w:rPr>
                  </w:pPr>
                  <w:r>
                    <w:rPr>
                      <w:rFonts w:cs="Georgia"/>
                      <w:b/>
                      <w:bCs/>
                      <w:color w:val="000000"/>
                      <w:spacing w:val="-1"/>
                      <w:position w:val="-1"/>
                      <w:u w:val="single"/>
                    </w:rPr>
                    <w:t>E</w:t>
                  </w:r>
                  <w:r>
                    <w:rPr>
                      <w:rFonts w:cs="Georgia"/>
                      <w:b/>
                      <w:bCs/>
                      <w:color w:val="000000"/>
                      <w:position w:val="-1"/>
                      <w:u w:val="single"/>
                    </w:rPr>
                    <w:t>x</w:t>
                  </w:r>
                  <w:r>
                    <w:rPr>
                      <w:rFonts w:cs="Georgia"/>
                      <w:b/>
                      <w:bCs/>
                      <w:color w:val="000000"/>
                      <w:spacing w:val="1"/>
                      <w:position w:val="-1"/>
                      <w:u w:val="single"/>
                    </w:rPr>
                    <w:t>e</w:t>
                  </w:r>
                  <w:r>
                    <w:rPr>
                      <w:rFonts w:cs="Georgia"/>
                      <w:b/>
                      <w:bCs/>
                      <w:color w:val="000000"/>
                      <w:spacing w:val="-1"/>
                      <w:position w:val="-1"/>
                      <w:u w:val="single"/>
                    </w:rPr>
                    <w:t>mp</w:t>
                  </w:r>
                  <w:r>
                    <w:rPr>
                      <w:rFonts w:cs="Georgia"/>
                      <w:b/>
                      <w:bCs/>
                      <w:color w:val="000000"/>
                      <w:spacing w:val="1"/>
                      <w:position w:val="-1"/>
                      <w:u w:val="single"/>
                    </w:rPr>
                    <w:t>l</w:t>
                  </w:r>
                  <w:r>
                    <w:rPr>
                      <w:rFonts w:cs="Georgia"/>
                      <w:b/>
                      <w:bCs/>
                      <w:color w:val="000000"/>
                      <w:position w:val="-1"/>
                      <w:u w:val="single"/>
                    </w:rPr>
                    <w:t>e</w:t>
                  </w:r>
                  <w:r>
                    <w:rPr>
                      <w:rFonts w:cs="Georgia"/>
                      <w:b/>
                      <w:bCs/>
                      <w:color w:val="000000"/>
                      <w:position w:val="-1"/>
                    </w:rPr>
                    <w:t xml:space="preserve"> </w:t>
                  </w:r>
                  <w:r>
                    <w:rPr>
                      <w:rFonts w:cs="Georgia"/>
                      <w:b/>
                      <w:bCs/>
                      <w:i/>
                      <w:iCs/>
                      <w:color w:val="000000"/>
                      <w:position w:val="-1"/>
                    </w:rPr>
                    <w:t>:</w:t>
                  </w:r>
                </w:p>
                <w:p>
                  <w:pPr>
                    <w:widowControl w:val="0"/>
                    <w:autoSpaceDE w:val="0"/>
                    <w:autoSpaceDN w:val="0"/>
                    <w:adjustRightInd w:val="0"/>
                    <w:spacing w:line="244" w:lineRule="exact"/>
                    <w:jc w:val="both"/>
                    <w:rPr>
                      <w:rFonts w:cs="Georgia"/>
                      <w:color w:val="000000"/>
                    </w:rPr>
                  </w:pPr>
                </w:p>
                <w:p>
                  <w:pPr>
                    <w:widowControl w:val="0"/>
                    <w:autoSpaceDE w:val="0"/>
                    <w:autoSpaceDN w:val="0"/>
                    <w:adjustRightInd w:val="0"/>
                    <w:spacing w:before="38" w:line="250" w:lineRule="exact"/>
                    <w:jc w:val="both"/>
                    <w:rPr>
                      <w:rFonts w:cs="Georgia"/>
                      <w:color w:val="000000"/>
                    </w:rPr>
                  </w:pPr>
                  <w:r>
                    <w:rPr>
                      <w:rFonts w:cs="Georgia"/>
                      <w:color w:val="000000"/>
                      <w:spacing w:val="1"/>
                    </w:rPr>
                    <w:t>S</w:t>
                  </w:r>
                  <w:r>
                    <w:rPr>
                      <w:rFonts w:cs="Georgia"/>
                      <w:color w:val="000000"/>
                    </w:rPr>
                    <w:t>i</w:t>
                  </w:r>
                  <w:r>
                    <w:rPr>
                      <w:rFonts w:cs="Georgia"/>
                      <w:color w:val="000000"/>
                      <w:spacing w:val="19"/>
                    </w:rPr>
                    <w:t xml:space="preserve"> </w:t>
                  </w:r>
                  <w:r>
                    <w:rPr>
                      <w:rFonts w:cs="Georgia"/>
                      <w:color w:val="000000"/>
                      <w:spacing w:val="-1"/>
                    </w:rPr>
                    <w:t>l</w:t>
                  </w:r>
                  <w:r>
                    <w:rPr>
                      <w:rFonts w:cs="Georgia"/>
                      <w:color w:val="000000"/>
                    </w:rPr>
                    <w:t>e</w:t>
                  </w:r>
                  <w:r>
                    <w:rPr>
                      <w:rFonts w:cs="Georgia"/>
                      <w:color w:val="000000"/>
                      <w:spacing w:val="18"/>
                    </w:rPr>
                    <w:t xml:space="preserve"> </w:t>
                  </w:r>
                  <w:r>
                    <w:rPr>
                      <w:rFonts w:cs="Georgia"/>
                      <w:color w:val="000000"/>
                      <w:spacing w:val="-1"/>
                    </w:rPr>
                    <w:t>no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8"/>
                    </w:rPr>
                    <w:t xml:space="preserve"> </w:t>
                  </w:r>
                  <w:r>
                    <w:rPr>
                      <w:rFonts w:cs="Georgia"/>
                      <w:color w:val="000000"/>
                      <w:spacing w:val="-2"/>
                    </w:rPr>
                    <w:t>g</w:t>
                  </w:r>
                  <w:r>
                    <w:rPr>
                      <w:rFonts w:cs="Georgia"/>
                      <w:color w:val="000000"/>
                    </w:rPr>
                    <w:t>uide</w:t>
                  </w:r>
                  <w:r>
                    <w:rPr>
                      <w:rFonts w:cs="Georgia"/>
                      <w:color w:val="000000"/>
                      <w:spacing w:val="18"/>
                    </w:rPr>
                    <w:t xml:space="preserve"> </w:t>
                  </w:r>
                  <w:r>
                    <w:rPr>
                      <w:rFonts w:cs="Georgia"/>
                      <w:color w:val="000000"/>
                      <w:spacing w:val="-2"/>
                    </w:rPr>
                    <w:t>d</w:t>
                  </w:r>
                  <w:r>
                    <w:rPr>
                      <w:rFonts w:cs="Georgia"/>
                      <w:color w:val="000000"/>
                    </w:rPr>
                    <w:t>u</w:t>
                  </w:r>
                  <w:r>
                    <w:rPr>
                      <w:rFonts w:cs="Georgia"/>
                      <w:color w:val="000000"/>
                      <w:spacing w:val="17"/>
                    </w:rPr>
                    <w:t xml:space="preserve"> </w:t>
                  </w:r>
                  <w:r>
                    <w:rPr>
                      <w:rFonts w:cs="Georgia"/>
                      <w:color w:val="000000"/>
                      <w:spacing w:val="1"/>
                    </w:rPr>
                    <w:t>t</w:t>
                  </w:r>
                  <w:r>
                    <w:rPr>
                      <w:rFonts w:cs="Georgia"/>
                      <w:color w:val="000000"/>
                      <w:spacing w:val="-1"/>
                    </w:rPr>
                    <w:t>y</w:t>
                  </w:r>
                  <w:r>
                    <w:rPr>
                      <w:rFonts w:cs="Georgia"/>
                      <w:color w:val="000000"/>
                      <w:spacing w:val="1"/>
                    </w:rPr>
                    <w:t>p</w:t>
                  </w:r>
                  <w:r>
                    <w:rPr>
                      <w:rFonts w:cs="Georgia"/>
                      <w:color w:val="000000"/>
                    </w:rPr>
                    <w:t>e</w:t>
                  </w:r>
                  <w:r>
                    <w:rPr>
                      <w:rFonts w:cs="Georgia"/>
                      <w:color w:val="000000"/>
                      <w:spacing w:val="18"/>
                    </w:rPr>
                    <w:t xml:space="preserve"> </w:t>
                  </w:r>
                  <w:r>
                    <w:rPr>
                      <w:rFonts w:cs="Georgia"/>
                      <w:color w:val="000000"/>
                      <w:spacing w:val="-2"/>
                    </w:rPr>
                    <w:t>c</w:t>
                  </w:r>
                  <w:r>
                    <w:rPr>
                      <w:rFonts w:cs="Georgia"/>
                      <w:color w:val="000000"/>
                      <w:spacing w:val="1"/>
                    </w:rPr>
                    <w:t>o</w:t>
                  </w:r>
                  <w:r>
                    <w:rPr>
                      <w:rFonts w:cs="Georgia"/>
                      <w:color w:val="000000"/>
                      <w:spacing w:val="-1"/>
                    </w:rPr>
                    <w:t>n</w:t>
                  </w:r>
                  <w:r>
                    <w:rPr>
                      <w:rFonts w:cs="Georgia"/>
                      <w:color w:val="000000"/>
                      <w:spacing w:val="1"/>
                    </w:rPr>
                    <w:t>s</w:t>
                  </w:r>
                  <w:r>
                    <w:rPr>
                      <w:rFonts w:cs="Georgia"/>
                      <w:color w:val="000000"/>
                    </w:rPr>
                    <w:t>id</w:t>
                  </w:r>
                  <w:r>
                    <w:rPr>
                      <w:rFonts w:cs="Georgia"/>
                      <w:color w:val="000000"/>
                      <w:spacing w:val="-3"/>
                    </w:rPr>
                    <w:t>é</w:t>
                  </w:r>
                  <w:r>
                    <w:rPr>
                      <w:rFonts w:cs="Georgia"/>
                      <w:color w:val="000000"/>
                      <w:spacing w:val="1"/>
                    </w:rPr>
                    <w:t>r</w:t>
                  </w:r>
                  <w:r>
                    <w:rPr>
                      <w:rFonts w:cs="Georgia"/>
                      <w:color w:val="000000"/>
                    </w:rPr>
                    <w:t>é</w:t>
                  </w:r>
                  <w:r>
                    <w:rPr>
                      <w:rFonts w:cs="Georgia"/>
                      <w:color w:val="000000"/>
                      <w:spacing w:val="18"/>
                    </w:rPr>
                    <w:t xml:space="preserve"> </w:t>
                  </w:r>
                  <w:r>
                    <w:rPr>
                      <w:rFonts w:cs="Georgia"/>
                      <w:color w:val="000000"/>
                      <w:spacing w:val="-1"/>
                    </w:rPr>
                    <w:t>e</w:t>
                  </w:r>
                  <w:r>
                    <w:rPr>
                      <w:rFonts w:cs="Georgia"/>
                      <w:color w:val="000000"/>
                      <w:spacing w:val="1"/>
                    </w:rPr>
                    <w:t>s</w:t>
                  </w:r>
                  <w:r>
                    <w:rPr>
                      <w:rFonts w:cs="Georgia"/>
                      <w:color w:val="000000"/>
                    </w:rPr>
                    <w:t>t</w:t>
                  </w:r>
                  <w:r>
                    <w:rPr>
                      <w:rFonts w:cs="Georgia"/>
                      <w:color w:val="000000"/>
                      <w:spacing w:val="17"/>
                    </w:rPr>
                    <w:t xml:space="preserve"> </w:t>
                  </w:r>
                  <w:r>
                    <w:rPr>
                      <w:rFonts w:cs="Georgia"/>
                      <w:color w:val="000000"/>
                    </w:rPr>
                    <w:t>«</w:t>
                  </w:r>
                  <w:r>
                    <w:rPr>
                      <w:rFonts w:cs="Georgia"/>
                      <w:color w:val="000000"/>
                      <w:spacing w:val="-1"/>
                    </w:rPr>
                    <w:t xml:space="preserve"> </w:t>
                  </w:r>
                  <w:r>
                    <w:rPr>
                      <w:rFonts w:cs="Georgia"/>
                      <w:color w:val="000000"/>
                    </w:rPr>
                    <w:t>5</w:t>
                  </w:r>
                  <w:r>
                    <w:rPr>
                      <w:rFonts w:cs="Georgia"/>
                      <w:color w:val="000000"/>
                      <w:spacing w:val="1"/>
                    </w:rPr>
                    <w:t xml:space="preserve"> </w:t>
                  </w:r>
                  <w:r>
                    <w:rPr>
                      <w:rFonts w:cs="Georgia"/>
                      <w:color w:val="000000"/>
                      <w:spacing w:val="-1"/>
                    </w:rPr>
                    <w:t>»</w:t>
                  </w:r>
                  <w:r>
                    <w:rPr>
                      <w:rFonts w:cs="Georgia"/>
                      <w:color w:val="000000"/>
                    </w:rPr>
                    <w:t>,</w:t>
                  </w:r>
                  <w:r>
                    <w:rPr>
                      <w:rFonts w:cs="Georgia"/>
                      <w:color w:val="000000"/>
                      <w:spacing w:val="19"/>
                    </w:rPr>
                    <w:t xml:space="preserve"> </w:t>
                  </w:r>
                  <w:r>
                    <w:rPr>
                      <w:rFonts w:cs="Georgia"/>
                      <w:color w:val="000000"/>
                      <w:spacing w:val="-1"/>
                    </w:rPr>
                    <w:t>l</w:t>
                  </w:r>
                  <w:r>
                    <w:rPr>
                      <w:rFonts w:cs="Georgia"/>
                      <w:color w:val="000000"/>
                    </w:rPr>
                    <w:t>e</w:t>
                  </w:r>
                  <w:r>
                    <w:rPr>
                      <w:rFonts w:cs="Georgia"/>
                      <w:color w:val="000000"/>
                      <w:spacing w:val="16"/>
                    </w:rPr>
                    <w:t xml:space="preserve"> </w:t>
                  </w:r>
                  <w:r>
                    <w:rPr>
                      <w:rFonts w:cs="Georgia"/>
                      <w:color w:val="000000"/>
                      <w:spacing w:val="-1"/>
                    </w:rPr>
                    <w:t>n</w:t>
                  </w:r>
                  <w:r>
                    <w:rPr>
                      <w:rFonts w:cs="Georgia"/>
                      <w:color w:val="000000"/>
                      <w:spacing w:val="1"/>
                    </w:rPr>
                    <w:t>o</w:t>
                  </w:r>
                  <w:r>
                    <w:rPr>
                      <w:rFonts w:cs="Georgia"/>
                      <w:color w:val="000000"/>
                      <w:spacing w:val="-3"/>
                    </w:rPr>
                    <w:t>m</w:t>
                  </w:r>
                  <w:r>
                    <w:rPr>
                      <w:rFonts w:cs="Georgia"/>
                      <w:color w:val="000000"/>
                      <w:spacing w:val="1"/>
                    </w:rPr>
                    <w:t>br</w:t>
                  </w:r>
                  <w:r>
                    <w:rPr>
                      <w:rFonts w:cs="Georgia"/>
                      <w:color w:val="000000"/>
                    </w:rPr>
                    <w:t>e</w:t>
                  </w:r>
                  <w:r>
                    <w:rPr>
                      <w:rFonts w:cs="Georgia"/>
                      <w:color w:val="000000"/>
                      <w:spacing w:val="15"/>
                    </w:rPr>
                    <w:t xml:space="preserve"> </w:t>
                  </w:r>
                  <w:r>
                    <w:rPr>
                      <w:rFonts w:cs="Georgia"/>
                      <w:color w:val="000000"/>
                    </w:rPr>
                    <w:t>d’</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0"/>
                    </w:rPr>
                    <w:t xml:space="preserve"> </w:t>
                  </w:r>
                  <w:r>
                    <w:rPr>
                      <w:rFonts w:cs="Georgia"/>
                      <w:color w:val="000000"/>
                      <w:spacing w:val="-2"/>
                    </w:rPr>
                    <w:t>d</w:t>
                  </w:r>
                  <w:r>
                    <w:rPr>
                      <w:rFonts w:cs="Georgia"/>
                      <w:color w:val="000000"/>
                    </w:rPr>
                    <w:t>u</w:t>
                  </w:r>
                  <w:r>
                    <w:rPr>
                      <w:rFonts w:cs="Georgia"/>
                      <w:color w:val="000000"/>
                      <w:spacing w:val="19"/>
                    </w:rPr>
                    <w:t xml:space="preserve"> </w:t>
                  </w:r>
                  <w:r>
                    <w:rPr>
                      <w:rFonts w:cs="Georgia"/>
                      <w:color w:val="000000"/>
                      <w:spacing w:val="-2"/>
                    </w:rPr>
                    <w:t>g</w:t>
                  </w:r>
                  <w:r>
                    <w:rPr>
                      <w:rFonts w:cs="Georgia"/>
                      <w:color w:val="000000"/>
                      <w:spacing w:val="1"/>
                    </w:rPr>
                    <w:t>r</w:t>
                  </w:r>
                  <w:r>
                    <w:rPr>
                      <w:rFonts w:cs="Georgia"/>
                      <w:color w:val="000000"/>
                      <w:spacing w:val="-1"/>
                    </w:rPr>
                    <w:t>o</w:t>
                  </w:r>
                  <w:r>
                    <w:rPr>
                      <w:rFonts w:cs="Georgia"/>
                      <w:color w:val="000000"/>
                    </w:rPr>
                    <w:t>u</w:t>
                  </w:r>
                  <w:r>
                    <w:rPr>
                      <w:rFonts w:cs="Georgia"/>
                      <w:color w:val="000000"/>
                      <w:spacing w:val="1"/>
                    </w:rPr>
                    <w:t>p</w:t>
                  </w:r>
                  <w:r>
                    <w:rPr>
                      <w:rFonts w:cs="Georgia"/>
                      <w:color w:val="000000"/>
                    </w:rPr>
                    <w:t>e</w:t>
                  </w:r>
                  <w:r>
                    <w:rPr>
                      <w:rFonts w:cs="Georgia"/>
                      <w:color w:val="000000"/>
                      <w:spacing w:val="18"/>
                    </w:rPr>
                    <w:t xml:space="preserve"> </w:t>
                  </w:r>
                  <w:r>
                    <w:rPr>
                      <w:rFonts w:cs="Georgia"/>
                      <w:color w:val="000000"/>
                      <w:spacing w:val="1"/>
                    </w:rPr>
                    <w:t>s</w:t>
                  </w:r>
                  <w:r>
                    <w:rPr>
                      <w:rFonts w:cs="Georgia"/>
                      <w:color w:val="000000"/>
                      <w:spacing w:val="-3"/>
                    </w:rPr>
                    <w:t>e</w:t>
                  </w:r>
                  <w:r>
                    <w:rPr>
                      <w:rFonts w:cs="Georgia"/>
                      <w:color w:val="000000"/>
                      <w:spacing w:val="1"/>
                    </w:rPr>
                    <w:t>r</w:t>
                  </w:r>
                  <w:r>
                    <w:rPr>
                      <w:rFonts w:cs="Georgia"/>
                      <w:color w:val="000000"/>
                    </w:rPr>
                    <w:t>a</w:t>
                  </w:r>
                  <w:r>
                    <w:rPr>
                      <w:rFonts w:cs="Georgia"/>
                      <w:color w:val="000000"/>
                      <w:spacing w:val="18"/>
                    </w:rPr>
                    <w:t xml:space="preserve"> </w:t>
                  </w:r>
                  <w:r>
                    <w:rPr>
                      <w:rFonts w:cs="Georgia"/>
                      <w:color w:val="000000"/>
                    </w:rPr>
                    <w:t>m</w:t>
                  </w:r>
                  <w:r>
                    <w:rPr>
                      <w:rFonts w:cs="Georgia"/>
                      <w:color w:val="000000"/>
                      <w:spacing w:val="-1"/>
                    </w:rPr>
                    <w:t>ax</w:t>
                  </w:r>
                  <w:r>
                    <w:rPr>
                      <w:rFonts w:cs="Georgia"/>
                      <w:color w:val="000000"/>
                    </w:rPr>
                    <w:t>imum</w:t>
                  </w:r>
                  <w:r>
                    <w:rPr>
                      <w:rFonts w:cs="Georgia"/>
                      <w:color w:val="000000"/>
                      <w:spacing w:val="16"/>
                    </w:rPr>
                    <w:t xml:space="preserve"> </w:t>
                  </w:r>
                  <w:r>
                    <w:rPr>
                      <w:rFonts w:cs="Georgia"/>
                      <w:color w:val="000000"/>
                    </w:rPr>
                    <w:t>à</w:t>
                  </w:r>
                  <w:r>
                    <w:rPr>
                      <w:rFonts w:cs="Georgia"/>
                      <w:color w:val="000000"/>
                      <w:spacing w:val="16"/>
                    </w:rPr>
                    <w:t xml:space="preserve"> </w:t>
                  </w:r>
                  <w:r>
                    <w:rPr>
                      <w:rFonts w:cs="Georgia"/>
                      <w:color w:val="000000"/>
                    </w:rPr>
                    <w:t xml:space="preserve">9 </w:t>
                  </w:r>
                  <w:r>
                    <w:rPr>
                      <w:rFonts w:cs="Georgia"/>
                      <w:color w:val="000000"/>
                      <w:spacing w:val="1"/>
                    </w:rPr>
                    <w:t>(</w:t>
                  </w:r>
                  <w:r>
                    <w:rPr>
                      <w:rFonts w:cs="Georgia"/>
                      <w:color w:val="000000"/>
                      <w:spacing w:val="-2"/>
                    </w:rPr>
                    <w:t>s</w:t>
                  </w:r>
                  <w:r>
                    <w:rPr>
                      <w:rFonts w:cs="Georgia"/>
                      <w:color w:val="000000"/>
                      <w:spacing w:val="1"/>
                    </w:rPr>
                    <w:t>o</w:t>
                  </w:r>
                  <w:r>
                    <w:rPr>
                      <w:rFonts w:cs="Georgia"/>
                      <w:color w:val="000000"/>
                    </w:rPr>
                    <w:t>it =</w:t>
                  </w:r>
                  <w:r>
                    <w:rPr>
                      <w:rFonts w:cs="Georgia"/>
                      <w:color w:val="000000"/>
                      <w:spacing w:val="-1"/>
                    </w:rPr>
                    <w:t xml:space="preserve"> </w:t>
                  </w:r>
                  <w:r>
                    <w:rPr>
                      <w:rFonts w:cs="Georgia"/>
                      <w:color w:val="000000"/>
                    </w:rPr>
                    <w:t>à</w:t>
                  </w:r>
                  <w:r>
                    <w:rPr>
                      <w:rFonts w:cs="Georgia"/>
                      <w:color w:val="000000"/>
                      <w:spacing w:val="-1"/>
                    </w:rPr>
                    <w:t xml:space="preserve"> </w:t>
                  </w:r>
                  <w:r>
                    <w:rPr>
                      <w:rFonts w:cs="Georgia"/>
                      <w:color w:val="000000"/>
                    </w:rPr>
                    <w:t>2</w:t>
                  </w:r>
                  <w:r>
                    <w:rPr>
                      <w:rFonts w:cs="Georgia"/>
                      <w:color w:val="000000"/>
                      <w:spacing w:val="-1"/>
                    </w:rPr>
                    <w:t xml:space="preserve"> </w:t>
                  </w:r>
                  <w:r>
                    <w:rPr>
                      <w:rFonts w:cs="Georgia"/>
                      <w:color w:val="000000"/>
                    </w:rPr>
                    <w:t>X</w:t>
                  </w:r>
                  <w:r>
                    <w:rPr>
                      <w:rFonts w:cs="Georgia"/>
                      <w:color w:val="000000"/>
                      <w:spacing w:val="-1"/>
                    </w:rPr>
                    <w:t xml:space="preserve"> </w:t>
                  </w:r>
                  <w:r>
                    <w:rPr>
                      <w:rFonts w:cs="Georgia"/>
                      <w:color w:val="000000"/>
                    </w:rPr>
                    <w:t>5</w:t>
                  </w:r>
                  <w:r>
                    <w:rPr>
                      <w:rFonts w:cs="Georgia"/>
                      <w:color w:val="000000"/>
                      <w:spacing w:val="1"/>
                    </w:rPr>
                    <w:t xml:space="preserve"> </w:t>
                  </w:r>
                  <w:r>
                    <w:rPr>
                      <w:rFonts w:cs="Georgia"/>
                      <w:color w:val="000000"/>
                    </w:rPr>
                    <w:t xml:space="preserve">– </w:t>
                  </w:r>
                  <w:r>
                    <w:rPr>
                      <w:rFonts w:cs="Georgia"/>
                      <w:color w:val="000000"/>
                      <w:spacing w:val="-1"/>
                    </w:rPr>
                    <w:t>1</w:t>
                  </w:r>
                  <w:r>
                    <w:rPr>
                      <w:rFonts w:cs="Georgia"/>
                      <w:color w:val="000000"/>
                      <w:spacing w:val="1"/>
                    </w:rPr>
                    <w:t>)</w:t>
                  </w:r>
                  <w:r>
                    <w:rPr>
                      <w:rFonts w:cs="Georgia"/>
                      <w:color w:val="000000"/>
                    </w:rPr>
                    <w:t>.</w:t>
                  </w:r>
                </w:p>
                <w:p>
                  <w:pPr>
                    <w:widowControl w:val="0"/>
                    <w:autoSpaceDE w:val="0"/>
                    <w:autoSpaceDN w:val="0"/>
                    <w:adjustRightInd w:val="0"/>
                    <w:spacing w:before="38" w:line="250" w:lineRule="exact"/>
                    <w:jc w:val="both"/>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spacing w:val="1"/>
                    </w:rPr>
                    <w:t>S</w:t>
                  </w:r>
                  <w:r>
                    <w:rPr>
                      <w:rFonts w:cs="Georgia"/>
                      <w:color w:val="000000"/>
                    </w:rPr>
                    <w:t>i</w:t>
                  </w:r>
                  <w:r>
                    <w:rPr>
                      <w:rFonts w:cs="Georgia"/>
                      <w:color w:val="000000"/>
                      <w:spacing w:val="2"/>
                    </w:rPr>
                    <w:t xml:space="preserve"> </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 xml:space="preserve">de </w:t>
                  </w:r>
                  <w:r>
                    <w:rPr>
                      <w:rFonts w:cs="Georgia"/>
                      <w:color w:val="000000"/>
                      <w:spacing w:val="1"/>
                    </w:rPr>
                    <w:t>p</w:t>
                  </w:r>
                  <w:r>
                    <w:rPr>
                      <w:rFonts w:cs="Georgia"/>
                      <w:color w:val="000000"/>
                      <w:spacing w:val="-1"/>
                    </w:rPr>
                    <w:t>l</w:t>
                  </w:r>
                  <w:r>
                    <w:rPr>
                      <w:rFonts w:cs="Georgia"/>
                      <w:color w:val="000000"/>
                      <w:spacing w:val="-2"/>
                    </w:rPr>
                    <w:t>u</w:t>
                  </w:r>
                  <w:r>
                    <w:rPr>
                      <w:rFonts w:cs="Georgia"/>
                      <w:color w:val="000000"/>
                      <w:spacing w:val="1"/>
                    </w:rPr>
                    <w:t>s</w:t>
                  </w:r>
                  <w:r>
                    <w:rPr>
                      <w:rFonts w:cs="Georgia"/>
                      <w:color w:val="000000"/>
                    </w:rPr>
                    <w:t>i</w:t>
                  </w:r>
                  <w:r>
                    <w:rPr>
                      <w:rFonts w:cs="Georgia"/>
                      <w:color w:val="000000"/>
                      <w:spacing w:val="-3"/>
                    </w:rPr>
                    <w:t>e</w:t>
                  </w:r>
                  <w:r>
                    <w:rPr>
                      <w:rFonts w:cs="Georgia"/>
                      <w:color w:val="000000"/>
                    </w:rPr>
                    <w:t>u</w:t>
                  </w:r>
                  <w:r>
                    <w:rPr>
                      <w:rFonts w:cs="Georgia"/>
                      <w:color w:val="000000"/>
                      <w:spacing w:val="1"/>
                    </w:rPr>
                    <w:t>r</w:t>
                  </w:r>
                  <w:r>
                    <w:rPr>
                      <w:rFonts w:cs="Georgia"/>
                      <w:color w:val="000000"/>
                    </w:rPr>
                    <w:t xml:space="preserve">s </w:t>
                  </w:r>
                  <w:r>
                    <w:rPr>
                      <w:rFonts w:cs="Georgia"/>
                      <w:color w:val="000000"/>
                      <w:spacing w:val="1"/>
                    </w:rPr>
                    <w:t>t</w:t>
                  </w:r>
                  <w:r>
                    <w:rPr>
                      <w:rFonts w:cs="Georgia"/>
                      <w:color w:val="000000"/>
                      <w:spacing w:val="-1"/>
                    </w:rPr>
                    <w:t>y</w:t>
                  </w:r>
                  <w:r>
                    <w:rPr>
                      <w:rFonts w:cs="Georgia"/>
                      <w:color w:val="000000"/>
                      <w:spacing w:val="1"/>
                    </w:rPr>
                    <w:t>p</w:t>
                  </w:r>
                  <w:r>
                    <w:rPr>
                      <w:rFonts w:cs="Georgia"/>
                      <w:color w:val="000000"/>
                      <w:spacing w:val="-1"/>
                    </w:rPr>
                    <w:t>e</w:t>
                  </w:r>
                  <w:r>
                    <w:rPr>
                      <w:rFonts w:cs="Georgia"/>
                      <w:color w:val="000000"/>
                    </w:rPr>
                    <w:t>s 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3"/>
                    </w:rPr>
                    <w:t>e</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so</w:t>
                  </w:r>
                  <w:r>
                    <w:rPr>
                      <w:rFonts w:cs="Georgia"/>
                      <w:color w:val="000000"/>
                      <w:spacing w:val="-3"/>
                    </w:rPr>
                    <w:t>n</w:t>
                  </w:r>
                  <w:r>
                    <w:rPr>
                      <w:rFonts w:cs="Georgia"/>
                      <w:color w:val="000000"/>
                    </w:rPr>
                    <w:t>t</w:t>
                  </w:r>
                  <w:r>
                    <w:rPr>
                      <w:rFonts w:cs="Georgia"/>
                      <w:color w:val="000000"/>
                      <w:spacing w:val="2"/>
                    </w:rPr>
                    <w:t xml:space="preserve"> </w:t>
                  </w:r>
                  <w:r>
                    <w:rPr>
                      <w:rFonts w:cs="Georgia"/>
                      <w:color w:val="000000"/>
                      <w:spacing w:val="1"/>
                    </w:rPr>
                    <w:t>r</w:t>
                  </w:r>
                  <w:r>
                    <w:rPr>
                      <w:rFonts w:cs="Georgia"/>
                      <w:color w:val="000000"/>
                      <w:spacing w:val="-1"/>
                    </w:rPr>
                    <w:t>e</w:t>
                  </w:r>
                  <w:r>
                    <w:rPr>
                      <w:rFonts w:cs="Georgia"/>
                      <w:color w:val="000000"/>
                      <w:spacing w:val="-2"/>
                    </w:rPr>
                    <w:t>g</w:t>
                  </w:r>
                  <w:r>
                    <w:rPr>
                      <w:rFonts w:cs="Georgia"/>
                      <w:color w:val="000000"/>
                      <w:spacing w:val="1"/>
                    </w:rPr>
                    <w:t>r</w:t>
                  </w:r>
                  <w:r>
                    <w:rPr>
                      <w:rFonts w:cs="Georgia"/>
                      <w:color w:val="000000"/>
                      <w:spacing w:val="-1"/>
                    </w:rPr>
                    <w:t>o</w:t>
                  </w:r>
                  <w:r>
                    <w:rPr>
                      <w:rFonts w:cs="Georgia"/>
                      <w:color w:val="000000"/>
                    </w:rPr>
                    <w:t>u</w:t>
                  </w:r>
                  <w:r>
                    <w:rPr>
                      <w:rFonts w:cs="Georgia"/>
                      <w:color w:val="000000"/>
                      <w:spacing w:val="1"/>
                    </w:rPr>
                    <w:t>p</w:t>
                  </w:r>
                  <w:r>
                    <w:rPr>
                      <w:rFonts w:cs="Georgia"/>
                      <w:color w:val="000000"/>
                      <w:spacing w:val="-1"/>
                    </w:rPr>
                    <w:t>é</w:t>
                  </w:r>
                  <w:r>
                    <w:rPr>
                      <w:rFonts w:cs="Georgia"/>
                      <w:color w:val="000000"/>
                      <w:spacing w:val="-2"/>
                    </w:rPr>
                    <w:t>s</w:t>
                  </w:r>
                  <w:r>
                    <w:rPr>
                      <w:rFonts w:cs="Georgia"/>
                      <w:color w:val="000000"/>
                    </w:rPr>
                    <w:t>,</w:t>
                  </w:r>
                  <w:r>
                    <w:rPr>
                      <w:rFonts w:cs="Georgia"/>
                      <w:color w:val="000000"/>
                      <w:spacing w:val="2"/>
                    </w:rPr>
                    <w:t xml:space="preserve"> </w:t>
                  </w:r>
                  <w:r>
                    <w:rPr>
                      <w:rFonts w:cs="Georgia"/>
                      <w:color w:val="000000"/>
                      <w:spacing w:val="-1"/>
                    </w:rPr>
                    <w:t>l</w:t>
                  </w:r>
                  <w:r>
                    <w:rPr>
                      <w:rFonts w:cs="Georgia"/>
                      <w:color w:val="000000"/>
                    </w:rPr>
                    <w:t xml:space="preserve">e </w:t>
                  </w:r>
                  <w:r>
                    <w:rPr>
                      <w:rFonts w:cs="Georgia"/>
                      <w:color w:val="000000"/>
                      <w:spacing w:val="-1"/>
                    </w:rPr>
                    <w:t>n</w:t>
                  </w:r>
                  <w:r>
                    <w:rPr>
                      <w:rFonts w:cs="Georgia"/>
                      <w:color w:val="000000"/>
                      <w:spacing w:val="1"/>
                    </w:rPr>
                    <w:t>o</w:t>
                  </w:r>
                  <w:r>
                    <w:rPr>
                      <w:rFonts w:cs="Georgia"/>
                      <w:color w:val="000000"/>
                    </w:rPr>
                    <w:t>m</w:t>
                  </w:r>
                  <w:r>
                    <w:rPr>
                      <w:rFonts w:cs="Georgia"/>
                      <w:color w:val="000000"/>
                      <w:spacing w:val="-1"/>
                    </w:rPr>
                    <w:t>b</w:t>
                  </w:r>
                  <w:r>
                    <w:rPr>
                      <w:rFonts w:cs="Georgia"/>
                      <w:color w:val="000000"/>
                      <w:spacing w:val="1"/>
                    </w:rPr>
                    <w:t>r</w:t>
                  </w:r>
                  <w:r>
                    <w:rPr>
                      <w:rFonts w:cs="Georgia"/>
                      <w:color w:val="000000"/>
                    </w:rPr>
                    <w:t>e 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 d</w:t>
                  </w:r>
                  <w:r>
                    <w:rPr>
                      <w:rFonts w:cs="Georgia"/>
                      <w:color w:val="000000"/>
                      <w:spacing w:val="1"/>
                    </w:rPr>
                    <w:t>o</w:t>
                  </w:r>
                  <w:r>
                    <w:rPr>
                      <w:rFonts w:cs="Georgia"/>
                      <w:color w:val="000000"/>
                      <w:spacing w:val="-2"/>
                    </w:rPr>
                    <w:t>i</w:t>
                  </w:r>
                  <w:r>
                    <w:rPr>
                      <w:rFonts w:cs="Georgia"/>
                      <w:color w:val="000000"/>
                    </w:rPr>
                    <w:t>t</w:t>
                  </w:r>
                  <w:r>
                    <w:rPr>
                      <w:rFonts w:cs="Georgia"/>
                      <w:color w:val="000000"/>
                      <w:spacing w:val="2"/>
                    </w:rPr>
                    <w:t xml:space="preserve"> </w:t>
                  </w:r>
                  <w:r>
                    <w:rPr>
                      <w:rFonts w:cs="Georgia"/>
                      <w:color w:val="000000"/>
                      <w:spacing w:val="-1"/>
                    </w:rPr>
                    <w:t>ê</w:t>
                  </w:r>
                  <w:r>
                    <w:rPr>
                      <w:rFonts w:cs="Georgia"/>
                      <w:color w:val="000000"/>
                      <w:spacing w:val="-2"/>
                    </w:rPr>
                    <w:t>tr</w:t>
                  </w:r>
                  <w:r>
                    <w:rPr>
                      <w:rFonts w:cs="Georgia"/>
                      <w:color w:val="000000"/>
                    </w:rPr>
                    <w:t>e i</w:t>
                  </w:r>
                  <w:r>
                    <w:rPr>
                      <w:rFonts w:cs="Georgia"/>
                      <w:color w:val="000000"/>
                      <w:spacing w:val="-1"/>
                    </w:rPr>
                    <w:t>n</w:t>
                  </w:r>
                  <w:r>
                    <w:rPr>
                      <w:rFonts w:cs="Georgia"/>
                      <w:color w:val="000000"/>
                    </w:rPr>
                    <w:t>f</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e</w:t>
                  </w:r>
                  <w:r>
                    <w:rPr>
                      <w:rFonts w:cs="Georgia"/>
                      <w:color w:val="000000"/>
                    </w:rPr>
                    <w:t>ur</w:t>
                  </w:r>
                  <w:r>
                    <w:rPr>
                      <w:rFonts w:cs="Georgia"/>
                      <w:color w:val="000000"/>
                      <w:spacing w:val="3"/>
                    </w:rPr>
                    <w:t xml:space="preserve"> </w:t>
                  </w:r>
                  <w:r>
                    <w:rPr>
                      <w:rFonts w:cs="Georgia"/>
                      <w:color w:val="000000"/>
                      <w:spacing w:val="-1"/>
                    </w:rPr>
                    <w:t>a</w:t>
                  </w:r>
                  <w:r>
                    <w:rPr>
                      <w:rFonts w:cs="Georgia"/>
                      <w:color w:val="000000"/>
                    </w:rPr>
                    <w:t>u</w:t>
                  </w:r>
                  <w:r>
                    <w:rPr>
                      <w:rFonts w:cs="Georgia"/>
                      <w:color w:val="000000"/>
                      <w:spacing w:val="3"/>
                    </w:rPr>
                    <w:t xml:space="preserve"> </w:t>
                  </w:r>
                  <w:r>
                    <w:rPr>
                      <w:rFonts w:cs="Georgia"/>
                      <w:color w:val="000000"/>
                    </w:rPr>
                    <w:t>d</w:t>
                  </w:r>
                  <w:r>
                    <w:rPr>
                      <w:rFonts w:cs="Georgia"/>
                      <w:color w:val="000000"/>
                      <w:spacing w:val="1"/>
                    </w:rPr>
                    <w:t>o</w:t>
                  </w:r>
                  <w:r>
                    <w:rPr>
                      <w:rFonts w:cs="Georgia"/>
                      <w:color w:val="000000"/>
                      <w:spacing w:val="-2"/>
                    </w:rPr>
                    <w:t>u</w:t>
                  </w:r>
                  <w:r>
                    <w:rPr>
                      <w:rFonts w:cs="Georgia"/>
                      <w:color w:val="000000"/>
                      <w:spacing w:val="1"/>
                    </w:rPr>
                    <w:t>b</w:t>
                  </w:r>
                  <w:r>
                    <w:rPr>
                      <w:rFonts w:cs="Georgia"/>
                      <w:color w:val="000000"/>
                      <w:spacing w:val="-1"/>
                    </w:rPr>
                    <w:t>l</w:t>
                  </w:r>
                  <w:r>
                    <w:rPr>
                      <w:rFonts w:cs="Georgia"/>
                      <w:color w:val="000000"/>
                    </w:rPr>
                    <w:t>e</w:t>
                  </w:r>
                  <w:r>
                    <w:rPr>
                      <w:rFonts w:cs="Georgia"/>
                      <w:color w:val="000000"/>
                      <w:spacing w:val="1"/>
                    </w:rPr>
                    <w:t xml:space="preserve"> </w:t>
                  </w:r>
                  <w:r>
                    <w:rPr>
                      <w:rFonts w:cs="Georgia"/>
                      <w:color w:val="000000"/>
                    </w:rPr>
                    <w:t xml:space="preserve">du </w:t>
                  </w:r>
                  <w:r>
                    <w:rPr>
                      <w:rFonts w:cs="Georgia"/>
                      <w:color w:val="000000"/>
                      <w:spacing w:val="1"/>
                    </w:rPr>
                    <w:t>p</w:t>
                  </w:r>
                  <w:r>
                    <w:rPr>
                      <w:rFonts w:cs="Georgia"/>
                      <w:color w:val="000000"/>
                      <w:spacing w:val="-1"/>
                    </w:rPr>
                    <w:t>l</w:t>
                  </w:r>
                  <w:r>
                    <w:rPr>
                      <w:rFonts w:cs="Georgia"/>
                      <w:color w:val="000000"/>
                    </w:rPr>
                    <w:t>us</w:t>
                  </w:r>
                  <w:r>
                    <w:rPr>
                      <w:rFonts w:cs="Georgia"/>
                      <w:color w:val="000000"/>
                      <w:spacing w:val="3"/>
                    </w:rPr>
                    <w:t xml:space="preserve"> </w:t>
                  </w:r>
                  <w:r>
                    <w:rPr>
                      <w:rFonts w:cs="Georgia"/>
                      <w:color w:val="000000"/>
                      <w:spacing w:val="1"/>
                    </w:rPr>
                    <w:t>p</w:t>
                  </w:r>
                  <w:r>
                    <w:rPr>
                      <w:rFonts w:cs="Georgia"/>
                      <w:color w:val="000000"/>
                      <w:spacing w:val="-1"/>
                    </w:rPr>
                    <w:t>e</w:t>
                  </w:r>
                  <w:r>
                    <w:rPr>
                      <w:rFonts w:cs="Georgia"/>
                      <w:color w:val="000000"/>
                      <w:spacing w:val="1"/>
                    </w:rPr>
                    <w:t>t</w:t>
                  </w:r>
                  <w:r>
                    <w:rPr>
                      <w:rFonts w:cs="Georgia"/>
                      <w:color w:val="000000"/>
                    </w:rPr>
                    <w:t>it</w:t>
                  </w:r>
                  <w:r>
                    <w:rPr>
                      <w:rFonts w:cs="Georgia"/>
                      <w:color w:val="000000"/>
                      <w:spacing w:val="3"/>
                    </w:rPr>
                    <w:t xml:space="preserve"> </w:t>
                  </w:r>
                  <w:r>
                    <w:rPr>
                      <w:rFonts w:cs="Georgia"/>
                      <w:color w:val="000000"/>
                      <w:spacing w:val="-1"/>
                    </w:rPr>
                    <w:t>no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g</w:t>
                  </w:r>
                  <w:r>
                    <w:rPr>
                      <w:rFonts w:cs="Georgia"/>
                      <w:color w:val="000000"/>
                      <w:spacing w:val="-2"/>
                    </w:rPr>
                    <w:t>u</w:t>
                  </w:r>
                  <w:r>
                    <w:rPr>
                      <w:rFonts w:cs="Georgia"/>
                      <w:color w:val="000000"/>
                    </w:rPr>
                    <w:t>ide</w:t>
                  </w:r>
                  <w:r>
                    <w:rPr>
                      <w:rFonts w:cs="Georgia"/>
                      <w:color w:val="000000"/>
                      <w:spacing w:val="1"/>
                    </w:rPr>
                    <w:t xml:space="preserve"> </w:t>
                  </w:r>
                  <w:r>
                    <w:rPr>
                      <w:rFonts w:cs="Georgia"/>
                      <w:color w:val="000000"/>
                      <w:spacing w:val="-1"/>
                    </w:rPr>
                    <w:t>a</w:t>
                  </w:r>
                  <w:r>
                    <w:rPr>
                      <w:rFonts w:cs="Georgia"/>
                      <w:color w:val="000000"/>
                      <w:spacing w:val="1"/>
                    </w:rPr>
                    <w:t>ttr</w:t>
                  </w:r>
                  <w:r>
                    <w:rPr>
                      <w:rFonts w:cs="Georgia"/>
                      <w:color w:val="000000"/>
                      <w:spacing w:val="-2"/>
                    </w:rPr>
                    <w:t>i</w:t>
                  </w:r>
                  <w:r>
                    <w:rPr>
                      <w:rFonts w:cs="Georgia"/>
                      <w:color w:val="000000"/>
                      <w:spacing w:val="1"/>
                    </w:rPr>
                    <w:t>b</w:t>
                  </w:r>
                  <w:r>
                    <w:rPr>
                      <w:rFonts w:cs="Georgia"/>
                      <w:color w:val="000000"/>
                    </w:rPr>
                    <w:t>ué</w:t>
                  </w:r>
                  <w:r>
                    <w:rPr>
                      <w:rFonts w:cs="Georgia"/>
                      <w:color w:val="000000"/>
                      <w:spacing w:val="1"/>
                    </w:rPr>
                    <w:t xml:space="preserve"> </w:t>
                  </w:r>
                  <w:r>
                    <w:rPr>
                      <w:rFonts w:cs="Georgia"/>
                      <w:color w:val="000000"/>
                    </w:rPr>
                    <w:t>à</w:t>
                  </w:r>
                  <w:r>
                    <w:rPr>
                      <w:rFonts w:cs="Georgia"/>
                      <w:color w:val="000000"/>
                      <w:spacing w:val="2"/>
                    </w:rPr>
                    <w:t xml:space="preserve"> </w:t>
                  </w:r>
                  <w:r>
                    <w:rPr>
                      <w:rFonts w:cs="Georgia"/>
                      <w:color w:val="000000"/>
                      <w:spacing w:val="-1"/>
                    </w:rPr>
                    <w:t>l</w:t>
                  </w:r>
                  <w:r>
                    <w:rPr>
                      <w:rFonts w:cs="Georgia"/>
                      <w:color w:val="000000"/>
                      <w:spacing w:val="1"/>
                    </w:rPr>
                    <w:t>'</w:t>
                  </w:r>
                  <w:r>
                    <w:rPr>
                      <w:rFonts w:cs="Georgia"/>
                      <w:color w:val="000000"/>
                    </w:rPr>
                    <w:t>un</w:t>
                  </w:r>
                  <w:r>
                    <w:rPr>
                      <w:rFonts w:cs="Georgia"/>
                      <w:color w:val="000000"/>
                      <w:spacing w:val="2"/>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t</w:t>
                  </w:r>
                  <w:r>
                    <w:rPr>
                      <w:rFonts w:cs="Georgia"/>
                      <w:color w:val="000000"/>
                      <w:spacing w:val="-1"/>
                    </w:rPr>
                    <w:t>y</w:t>
                  </w:r>
                  <w:r>
                    <w:rPr>
                      <w:rFonts w:cs="Georgia"/>
                      <w:color w:val="000000"/>
                      <w:spacing w:val="1"/>
                    </w:rPr>
                    <w:t>p</w:t>
                  </w:r>
                  <w:r>
                    <w:rPr>
                      <w:rFonts w:cs="Georgia"/>
                      <w:color w:val="000000"/>
                      <w:spacing w:val="-1"/>
                    </w:rPr>
                    <w:t>e</w:t>
                  </w:r>
                  <w:r>
                    <w:rPr>
                      <w:rFonts w:cs="Georgia"/>
                      <w:color w:val="000000"/>
                    </w:rPr>
                    <w:t>s</w:t>
                  </w:r>
                  <w:r>
                    <w:rPr>
                      <w:rFonts w:cs="Georgia"/>
                      <w:color w:val="000000"/>
                      <w:spacing w:val="3"/>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r</w:t>
                  </w:r>
                  <w:r>
                    <w:rPr>
                      <w:rFonts w:cs="Georgia"/>
                      <w:color w:val="000000"/>
                      <w:spacing w:val="-1"/>
                    </w:rPr>
                    <w:t>e</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t</w:t>
                  </w:r>
                  <w:r>
                    <w:rPr>
                      <w:rFonts w:cs="Georgia"/>
                      <w:color w:val="000000"/>
                      <w:spacing w:val="-1"/>
                    </w:rPr>
                    <w:t>é</w:t>
                  </w:r>
                  <w:r>
                    <w:rPr>
                      <w:rFonts w:cs="Georgia"/>
                      <w:color w:val="000000"/>
                      <w:spacing w:val="-2"/>
                    </w:rPr>
                    <w:t>s</w:t>
                  </w:r>
                  <w:r>
                    <w:rPr>
                      <w:rFonts w:cs="Georgia"/>
                      <w:color w:val="000000"/>
                    </w:rPr>
                    <w:t>.</w:t>
                  </w:r>
                </w:p>
                <w:p>
                  <w:pPr>
                    <w:widowControl w:val="0"/>
                    <w:autoSpaceDE w:val="0"/>
                    <w:autoSpaceDN w:val="0"/>
                    <w:adjustRightInd w:val="0"/>
                    <w:spacing w:line="250" w:lineRule="exact"/>
                    <w:rPr>
                      <w:rFonts w:cs="Georgia"/>
                      <w:color w:val="000000"/>
                    </w:rPr>
                  </w:pPr>
                </w:p>
                <w:p>
                  <w:pPr>
                    <w:pStyle w:val="Titre5"/>
                  </w:pPr>
                  <w:r>
                    <w:t>2.4.11. Maîtres d’éducation physique</w:t>
                  </w:r>
                </w:p>
                <w:p>
                  <w:pPr>
                    <w:widowControl w:val="0"/>
                    <w:autoSpaceDE w:val="0"/>
                    <w:autoSpaceDN w:val="0"/>
                    <w:adjustRightInd w:val="0"/>
                    <w:spacing w:line="241" w:lineRule="auto"/>
                    <w:jc w:val="both"/>
                    <w:rPr>
                      <w:rFonts w:cs="Georgia"/>
                      <w:b/>
                      <w:bCs/>
                    </w:rPr>
                  </w:pPr>
                </w:p>
                <w:p>
                  <w:pPr>
                    <w:widowControl w:val="0"/>
                    <w:autoSpaceDE w:val="0"/>
                    <w:autoSpaceDN w:val="0"/>
                    <w:adjustRightInd w:val="0"/>
                    <w:spacing w:line="241" w:lineRule="auto"/>
                    <w:jc w:val="both"/>
                    <w:rPr>
                      <w:rFonts w:cs="Georgia"/>
                    </w:rPr>
                  </w:pPr>
                  <w:r>
                    <w:rPr>
                      <w:rFonts w:cs="Georgia"/>
                      <w:spacing w:val="1"/>
                    </w:rPr>
                    <w:t>L</w:t>
                  </w:r>
                  <w:r>
                    <w:rPr>
                      <w:rFonts w:cs="Georgia"/>
                    </w:rPr>
                    <w:t>e</w:t>
                  </w:r>
                  <w:r>
                    <w:rPr>
                      <w:rFonts w:cs="Georgia"/>
                      <w:spacing w:val="2"/>
                    </w:rPr>
                    <w:t xml:space="preserve"> </w:t>
                  </w:r>
                  <w:r>
                    <w:rPr>
                      <w:rFonts w:cs="Georgia"/>
                      <w:spacing w:val="-1"/>
                    </w:rPr>
                    <w:t>n</w:t>
                  </w:r>
                  <w:r>
                    <w:rPr>
                      <w:rFonts w:cs="Georgia"/>
                      <w:spacing w:val="1"/>
                    </w:rPr>
                    <w:t>o</w:t>
                  </w:r>
                  <w:r>
                    <w:rPr>
                      <w:rFonts w:cs="Georgia"/>
                    </w:rPr>
                    <w:t>m</w:t>
                  </w:r>
                  <w:r>
                    <w:rPr>
                      <w:rFonts w:cs="Georgia"/>
                      <w:spacing w:val="-1"/>
                    </w:rPr>
                    <w:t>b</w:t>
                  </w:r>
                  <w:r>
                    <w:rPr>
                      <w:rFonts w:cs="Georgia"/>
                      <w:spacing w:val="1"/>
                    </w:rPr>
                    <w:t>r</w:t>
                  </w:r>
                  <w:r>
                    <w:rPr>
                      <w:rFonts w:cs="Georgia"/>
                    </w:rPr>
                    <w:t>e</w:t>
                  </w:r>
                  <w:r>
                    <w:rPr>
                      <w:rFonts w:cs="Georgia"/>
                      <w:spacing w:val="2"/>
                    </w:rPr>
                    <w:t xml:space="preserve"> </w:t>
                  </w:r>
                  <w:r>
                    <w:rPr>
                      <w:rFonts w:cs="Georgia"/>
                    </w:rPr>
                    <w:t>de</w:t>
                  </w:r>
                  <w:r>
                    <w:rPr>
                      <w:rFonts w:cs="Georgia"/>
                      <w:spacing w:val="2"/>
                    </w:rPr>
                    <w:t xml:space="preserve"> </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spacing w:val="-2"/>
                    </w:rPr>
                    <w:t>d</w:t>
                  </w:r>
                  <w:r>
                    <w:rPr>
                      <w:rFonts w:cs="Georgia"/>
                      <w:spacing w:val="-1"/>
                    </w:rPr>
                    <w:t>e</w:t>
                  </w:r>
                  <w:r>
                    <w:rPr>
                      <w:rFonts w:cs="Georgia"/>
                    </w:rPr>
                    <w:t>s</w:t>
                  </w:r>
                  <w:r>
                    <w:rPr>
                      <w:rFonts w:cs="Georgia"/>
                      <w:spacing w:val="3"/>
                    </w:rPr>
                    <w:t xml:space="preserve"> </w:t>
                  </w:r>
                  <w:r>
                    <w:rPr>
                      <w:rFonts w:cs="Georgia"/>
                    </w:rPr>
                    <w:t>de</w:t>
                  </w:r>
                  <w:r>
                    <w:rPr>
                      <w:rFonts w:cs="Georgia"/>
                      <w:spacing w:val="2"/>
                    </w:rPr>
                    <w:t xml:space="preserve"> </w:t>
                  </w:r>
                  <w:r>
                    <w:rPr>
                      <w:rFonts w:cs="Georgia"/>
                      <w:spacing w:val="1"/>
                    </w:rPr>
                    <w:t>co</w:t>
                  </w:r>
                  <w:r>
                    <w:rPr>
                      <w:rFonts w:cs="Georgia"/>
                    </w:rPr>
                    <w:t>u</w:t>
                  </w:r>
                  <w:r>
                    <w:rPr>
                      <w:rFonts w:cs="Georgia"/>
                      <w:spacing w:val="-2"/>
                    </w:rPr>
                    <w:t>r</w:t>
                  </w:r>
                  <w:r>
                    <w:rPr>
                      <w:rFonts w:cs="Georgia"/>
                    </w:rPr>
                    <w:t>s</w:t>
                  </w:r>
                  <w:r>
                    <w:rPr>
                      <w:rFonts w:cs="Georgia"/>
                      <w:spacing w:val="3"/>
                    </w:rPr>
                    <w:t xml:space="preserve"> </w:t>
                  </w:r>
                  <w:r>
                    <w:rPr>
                      <w:rFonts w:cs="Georgia"/>
                    </w:rPr>
                    <w:t>d</w:t>
                  </w:r>
                  <w:r>
                    <w:rPr>
                      <w:rFonts w:cs="Georgia"/>
                      <w:spacing w:val="1"/>
                    </w:rPr>
                    <w:t>'</w:t>
                  </w:r>
                  <w:r>
                    <w:rPr>
                      <w:rFonts w:cs="Georgia"/>
                      <w:spacing w:val="-1"/>
                    </w:rPr>
                    <w:t>é</w:t>
                  </w:r>
                  <w:r>
                    <w:rPr>
                      <w:rFonts w:cs="Georgia"/>
                    </w:rPr>
                    <w:t>d</w:t>
                  </w:r>
                  <w:r>
                    <w:rPr>
                      <w:rFonts w:cs="Georgia"/>
                      <w:spacing w:val="-2"/>
                    </w:rPr>
                    <w:t>u</w:t>
                  </w:r>
                  <w:r>
                    <w:rPr>
                      <w:rFonts w:cs="Georgia"/>
                      <w:spacing w:val="1"/>
                    </w:rPr>
                    <w:t>c</w:t>
                  </w:r>
                  <w:r>
                    <w:rPr>
                      <w:rFonts w:cs="Georgia"/>
                      <w:spacing w:val="-1"/>
                    </w:rPr>
                    <w:t>a</w:t>
                  </w:r>
                  <w:r>
                    <w:rPr>
                      <w:rFonts w:cs="Georgia"/>
                      <w:spacing w:val="1"/>
                    </w:rPr>
                    <w:t>t</w:t>
                  </w:r>
                  <w:r>
                    <w:rPr>
                      <w:rFonts w:cs="Georgia"/>
                      <w:spacing w:val="-2"/>
                    </w:rPr>
                    <w:t>i</w:t>
                  </w:r>
                  <w:r>
                    <w:rPr>
                      <w:rFonts w:cs="Georgia"/>
                      <w:spacing w:val="1"/>
                    </w:rPr>
                    <w:t>o</w:t>
                  </w:r>
                  <w:r>
                    <w:rPr>
                      <w:rFonts w:cs="Georgia"/>
                    </w:rPr>
                    <w:t>n</w:t>
                  </w:r>
                  <w:r>
                    <w:rPr>
                      <w:rFonts w:cs="Georgia"/>
                      <w:spacing w:val="2"/>
                    </w:rPr>
                    <w:t xml:space="preserve"> </w:t>
                  </w:r>
                  <w:r>
                    <w:rPr>
                      <w:rFonts w:cs="Georgia"/>
                      <w:spacing w:val="1"/>
                    </w:rPr>
                    <w:t>ph</w:t>
                  </w:r>
                  <w:r>
                    <w:rPr>
                      <w:rFonts w:cs="Georgia"/>
                      <w:spacing w:val="-3"/>
                    </w:rPr>
                    <w:t>y</w:t>
                  </w:r>
                  <w:r>
                    <w:rPr>
                      <w:rFonts w:cs="Georgia"/>
                      <w:spacing w:val="1"/>
                    </w:rPr>
                    <w:t>s</w:t>
                  </w:r>
                  <w:r>
                    <w:rPr>
                      <w:rFonts w:cs="Georgia"/>
                    </w:rPr>
                    <w:t>i</w:t>
                  </w:r>
                  <w:r>
                    <w:rPr>
                      <w:rFonts w:cs="Georgia"/>
                      <w:spacing w:val="-1"/>
                    </w:rPr>
                    <w:t>q</w:t>
                  </w:r>
                  <w:r>
                    <w:rPr>
                      <w:rFonts w:cs="Georgia"/>
                    </w:rPr>
                    <w:t>ue</w:t>
                  </w:r>
                  <w:r>
                    <w:rPr>
                      <w:rFonts w:cs="Georgia"/>
                      <w:spacing w:val="2"/>
                    </w:rPr>
                    <w:t xml:space="preserve"> </w:t>
                  </w:r>
                  <w:r>
                    <w:rPr>
                      <w:rFonts w:cs="Georgia"/>
                      <w:spacing w:val="-1"/>
                    </w:rPr>
                    <w:t>q</w:t>
                  </w:r>
                  <w:r>
                    <w:rPr>
                      <w:rFonts w:cs="Georgia"/>
                    </w:rPr>
                    <w:t>ui</w:t>
                  </w:r>
                  <w:r>
                    <w:rPr>
                      <w:rFonts w:cs="Georgia"/>
                      <w:spacing w:val="3"/>
                    </w:rPr>
                    <w:t xml:space="preserve"> </w:t>
                  </w:r>
                  <w:r>
                    <w:rPr>
                      <w:rFonts w:cs="Georgia"/>
                    </w:rPr>
                    <w:t>d</w:t>
                  </w:r>
                  <w:r>
                    <w:rPr>
                      <w:rFonts w:cs="Georgia"/>
                      <w:spacing w:val="1"/>
                    </w:rPr>
                    <w:t>o</w:t>
                  </w:r>
                  <w:r>
                    <w:rPr>
                      <w:rFonts w:cs="Georgia"/>
                    </w:rPr>
                    <w:t>it</w:t>
                  </w:r>
                  <w:r>
                    <w:rPr>
                      <w:rFonts w:cs="Georgia"/>
                      <w:spacing w:val="4"/>
                    </w:rPr>
                    <w:t xml:space="preserve"> </w:t>
                  </w:r>
                  <w:r>
                    <w:rPr>
                      <w:rFonts w:cs="Georgia"/>
                      <w:spacing w:val="-1"/>
                    </w:rPr>
                    <w:t>ê</w:t>
                  </w:r>
                  <w:r>
                    <w:rPr>
                      <w:rFonts w:cs="Georgia"/>
                      <w:spacing w:val="-2"/>
                    </w:rPr>
                    <w:t>t</w:t>
                  </w:r>
                  <w:r>
                    <w:rPr>
                      <w:rFonts w:cs="Georgia"/>
                      <w:spacing w:val="1"/>
                    </w:rPr>
                    <w:t>r</w:t>
                  </w:r>
                  <w:r>
                    <w:rPr>
                      <w:rFonts w:cs="Georgia"/>
                    </w:rPr>
                    <w:t>e</w:t>
                  </w:r>
                  <w:r>
                    <w:rPr>
                      <w:rFonts w:cs="Georgia"/>
                      <w:spacing w:val="2"/>
                    </w:rPr>
                    <w:t xml:space="preserve"> </w:t>
                  </w:r>
                  <w:r>
                    <w:rPr>
                      <w:rFonts w:cs="Georgia"/>
                      <w:spacing w:val="-1"/>
                    </w:rPr>
                    <w:t>o</w:t>
                  </w:r>
                  <w:r>
                    <w:rPr>
                      <w:rFonts w:cs="Georgia"/>
                      <w:spacing w:val="1"/>
                    </w:rPr>
                    <w:t>r</w:t>
                  </w:r>
                  <w:r>
                    <w:rPr>
                      <w:rFonts w:cs="Georgia"/>
                    </w:rPr>
                    <w:t>g</w:t>
                  </w:r>
                  <w:r>
                    <w:rPr>
                      <w:rFonts w:cs="Georgia"/>
                      <w:spacing w:val="-1"/>
                    </w:rPr>
                    <w:t>an</w:t>
                  </w:r>
                  <w:r>
                    <w:rPr>
                      <w:rFonts w:cs="Georgia"/>
                    </w:rPr>
                    <w:t>i</w:t>
                  </w:r>
                  <w:r>
                    <w:rPr>
                      <w:rFonts w:cs="Georgia"/>
                      <w:spacing w:val="1"/>
                    </w:rPr>
                    <w:t>s</w:t>
                  </w:r>
                  <w:r>
                    <w:rPr>
                      <w:rFonts w:cs="Georgia"/>
                    </w:rPr>
                    <w:t>é</w:t>
                  </w:r>
                  <w:r>
                    <w:rPr>
                      <w:rFonts w:cs="Georgia"/>
                      <w:spacing w:val="2"/>
                    </w:rPr>
                    <w:t xml:space="preserve"> </w:t>
                  </w:r>
                  <w:r>
                    <w:rPr>
                      <w:rFonts w:cs="Georgia"/>
                      <w:spacing w:val="-1"/>
                    </w:rPr>
                    <w:t>e</w:t>
                  </w:r>
                  <w:r>
                    <w:rPr>
                      <w:rFonts w:cs="Georgia"/>
                      <w:spacing w:val="1"/>
                    </w:rPr>
                    <w:t>s</w:t>
                  </w:r>
                  <w:r>
                    <w:rPr>
                      <w:rFonts w:cs="Georgia"/>
                    </w:rPr>
                    <w:t>t</w:t>
                  </w:r>
                  <w:r>
                    <w:rPr>
                      <w:rFonts w:cs="Georgia"/>
                      <w:spacing w:val="4"/>
                    </w:rPr>
                    <w:t xml:space="preserve"> </w:t>
                  </w:r>
                  <w:r>
                    <w:rPr>
                      <w:rFonts w:cs="Georgia"/>
                    </w:rPr>
                    <w:t>fi</w:t>
                  </w:r>
                  <w:r>
                    <w:rPr>
                      <w:rFonts w:cs="Georgia"/>
                      <w:spacing w:val="-1"/>
                    </w:rPr>
                    <w:t>x</w:t>
                  </w:r>
                  <w:r>
                    <w:rPr>
                      <w:rFonts w:cs="Georgia"/>
                    </w:rPr>
                    <w:t>é</w:t>
                  </w:r>
                  <w:r>
                    <w:rPr>
                      <w:rFonts w:cs="Georgia"/>
                      <w:spacing w:val="2"/>
                    </w:rPr>
                    <w:t xml:space="preserve"> </w:t>
                  </w:r>
                  <w:r>
                    <w:rPr>
                      <w:rFonts w:cs="Georgia"/>
                    </w:rPr>
                    <w:t>à</w:t>
                  </w:r>
                  <w:r>
                    <w:rPr>
                      <w:rFonts w:cs="Georgia"/>
                      <w:spacing w:val="2"/>
                    </w:rPr>
                    <w:t xml:space="preserve"> </w:t>
                  </w:r>
                  <w:r>
                    <w:rPr>
                      <w:rFonts w:cs="Georgia"/>
                    </w:rPr>
                    <w:t xml:space="preserve">2 </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p</w:t>
                  </w:r>
                  <w:r>
                    <w:rPr>
                      <w:rFonts w:cs="Georgia"/>
                      <w:spacing w:val="-3"/>
                    </w:rPr>
                    <w:t>a</w:t>
                  </w:r>
                  <w:r>
                    <w:rPr>
                      <w:rFonts w:cs="Georgia"/>
                    </w:rPr>
                    <w:t xml:space="preserve">r </w:t>
                  </w:r>
                  <w:r>
                    <w:rPr>
                      <w:rFonts w:cs="Georgia"/>
                      <w:spacing w:val="1"/>
                    </w:rPr>
                    <w:t>c</w:t>
                  </w:r>
                  <w:r>
                    <w:rPr>
                      <w:rFonts w:cs="Georgia"/>
                      <w:spacing w:val="-1"/>
                    </w:rPr>
                    <w:t>la</w:t>
                  </w:r>
                  <w:r>
                    <w:rPr>
                      <w:rFonts w:cs="Georgia"/>
                      <w:spacing w:val="1"/>
                    </w:rPr>
                    <w:t>ss</w:t>
                  </w:r>
                  <w:r>
                    <w:rPr>
                      <w:rFonts w:cs="Georgia"/>
                      <w:spacing w:val="-1"/>
                    </w:rPr>
                    <w:t>e</w:t>
                  </w:r>
                  <w:r>
                    <w:rPr>
                      <w:rFonts w:cs="Georgia"/>
                    </w:rPr>
                    <w:t>.</w:t>
                  </w:r>
                </w:p>
                <w:p>
                  <w:pPr>
                    <w:widowControl w:val="0"/>
                    <w:autoSpaceDE w:val="0"/>
                    <w:autoSpaceDN w:val="0"/>
                    <w:adjustRightInd w:val="0"/>
                    <w:spacing w:before="7" w:line="240" w:lineRule="exact"/>
                    <w:jc w:val="both"/>
                    <w:rPr>
                      <w:rFonts w:cs="Georgia"/>
                    </w:rPr>
                  </w:pPr>
                </w:p>
                <w:p>
                  <w:pPr>
                    <w:widowControl w:val="0"/>
                    <w:autoSpaceDE w:val="0"/>
                    <w:autoSpaceDN w:val="0"/>
                    <w:adjustRightInd w:val="0"/>
                    <w:jc w:val="both"/>
                    <w:rPr>
                      <w:rFonts w:cs="Georgia"/>
                    </w:rPr>
                  </w:pPr>
                  <w:r>
                    <w:rPr>
                      <w:rFonts w:cs="Georgia"/>
                    </w:rPr>
                    <w:t>En</w:t>
                  </w:r>
                  <w:r>
                    <w:rPr>
                      <w:rFonts w:cs="Georgia"/>
                      <w:spacing w:val="-1"/>
                    </w:rPr>
                    <w:t xml:space="preserve"> </w:t>
                  </w:r>
                  <w:r>
                    <w:rPr>
                      <w:rFonts w:cs="Georgia"/>
                      <w:spacing w:val="1"/>
                    </w:rPr>
                    <w:t>o</w:t>
                  </w:r>
                  <w:r>
                    <w:rPr>
                      <w:rFonts w:cs="Georgia"/>
                    </w:rPr>
                    <w:t>u</w:t>
                  </w:r>
                  <w:r>
                    <w:rPr>
                      <w:rFonts w:cs="Georgia"/>
                      <w:spacing w:val="1"/>
                    </w:rPr>
                    <w:t>tr</w:t>
                  </w:r>
                  <w:r>
                    <w:rPr>
                      <w:rFonts w:cs="Georgia"/>
                      <w:spacing w:val="-1"/>
                    </w:rPr>
                    <w:t>e</w:t>
                  </w:r>
                  <w:r>
                    <w:rPr>
                      <w:rFonts w:cs="Georgia"/>
                    </w:rPr>
                    <w:t xml:space="preserve">, </w:t>
                  </w:r>
                  <w:r>
                    <w:rPr>
                      <w:rFonts w:cs="Georgia"/>
                      <w:spacing w:val="1"/>
                    </w:rPr>
                    <w:t>s</w:t>
                  </w:r>
                  <w:r>
                    <w:rPr>
                      <w:rFonts w:cs="Georgia"/>
                    </w:rPr>
                    <w:t xml:space="preserve">i </w:t>
                  </w:r>
                  <w:r>
                    <w:rPr>
                      <w:rFonts w:cs="Georgia"/>
                      <w:spacing w:val="-1"/>
                    </w:rPr>
                    <w:t>elle</w:t>
                  </w:r>
                  <w:r>
                    <w:rPr>
                      <w:rFonts w:cs="Georgia"/>
                    </w:rPr>
                    <w:t xml:space="preserve">s </w:t>
                  </w:r>
                  <w:r>
                    <w:rPr>
                      <w:rFonts w:cs="Georgia"/>
                      <w:spacing w:val="1"/>
                    </w:rPr>
                    <w:t>so</w:t>
                  </w:r>
                  <w:r>
                    <w:rPr>
                      <w:rFonts w:cs="Georgia"/>
                      <w:spacing w:val="-1"/>
                    </w:rPr>
                    <w:t>n</w:t>
                  </w:r>
                  <w:r>
                    <w:rPr>
                      <w:rFonts w:cs="Georgia"/>
                    </w:rPr>
                    <w:t xml:space="preserve">t </w:t>
                  </w:r>
                  <w:r>
                    <w:rPr>
                      <w:rFonts w:cs="Georgia"/>
                      <w:spacing w:val="-1"/>
                    </w:rPr>
                    <w:t>p</w:t>
                  </w:r>
                  <w:r>
                    <w:rPr>
                      <w:rFonts w:cs="Georgia"/>
                      <w:spacing w:val="1"/>
                    </w:rPr>
                    <w:t>r</w:t>
                  </w:r>
                  <w:r>
                    <w:rPr>
                      <w:rFonts w:cs="Georgia"/>
                      <w:spacing w:val="-1"/>
                    </w:rPr>
                    <w:t>é</w:t>
                  </w:r>
                  <w:r>
                    <w:rPr>
                      <w:rFonts w:cs="Georgia"/>
                      <w:spacing w:val="1"/>
                    </w:rPr>
                    <w:t>v</w:t>
                  </w:r>
                  <w:r>
                    <w:rPr>
                      <w:rFonts w:cs="Georgia"/>
                    </w:rPr>
                    <w:t>u</w:t>
                  </w:r>
                  <w:r>
                    <w:rPr>
                      <w:rFonts w:cs="Georgia"/>
                      <w:spacing w:val="-1"/>
                    </w:rPr>
                    <w:t>e</w:t>
                  </w:r>
                  <w:r>
                    <w:rPr>
                      <w:rFonts w:cs="Georgia"/>
                    </w:rPr>
                    <w:t>s d</w:t>
                  </w:r>
                  <w:r>
                    <w:rPr>
                      <w:rFonts w:cs="Georgia"/>
                      <w:spacing w:val="-1"/>
                    </w:rPr>
                    <w:t>an</w:t>
                  </w:r>
                  <w:r>
                    <w:rPr>
                      <w:rFonts w:cs="Georgia"/>
                    </w:rPr>
                    <w:t xml:space="preserve">s </w:t>
                  </w:r>
                  <w:r>
                    <w:rPr>
                      <w:rFonts w:cs="Georgia"/>
                      <w:spacing w:val="-1"/>
                    </w:rPr>
                    <w:t>l</w:t>
                  </w:r>
                  <w:r>
                    <w:rPr>
                      <w:rFonts w:cs="Georgia"/>
                    </w:rPr>
                    <w:t>a</w:t>
                  </w:r>
                  <w:r>
                    <w:rPr>
                      <w:rFonts w:cs="Georgia"/>
                      <w:spacing w:val="-1"/>
                    </w:rPr>
                    <w:t xml:space="preserve"> </w:t>
                  </w:r>
                  <w:r>
                    <w:rPr>
                      <w:rFonts w:cs="Georgia"/>
                    </w:rPr>
                    <w:t>g</w:t>
                  </w:r>
                  <w:r>
                    <w:rPr>
                      <w:rFonts w:cs="Georgia"/>
                      <w:spacing w:val="1"/>
                    </w:rPr>
                    <w:t>r</w:t>
                  </w:r>
                  <w:r>
                    <w:rPr>
                      <w:rFonts w:cs="Georgia"/>
                    </w:rPr>
                    <w:t>i</w:t>
                  </w:r>
                  <w:r>
                    <w:rPr>
                      <w:rFonts w:cs="Georgia"/>
                      <w:spacing w:val="-1"/>
                    </w:rPr>
                    <w:t>ll</w:t>
                  </w:r>
                  <w:r>
                    <w:rPr>
                      <w:rFonts w:cs="Georgia"/>
                    </w:rPr>
                    <w:t>e</w:t>
                  </w:r>
                  <w:r>
                    <w:rPr>
                      <w:rFonts w:cs="Georgia"/>
                      <w:spacing w:val="-1"/>
                    </w:rPr>
                    <w:t xml:space="preserve"> </w:t>
                  </w:r>
                  <w:r>
                    <w:rPr>
                      <w:rFonts w:cs="Georgia"/>
                      <w:spacing w:val="1"/>
                    </w:rPr>
                    <w:t>hor</w:t>
                  </w:r>
                  <w:r>
                    <w:rPr>
                      <w:rFonts w:cs="Georgia"/>
                      <w:spacing w:val="-1"/>
                    </w:rPr>
                    <w:t>a</w:t>
                  </w:r>
                  <w:r>
                    <w:rPr>
                      <w:rFonts w:cs="Georgia"/>
                    </w:rPr>
                    <w:t>i</w:t>
                  </w:r>
                  <w:r>
                    <w:rPr>
                      <w:rFonts w:cs="Georgia"/>
                      <w:spacing w:val="-2"/>
                    </w:rPr>
                    <w:t>r</w:t>
                  </w:r>
                  <w:r>
                    <w:rPr>
                      <w:rFonts w:cs="Georgia"/>
                    </w:rPr>
                    <w:t>e</w:t>
                  </w:r>
                  <w:r>
                    <w:rPr>
                      <w:rFonts w:cs="Georgia"/>
                      <w:spacing w:val="-1"/>
                    </w:rPr>
                    <w:t xml:space="preserve"> a</w:t>
                  </w:r>
                  <w:r>
                    <w:rPr>
                      <w:rFonts w:cs="Georgia"/>
                      <w:spacing w:val="1"/>
                    </w:rPr>
                    <w:t>rr</w:t>
                  </w:r>
                  <w:r>
                    <w:rPr>
                      <w:rFonts w:cs="Georgia"/>
                      <w:spacing w:val="-1"/>
                    </w:rPr>
                    <w:t>ê</w:t>
                  </w:r>
                  <w:r>
                    <w:rPr>
                      <w:rFonts w:cs="Georgia"/>
                      <w:spacing w:val="1"/>
                    </w:rPr>
                    <w:t>t</w:t>
                  </w:r>
                  <w:r>
                    <w:rPr>
                      <w:rFonts w:cs="Georgia"/>
                      <w:spacing w:val="-1"/>
                    </w:rPr>
                    <w:t>é</w:t>
                  </w:r>
                  <w:r>
                    <w:rPr>
                      <w:rFonts w:cs="Georgia"/>
                    </w:rPr>
                    <w:t>e</w:t>
                  </w:r>
                  <w:r>
                    <w:rPr>
                      <w:rFonts w:cs="Georgia"/>
                      <w:spacing w:val="-1"/>
                    </w:rPr>
                    <w:t xml:space="preserve"> </w:t>
                  </w:r>
                  <w:r>
                    <w:rPr>
                      <w:rFonts w:cs="Georgia"/>
                      <w:spacing w:val="1"/>
                    </w:rPr>
                    <w:t>p</w:t>
                  </w:r>
                  <w:r>
                    <w:rPr>
                      <w:rFonts w:cs="Georgia"/>
                      <w:spacing w:val="-1"/>
                    </w:rPr>
                    <w:t>a</w:t>
                  </w:r>
                  <w:r>
                    <w:rPr>
                      <w:rFonts w:cs="Georgia"/>
                    </w:rPr>
                    <w:t xml:space="preserve">r </w:t>
                  </w:r>
                  <w:r>
                    <w:rPr>
                      <w:rFonts w:cs="Georgia"/>
                      <w:spacing w:val="-1"/>
                    </w:rPr>
                    <w:t>l</w:t>
                  </w:r>
                  <w:r>
                    <w:rPr>
                      <w:rFonts w:cs="Georgia"/>
                    </w:rPr>
                    <w:t>e</w:t>
                  </w:r>
                  <w:r>
                    <w:rPr>
                      <w:rFonts w:cs="Georgia"/>
                      <w:spacing w:val="-1"/>
                    </w:rPr>
                    <w:t xml:space="preserve"> </w:t>
                  </w:r>
                  <w:r>
                    <w:rPr>
                      <w:rFonts w:cs="Georgia"/>
                    </w:rPr>
                    <w:t>P</w:t>
                  </w:r>
                  <w:r>
                    <w:rPr>
                      <w:rFonts w:cs="Georgia"/>
                      <w:spacing w:val="1"/>
                    </w:rPr>
                    <w:t>o</w:t>
                  </w:r>
                  <w:r>
                    <w:rPr>
                      <w:rFonts w:cs="Georgia"/>
                    </w:rPr>
                    <w:t>u</w:t>
                  </w:r>
                  <w:r>
                    <w:rPr>
                      <w:rFonts w:cs="Georgia"/>
                      <w:spacing w:val="1"/>
                    </w:rPr>
                    <w:t>vo</w:t>
                  </w:r>
                  <w:r>
                    <w:rPr>
                      <w:rFonts w:cs="Georgia"/>
                    </w:rPr>
                    <w:t>ir</w:t>
                  </w:r>
                  <w:r>
                    <w:rPr>
                      <w:rFonts w:cs="Georgia"/>
                      <w:spacing w:val="-2"/>
                    </w:rPr>
                    <w:t xml:space="preserve"> </w:t>
                  </w:r>
                  <w:r>
                    <w:rPr>
                      <w:rFonts w:cs="Georgia"/>
                      <w:spacing w:val="-1"/>
                    </w:rPr>
                    <w:t>O</w:t>
                  </w:r>
                  <w:r>
                    <w:rPr>
                      <w:rFonts w:cs="Georgia"/>
                      <w:spacing w:val="1"/>
                    </w:rPr>
                    <w:t>r</w:t>
                  </w:r>
                  <w:r>
                    <w:rPr>
                      <w:rFonts w:cs="Georgia"/>
                    </w:rPr>
                    <w:t>g</w:t>
                  </w:r>
                  <w:r>
                    <w:rPr>
                      <w:rFonts w:cs="Georgia"/>
                      <w:spacing w:val="-1"/>
                    </w:rPr>
                    <w:t>an</w:t>
                  </w:r>
                  <w:r>
                    <w:rPr>
                      <w:rFonts w:cs="Georgia"/>
                    </w:rPr>
                    <w:t>i</w:t>
                  </w:r>
                  <w:r>
                    <w:rPr>
                      <w:rFonts w:cs="Georgia"/>
                      <w:spacing w:val="1"/>
                    </w:rPr>
                    <w:t>s</w:t>
                  </w:r>
                  <w:r>
                    <w:rPr>
                      <w:rFonts w:cs="Georgia"/>
                      <w:spacing w:val="-1"/>
                    </w:rPr>
                    <w:t>a</w:t>
                  </w:r>
                  <w:r>
                    <w:rPr>
                      <w:rFonts w:cs="Georgia"/>
                      <w:spacing w:val="1"/>
                    </w:rPr>
                    <w:t>t</w:t>
                  </w:r>
                  <w:r>
                    <w:rPr>
                      <w:rFonts w:cs="Georgia"/>
                      <w:spacing w:val="-1"/>
                    </w:rPr>
                    <w:t>e</w:t>
                  </w:r>
                  <w:r>
                    <w:rPr>
                      <w:rFonts w:cs="Georgia"/>
                    </w:rPr>
                    <w:t>u</w:t>
                  </w:r>
                  <w:r>
                    <w:rPr>
                      <w:rFonts w:cs="Georgia"/>
                      <w:spacing w:val="-2"/>
                    </w:rPr>
                    <w:t>r</w:t>
                  </w:r>
                  <w:r>
                    <w:rPr>
                      <w:rFonts w:cs="Georgia"/>
                    </w:rPr>
                    <w:t xml:space="preserve">, </w:t>
                  </w:r>
                  <w:r>
                    <w:rPr>
                      <w:rFonts w:cs="Georgia"/>
                      <w:spacing w:val="1"/>
                    </w:rPr>
                    <w:t>1</w:t>
                  </w:r>
                  <w:r>
                    <w:rPr>
                      <w:rFonts w:cs="Georgia"/>
                    </w:rPr>
                    <w:t>, 2</w:t>
                  </w:r>
                  <w:r>
                    <w:rPr>
                      <w:rFonts w:cs="Georgia"/>
                      <w:spacing w:val="-1"/>
                    </w:rPr>
                    <w:t xml:space="preserve"> o</w:t>
                  </w:r>
                  <w:r>
                    <w:rPr>
                      <w:rFonts w:cs="Georgia"/>
                    </w:rPr>
                    <w:t xml:space="preserve">u 3 </w:t>
                  </w:r>
                  <w:r>
                    <w:rPr>
                      <w:rFonts w:cs="Georgia"/>
                      <w:spacing w:val="1"/>
                    </w:rPr>
                    <w:t>p</w:t>
                  </w:r>
                  <w:r>
                    <w:rPr>
                      <w:rFonts w:cs="Georgia"/>
                      <w:spacing w:val="-3"/>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48"/>
                    </w:rPr>
                    <w:t xml:space="preserve"> </w:t>
                  </w:r>
                  <w:r>
                    <w:rPr>
                      <w:rFonts w:cs="Georgia"/>
                      <w:spacing w:val="-2"/>
                    </w:rPr>
                    <w:t>d</w:t>
                  </w:r>
                  <w:r>
                    <w:rPr>
                      <w:rFonts w:cs="Georgia"/>
                    </w:rPr>
                    <w:t>’</w:t>
                  </w:r>
                  <w:r>
                    <w:rPr>
                      <w:rFonts w:cs="Georgia"/>
                      <w:spacing w:val="-1"/>
                    </w:rPr>
                    <w:t>a</w:t>
                  </w:r>
                  <w:r>
                    <w:rPr>
                      <w:rFonts w:cs="Georgia"/>
                      <w:spacing w:val="1"/>
                    </w:rPr>
                    <w:t>ct</w:t>
                  </w:r>
                  <w:r>
                    <w:rPr>
                      <w:rFonts w:cs="Georgia"/>
                      <w:spacing w:val="-2"/>
                    </w:rPr>
                    <w:t>i</w:t>
                  </w:r>
                  <w:r>
                    <w:rPr>
                      <w:rFonts w:cs="Georgia"/>
                      <w:spacing w:val="1"/>
                    </w:rPr>
                    <w:t>v</w:t>
                  </w:r>
                  <w:r>
                    <w:rPr>
                      <w:rFonts w:cs="Georgia"/>
                    </w:rPr>
                    <w:t>i</w:t>
                  </w:r>
                  <w:r>
                    <w:rPr>
                      <w:rFonts w:cs="Georgia"/>
                      <w:spacing w:val="1"/>
                    </w:rPr>
                    <w:t>t</w:t>
                  </w:r>
                  <w:r>
                    <w:rPr>
                      <w:rFonts w:cs="Georgia"/>
                    </w:rPr>
                    <w:t xml:space="preserve">é </w:t>
                  </w:r>
                  <w:r>
                    <w:rPr>
                      <w:rFonts w:cs="Georgia"/>
                      <w:spacing w:val="-1"/>
                    </w:rPr>
                    <w:t>p</w:t>
                  </w:r>
                  <w:r>
                    <w:rPr>
                      <w:rFonts w:cs="Georgia"/>
                      <w:spacing w:val="1"/>
                    </w:rPr>
                    <w:t>s</w:t>
                  </w:r>
                  <w:r>
                    <w:rPr>
                      <w:rFonts w:cs="Georgia"/>
                      <w:spacing w:val="-1"/>
                    </w:rPr>
                    <w:t>y</w:t>
                  </w:r>
                  <w:r>
                    <w:rPr>
                      <w:rFonts w:cs="Georgia"/>
                      <w:spacing w:val="1"/>
                    </w:rPr>
                    <w:t>c</w:t>
                  </w:r>
                  <w:r>
                    <w:rPr>
                      <w:rFonts w:cs="Georgia"/>
                      <w:spacing w:val="-1"/>
                    </w:rPr>
                    <w:t>h</w:t>
                  </w:r>
                  <w:r>
                    <w:rPr>
                      <w:rFonts w:cs="Georgia"/>
                      <w:spacing w:val="1"/>
                    </w:rPr>
                    <w:t>o</w:t>
                  </w:r>
                  <w:r>
                    <w:rPr>
                      <w:rFonts w:cs="Georgia"/>
                      <w:spacing w:val="-3"/>
                    </w:rPr>
                    <w:t>m</w:t>
                  </w:r>
                  <w:r>
                    <w:rPr>
                      <w:rFonts w:cs="Georgia"/>
                      <w:spacing w:val="1"/>
                    </w:rPr>
                    <w:t>ot</w:t>
                  </w:r>
                  <w:r>
                    <w:rPr>
                      <w:rFonts w:cs="Georgia"/>
                      <w:spacing w:val="-2"/>
                    </w:rPr>
                    <w:t>r</w:t>
                  </w:r>
                  <w:r>
                    <w:rPr>
                      <w:rFonts w:cs="Georgia"/>
                    </w:rPr>
                    <w:t>i</w:t>
                  </w:r>
                  <w:r>
                    <w:rPr>
                      <w:rFonts w:cs="Georgia"/>
                      <w:spacing w:val="1"/>
                    </w:rPr>
                    <w:t>c</w:t>
                  </w:r>
                  <w:r>
                    <w:rPr>
                      <w:rFonts w:cs="Georgia"/>
                    </w:rPr>
                    <w:t xml:space="preserve">e </w:t>
                  </w:r>
                  <w:r>
                    <w:rPr>
                      <w:rFonts w:cs="Georgia"/>
                      <w:spacing w:val="1"/>
                    </w:rPr>
                    <w:t>o</w:t>
                  </w:r>
                  <w:r>
                    <w:rPr>
                      <w:rFonts w:cs="Georgia"/>
                    </w:rPr>
                    <w:t>u</w:t>
                  </w:r>
                  <w:r>
                    <w:rPr>
                      <w:rFonts w:cs="Georgia"/>
                      <w:spacing w:val="45"/>
                    </w:rPr>
                    <w:t xml:space="preserve"> </w:t>
                  </w:r>
                  <w:r>
                    <w:rPr>
                      <w:rFonts w:cs="Georgia"/>
                      <w:spacing w:val="1"/>
                    </w:rPr>
                    <w:t>s</w:t>
                  </w:r>
                  <w:r>
                    <w:rPr>
                      <w:rFonts w:cs="Georgia"/>
                      <w:spacing w:val="-1"/>
                    </w:rPr>
                    <w:t>p</w:t>
                  </w:r>
                  <w:r>
                    <w:rPr>
                      <w:rFonts w:cs="Georgia"/>
                      <w:spacing w:val="1"/>
                    </w:rPr>
                    <w:t>o</w:t>
                  </w:r>
                  <w:r>
                    <w:rPr>
                      <w:rFonts w:cs="Georgia"/>
                      <w:spacing w:val="-2"/>
                    </w:rPr>
                    <w:t>r</w:t>
                  </w:r>
                  <w:r>
                    <w:rPr>
                      <w:rFonts w:cs="Georgia"/>
                      <w:spacing w:val="1"/>
                    </w:rPr>
                    <w:t>t</w:t>
                  </w:r>
                  <w:r>
                    <w:rPr>
                      <w:rFonts w:cs="Georgia"/>
                      <w:spacing w:val="-2"/>
                    </w:rPr>
                    <w:t>i</w:t>
                  </w:r>
                  <w:r>
                    <w:rPr>
                      <w:rFonts w:cs="Georgia"/>
                      <w:spacing w:val="1"/>
                    </w:rPr>
                    <w:t>v</w:t>
                  </w:r>
                  <w:r>
                    <w:rPr>
                      <w:rFonts w:cs="Georgia"/>
                    </w:rPr>
                    <w:t xml:space="preserve">e </w:t>
                  </w:r>
                  <w:r>
                    <w:rPr>
                      <w:rFonts w:cs="Georgia"/>
                      <w:spacing w:val="1"/>
                    </w:rPr>
                    <w:t>p</w:t>
                  </w:r>
                  <w:r>
                    <w:rPr>
                      <w:rFonts w:cs="Georgia"/>
                      <w:spacing w:val="-1"/>
                    </w:rPr>
                    <w:t>e</w:t>
                  </w:r>
                  <w:r>
                    <w:rPr>
                      <w:rFonts w:cs="Georgia"/>
                      <w:spacing w:val="-2"/>
                    </w:rPr>
                    <w:t>u</w:t>
                  </w:r>
                  <w:r>
                    <w:rPr>
                      <w:rFonts w:cs="Georgia"/>
                      <w:spacing w:val="1"/>
                    </w:rPr>
                    <w:t>v</w:t>
                  </w:r>
                  <w:r>
                    <w:rPr>
                      <w:rFonts w:cs="Georgia"/>
                      <w:spacing w:val="-1"/>
                    </w:rPr>
                    <w:t>en</w:t>
                  </w:r>
                  <w:r>
                    <w:rPr>
                      <w:rFonts w:cs="Georgia"/>
                    </w:rPr>
                    <w:t>t</w:t>
                  </w:r>
                  <w:r>
                    <w:rPr>
                      <w:rFonts w:cs="Georgia"/>
                      <w:spacing w:val="48"/>
                    </w:rPr>
                    <w:t xml:space="preserve"> </w:t>
                  </w:r>
                  <w:r>
                    <w:rPr>
                      <w:rFonts w:cs="Georgia"/>
                      <w:spacing w:val="-1"/>
                    </w:rPr>
                    <w:t>ê</w:t>
                  </w:r>
                  <w:r>
                    <w:rPr>
                      <w:rFonts w:cs="Georgia"/>
                      <w:spacing w:val="1"/>
                    </w:rPr>
                    <w:t>tr</w:t>
                  </w:r>
                  <w:r>
                    <w:rPr>
                      <w:rFonts w:cs="Georgia"/>
                    </w:rPr>
                    <w:t xml:space="preserve">e </w:t>
                  </w:r>
                  <w:r>
                    <w:rPr>
                      <w:rFonts w:cs="Georgia"/>
                      <w:spacing w:val="1"/>
                    </w:rPr>
                    <w:t>o</w:t>
                  </w:r>
                  <w:r>
                    <w:rPr>
                      <w:rFonts w:cs="Georgia"/>
                      <w:spacing w:val="-2"/>
                    </w:rPr>
                    <w:t>r</w:t>
                  </w:r>
                  <w:r>
                    <w:rPr>
                      <w:rFonts w:cs="Georgia"/>
                    </w:rPr>
                    <w:t>g</w:t>
                  </w:r>
                  <w:r>
                    <w:rPr>
                      <w:rFonts w:cs="Georgia"/>
                      <w:spacing w:val="-1"/>
                    </w:rPr>
                    <w:t>an</w:t>
                  </w:r>
                  <w:r>
                    <w:rPr>
                      <w:rFonts w:cs="Georgia"/>
                    </w:rPr>
                    <w:t>i</w:t>
                  </w:r>
                  <w:r>
                    <w:rPr>
                      <w:rFonts w:cs="Georgia"/>
                      <w:spacing w:val="1"/>
                    </w:rPr>
                    <w:t>s</w:t>
                  </w:r>
                  <w:r>
                    <w:rPr>
                      <w:rFonts w:cs="Georgia"/>
                      <w:spacing w:val="-1"/>
                    </w:rPr>
                    <w:t>ée</w:t>
                  </w:r>
                  <w:r>
                    <w:rPr>
                      <w:rFonts w:cs="Georgia"/>
                    </w:rPr>
                    <w:t xml:space="preserve">s ; </w:t>
                  </w:r>
                  <w:r>
                    <w:rPr>
                      <w:rFonts w:cs="Georgia"/>
                      <w:spacing w:val="-1"/>
                    </w:rPr>
                    <w:t>elle</w:t>
                  </w:r>
                  <w:r>
                    <w:rPr>
                      <w:rFonts w:cs="Georgia"/>
                    </w:rPr>
                    <w:t>s</w:t>
                  </w:r>
                  <w:r>
                    <w:rPr>
                      <w:rFonts w:cs="Georgia"/>
                      <w:spacing w:val="48"/>
                    </w:rPr>
                    <w:t xml:space="preserve"> </w:t>
                  </w:r>
                  <w:r>
                    <w:rPr>
                      <w:rFonts w:cs="Georgia"/>
                      <w:spacing w:val="1"/>
                    </w:rPr>
                    <w:t>s</w:t>
                  </w:r>
                  <w:r>
                    <w:rPr>
                      <w:rFonts w:cs="Georgia"/>
                      <w:spacing w:val="-1"/>
                    </w:rPr>
                    <w:t>e</w:t>
                  </w:r>
                  <w:r>
                    <w:rPr>
                      <w:rFonts w:cs="Georgia"/>
                      <w:spacing w:val="-2"/>
                    </w:rPr>
                    <w:t>r</w:t>
                  </w:r>
                  <w:r>
                    <w:rPr>
                      <w:rFonts w:cs="Georgia"/>
                      <w:spacing w:val="1"/>
                    </w:rPr>
                    <w:t>o</w:t>
                  </w:r>
                  <w:r>
                    <w:rPr>
                      <w:rFonts w:cs="Georgia"/>
                      <w:spacing w:val="-1"/>
                    </w:rPr>
                    <w:t>n</w:t>
                  </w:r>
                  <w:r>
                    <w:rPr>
                      <w:rFonts w:cs="Georgia"/>
                    </w:rPr>
                    <w:t xml:space="preserve">t </w:t>
                  </w:r>
                  <w:r>
                    <w:rPr>
                      <w:rFonts w:cs="Georgia"/>
                      <w:spacing w:val="-1"/>
                    </w:rPr>
                    <w:t>a</w:t>
                  </w:r>
                  <w:r>
                    <w:rPr>
                      <w:rFonts w:cs="Georgia"/>
                      <w:spacing w:val="1"/>
                    </w:rPr>
                    <w:t>ttr</w:t>
                  </w:r>
                  <w:r>
                    <w:rPr>
                      <w:rFonts w:cs="Georgia"/>
                      <w:spacing w:val="-2"/>
                    </w:rPr>
                    <w:t>i</w:t>
                  </w:r>
                  <w:r>
                    <w:rPr>
                      <w:rFonts w:cs="Georgia"/>
                      <w:spacing w:val="1"/>
                    </w:rPr>
                    <w:t>b</w:t>
                  </w:r>
                  <w:r>
                    <w:rPr>
                      <w:rFonts w:cs="Georgia"/>
                    </w:rPr>
                    <w:t>u</w:t>
                  </w:r>
                  <w:r>
                    <w:rPr>
                      <w:rFonts w:cs="Georgia"/>
                      <w:spacing w:val="-1"/>
                    </w:rPr>
                    <w:t>ée</w:t>
                  </w:r>
                  <w:r>
                    <w:rPr>
                      <w:rFonts w:cs="Georgia"/>
                    </w:rPr>
                    <w:t>s</w:t>
                  </w:r>
                  <w:r>
                    <w:rPr>
                      <w:rFonts w:cs="Georgia"/>
                      <w:spacing w:val="2"/>
                    </w:rPr>
                    <w:t xml:space="preserve"> </w:t>
                  </w:r>
                  <w:r>
                    <w:rPr>
                      <w:rFonts w:cs="Georgia"/>
                      <w:spacing w:val="-1"/>
                    </w:rPr>
                    <w:t>a</w:t>
                  </w:r>
                  <w:r>
                    <w:rPr>
                      <w:rFonts w:cs="Georgia"/>
                    </w:rPr>
                    <w:t>u</w:t>
                  </w:r>
                  <w:r>
                    <w:rPr>
                      <w:rFonts w:cs="Georgia"/>
                      <w:spacing w:val="1"/>
                    </w:rPr>
                    <w:t xml:space="preserve"> </w:t>
                  </w:r>
                  <w:r>
                    <w:rPr>
                      <w:rFonts w:cs="Georgia"/>
                    </w:rPr>
                    <w:t>m</w:t>
                  </w:r>
                  <w:r>
                    <w:rPr>
                      <w:rFonts w:cs="Georgia"/>
                      <w:spacing w:val="-1"/>
                    </w:rPr>
                    <w:t>a</w:t>
                  </w:r>
                  <w:r>
                    <w:rPr>
                      <w:rFonts w:cs="Georgia"/>
                    </w:rPr>
                    <w:t>î</w:t>
                  </w:r>
                  <w:r>
                    <w:rPr>
                      <w:rFonts w:cs="Georgia"/>
                      <w:spacing w:val="1"/>
                    </w:rPr>
                    <w:t>tr</w:t>
                  </w:r>
                  <w:r>
                    <w:rPr>
                      <w:rFonts w:cs="Georgia"/>
                    </w:rPr>
                    <w:t>e d’</w:t>
                  </w:r>
                  <w:r>
                    <w:rPr>
                      <w:rFonts w:cs="Georgia"/>
                      <w:spacing w:val="-3"/>
                    </w:rPr>
                    <w:t>é</w:t>
                  </w:r>
                  <w:r>
                    <w:rPr>
                      <w:rFonts w:cs="Georgia"/>
                    </w:rPr>
                    <w:t>du</w:t>
                  </w:r>
                  <w:r>
                    <w:rPr>
                      <w:rFonts w:cs="Georgia"/>
                      <w:spacing w:val="1"/>
                    </w:rPr>
                    <w:t>c</w:t>
                  </w:r>
                  <w:r>
                    <w:rPr>
                      <w:rFonts w:cs="Georgia"/>
                      <w:spacing w:val="-1"/>
                    </w:rPr>
                    <w:t>a</w:t>
                  </w:r>
                  <w:r>
                    <w:rPr>
                      <w:rFonts w:cs="Georgia"/>
                      <w:spacing w:val="1"/>
                    </w:rPr>
                    <w:t>t</w:t>
                  </w:r>
                  <w:r>
                    <w:rPr>
                      <w:rFonts w:cs="Georgia"/>
                      <w:spacing w:val="-2"/>
                    </w:rPr>
                    <w:t>i</w:t>
                  </w:r>
                  <w:r>
                    <w:rPr>
                      <w:rFonts w:cs="Georgia"/>
                      <w:spacing w:val="1"/>
                    </w:rPr>
                    <w:t>o</w:t>
                  </w:r>
                  <w:r>
                    <w:rPr>
                      <w:rFonts w:cs="Georgia"/>
                    </w:rPr>
                    <w:t xml:space="preserve">n </w:t>
                  </w:r>
                  <w:r>
                    <w:rPr>
                      <w:rFonts w:cs="Georgia"/>
                      <w:spacing w:val="-1"/>
                    </w:rPr>
                    <w:t>p</w:t>
                  </w:r>
                  <w:r>
                    <w:rPr>
                      <w:rFonts w:cs="Georgia"/>
                      <w:spacing w:val="1"/>
                    </w:rPr>
                    <w:t>h</w:t>
                  </w:r>
                  <w:r>
                    <w:rPr>
                      <w:rFonts w:cs="Georgia"/>
                      <w:spacing w:val="-1"/>
                    </w:rPr>
                    <w:t>y</w:t>
                  </w:r>
                  <w:r>
                    <w:rPr>
                      <w:rFonts w:cs="Georgia"/>
                      <w:spacing w:val="1"/>
                    </w:rPr>
                    <w:t>s</w:t>
                  </w:r>
                  <w:r>
                    <w:rPr>
                      <w:rFonts w:cs="Georgia"/>
                    </w:rPr>
                    <w:t>i</w:t>
                  </w:r>
                  <w:r>
                    <w:rPr>
                      <w:rFonts w:cs="Georgia"/>
                      <w:spacing w:val="-1"/>
                    </w:rPr>
                    <w:t>q</w:t>
                  </w:r>
                  <w:r>
                    <w:rPr>
                      <w:rFonts w:cs="Georgia"/>
                    </w:rPr>
                    <w:t xml:space="preserve">ue </w:t>
                  </w:r>
                  <w:r>
                    <w:rPr>
                      <w:rFonts w:cs="Georgia"/>
                      <w:spacing w:val="-1"/>
                    </w:rPr>
                    <w:t>(</w:t>
                  </w:r>
                  <w:r>
                    <w:rPr>
                      <w:rFonts w:cs="Georgia"/>
                      <w:spacing w:val="1"/>
                    </w:rPr>
                    <w:t>o</w:t>
                  </w:r>
                  <w:r>
                    <w:rPr>
                      <w:rFonts w:cs="Georgia"/>
                    </w:rPr>
                    <w:t>u</w:t>
                  </w:r>
                  <w:r>
                    <w:rPr>
                      <w:rFonts w:cs="Georgia"/>
                      <w:spacing w:val="1"/>
                    </w:rPr>
                    <w:t xml:space="preserve"> </w:t>
                  </w:r>
                  <w:r>
                    <w:rPr>
                      <w:rFonts w:cs="Georgia"/>
                      <w:spacing w:val="-3"/>
                    </w:rPr>
                    <w:t>a</w:t>
                  </w:r>
                  <w:r>
                    <w:rPr>
                      <w:rFonts w:cs="Georgia"/>
                    </w:rPr>
                    <w:t>u</w:t>
                  </w:r>
                  <w:r>
                    <w:rPr>
                      <w:rFonts w:cs="Georgia"/>
                      <w:spacing w:val="1"/>
                    </w:rPr>
                    <w:t xml:space="preserve"> t</w:t>
                  </w:r>
                  <w:r>
                    <w:rPr>
                      <w:rFonts w:cs="Georgia"/>
                    </w:rPr>
                    <w:t>i</w:t>
                  </w:r>
                  <w:r>
                    <w:rPr>
                      <w:rFonts w:cs="Georgia"/>
                      <w:spacing w:val="1"/>
                    </w:rPr>
                    <w:t>t</w:t>
                  </w:r>
                  <w:r>
                    <w:rPr>
                      <w:rFonts w:cs="Georgia"/>
                    </w:rPr>
                    <w:t>u</w:t>
                  </w:r>
                  <w:r>
                    <w:rPr>
                      <w:rFonts w:cs="Georgia"/>
                      <w:spacing w:val="-1"/>
                    </w:rPr>
                    <w:t>la</w:t>
                  </w:r>
                  <w:r>
                    <w:rPr>
                      <w:rFonts w:cs="Georgia"/>
                    </w:rPr>
                    <w:t>i</w:t>
                  </w:r>
                  <w:r>
                    <w:rPr>
                      <w:rFonts w:cs="Georgia"/>
                      <w:spacing w:val="1"/>
                    </w:rPr>
                    <w:t>r</w:t>
                  </w:r>
                  <w:r>
                    <w:rPr>
                      <w:rFonts w:cs="Georgia"/>
                      <w:spacing w:val="-1"/>
                    </w:rPr>
                    <w:t>e</w:t>
                  </w:r>
                  <w:r>
                    <w:rPr>
                      <w:rFonts w:cs="Georgia"/>
                    </w:rPr>
                    <w:t>,</w:t>
                  </w:r>
                  <w:r>
                    <w:rPr>
                      <w:rFonts w:cs="Georgia"/>
                      <w:spacing w:val="2"/>
                    </w:rPr>
                    <w:t xml:space="preserve"> </w:t>
                  </w:r>
                  <w:r>
                    <w:rPr>
                      <w:rFonts w:cs="Georgia"/>
                      <w:spacing w:val="-2"/>
                    </w:rPr>
                    <w:t>s</w:t>
                  </w:r>
                  <w:r>
                    <w:rPr>
                      <w:rFonts w:cs="Georgia"/>
                    </w:rPr>
                    <w:t xml:space="preserve">’il </w:t>
                  </w:r>
                  <w:r>
                    <w:rPr>
                      <w:rFonts w:cs="Georgia"/>
                      <w:spacing w:val="-1"/>
                    </w:rPr>
                    <w:t>e</w:t>
                  </w:r>
                  <w:r>
                    <w:rPr>
                      <w:rFonts w:cs="Georgia"/>
                    </w:rPr>
                    <w:t xml:space="preserve">n a </w:t>
                  </w:r>
                  <w:r>
                    <w:rPr>
                      <w:rFonts w:cs="Georgia"/>
                      <w:spacing w:val="-1"/>
                    </w:rPr>
                    <w:t>l</w:t>
                  </w:r>
                  <w:r>
                    <w:rPr>
                      <w:rFonts w:cs="Georgia"/>
                    </w:rPr>
                    <w:t>e</w:t>
                  </w:r>
                  <w:r>
                    <w:rPr>
                      <w:rFonts w:cs="Georgia"/>
                      <w:spacing w:val="2"/>
                    </w:rPr>
                    <w:t xml:space="preserve"> </w:t>
                  </w:r>
                  <w:r>
                    <w:rPr>
                      <w:rFonts w:cs="Georgia"/>
                      <w:spacing w:val="1"/>
                    </w:rPr>
                    <w:t>t</w:t>
                  </w:r>
                  <w:r>
                    <w:rPr>
                      <w:rFonts w:cs="Georgia"/>
                    </w:rPr>
                    <w:t>i</w:t>
                  </w:r>
                  <w:r>
                    <w:rPr>
                      <w:rFonts w:cs="Georgia"/>
                      <w:spacing w:val="1"/>
                    </w:rPr>
                    <w:t>tr</w:t>
                  </w:r>
                  <w:r>
                    <w:rPr>
                      <w:rFonts w:cs="Georgia"/>
                      <w:spacing w:val="-1"/>
                    </w:rPr>
                    <w:t>e</w:t>
                  </w:r>
                  <w:r>
                    <w:rPr>
                      <w:rFonts w:cs="Georgia"/>
                    </w:rPr>
                    <w:t>)</w:t>
                  </w:r>
                  <w:r>
                    <w:rPr>
                      <w:rFonts w:cs="Georgia"/>
                      <w:spacing w:val="2"/>
                    </w:rPr>
                    <w:t xml:space="preserve"> </w:t>
                  </w:r>
                  <w:r>
                    <w:rPr>
                      <w:rFonts w:cs="Georgia"/>
                      <w:spacing w:val="1"/>
                    </w:rPr>
                    <w:t>s</w:t>
                  </w:r>
                  <w:r>
                    <w:rPr>
                      <w:rFonts w:cs="Georgia"/>
                      <w:spacing w:val="-1"/>
                    </w:rPr>
                    <w:t>an</w:t>
                  </w:r>
                  <w:r>
                    <w:rPr>
                      <w:rFonts w:cs="Georgia"/>
                    </w:rPr>
                    <w:t>s</w:t>
                  </w:r>
                  <w:r>
                    <w:rPr>
                      <w:rFonts w:cs="Georgia"/>
                      <w:spacing w:val="2"/>
                    </w:rPr>
                    <w:t xml:space="preserve"> </w:t>
                  </w:r>
                  <w:r>
                    <w:rPr>
                      <w:rFonts w:cs="Georgia"/>
                      <w:spacing w:val="-1"/>
                    </w:rPr>
                    <w:t>q</w:t>
                  </w:r>
                  <w:r>
                    <w:rPr>
                      <w:rFonts w:cs="Georgia"/>
                    </w:rPr>
                    <w:t xml:space="preserve">ue </w:t>
                  </w:r>
                  <w:r>
                    <w:rPr>
                      <w:rFonts w:cs="Georgia"/>
                      <w:spacing w:val="1"/>
                    </w:rPr>
                    <w:t>c</w:t>
                  </w:r>
                  <w:r>
                    <w:rPr>
                      <w:rFonts w:cs="Georgia"/>
                      <w:spacing w:val="-1"/>
                    </w:rPr>
                    <w:t>e</w:t>
                  </w:r>
                  <w:r>
                    <w:rPr>
                      <w:rFonts w:cs="Georgia"/>
                      <w:spacing w:val="1"/>
                    </w:rPr>
                    <w:t xml:space="preserve">tte </w:t>
                  </w:r>
                  <w:r>
                    <w:rPr>
                      <w:rFonts w:cs="Georgia"/>
                      <w:spacing w:val="-1"/>
                    </w:rPr>
                    <w:t>ex</w:t>
                  </w:r>
                  <w:r>
                    <w:rPr>
                      <w:rFonts w:cs="Georgia"/>
                      <w:spacing w:val="1"/>
                    </w:rPr>
                    <w:t>t</w:t>
                  </w:r>
                  <w:r>
                    <w:rPr>
                      <w:rFonts w:cs="Georgia"/>
                      <w:spacing w:val="-1"/>
                    </w:rPr>
                    <w:t>en</w:t>
                  </w:r>
                  <w:r>
                    <w:rPr>
                      <w:rFonts w:cs="Georgia"/>
                      <w:spacing w:val="1"/>
                    </w:rPr>
                    <w:t>s</w:t>
                  </w:r>
                  <w:r>
                    <w:rPr>
                      <w:rFonts w:cs="Georgia"/>
                    </w:rPr>
                    <w:t>i</w:t>
                  </w:r>
                  <w:r>
                    <w:rPr>
                      <w:rFonts w:cs="Georgia"/>
                      <w:spacing w:val="1"/>
                    </w:rPr>
                    <w:t>o</w:t>
                  </w:r>
                  <w:r>
                    <w:rPr>
                      <w:rFonts w:cs="Georgia"/>
                    </w:rPr>
                    <w:t>n</w:t>
                  </w:r>
                  <w:r>
                    <w:rPr>
                      <w:rFonts w:cs="Georgia"/>
                      <w:spacing w:val="-1"/>
                    </w:rPr>
                    <w:t xml:space="preserve"> </w:t>
                  </w:r>
                  <w:r>
                    <w:rPr>
                      <w:rFonts w:cs="Georgia"/>
                      <w:spacing w:val="1"/>
                    </w:rPr>
                    <w:t>p</w:t>
                  </w:r>
                  <w:r>
                    <w:rPr>
                      <w:rFonts w:cs="Georgia"/>
                    </w:rPr>
                    <w:t>u</w:t>
                  </w:r>
                  <w:r>
                    <w:rPr>
                      <w:rFonts w:cs="Georgia"/>
                      <w:spacing w:val="-2"/>
                    </w:rPr>
                    <w:t>i</w:t>
                  </w:r>
                  <w:r>
                    <w:rPr>
                      <w:rFonts w:cs="Georgia"/>
                      <w:spacing w:val="1"/>
                    </w:rPr>
                    <w:t>ss</w:t>
                  </w:r>
                  <w:r>
                    <w:rPr>
                      <w:rFonts w:cs="Georgia"/>
                    </w:rPr>
                    <w:t>e</w:t>
                  </w:r>
                  <w:r>
                    <w:rPr>
                      <w:rFonts w:cs="Georgia"/>
                      <w:spacing w:val="-1"/>
                    </w:rPr>
                    <w:t xml:space="preserve"> a</w:t>
                  </w:r>
                  <w:r>
                    <w:rPr>
                      <w:rFonts w:cs="Georgia"/>
                      <w:spacing w:val="1"/>
                    </w:rPr>
                    <w:t>vo</w:t>
                  </w:r>
                  <w:r>
                    <w:rPr>
                      <w:rFonts w:cs="Georgia"/>
                      <w:spacing w:val="-2"/>
                    </w:rPr>
                    <w:t>i</w:t>
                  </w:r>
                  <w:r>
                    <w:rPr>
                      <w:rFonts w:cs="Georgia"/>
                    </w:rPr>
                    <w:t xml:space="preserve">r </w:t>
                  </w:r>
                  <w:r>
                    <w:rPr>
                      <w:rFonts w:cs="Georgia"/>
                      <w:spacing w:val="-1"/>
                    </w:rPr>
                    <w:t>po</w:t>
                  </w:r>
                  <w:r>
                    <w:rPr>
                      <w:rFonts w:cs="Georgia"/>
                    </w:rPr>
                    <w:t xml:space="preserve">ur </w:t>
                  </w:r>
                  <w:r>
                    <w:rPr>
                      <w:rFonts w:cs="Georgia"/>
                      <w:spacing w:val="-2"/>
                    </w:rPr>
                    <w:t>c</w:t>
                  </w:r>
                  <w:r>
                    <w:rPr>
                      <w:rFonts w:cs="Georgia"/>
                      <w:spacing w:val="1"/>
                    </w:rPr>
                    <w:t>o</w:t>
                  </w:r>
                  <w:r>
                    <w:rPr>
                      <w:rFonts w:cs="Georgia"/>
                      <w:spacing w:val="-1"/>
                    </w:rPr>
                    <w:t>n</w:t>
                  </w:r>
                  <w:r>
                    <w:rPr>
                      <w:rFonts w:cs="Georgia"/>
                      <w:spacing w:val="1"/>
                    </w:rPr>
                    <w:t>s</w:t>
                  </w:r>
                  <w:r>
                    <w:rPr>
                      <w:rFonts w:cs="Georgia"/>
                      <w:spacing w:val="-1"/>
                    </w:rPr>
                    <w:t>éq</w:t>
                  </w:r>
                  <w:r>
                    <w:rPr>
                      <w:rFonts w:cs="Georgia"/>
                    </w:rPr>
                    <w:t>u</w:t>
                  </w:r>
                  <w:r>
                    <w:rPr>
                      <w:rFonts w:cs="Georgia"/>
                      <w:spacing w:val="-1"/>
                    </w:rPr>
                    <w:t>en</w:t>
                  </w:r>
                  <w:r>
                    <w:rPr>
                      <w:rFonts w:cs="Georgia"/>
                      <w:spacing w:val="1"/>
                    </w:rPr>
                    <w:t>c</w:t>
                  </w:r>
                  <w:r>
                    <w:rPr>
                      <w:rFonts w:cs="Georgia"/>
                    </w:rPr>
                    <w:t>e</w:t>
                  </w:r>
                  <w:r>
                    <w:rPr>
                      <w:rFonts w:cs="Georgia"/>
                      <w:spacing w:val="-1"/>
                    </w:rPr>
                    <w:t xml:space="preserve"> </w:t>
                  </w:r>
                  <w:r>
                    <w:rPr>
                      <w:rFonts w:cs="Georgia"/>
                    </w:rPr>
                    <w:t>:</w:t>
                  </w:r>
                </w:p>
                <w:p>
                  <w:pPr>
                    <w:widowControl w:val="0"/>
                    <w:autoSpaceDE w:val="0"/>
                    <w:autoSpaceDN w:val="0"/>
                    <w:adjustRightInd w:val="0"/>
                    <w:jc w:val="both"/>
                    <w:rPr>
                      <w:rFonts w:cs="Georgia"/>
                    </w:rPr>
                  </w:pPr>
                </w:p>
                <w:p>
                  <w:pPr>
                    <w:widowControl w:val="0"/>
                    <w:numPr>
                      <w:ilvl w:val="0"/>
                      <w:numId w:val="69"/>
                    </w:numPr>
                    <w:tabs>
                      <w:tab w:val="left" w:pos="1020"/>
                    </w:tabs>
                    <w:autoSpaceDE w:val="0"/>
                    <w:autoSpaceDN w:val="0"/>
                    <w:adjustRightInd w:val="0"/>
                    <w:spacing w:line="250" w:lineRule="exact"/>
                    <w:ind w:left="924" w:hanging="357"/>
                    <w:jc w:val="both"/>
                    <w:rPr>
                      <w:rFonts w:cs="Georgia"/>
                      <w:spacing w:val="-1"/>
                    </w:rPr>
                  </w:pPr>
                  <w:r>
                    <w:rPr>
                      <w:rFonts w:cs="Georgia"/>
                      <w:spacing w:val="1"/>
                    </w:rPr>
                    <w:t>L</w:t>
                  </w:r>
                  <w:r>
                    <w:rPr>
                      <w:rFonts w:cs="Georgia"/>
                    </w:rPr>
                    <w:t>a</w:t>
                  </w:r>
                  <w:r>
                    <w:rPr>
                      <w:rFonts w:cs="Georgia"/>
                      <w:spacing w:val="13"/>
                    </w:rPr>
                    <w:t xml:space="preserve"> </w:t>
                  </w:r>
                  <w:r>
                    <w:rPr>
                      <w:rFonts w:cs="Georgia"/>
                    </w:rPr>
                    <w:t>mi</w:t>
                  </w:r>
                  <w:r>
                    <w:rPr>
                      <w:rFonts w:cs="Georgia"/>
                      <w:spacing w:val="1"/>
                    </w:rPr>
                    <w:t>s</w:t>
                  </w:r>
                  <w:r>
                    <w:rPr>
                      <w:rFonts w:cs="Georgia"/>
                    </w:rPr>
                    <w:t>e</w:t>
                  </w:r>
                  <w:r>
                    <w:rPr>
                      <w:rFonts w:cs="Georgia"/>
                      <w:spacing w:val="13"/>
                    </w:rPr>
                    <w:t xml:space="preserve"> </w:t>
                  </w:r>
                  <w:r>
                    <w:rPr>
                      <w:rFonts w:cs="Georgia"/>
                      <w:spacing w:val="-1"/>
                    </w:rPr>
                    <w:t>e</w:t>
                  </w:r>
                  <w:r>
                    <w:rPr>
                      <w:rFonts w:cs="Georgia"/>
                    </w:rPr>
                    <w:t>n</w:t>
                  </w:r>
                  <w:r>
                    <w:rPr>
                      <w:rFonts w:cs="Georgia"/>
                      <w:spacing w:val="13"/>
                    </w:rPr>
                    <w:t xml:space="preserve"> </w:t>
                  </w:r>
                  <w:r>
                    <w:rPr>
                      <w:rFonts w:cs="Georgia"/>
                    </w:rPr>
                    <w:t>di</w:t>
                  </w:r>
                  <w:r>
                    <w:rPr>
                      <w:rFonts w:cs="Georgia"/>
                      <w:spacing w:val="1"/>
                    </w:rPr>
                    <w:t>s</w:t>
                  </w:r>
                  <w:r>
                    <w:rPr>
                      <w:rFonts w:cs="Georgia"/>
                      <w:spacing w:val="-1"/>
                    </w:rPr>
                    <w:t>p</w:t>
                  </w:r>
                  <w:r>
                    <w:rPr>
                      <w:rFonts w:cs="Georgia"/>
                      <w:spacing w:val="1"/>
                    </w:rPr>
                    <w:t>o</w:t>
                  </w:r>
                  <w:r>
                    <w:rPr>
                      <w:rFonts w:cs="Georgia"/>
                      <w:spacing w:val="-1"/>
                    </w:rPr>
                    <w:t>n</w:t>
                  </w:r>
                  <w:r>
                    <w:rPr>
                      <w:rFonts w:cs="Georgia"/>
                    </w:rPr>
                    <w:t>i</w:t>
                  </w:r>
                  <w:r>
                    <w:rPr>
                      <w:rFonts w:cs="Georgia"/>
                      <w:spacing w:val="1"/>
                    </w:rPr>
                    <w:t>b</w:t>
                  </w:r>
                  <w:r>
                    <w:rPr>
                      <w:rFonts w:cs="Georgia"/>
                    </w:rPr>
                    <w:t>i</w:t>
                  </w:r>
                  <w:r>
                    <w:rPr>
                      <w:rFonts w:cs="Georgia"/>
                      <w:spacing w:val="-1"/>
                    </w:rPr>
                    <w:t>l</w:t>
                  </w:r>
                  <w:r>
                    <w:rPr>
                      <w:rFonts w:cs="Georgia"/>
                      <w:spacing w:val="-2"/>
                    </w:rPr>
                    <w:t>i</w:t>
                  </w:r>
                  <w:r>
                    <w:rPr>
                      <w:rFonts w:cs="Georgia"/>
                      <w:spacing w:val="1"/>
                    </w:rPr>
                    <w:t>t</w:t>
                  </w:r>
                  <w:r>
                    <w:rPr>
                      <w:rFonts w:cs="Georgia"/>
                    </w:rPr>
                    <w:t>é</w:t>
                  </w:r>
                  <w:r>
                    <w:rPr>
                      <w:rFonts w:cs="Georgia"/>
                      <w:spacing w:val="13"/>
                    </w:rPr>
                    <w:t xml:space="preserve"> </w:t>
                  </w:r>
                  <w:r>
                    <w:rPr>
                      <w:rFonts w:cs="Georgia"/>
                      <w:spacing w:val="1"/>
                    </w:rPr>
                    <w:t>o</w:t>
                  </w:r>
                  <w:r>
                    <w:rPr>
                      <w:rFonts w:cs="Georgia"/>
                    </w:rPr>
                    <w:t>u</w:t>
                  </w:r>
                  <w:r>
                    <w:rPr>
                      <w:rFonts w:cs="Georgia"/>
                      <w:spacing w:val="14"/>
                    </w:rPr>
                    <w:t xml:space="preserve"> </w:t>
                  </w:r>
                  <w:r>
                    <w:rPr>
                      <w:rFonts w:cs="Georgia"/>
                    </w:rPr>
                    <w:t>u</w:t>
                  </w:r>
                  <w:r>
                    <w:rPr>
                      <w:rFonts w:cs="Georgia"/>
                      <w:spacing w:val="-1"/>
                    </w:rPr>
                    <w:t>n</w:t>
                  </w:r>
                  <w:r>
                    <w:rPr>
                      <w:rFonts w:cs="Georgia"/>
                    </w:rPr>
                    <w:t>e</w:t>
                  </w:r>
                  <w:r>
                    <w:rPr>
                      <w:rFonts w:cs="Georgia"/>
                      <w:spacing w:val="13"/>
                    </w:rPr>
                    <w:t xml:space="preserve"> </w:t>
                  </w:r>
                  <w:r>
                    <w:rPr>
                      <w:rFonts w:cs="Georgia"/>
                    </w:rPr>
                    <w:t>dimi</w:t>
                  </w:r>
                  <w:r>
                    <w:rPr>
                      <w:rFonts w:cs="Georgia"/>
                      <w:spacing w:val="-1"/>
                    </w:rPr>
                    <w:t>n</w:t>
                  </w:r>
                  <w:r>
                    <w:rPr>
                      <w:rFonts w:cs="Georgia"/>
                    </w:rPr>
                    <w:t>u</w:t>
                  </w:r>
                  <w:r>
                    <w:rPr>
                      <w:rFonts w:cs="Georgia"/>
                      <w:spacing w:val="-2"/>
                    </w:rPr>
                    <w:t>t</w:t>
                  </w:r>
                  <w:r>
                    <w:rPr>
                      <w:rFonts w:cs="Georgia"/>
                    </w:rPr>
                    <w:t>i</w:t>
                  </w:r>
                  <w:r>
                    <w:rPr>
                      <w:rFonts w:cs="Georgia"/>
                      <w:spacing w:val="1"/>
                    </w:rPr>
                    <w:t>o</w:t>
                  </w:r>
                  <w:r>
                    <w:rPr>
                      <w:rFonts w:cs="Georgia"/>
                    </w:rPr>
                    <w:t>n</w:t>
                  </w:r>
                  <w:r>
                    <w:rPr>
                      <w:rFonts w:cs="Georgia"/>
                      <w:spacing w:val="13"/>
                    </w:rPr>
                    <w:t xml:space="preserve"> </w:t>
                  </w:r>
                  <w:r>
                    <w:rPr>
                      <w:rFonts w:cs="Georgia"/>
                    </w:rPr>
                    <w:t>de</w:t>
                  </w:r>
                  <w:r>
                    <w:rPr>
                      <w:rFonts w:cs="Georgia"/>
                      <w:spacing w:val="13"/>
                    </w:rPr>
                    <w:t xml:space="preserve"> </w:t>
                  </w:r>
                  <w:r>
                    <w:rPr>
                      <w:rFonts w:cs="Georgia"/>
                      <w:spacing w:val="1"/>
                    </w:rPr>
                    <w:t>c</w:t>
                  </w:r>
                  <w:r>
                    <w:rPr>
                      <w:rFonts w:cs="Georgia"/>
                      <w:spacing w:val="-1"/>
                    </w:rPr>
                    <w:t>ha</w:t>
                  </w:r>
                  <w:r>
                    <w:rPr>
                      <w:rFonts w:cs="Georgia"/>
                      <w:spacing w:val="1"/>
                    </w:rPr>
                    <w:t>r</w:t>
                  </w:r>
                  <w:r>
                    <w:rPr>
                      <w:rFonts w:cs="Georgia"/>
                    </w:rPr>
                    <w:t>ge</w:t>
                  </w:r>
                  <w:r>
                    <w:rPr>
                      <w:rFonts w:cs="Georgia"/>
                      <w:spacing w:val="13"/>
                    </w:rPr>
                    <w:t xml:space="preserve"> </w:t>
                  </w:r>
                  <w:r>
                    <w:rPr>
                      <w:rFonts w:cs="Georgia"/>
                    </w:rPr>
                    <w:t>d</w:t>
                  </w:r>
                  <w:r>
                    <w:rPr>
                      <w:rFonts w:cs="Georgia"/>
                      <w:spacing w:val="1"/>
                    </w:rPr>
                    <w:t>'</w:t>
                  </w:r>
                  <w:r>
                    <w:rPr>
                      <w:rFonts w:cs="Georgia"/>
                    </w:rPr>
                    <w:t>un</w:t>
                  </w:r>
                  <w:r>
                    <w:rPr>
                      <w:rFonts w:cs="Georgia"/>
                      <w:spacing w:val="13"/>
                    </w:rPr>
                    <w:t xml:space="preserve"> </w:t>
                  </w:r>
                  <w:r>
                    <w:rPr>
                      <w:rFonts w:cs="Georgia"/>
                      <w:spacing w:val="1"/>
                    </w:rPr>
                    <w:t>t</w:t>
                  </w:r>
                  <w:r>
                    <w:rPr>
                      <w:rFonts w:cs="Georgia"/>
                    </w:rPr>
                    <w:t>i</w:t>
                  </w:r>
                  <w:r>
                    <w:rPr>
                      <w:rFonts w:cs="Georgia"/>
                      <w:spacing w:val="-2"/>
                    </w:rPr>
                    <w:t>t</w:t>
                  </w:r>
                  <w:r>
                    <w:rPr>
                      <w:rFonts w:cs="Georgia"/>
                    </w:rPr>
                    <w:t>u</w:t>
                  </w:r>
                  <w:r>
                    <w:rPr>
                      <w:rFonts w:cs="Georgia"/>
                      <w:spacing w:val="-1"/>
                    </w:rPr>
                    <w:t>la</w:t>
                  </w:r>
                  <w:r>
                    <w:rPr>
                      <w:rFonts w:cs="Georgia"/>
                    </w:rPr>
                    <w:t>i</w:t>
                  </w:r>
                  <w:r>
                    <w:rPr>
                      <w:rFonts w:cs="Georgia"/>
                      <w:spacing w:val="1"/>
                    </w:rPr>
                    <w:t>r</w:t>
                  </w:r>
                  <w:r>
                    <w:rPr>
                      <w:rFonts w:cs="Georgia"/>
                    </w:rPr>
                    <w:t>e</w:t>
                  </w:r>
                  <w:r>
                    <w:rPr>
                      <w:rFonts w:cs="Georgia"/>
                      <w:spacing w:val="13"/>
                    </w:rPr>
                    <w:t xml:space="preserve"> </w:t>
                  </w:r>
                  <w:r>
                    <w:rPr>
                      <w:rFonts w:cs="Georgia"/>
                    </w:rPr>
                    <w:t>de</w:t>
                  </w:r>
                  <w:r>
                    <w:rPr>
                      <w:rFonts w:cs="Georgia"/>
                      <w:spacing w:val="13"/>
                    </w:rPr>
                    <w:t xml:space="preserve"> </w:t>
                  </w:r>
                  <w:r>
                    <w:rPr>
                      <w:rFonts w:cs="Georgia"/>
                      <w:spacing w:val="1"/>
                    </w:rPr>
                    <w:t>c</w:t>
                  </w:r>
                  <w:r>
                    <w:rPr>
                      <w:rFonts w:cs="Georgia"/>
                      <w:spacing w:val="-1"/>
                    </w:rPr>
                    <w:t>la</w:t>
                  </w:r>
                  <w:r>
                    <w:rPr>
                      <w:rFonts w:cs="Georgia"/>
                      <w:spacing w:val="1"/>
                    </w:rPr>
                    <w:t>ss</w:t>
                  </w:r>
                  <w:r>
                    <w:rPr>
                      <w:rFonts w:cs="Georgia"/>
                    </w:rPr>
                    <w:t>e</w:t>
                  </w:r>
                  <w:r>
                    <w:rPr>
                      <w:rFonts w:cs="Georgia"/>
                      <w:spacing w:val="13"/>
                    </w:rPr>
                    <w:t xml:space="preserve"> </w:t>
                  </w:r>
                  <w:r>
                    <w:rPr>
                      <w:rFonts w:cs="Georgia"/>
                    </w:rPr>
                    <w:t>d</w:t>
                  </w:r>
                  <w:r>
                    <w:rPr>
                      <w:rFonts w:cs="Georgia"/>
                      <w:spacing w:val="-1"/>
                    </w:rPr>
                    <w:t>é</w:t>
                  </w:r>
                  <w:r>
                    <w:rPr>
                      <w:rFonts w:cs="Georgia"/>
                    </w:rPr>
                    <w:t>fi</w:t>
                  </w:r>
                  <w:r>
                    <w:rPr>
                      <w:rFonts w:cs="Georgia"/>
                      <w:spacing w:val="-1"/>
                    </w:rPr>
                    <w:t>n</w:t>
                  </w:r>
                  <w:r>
                    <w:rPr>
                      <w:rFonts w:cs="Georgia"/>
                    </w:rPr>
                    <w:t>i</w:t>
                  </w:r>
                  <w:r>
                    <w:rPr>
                      <w:rFonts w:cs="Georgia"/>
                      <w:spacing w:val="1"/>
                    </w:rPr>
                    <w:t>t</w:t>
                  </w:r>
                  <w:r>
                    <w:rPr>
                      <w:rFonts w:cs="Georgia"/>
                    </w:rPr>
                    <w:t>if</w:t>
                  </w:r>
                  <w:r>
                    <w:rPr>
                      <w:rFonts w:cs="Georgia"/>
                      <w:spacing w:val="14"/>
                    </w:rPr>
                    <w:t xml:space="preserve"> </w:t>
                  </w:r>
                  <w:r>
                    <w:rPr>
                      <w:rFonts w:cs="Georgia"/>
                      <w:spacing w:val="-2"/>
                    </w:rPr>
                    <w:t>s</w:t>
                  </w:r>
                  <w:r>
                    <w:rPr>
                      <w:rFonts w:cs="Georgia"/>
                    </w:rPr>
                    <w:t xml:space="preserve">i </w:t>
                  </w:r>
                  <w:r>
                    <w:rPr>
                      <w:rFonts w:cs="Georgia"/>
                      <w:spacing w:val="-1"/>
                    </w:rPr>
                    <w:t>l</w:t>
                  </w:r>
                  <w:r>
                    <w:rPr>
                      <w:rFonts w:cs="Georgia"/>
                    </w:rPr>
                    <w:t>e</w:t>
                  </w:r>
                  <w:r>
                    <w:rPr>
                      <w:rFonts w:cs="Georgia"/>
                      <w:spacing w:val="-1"/>
                    </w:rPr>
                    <w:t xml:space="preserve"> </w:t>
                  </w:r>
                  <w:r>
                    <w:rPr>
                      <w:rFonts w:cs="Georgia"/>
                    </w:rPr>
                    <w:t>m</w:t>
                  </w:r>
                  <w:r>
                    <w:rPr>
                      <w:rFonts w:cs="Georgia"/>
                      <w:spacing w:val="-1"/>
                    </w:rPr>
                    <w:t>a</w:t>
                  </w:r>
                  <w:r>
                    <w:rPr>
                      <w:rFonts w:cs="Georgia"/>
                    </w:rPr>
                    <w:t>î</w:t>
                  </w:r>
                  <w:r>
                    <w:rPr>
                      <w:rFonts w:cs="Georgia"/>
                      <w:spacing w:val="1"/>
                    </w:rPr>
                    <w:t>tr</w:t>
                  </w:r>
                  <w:r>
                    <w:rPr>
                      <w:rFonts w:cs="Georgia"/>
                    </w:rPr>
                    <w:t>e</w:t>
                  </w:r>
                  <w:r>
                    <w:rPr>
                      <w:rFonts w:cs="Georgia"/>
                      <w:spacing w:val="-1"/>
                    </w:rPr>
                    <w:t xml:space="preserve"> </w:t>
                  </w:r>
                  <w:r>
                    <w:rPr>
                      <w:rFonts w:cs="Georgia"/>
                      <w:spacing w:val="1"/>
                    </w:rPr>
                    <w:t>sp</w:t>
                  </w:r>
                  <w:r>
                    <w:rPr>
                      <w:rFonts w:cs="Georgia"/>
                      <w:spacing w:val="-1"/>
                    </w:rPr>
                    <w:t>é</w:t>
                  </w:r>
                  <w:r>
                    <w:rPr>
                      <w:rFonts w:cs="Georgia"/>
                      <w:spacing w:val="1"/>
                    </w:rPr>
                    <w:t>c</w:t>
                  </w:r>
                  <w:r>
                    <w:rPr>
                      <w:rFonts w:cs="Georgia"/>
                    </w:rPr>
                    <w:t>i</w:t>
                  </w:r>
                  <w:r>
                    <w:rPr>
                      <w:rFonts w:cs="Georgia"/>
                      <w:spacing w:val="-1"/>
                    </w:rPr>
                    <w:t>a</w:t>
                  </w:r>
                  <w:r>
                    <w:rPr>
                      <w:rFonts w:cs="Georgia"/>
                    </w:rPr>
                    <w:t>l</w:t>
                  </w:r>
                  <w:r>
                    <w:rPr>
                      <w:rFonts w:cs="Georgia"/>
                      <w:spacing w:val="-1"/>
                    </w:rPr>
                    <w:t xml:space="preserve"> </w:t>
                  </w:r>
                  <w:r>
                    <w:rPr>
                      <w:rFonts w:cs="Georgia"/>
                      <w:spacing w:val="1"/>
                    </w:rPr>
                    <w:t>b</w:t>
                  </w:r>
                  <w:r>
                    <w:rPr>
                      <w:rFonts w:cs="Georgia"/>
                      <w:spacing w:val="-1"/>
                    </w:rPr>
                    <w:t>éné</w:t>
                  </w:r>
                  <w:r>
                    <w:rPr>
                      <w:rFonts w:cs="Georgia"/>
                    </w:rPr>
                    <w:t>fi</w:t>
                  </w:r>
                  <w:r>
                    <w:rPr>
                      <w:rFonts w:cs="Georgia"/>
                      <w:spacing w:val="1"/>
                    </w:rPr>
                    <w:t>c</w:t>
                  </w:r>
                  <w:r>
                    <w:rPr>
                      <w:rFonts w:cs="Georgia"/>
                      <w:spacing w:val="-2"/>
                    </w:rPr>
                    <w:t>i</w:t>
                  </w:r>
                  <w:r>
                    <w:rPr>
                      <w:rFonts w:cs="Georgia"/>
                      <w:spacing w:val="-1"/>
                    </w:rPr>
                    <w:t>a</w:t>
                  </w:r>
                  <w:r>
                    <w:rPr>
                      <w:rFonts w:cs="Georgia"/>
                    </w:rPr>
                    <w:t>i</w:t>
                  </w:r>
                  <w:r>
                    <w:rPr>
                      <w:rFonts w:cs="Georgia"/>
                      <w:spacing w:val="1"/>
                    </w:rPr>
                    <w:t>r</w:t>
                  </w:r>
                  <w:r>
                    <w:rPr>
                      <w:rFonts w:cs="Georgia"/>
                    </w:rPr>
                    <w:t>e</w:t>
                  </w:r>
                  <w:r>
                    <w:rPr>
                      <w:rFonts w:cs="Georgia"/>
                      <w:spacing w:val="-1"/>
                    </w:rPr>
                    <w:t xml:space="preserve"> e</w:t>
                  </w:r>
                  <w:r>
                    <w:rPr>
                      <w:rFonts w:cs="Georgia"/>
                      <w:spacing w:val="1"/>
                    </w:rPr>
                    <w:t>s</w:t>
                  </w:r>
                  <w:r>
                    <w:rPr>
                      <w:rFonts w:cs="Georgia"/>
                    </w:rPr>
                    <w:t xml:space="preserve">t </w:t>
                  </w:r>
                  <w:r>
                    <w:rPr>
                      <w:rFonts w:cs="Georgia"/>
                      <w:spacing w:val="1"/>
                    </w:rPr>
                    <w:t>t</w:t>
                  </w:r>
                  <w:r>
                    <w:rPr>
                      <w:rFonts w:cs="Georgia"/>
                      <w:spacing w:val="-1"/>
                    </w:rPr>
                    <w:t>e</w:t>
                  </w:r>
                  <w:r>
                    <w:rPr>
                      <w:rFonts w:cs="Georgia"/>
                    </w:rPr>
                    <w:t>m</w:t>
                  </w:r>
                  <w:r>
                    <w:rPr>
                      <w:rFonts w:cs="Georgia"/>
                      <w:spacing w:val="-1"/>
                    </w:rPr>
                    <w:t>p</w:t>
                  </w:r>
                  <w:r>
                    <w:rPr>
                      <w:rFonts w:cs="Georgia"/>
                      <w:spacing w:val="1"/>
                    </w:rPr>
                    <w:t>or</w:t>
                  </w:r>
                  <w:r>
                    <w:rPr>
                      <w:rFonts w:cs="Georgia"/>
                      <w:spacing w:val="-1"/>
                    </w:rPr>
                    <w:t>a</w:t>
                  </w:r>
                  <w:r>
                    <w:rPr>
                      <w:rFonts w:cs="Georgia"/>
                      <w:spacing w:val="-2"/>
                    </w:rPr>
                    <w:t>i</w:t>
                  </w:r>
                  <w:r>
                    <w:rPr>
                      <w:rFonts w:cs="Georgia"/>
                      <w:spacing w:val="1"/>
                    </w:rPr>
                    <w:t>r</w:t>
                  </w:r>
                  <w:r>
                    <w:rPr>
                      <w:rFonts w:cs="Georgia"/>
                      <w:spacing w:val="-1"/>
                    </w:rPr>
                    <w:t>e.</w:t>
                  </w:r>
                </w:p>
                <w:p>
                  <w:pPr>
                    <w:pStyle w:val="Paragraphedeliste"/>
                    <w:widowControl w:val="0"/>
                    <w:numPr>
                      <w:ilvl w:val="0"/>
                      <w:numId w:val="69"/>
                    </w:numPr>
                    <w:tabs>
                      <w:tab w:val="left" w:pos="1020"/>
                    </w:tabs>
                    <w:autoSpaceDE w:val="0"/>
                    <w:autoSpaceDN w:val="0"/>
                    <w:adjustRightInd w:val="0"/>
                    <w:spacing w:line="250" w:lineRule="exact"/>
                    <w:ind w:left="924" w:hanging="357"/>
                    <w:jc w:val="both"/>
                    <w:rPr>
                      <w:rFonts w:asciiTheme="majorHAnsi" w:hAnsiTheme="majorHAnsi" w:cs="Georgia"/>
                      <w:sz w:val="22"/>
                      <w:szCs w:val="22"/>
                    </w:rPr>
                  </w:pPr>
                  <w:r>
                    <w:rPr>
                      <w:rFonts w:asciiTheme="majorHAnsi" w:hAnsiTheme="majorHAnsi" w:cs="Georgia"/>
                      <w:spacing w:val="1"/>
                      <w:sz w:val="22"/>
                      <w:szCs w:val="22"/>
                    </w:rPr>
                    <w:t>L</w:t>
                  </w:r>
                  <w:r>
                    <w:rPr>
                      <w:rFonts w:asciiTheme="majorHAnsi" w:hAnsiTheme="majorHAnsi" w:cs="Georgia"/>
                      <w:sz w:val="22"/>
                      <w:szCs w:val="22"/>
                    </w:rPr>
                    <w:t>a</w:t>
                  </w:r>
                  <w:r>
                    <w:rPr>
                      <w:rFonts w:asciiTheme="majorHAnsi" w:hAnsiTheme="majorHAnsi" w:cs="Georgia"/>
                      <w:spacing w:val="8"/>
                      <w:sz w:val="22"/>
                      <w:szCs w:val="22"/>
                    </w:rPr>
                    <w:t xml:space="preserve"> </w:t>
                  </w:r>
                  <w:r>
                    <w:rPr>
                      <w:rFonts w:asciiTheme="majorHAnsi" w:hAnsiTheme="majorHAnsi" w:cs="Georgia"/>
                      <w:sz w:val="22"/>
                      <w:szCs w:val="22"/>
                    </w:rPr>
                    <w:t>m</w:t>
                  </w:r>
                  <w:r>
                    <w:rPr>
                      <w:rFonts w:asciiTheme="majorHAnsi" w:hAnsiTheme="majorHAnsi" w:cs="Georgia"/>
                      <w:spacing w:val="-2"/>
                      <w:sz w:val="22"/>
                      <w:szCs w:val="22"/>
                    </w:rPr>
                    <w:t>i</w:t>
                  </w:r>
                  <w:r>
                    <w:rPr>
                      <w:rFonts w:asciiTheme="majorHAnsi" w:hAnsiTheme="majorHAnsi" w:cs="Georgia"/>
                      <w:spacing w:val="1"/>
                      <w:sz w:val="22"/>
                      <w:szCs w:val="22"/>
                    </w:rPr>
                    <w:t>s</w:t>
                  </w:r>
                  <w:r>
                    <w:rPr>
                      <w:rFonts w:asciiTheme="majorHAnsi" w:hAnsiTheme="majorHAnsi" w:cs="Georgia"/>
                      <w:sz w:val="22"/>
                      <w:szCs w:val="22"/>
                    </w:rPr>
                    <w:t>e</w:t>
                  </w:r>
                  <w:r>
                    <w:rPr>
                      <w:rFonts w:asciiTheme="majorHAnsi" w:hAnsiTheme="majorHAnsi" w:cs="Georgia"/>
                      <w:spacing w:val="8"/>
                      <w:sz w:val="22"/>
                      <w:szCs w:val="22"/>
                    </w:rPr>
                    <w:t xml:space="preserve"> </w:t>
                  </w:r>
                  <w:r>
                    <w:rPr>
                      <w:rFonts w:asciiTheme="majorHAnsi" w:hAnsiTheme="majorHAnsi" w:cs="Georgia"/>
                      <w:spacing w:val="-1"/>
                      <w:sz w:val="22"/>
                      <w:szCs w:val="22"/>
                    </w:rPr>
                    <w:t>e</w:t>
                  </w:r>
                  <w:r>
                    <w:rPr>
                      <w:rFonts w:asciiTheme="majorHAnsi" w:hAnsiTheme="majorHAnsi" w:cs="Georgia"/>
                      <w:sz w:val="22"/>
                      <w:szCs w:val="22"/>
                    </w:rPr>
                    <w:t>n</w:t>
                  </w:r>
                  <w:r>
                    <w:rPr>
                      <w:rFonts w:asciiTheme="majorHAnsi" w:hAnsiTheme="majorHAnsi" w:cs="Georgia"/>
                      <w:spacing w:val="8"/>
                      <w:sz w:val="22"/>
                      <w:szCs w:val="22"/>
                    </w:rPr>
                    <w:t xml:space="preserve"> </w:t>
                  </w:r>
                  <w:r>
                    <w:rPr>
                      <w:rFonts w:asciiTheme="majorHAnsi" w:hAnsiTheme="majorHAnsi" w:cs="Georgia"/>
                      <w:sz w:val="22"/>
                      <w:szCs w:val="22"/>
                    </w:rPr>
                    <w:t>di</w:t>
                  </w:r>
                  <w:r>
                    <w:rPr>
                      <w:rFonts w:asciiTheme="majorHAnsi" w:hAnsiTheme="majorHAnsi" w:cs="Georgia"/>
                      <w:spacing w:val="-2"/>
                      <w:sz w:val="22"/>
                      <w:szCs w:val="22"/>
                    </w:rPr>
                    <w:t>s</w:t>
                  </w:r>
                  <w:r>
                    <w:rPr>
                      <w:rFonts w:asciiTheme="majorHAnsi" w:hAnsiTheme="majorHAnsi" w:cs="Georgia"/>
                      <w:spacing w:val="1"/>
                      <w:sz w:val="22"/>
                      <w:szCs w:val="22"/>
                    </w:rPr>
                    <w:t>po</w:t>
                  </w:r>
                  <w:r>
                    <w:rPr>
                      <w:rFonts w:asciiTheme="majorHAnsi" w:hAnsiTheme="majorHAnsi" w:cs="Georgia"/>
                      <w:spacing w:val="-1"/>
                      <w:sz w:val="22"/>
                      <w:szCs w:val="22"/>
                    </w:rPr>
                    <w:t>n</w:t>
                  </w:r>
                  <w:r>
                    <w:rPr>
                      <w:rFonts w:asciiTheme="majorHAnsi" w:hAnsiTheme="majorHAnsi" w:cs="Georgia"/>
                      <w:spacing w:val="-2"/>
                      <w:sz w:val="22"/>
                      <w:szCs w:val="22"/>
                    </w:rPr>
                    <w:t>i</w:t>
                  </w:r>
                  <w:r>
                    <w:rPr>
                      <w:rFonts w:asciiTheme="majorHAnsi" w:hAnsiTheme="majorHAnsi" w:cs="Georgia"/>
                      <w:spacing w:val="1"/>
                      <w:sz w:val="22"/>
                      <w:szCs w:val="22"/>
                    </w:rPr>
                    <w:t>b</w:t>
                  </w:r>
                  <w:r>
                    <w:rPr>
                      <w:rFonts w:asciiTheme="majorHAnsi" w:hAnsiTheme="majorHAnsi" w:cs="Georgia"/>
                      <w:sz w:val="22"/>
                      <w:szCs w:val="22"/>
                    </w:rPr>
                    <w:t>i</w:t>
                  </w:r>
                  <w:r>
                    <w:rPr>
                      <w:rFonts w:asciiTheme="majorHAnsi" w:hAnsiTheme="majorHAnsi" w:cs="Georgia"/>
                      <w:spacing w:val="-1"/>
                      <w:sz w:val="22"/>
                      <w:szCs w:val="22"/>
                    </w:rPr>
                    <w:t>l</w:t>
                  </w:r>
                  <w:r>
                    <w:rPr>
                      <w:rFonts w:asciiTheme="majorHAnsi" w:hAnsiTheme="majorHAnsi" w:cs="Georgia"/>
                      <w:sz w:val="22"/>
                      <w:szCs w:val="22"/>
                    </w:rPr>
                    <w:t>i</w:t>
                  </w:r>
                  <w:r>
                    <w:rPr>
                      <w:rFonts w:asciiTheme="majorHAnsi" w:hAnsiTheme="majorHAnsi" w:cs="Georgia"/>
                      <w:spacing w:val="1"/>
                      <w:sz w:val="22"/>
                      <w:szCs w:val="22"/>
                    </w:rPr>
                    <w:t>t</w:t>
                  </w:r>
                  <w:r>
                    <w:rPr>
                      <w:rFonts w:asciiTheme="majorHAnsi" w:hAnsiTheme="majorHAnsi" w:cs="Georgia"/>
                      <w:sz w:val="22"/>
                      <w:szCs w:val="22"/>
                    </w:rPr>
                    <w:t>é</w:t>
                  </w:r>
                  <w:r>
                    <w:rPr>
                      <w:rFonts w:asciiTheme="majorHAnsi" w:hAnsiTheme="majorHAnsi" w:cs="Georgia"/>
                      <w:spacing w:val="6"/>
                      <w:sz w:val="22"/>
                      <w:szCs w:val="22"/>
                    </w:rPr>
                    <w:t xml:space="preserve"> </w:t>
                  </w:r>
                  <w:r>
                    <w:rPr>
                      <w:rFonts w:asciiTheme="majorHAnsi" w:hAnsiTheme="majorHAnsi" w:cs="Georgia"/>
                      <w:spacing w:val="1"/>
                      <w:sz w:val="22"/>
                      <w:szCs w:val="22"/>
                    </w:rPr>
                    <w:t>o</w:t>
                  </w:r>
                  <w:r>
                    <w:rPr>
                      <w:rFonts w:asciiTheme="majorHAnsi" w:hAnsiTheme="majorHAnsi" w:cs="Georgia"/>
                      <w:sz w:val="22"/>
                      <w:szCs w:val="22"/>
                    </w:rPr>
                    <w:t>u</w:t>
                  </w:r>
                  <w:r>
                    <w:rPr>
                      <w:rFonts w:asciiTheme="majorHAnsi" w:hAnsiTheme="majorHAnsi" w:cs="Georgia"/>
                      <w:spacing w:val="10"/>
                      <w:sz w:val="22"/>
                      <w:szCs w:val="22"/>
                    </w:rPr>
                    <w:t xml:space="preserve"> </w:t>
                  </w:r>
                  <w:r>
                    <w:rPr>
                      <w:rFonts w:asciiTheme="majorHAnsi" w:hAnsiTheme="majorHAnsi" w:cs="Georgia"/>
                      <w:sz w:val="22"/>
                      <w:szCs w:val="22"/>
                    </w:rPr>
                    <w:t>u</w:t>
                  </w:r>
                  <w:r>
                    <w:rPr>
                      <w:rFonts w:asciiTheme="majorHAnsi" w:hAnsiTheme="majorHAnsi" w:cs="Georgia"/>
                      <w:spacing w:val="-1"/>
                      <w:sz w:val="22"/>
                      <w:szCs w:val="22"/>
                    </w:rPr>
                    <w:t>n</w:t>
                  </w:r>
                  <w:r>
                    <w:rPr>
                      <w:rFonts w:asciiTheme="majorHAnsi" w:hAnsiTheme="majorHAnsi" w:cs="Georgia"/>
                      <w:sz w:val="22"/>
                      <w:szCs w:val="22"/>
                    </w:rPr>
                    <w:t>e</w:t>
                  </w:r>
                  <w:r>
                    <w:rPr>
                      <w:rFonts w:asciiTheme="majorHAnsi" w:hAnsiTheme="majorHAnsi" w:cs="Georgia"/>
                      <w:spacing w:val="6"/>
                      <w:sz w:val="22"/>
                      <w:szCs w:val="22"/>
                    </w:rPr>
                    <w:t xml:space="preserve"> </w:t>
                  </w:r>
                  <w:r>
                    <w:rPr>
                      <w:rFonts w:asciiTheme="majorHAnsi" w:hAnsiTheme="majorHAnsi" w:cs="Georgia"/>
                      <w:sz w:val="22"/>
                      <w:szCs w:val="22"/>
                    </w:rPr>
                    <w:t>dimi</w:t>
                  </w:r>
                  <w:r>
                    <w:rPr>
                      <w:rFonts w:asciiTheme="majorHAnsi" w:hAnsiTheme="majorHAnsi" w:cs="Georgia"/>
                      <w:spacing w:val="-1"/>
                      <w:sz w:val="22"/>
                      <w:szCs w:val="22"/>
                    </w:rPr>
                    <w:t>n</w:t>
                  </w:r>
                  <w:r>
                    <w:rPr>
                      <w:rFonts w:asciiTheme="majorHAnsi" w:hAnsiTheme="majorHAnsi" w:cs="Georgia"/>
                      <w:spacing w:val="-2"/>
                      <w:sz w:val="22"/>
                      <w:szCs w:val="22"/>
                    </w:rPr>
                    <w:t>u</w:t>
                  </w:r>
                  <w:r>
                    <w:rPr>
                      <w:rFonts w:asciiTheme="majorHAnsi" w:hAnsiTheme="majorHAnsi" w:cs="Georgia"/>
                      <w:spacing w:val="1"/>
                      <w:sz w:val="22"/>
                      <w:szCs w:val="22"/>
                    </w:rPr>
                    <w:t>t</w:t>
                  </w:r>
                  <w:r>
                    <w:rPr>
                      <w:rFonts w:asciiTheme="majorHAnsi" w:hAnsiTheme="majorHAnsi" w:cs="Georgia"/>
                      <w:sz w:val="22"/>
                      <w:szCs w:val="22"/>
                    </w:rPr>
                    <w:t>i</w:t>
                  </w:r>
                  <w:r>
                    <w:rPr>
                      <w:rFonts w:asciiTheme="majorHAnsi" w:hAnsiTheme="majorHAnsi" w:cs="Georgia"/>
                      <w:spacing w:val="1"/>
                      <w:sz w:val="22"/>
                      <w:szCs w:val="22"/>
                    </w:rPr>
                    <w:t>o</w:t>
                  </w:r>
                  <w:r>
                    <w:rPr>
                      <w:rFonts w:asciiTheme="majorHAnsi" w:hAnsiTheme="majorHAnsi" w:cs="Georgia"/>
                      <w:sz w:val="22"/>
                      <w:szCs w:val="22"/>
                    </w:rPr>
                    <w:t>n</w:t>
                  </w:r>
                  <w:r>
                    <w:rPr>
                      <w:rFonts w:asciiTheme="majorHAnsi" w:hAnsiTheme="majorHAnsi" w:cs="Georgia"/>
                      <w:spacing w:val="6"/>
                      <w:sz w:val="22"/>
                      <w:szCs w:val="22"/>
                    </w:rPr>
                    <w:t xml:space="preserve"> </w:t>
                  </w:r>
                  <w:r>
                    <w:rPr>
                      <w:rFonts w:asciiTheme="majorHAnsi" w:hAnsiTheme="majorHAnsi" w:cs="Georgia"/>
                      <w:sz w:val="22"/>
                      <w:szCs w:val="22"/>
                    </w:rPr>
                    <w:t>de</w:t>
                  </w:r>
                  <w:r>
                    <w:rPr>
                      <w:rFonts w:asciiTheme="majorHAnsi" w:hAnsiTheme="majorHAnsi" w:cs="Georgia"/>
                      <w:spacing w:val="8"/>
                      <w:sz w:val="22"/>
                      <w:szCs w:val="22"/>
                    </w:rPr>
                    <w:t xml:space="preserve"> </w:t>
                  </w:r>
                  <w:r>
                    <w:rPr>
                      <w:rFonts w:asciiTheme="majorHAnsi" w:hAnsiTheme="majorHAnsi" w:cs="Georgia"/>
                      <w:spacing w:val="-2"/>
                      <w:sz w:val="22"/>
                      <w:szCs w:val="22"/>
                    </w:rPr>
                    <w:t>c</w:t>
                  </w:r>
                  <w:r>
                    <w:rPr>
                      <w:rFonts w:asciiTheme="majorHAnsi" w:hAnsiTheme="majorHAnsi" w:cs="Georgia"/>
                      <w:spacing w:val="-1"/>
                      <w:sz w:val="22"/>
                      <w:szCs w:val="22"/>
                    </w:rPr>
                    <w:t>ha</w:t>
                  </w:r>
                  <w:r>
                    <w:rPr>
                      <w:rFonts w:asciiTheme="majorHAnsi" w:hAnsiTheme="majorHAnsi" w:cs="Georgia"/>
                      <w:spacing w:val="1"/>
                      <w:sz w:val="22"/>
                      <w:szCs w:val="22"/>
                    </w:rPr>
                    <w:t>r</w:t>
                  </w:r>
                  <w:r>
                    <w:rPr>
                      <w:rFonts w:asciiTheme="majorHAnsi" w:hAnsiTheme="majorHAnsi" w:cs="Georgia"/>
                      <w:sz w:val="22"/>
                      <w:szCs w:val="22"/>
                    </w:rPr>
                    <w:t>ge</w:t>
                  </w:r>
                  <w:r>
                    <w:rPr>
                      <w:rFonts w:asciiTheme="majorHAnsi" w:hAnsiTheme="majorHAnsi" w:cs="Georgia"/>
                      <w:spacing w:val="8"/>
                      <w:sz w:val="22"/>
                      <w:szCs w:val="22"/>
                    </w:rPr>
                    <w:t xml:space="preserve"> </w:t>
                  </w:r>
                  <w:r>
                    <w:rPr>
                      <w:rFonts w:asciiTheme="majorHAnsi" w:hAnsiTheme="majorHAnsi" w:cs="Georgia"/>
                      <w:sz w:val="22"/>
                      <w:szCs w:val="22"/>
                    </w:rPr>
                    <w:t>d</w:t>
                  </w:r>
                  <w:r>
                    <w:rPr>
                      <w:rFonts w:asciiTheme="majorHAnsi" w:hAnsiTheme="majorHAnsi" w:cs="Georgia"/>
                      <w:spacing w:val="1"/>
                      <w:sz w:val="22"/>
                      <w:szCs w:val="22"/>
                    </w:rPr>
                    <w:t>'</w:t>
                  </w:r>
                  <w:r>
                    <w:rPr>
                      <w:rFonts w:asciiTheme="majorHAnsi" w:hAnsiTheme="majorHAnsi" w:cs="Georgia"/>
                      <w:sz w:val="22"/>
                      <w:szCs w:val="22"/>
                    </w:rPr>
                    <w:t>un</w:t>
                  </w:r>
                  <w:r>
                    <w:rPr>
                      <w:rFonts w:asciiTheme="majorHAnsi" w:hAnsiTheme="majorHAnsi" w:cs="Georgia"/>
                      <w:spacing w:val="6"/>
                      <w:sz w:val="22"/>
                      <w:szCs w:val="22"/>
                    </w:rPr>
                    <w:t xml:space="preserve"> </w:t>
                  </w:r>
                  <w:r>
                    <w:rPr>
                      <w:rFonts w:asciiTheme="majorHAnsi" w:hAnsiTheme="majorHAnsi" w:cs="Georgia"/>
                      <w:spacing w:val="1"/>
                      <w:sz w:val="22"/>
                      <w:szCs w:val="22"/>
                    </w:rPr>
                    <w:t>t</w:t>
                  </w:r>
                  <w:r>
                    <w:rPr>
                      <w:rFonts w:asciiTheme="majorHAnsi" w:hAnsiTheme="majorHAnsi" w:cs="Georgia"/>
                      <w:sz w:val="22"/>
                      <w:szCs w:val="22"/>
                    </w:rPr>
                    <w:t>i</w:t>
                  </w:r>
                  <w:r>
                    <w:rPr>
                      <w:rFonts w:asciiTheme="majorHAnsi" w:hAnsiTheme="majorHAnsi" w:cs="Georgia"/>
                      <w:spacing w:val="-2"/>
                      <w:sz w:val="22"/>
                      <w:szCs w:val="22"/>
                    </w:rPr>
                    <w:t>t</w:t>
                  </w:r>
                  <w:r>
                    <w:rPr>
                      <w:rFonts w:asciiTheme="majorHAnsi" w:hAnsiTheme="majorHAnsi" w:cs="Georgia"/>
                      <w:sz w:val="22"/>
                      <w:szCs w:val="22"/>
                    </w:rPr>
                    <w:t>u</w:t>
                  </w:r>
                  <w:r>
                    <w:rPr>
                      <w:rFonts w:asciiTheme="majorHAnsi" w:hAnsiTheme="majorHAnsi" w:cs="Georgia"/>
                      <w:spacing w:val="-1"/>
                      <w:sz w:val="22"/>
                      <w:szCs w:val="22"/>
                    </w:rPr>
                    <w:t>la</w:t>
                  </w:r>
                  <w:r>
                    <w:rPr>
                      <w:rFonts w:asciiTheme="majorHAnsi" w:hAnsiTheme="majorHAnsi" w:cs="Georgia"/>
                      <w:sz w:val="22"/>
                      <w:szCs w:val="22"/>
                    </w:rPr>
                    <w:t>i</w:t>
                  </w:r>
                  <w:r>
                    <w:rPr>
                      <w:rFonts w:asciiTheme="majorHAnsi" w:hAnsiTheme="majorHAnsi" w:cs="Georgia"/>
                      <w:spacing w:val="1"/>
                      <w:sz w:val="22"/>
                      <w:szCs w:val="22"/>
                    </w:rPr>
                    <w:t>r</w:t>
                  </w:r>
                  <w:r>
                    <w:rPr>
                      <w:rFonts w:asciiTheme="majorHAnsi" w:hAnsiTheme="majorHAnsi" w:cs="Georgia"/>
                      <w:sz w:val="22"/>
                      <w:szCs w:val="22"/>
                    </w:rPr>
                    <w:t>e</w:t>
                  </w:r>
                  <w:r>
                    <w:rPr>
                      <w:rFonts w:asciiTheme="majorHAnsi" w:hAnsiTheme="majorHAnsi" w:cs="Georgia"/>
                      <w:spacing w:val="8"/>
                      <w:sz w:val="22"/>
                      <w:szCs w:val="22"/>
                    </w:rPr>
                    <w:t xml:space="preserve"> </w:t>
                  </w:r>
                  <w:r>
                    <w:rPr>
                      <w:rFonts w:asciiTheme="majorHAnsi" w:hAnsiTheme="majorHAnsi" w:cs="Georgia"/>
                      <w:sz w:val="22"/>
                      <w:szCs w:val="22"/>
                    </w:rPr>
                    <w:t>de</w:t>
                  </w:r>
                  <w:r>
                    <w:rPr>
                      <w:rFonts w:asciiTheme="majorHAnsi" w:hAnsiTheme="majorHAnsi" w:cs="Georgia"/>
                      <w:spacing w:val="8"/>
                      <w:sz w:val="22"/>
                      <w:szCs w:val="22"/>
                    </w:rPr>
                    <w:t xml:space="preserve"> </w:t>
                  </w:r>
                  <w:r>
                    <w:rPr>
                      <w:rFonts w:asciiTheme="majorHAnsi" w:hAnsiTheme="majorHAnsi" w:cs="Georgia"/>
                      <w:spacing w:val="1"/>
                      <w:sz w:val="22"/>
                      <w:szCs w:val="22"/>
                    </w:rPr>
                    <w:t>c</w:t>
                  </w:r>
                  <w:r>
                    <w:rPr>
                      <w:rFonts w:asciiTheme="majorHAnsi" w:hAnsiTheme="majorHAnsi" w:cs="Georgia"/>
                      <w:spacing w:val="-1"/>
                      <w:sz w:val="22"/>
                      <w:szCs w:val="22"/>
                    </w:rPr>
                    <w:t>l</w:t>
                  </w:r>
                  <w:r>
                    <w:rPr>
                      <w:rFonts w:asciiTheme="majorHAnsi" w:hAnsiTheme="majorHAnsi" w:cs="Georgia"/>
                      <w:spacing w:val="-3"/>
                      <w:sz w:val="22"/>
                      <w:szCs w:val="22"/>
                    </w:rPr>
                    <w:t>a</w:t>
                  </w:r>
                  <w:r>
                    <w:rPr>
                      <w:rFonts w:asciiTheme="majorHAnsi" w:hAnsiTheme="majorHAnsi" w:cs="Georgia"/>
                      <w:spacing w:val="1"/>
                      <w:sz w:val="22"/>
                      <w:szCs w:val="22"/>
                    </w:rPr>
                    <w:t>ss</w:t>
                  </w:r>
                  <w:r>
                    <w:rPr>
                      <w:rFonts w:asciiTheme="majorHAnsi" w:hAnsiTheme="majorHAnsi" w:cs="Georgia"/>
                      <w:sz w:val="22"/>
                      <w:szCs w:val="22"/>
                    </w:rPr>
                    <w:t>e</w:t>
                  </w:r>
                  <w:r>
                    <w:rPr>
                      <w:rFonts w:asciiTheme="majorHAnsi" w:hAnsiTheme="majorHAnsi" w:cs="Georgia"/>
                      <w:spacing w:val="8"/>
                      <w:sz w:val="22"/>
                      <w:szCs w:val="22"/>
                    </w:rPr>
                    <w:t xml:space="preserve"> </w:t>
                  </w:r>
                  <w:r>
                    <w:rPr>
                      <w:rFonts w:asciiTheme="majorHAnsi" w:hAnsiTheme="majorHAnsi" w:cs="Georgia"/>
                      <w:spacing w:val="1"/>
                      <w:sz w:val="22"/>
                      <w:szCs w:val="22"/>
                    </w:rPr>
                    <w:t>t</w:t>
                  </w:r>
                  <w:r>
                    <w:rPr>
                      <w:rFonts w:asciiTheme="majorHAnsi" w:hAnsiTheme="majorHAnsi" w:cs="Georgia"/>
                      <w:spacing w:val="-1"/>
                      <w:sz w:val="22"/>
                      <w:szCs w:val="22"/>
                    </w:rPr>
                    <w:t>e</w:t>
                  </w:r>
                  <w:r>
                    <w:rPr>
                      <w:rFonts w:asciiTheme="majorHAnsi" w:hAnsiTheme="majorHAnsi" w:cs="Georgia"/>
                      <w:spacing w:val="-3"/>
                      <w:sz w:val="22"/>
                      <w:szCs w:val="22"/>
                    </w:rPr>
                    <w:t>m</w:t>
                  </w:r>
                  <w:r>
                    <w:rPr>
                      <w:rFonts w:asciiTheme="majorHAnsi" w:hAnsiTheme="majorHAnsi" w:cs="Georgia"/>
                      <w:spacing w:val="1"/>
                      <w:sz w:val="22"/>
                      <w:szCs w:val="22"/>
                    </w:rPr>
                    <w:t>p</w:t>
                  </w:r>
                  <w:r>
                    <w:rPr>
                      <w:rFonts w:asciiTheme="majorHAnsi" w:hAnsiTheme="majorHAnsi" w:cs="Georgia"/>
                      <w:spacing w:val="-1"/>
                      <w:sz w:val="22"/>
                      <w:szCs w:val="22"/>
                    </w:rPr>
                    <w:t>o</w:t>
                  </w:r>
                  <w:r>
                    <w:rPr>
                      <w:rFonts w:asciiTheme="majorHAnsi" w:hAnsiTheme="majorHAnsi" w:cs="Georgia"/>
                      <w:spacing w:val="1"/>
                      <w:sz w:val="22"/>
                      <w:szCs w:val="22"/>
                    </w:rPr>
                    <w:t>r</w:t>
                  </w:r>
                  <w:r>
                    <w:rPr>
                      <w:rFonts w:asciiTheme="majorHAnsi" w:hAnsiTheme="majorHAnsi" w:cs="Georgia"/>
                      <w:spacing w:val="-1"/>
                      <w:sz w:val="22"/>
                      <w:szCs w:val="22"/>
                    </w:rPr>
                    <w:t>a</w:t>
                  </w:r>
                  <w:r>
                    <w:rPr>
                      <w:rFonts w:asciiTheme="majorHAnsi" w:hAnsiTheme="majorHAnsi" w:cs="Georgia"/>
                      <w:sz w:val="22"/>
                      <w:szCs w:val="22"/>
                    </w:rPr>
                    <w:t>i</w:t>
                  </w:r>
                  <w:r>
                    <w:rPr>
                      <w:rFonts w:asciiTheme="majorHAnsi" w:hAnsiTheme="majorHAnsi" w:cs="Georgia"/>
                      <w:spacing w:val="1"/>
                      <w:sz w:val="22"/>
                      <w:szCs w:val="22"/>
                    </w:rPr>
                    <w:t>r</w:t>
                  </w:r>
                  <w:r>
                    <w:rPr>
                      <w:rFonts w:asciiTheme="majorHAnsi" w:hAnsiTheme="majorHAnsi" w:cs="Georgia"/>
                      <w:sz w:val="22"/>
                      <w:szCs w:val="22"/>
                    </w:rPr>
                    <w:t xml:space="preserve">e </w:t>
                  </w:r>
                  <w:r>
                    <w:rPr>
                      <w:rFonts w:asciiTheme="majorHAnsi" w:hAnsiTheme="majorHAnsi" w:cs="Georgia"/>
                      <w:spacing w:val="1"/>
                      <w:sz w:val="22"/>
                      <w:szCs w:val="22"/>
                    </w:rPr>
                    <w:t>pr</w:t>
                  </w:r>
                  <w:r>
                    <w:rPr>
                      <w:rFonts w:asciiTheme="majorHAnsi" w:hAnsiTheme="majorHAnsi" w:cs="Georgia"/>
                      <w:spacing w:val="-2"/>
                      <w:sz w:val="22"/>
                      <w:szCs w:val="22"/>
                    </w:rPr>
                    <w:t>i</w:t>
                  </w:r>
                  <w:r>
                    <w:rPr>
                      <w:rFonts w:asciiTheme="majorHAnsi" w:hAnsiTheme="majorHAnsi" w:cs="Georgia"/>
                      <w:spacing w:val="1"/>
                      <w:sz w:val="22"/>
                      <w:szCs w:val="22"/>
                    </w:rPr>
                    <w:t>or</w:t>
                  </w:r>
                  <w:r>
                    <w:rPr>
                      <w:rFonts w:asciiTheme="majorHAnsi" w:hAnsiTheme="majorHAnsi" w:cs="Georgia"/>
                      <w:spacing w:val="-2"/>
                      <w:sz w:val="22"/>
                      <w:szCs w:val="22"/>
                    </w:rPr>
                    <w:t>i</w:t>
                  </w:r>
                  <w:r>
                    <w:rPr>
                      <w:rFonts w:asciiTheme="majorHAnsi" w:hAnsiTheme="majorHAnsi" w:cs="Georgia"/>
                      <w:spacing w:val="1"/>
                      <w:sz w:val="22"/>
                      <w:szCs w:val="22"/>
                    </w:rPr>
                    <w:t>t</w:t>
                  </w:r>
                  <w:r>
                    <w:rPr>
                      <w:rFonts w:asciiTheme="majorHAnsi" w:hAnsiTheme="majorHAnsi" w:cs="Georgia"/>
                      <w:spacing w:val="-1"/>
                      <w:sz w:val="22"/>
                      <w:szCs w:val="22"/>
                    </w:rPr>
                    <w:t>a</w:t>
                  </w:r>
                  <w:r>
                    <w:rPr>
                      <w:rFonts w:asciiTheme="majorHAnsi" w:hAnsiTheme="majorHAnsi" w:cs="Georgia"/>
                      <w:sz w:val="22"/>
                      <w:szCs w:val="22"/>
                    </w:rPr>
                    <w:t>i</w:t>
                  </w:r>
                  <w:r>
                    <w:rPr>
                      <w:rFonts w:asciiTheme="majorHAnsi" w:hAnsiTheme="majorHAnsi" w:cs="Georgia"/>
                      <w:spacing w:val="1"/>
                      <w:sz w:val="22"/>
                      <w:szCs w:val="22"/>
                    </w:rPr>
                    <w:t>r</w:t>
                  </w:r>
                  <w:r>
                    <w:rPr>
                      <w:rFonts w:asciiTheme="majorHAnsi" w:hAnsiTheme="majorHAnsi" w:cs="Georgia"/>
                      <w:sz w:val="22"/>
                      <w:szCs w:val="22"/>
                    </w:rPr>
                    <w:t>e</w:t>
                  </w:r>
                  <w:r>
                    <w:rPr>
                      <w:rFonts w:asciiTheme="majorHAnsi" w:hAnsiTheme="majorHAnsi" w:cs="Georgia"/>
                      <w:spacing w:val="-1"/>
                      <w:sz w:val="22"/>
                      <w:szCs w:val="22"/>
                    </w:rPr>
                    <w:t xml:space="preserve"> </w:t>
                  </w:r>
                  <w:r>
                    <w:rPr>
                      <w:rFonts w:asciiTheme="majorHAnsi" w:hAnsiTheme="majorHAnsi" w:cs="Georgia"/>
                      <w:spacing w:val="1"/>
                      <w:sz w:val="22"/>
                      <w:szCs w:val="22"/>
                    </w:rPr>
                    <w:t>s</w:t>
                  </w:r>
                  <w:r>
                    <w:rPr>
                      <w:rFonts w:asciiTheme="majorHAnsi" w:hAnsiTheme="majorHAnsi" w:cs="Georgia"/>
                      <w:sz w:val="22"/>
                      <w:szCs w:val="22"/>
                    </w:rPr>
                    <w:t xml:space="preserve">i </w:t>
                  </w:r>
                  <w:r>
                    <w:rPr>
                      <w:rFonts w:asciiTheme="majorHAnsi" w:hAnsiTheme="majorHAnsi" w:cs="Georgia"/>
                      <w:spacing w:val="-1"/>
                      <w:sz w:val="22"/>
                      <w:szCs w:val="22"/>
                    </w:rPr>
                    <w:t>l</w:t>
                  </w:r>
                  <w:r>
                    <w:rPr>
                      <w:rFonts w:asciiTheme="majorHAnsi" w:hAnsiTheme="majorHAnsi" w:cs="Georgia"/>
                      <w:sz w:val="22"/>
                      <w:szCs w:val="22"/>
                    </w:rPr>
                    <w:t>e</w:t>
                  </w:r>
                  <w:r>
                    <w:rPr>
                      <w:rFonts w:asciiTheme="majorHAnsi" w:hAnsiTheme="majorHAnsi" w:cs="Georgia"/>
                      <w:spacing w:val="-1"/>
                      <w:sz w:val="22"/>
                      <w:szCs w:val="22"/>
                    </w:rPr>
                    <w:t xml:space="preserve"> </w:t>
                  </w:r>
                  <w:r>
                    <w:rPr>
                      <w:rFonts w:asciiTheme="majorHAnsi" w:hAnsiTheme="majorHAnsi" w:cs="Georgia"/>
                      <w:sz w:val="22"/>
                      <w:szCs w:val="22"/>
                    </w:rPr>
                    <w:t>m</w:t>
                  </w:r>
                  <w:r>
                    <w:rPr>
                      <w:rFonts w:asciiTheme="majorHAnsi" w:hAnsiTheme="majorHAnsi" w:cs="Georgia"/>
                      <w:spacing w:val="-1"/>
                      <w:sz w:val="22"/>
                      <w:szCs w:val="22"/>
                    </w:rPr>
                    <w:t>a</w:t>
                  </w:r>
                  <w:r>
                    <w:rPr>
                      <w:rFonts w:asciiTheme="majorHAnsi" w:hAnsiTheme="majorHAnsi" w:cs="Georgia"/>
                      <w:sz w:val="22"/>
                      <w:szCs w:val="22"/>
                    </w:rPr>
                    <w:t>î</w:t>
                  </w:r>
                  <w:r>
                    <w:rPr>
                      <w:rFonts w:asciiTheme="majorHAnsi" w:hAnsiTheme="majorHAnsi" w:cs="Georgia"/>
                      <w:spacing w:val="1"/>
                      <w:sz w:val="22"/>
                      <w:szCs w:val="22"/>
                    </w:rPr>
                    <w:t>tr</w:t>
                  </w:r>
                  <w:r>
                    <w:rPr>
                      <w:rFonts w:asciiTheme="majorHAnsi" w:hAnsiTheme="majorHAnsi" w:cs="Georgia"/>
                      <w:sz w:val="22"/>
                      <w:szCs w:val="22"/>
                    </w:rPr>
                    <w:t>e</w:t>
                  </w:r>
                  <w:r>
                    <w:rPr>
                      <w:rFonts w:asciiTheme="majorHAnsi" w:hAnsiTheme="majorHAnsi" w:cs="Georgia"/>
                      <w:spacing w:val="-1"/>
                      <w:sz w:val="22"/>
                      <w:szCs w:val="22"/>
                    </w:rPr>
                    <w:t xml:space="preserve"> </w:t>
                  </w:r>
                  <w:r>
                    <w:rPr>
                      <w:rFonts w:asciiTheme="majorHAnsi" w:hAnsiTheme="majorHAnsi" w:cs="Georgia"/>
                      <w:spacing w:val="-2"/>
                      <w:sz w:val="22"/>
                      <w:szCs w:val="22"/>
                    </w:rPr>
                    <w:t>s</w:t>
                  </w:r>
                  <w:r>
                    <w:rPr>
                      <w:rFonts w:asciiTheme="majorHAnsi" w:hAnsiTheme="majorHAnsi" w:cs="Georgia"/>
                      <w:spacing w:val="-1"/>
                      <w:sz w:val="22"/>
                      <w:szCs w:val="22"/>
                    </w:rPr>
                    <w:t>pé</w:t>
                  </w:r>
                  <w:r>
                    <w:rPr>
                      <w:rFonts w:asciiTheme="majorHAnsi" w:hAnsiTheme="majorHAnsi" w:cs="Georgia"/>
                      <w:spacing w:val="1"/>
                      <w:sz w:val="22"/>
                      <w:szCs w:val="22"/>
                    </w:rPr>
                    <w:t>c</w:t>
                  </w:r>
                  <w:r>
                    <w:rPr>
                      <w:rFonts w:asciiTheme="majorHAnsi" w:hAnsiTheme="majorHAnsi" w:cs="Georgia"/>
                      <w:sz w:val="22"/>
                      <w:szCs w:val="22"/>
                    </w:rPr>
                    <w:t>i</w:t>
                  </w:r>
                  <w:r>
                    <w:rPr>
                      <w:rFonts w:asciiTheme="majorHAnsi" w:hAnsiTheme="majorHAnsi" w:cs="Georgia"/>
                      <w:spacing w:val="-1"/>
                      <w:sz w:val="22"/>
                      <w:szCs w:val="22"/>
                    </w:rPr>
                    <w:t>a</w:t>
                  </w:r>
                  <w:r>
                    <w:rPr>
                      <w:rFonts w:asciiTheme="majorHAnsi" w:hAnsiTheme="majorHAnsi" w:cs="Georgia"/>
                      <w:sz w:val="22"/>
                      <w:szCs w:val="22"/>
                    </w:rPr>
                    <w:t>l</w:t>
                  </w:r>
                  <w:r>
                    <w:rPr>
                      <w:rFonts w:asciiTheme="majorHAnsi" w:hAnsiTheme="majorHAnsi" w:cs="Georgia"/>
                      <w:spacing w:val="-1"/>
                      <w:sz w:val="22"/>
                      <w:szCs w:val="22"/>
                    </w:rPr>
                    <w:t xml:space="preserve"> </w:t>
                  </w:r>
                  <w:r>
                    <w:rPr>
                      <w:rFonts w:asciiTheme="majorHAnsi" w:hAnsiTheme="majorHAnsi" w:cs="Georgia"/>
                      <w:spacing w:val="1"/>
                      <w:sz w:val="22"/>
                      <w:szCs w:val="22"/>
                    </w:rPr>
                    <w:t>b</w:t>
                  </w:r>
                  <w:r>
                    <w:rPr>
                      <w:rFonts w:asciiTheme="majorHAnsi" w:hAnsiTheme="majorHAnsi" w:cs="Georgia"/>
                      <w:spacing w:val="-1"/>
                      <w:sz w:val="22"/>
                      <w:szCs w:val="22"/>
                    </w:rPr>
                    <w:t>éné</w:t>
                  </w:r>
                  <w:r>
                    <w:rPr>
                      <w:rFonts w:asciiTheme="majorHAnsi" w:hAnsiTheme="majorHAnsi" w:cs="Georgia"/>
                      <w:sz w:val="22"/>
                      <w:szCs w:val="22"/>
                    </w:rPr>
                    <w:t>fi</w:t>
                  </w:r>
                  <w:r>
                    <w:rPr>
                      <w:rFonts w:asciiTheme="majorHAnsi" w:hAnsiTheme="majorHAnsi" w:cs="Georgia"/>
                      <w:spacing w:val="1"/>
                      <w:sz w:val="22"/>
                      <w:szCs w:val="22"/>
                    </w:rPr>
                    <w:t>c</w:t>
                  </w:r>
                  <w:r>
                    <w:rPr>
                      <w:rFonts w:asciiTheme="majorHAnsi" w:hAnsiTheme="majorHAnsi" w:cs="Georgia"/>
                      <w:sz w:val="22"/>
                      <w:szCs w:val="22"/>
                    </w:rPr>
                    <w:t>i</w:t>
                  </w:r>
                  <w:r>
                    <w:rPr>
                      <w:rFonts w:asciiTheme="majorHAnsi" w:hAnsiTheme="majorHAnsi" w:cs="Georgia"/>
                      <w:spacing w:val="-1"/>
                      <w:sz w:val="22"/>
                      <w:szCs w:val="22"/>
                    </w:rPr>
                    <w:t>a</w:t>
                  </w:r>
                  <w:r>
                    <w:rPr>
                      <w:rFonts w:asciiTheme="majorHAnsi" w:hAnsiTheme="majorHAnsi" w:cs="Georgia"/>
                      <w:sz w:val="22"/>
                      <w:szCs w:val="22"/>
                    </w:rPr>
                    <w:t>i</w:t>
                  </w:r>
                  <w:r>
                    <w:rPr>
                      <w:rFonts w:asciiTheme="majorHAnsi" w:hAnsiTheme="majorHAnsi" w:cs="Georgia"/>
                      <w:spacing w:val="1"/>
                      <w:sz w:val="22"/>
                      <w:szCs w:val="22"/>
                    </w:rPr>
                    <w:t>r</w:t>
                  </w:r>
                  <w:r>
                    <w:rPr>
                      <w:rFonts w:asciiTheme="majorHAnsi" w:hAnsiTheme="majorHAnsi" w:cs="Georgia"/>
                      <w:sz w:val="22"/>
                      <w:szCs w:val="22"/>
                    </w:rPr>
                    <w:t>e</w:t>
                  </w:r>
                  <w:r>
                    <w:rPr>
                      <w:rFonts w:asciiTheme="majorHAnsi" w:hAnsiTheme="majorHAnsi" w:cs="Georgia"/>
                      <w:spacing w:val="-1"/>
                      <w:sz w:val="22"/>
                      <w:szCs w:val="22"/>
                    </w:rPr>
                    <w:t xml:space="preserve"> e</w:t>
                  </w:r>
                  <w:r>
                    <w:rPr>
                      <w:rFonts w:asciiTheme="majorHAnsi" w:hAnsiTheme="majorHAnsi" w:cs="Georgia"/>
                      <w:spacing w:val="1"/>
                      <w:sz w:val="22"/>
                      <w:szCs w:val="22"/>
                    </w:rPr>
                    <w:t>s</w:t>
                  </w:r>
                  <w:r>
                    <w:rPr>
                      <w:rFonts w:asciiTheme="majorHAnsi" w:hAnsiTheme="majorHAnsi" w:cs="Georgia"/>
                      <w:sz w:val="22"/>
                      <w:szCs w:val="22"/>
                    </w:rPr>
                    <w:t xml:space="preserve">t </w:t>
                  </w:r>
                  <w:r>
                    <w:rPr>
                      <w:rFonts w:asciiTheme="majorHAnsi" w:hAnsiTheme="majorHAnsi" w:cs="Georgia"/>
                      <w:spacing w:val="1"/>
                      <w:sz w:val="22"/>
                      <w:szCs w:val="22"/>
                    </w:rPr>
                    <w:t>t</w:t>
                  </w:r>
                  <w:r>
                    <w:rPr>
                      <w:rFonts w:asciiTheme="majorHAnsi" w:hAnsiTheme="majorHAnsi" w:cs="Georgia"/>
                      <w:spacing w:val="-1"/>
                      <w:sz w:val="22"/>
                      <w:szCs w:val="22"/>
                    </w:rPr>
                    <w:t>e</w:t>
                  </w:r>
                  <w:r>
                    <w:rPr>
                      <w:rFonts w:asciiTheme="majorHAnsi" w:hAnsiTheme="majorHAnsi" w:cs="Georgia"/>
                      <w:spacing w:val="-3"/>
                      <w:sz w:val="22"/>
                      <w:szCs w:val="22"/>
                    </w:rPr>
                    <w:t>m</w:t>
                  </w:r>
                  <w:r>
                    <w:rPr>
                      <w:rFonts w:asciiTheme="majorHAnsi" w:hAnsiTheme="majorHAnsi" w:cs="Georgia"/>
                      <w:spacing w:val="1"/>
                      <w:sz w:val="22"/>
                      <w:szCs w:val="22"/>
                    </w:rPr>
                    <w:t>p</w:t>
                  </w:r>
                  <w:r>
                    <w:rPr>
                      <w:rFonts w:asciiTheme="majorHAnsi" w:hAnsiTheme="majorHAnsi" w:cs="Georgia"/>
                      <w:spacing w:val="-1"/>
                      <w:sz w:val="22"/>
                      <w:szCs w:val="22"/>
                    </w:rPr>
                    <w:t>o</w:t>
                  </w:r>
                  <w:r>
                    <w:rPr>
                      <w:rFonts w:asciiTheme="majorHAnsi" w:hAnsiTheme="majorHAnsi" w:cs="Georgia"/>
                      <w:spacing w:val="1"/>
                      <w:sz w:val="22"/>
                      <w:szCs w:val="22"/>
                    </w:rPr>
                    <w:t>r</w:t>
                  </w:r>
                  <w:r>
                    <w:rPr>
                      <w:rFonts w:asciiTheme="majorHAnsi" w:hAnsiTheme="majorHAnsi" w:cs="Georgia"/>
                      <w:spacing w:val="-1"/>
                      <w:sz w:val="22"/>
                      <w:szCs w:val="22"/>
                    </w:rPr>
                    <w:t>a</w:t>
                  </w:r>
                  <w:r>
                    <w:rPr>
                      <w:rFonts w:asciiTheme="majorHAnsi" w:hAnsiTheme="majorHAnsi" w:cs="Georgia"/>
                      <w:sz w:val="22"/>
                      <w:szCs w:val="22"/>
                    </w:rPr>
                    <w:t>i</w:t>
                  </w:r>
                  <w:r>
                    <w:rPr>
                      <w:rFonts w:asciiTheme="majorHAnsi" w:hAnsiTheme="majorHAnsi" w:cs="Georgia"/>
                      <w:spacing w:val="1"/>
                      <w:sz w:val="22"/>
                      <w:szCs w:val="22"/>
                    </w:rPr>
                    <w:t>r</w:t>
                  </w:r>
                  <w:r>
                    <w:rPr>
                      <w:rFonts w:asciiTheme="majorHAnsi" w:hAnsiTheme="majorHAnsi" w:cs="Georgia"/>
                      <w:spacing w:val="-1"/>
                      <w:sz w:val="22"/>
                      <w:szCs w:val="22"/>
                    </w:rPr>
                    <w:t>e</w:t>
                  </w:r>
                  <w:r>
                    <w:rPr>
                      <w:rFonts w:asciiTheme="majorHAnsi" w:hAnsiTheme="majorHAnsi" w:cs="Georgia"/>
                      <w:sz w:val="22"/>
                      <w:szCs w:val="22"/>
                    </w:rPr>
                    <w:t>.</w:t>
                  </w:r>
                </w:p>
                <w:p>
                  <w:pPr>
                    <w:widowControl w:val="0"/>
                    <w:autoSpaceDE w:val="0"/>
                    <w:autoSpaceDN w:val="0"/>
                    <w:adjustRightInd w:val="0"/>
                    <w:spacing w:line="241" w:lineRule="auto"/>
                    <w:jc w:val="both"/>
                    <w:rPr>
                      <w:rFonts w:cs="Georgia"/>
                      <w:b/>
                      <w:u w:val="single"/>
                    </w:rPr>
                  </w:pPr>
                </w:p>
                <w:p>
                  <w:pPr>
                    <w:widowControl w:val="0"/>
                    <w:autoSpaceDE w:val="0"/>
                    <w:autoSpaceDN w:val="0"/>
                    <w:adjustRightInd w:val="0"/>
                    <w:spacing w:line="241" w:lineRule="auto"/>
                    <w:jc w:val="both"/>
                    <w:rPr>
                      <w:rFonts w:cs="Georgia"/>
                      <w:b/>
                      <w:spacing w:val="1"/>
                      <w:u w:val="single"/>
                    </w:rPr>
                  </w:pPr>
                  <w:r>
                    <w:rPr>
                      <w:rFonts w:cs="Georgia"/>
                      <w:b/>
                      <w:u w:val="single"/>
                    </w:rPr>
                    <w:t>P</w:t>
                  </w:r>
                  <w:r>
                    <w:rPr>
                      <w:rFonts w:cs="Georgia"/>
                      <w:b/>
                      <w:spacing w:val="1"/>
                      <w:u w:val="single"/>
                    </w:rPr>
                    <w:t>o</w:t>
                  </w:r>
                  <w:r>
                    <w:rPr>
                      <w:rFonts w:cs="Georgia"/>
                      <w:b/>
                      <w:u w:val="single"/>
                    </w:rPr>
                    <w:t>ur</w:t>
                  </w:r>
                  <w:r>
                    <w:rPr>
                      <w:rFonts w:cs="Georgia"/>
                      <w:b/>
                      <w:spacing w:val="2"/>
                      <w:u w:val="single"/>
                    </w:rPr>
                    <w:t xml:space="preserve"> </w:t>
                  </w:r>
                  <w:r>
                    <w:rPr>
                      <w:rFonts w:cs="Georgia"/>
                      <w:b/>
                      <w:spacing w:val="-1"/>
                      <w:u w:val="single"/>
                    </w:rPr>
                    <w:t>l</w:t>
                  </w:r>
                  <w:r>
                    <w:rPr>
                      <w:rFonts w:cs="Georgia"/>
                      <w:b/>
                      <w:u w:val="single"/>
                    </w:rPr>
                    <w:t>’</w:t>
                  </w:r>
                  <w:r>
                    <w:rPr>
                      <w:rFonts w:cs="Georgia"/>
                      <w:b/>
                      <w:spacing w:val="-1"/>
                      <w:u w:val="single"/>
                    </w:rPr>
                    <w:t>en</w:t>
                  </w:r>
                  <w:r>
                    <w:rPr>
                      <w:rFonts w:cs="Georgia"/>
                      <w:b/>
                      <w:spacing w:val="1"/>
                      <w:u w:val="single"/>
                    </w:rPr>
                    <w:t>s</w:t>
                  </w:r>
                  <w:r>
                    <w:rPr>
                      <w:rFonts w:cs="Georgia"/>
                      <w:b/>
                      <w:spacing w:val="-1"/>
                      <w:u w:val="single"/>
                    </w:rPr>
                    <w:t>e</w:t>
                  </w:r>
                  <w:r>
                    <w:rPr>
                      <w:rFonts w:cs="Georgia"/>
                      <w:b/>
                      <w:u w:val="single"/>
                    </w:rPr>
                    <w:t>ig</w:t>
                  </w:r>
                  <w:r>
                    <w:rPr>
                      <w:rFonts w:cs="Georgia"/>
                      <w:b/>
                      <w:spacing w:val="-1"/>
                      <w:u w:val="single"/>
                    </w:rPr>
                    <w:t>ne</w:t>
                  </w:r>
                  <w:r>
                    <w:rPr>
                      <w:rFonts w:cs="Georgia"/>
                      <w:b/>
                      <w:u w:val="single"/>
                    </w:rPr>
                    <w:t>m</w:t>
                  </w:r>
                  <w:r>
                    <w:rPr>
                      <w:rFonts w:cs="Georgia"/>
                      <w:b/>
                      <w:spacing w:val="-1"/>
                      <w:u w:val="single"/>
                    </w:rPr>
                    <w:t>en</w:t>
                  </w:r>
                  <w:r>
                    <w:rPr>
                      <w:rFonts w:cs="Georgia"/>
                      <w:b/>
                      <w:u w:val="single"/>
                    </w:rPr>
                    <w:t>t</w:t>
                  </w:r>
                  <w:r>
                    <w:rPr>
                      <w:rFonts w:cs="Georgia"/>
                      <w:b/>
                      <w:spacing w:val="2"/>
                      <w:u w:val="single"/>
                    </w:rPr>
                    <w:t xml:space="preserve"> </w:t>
                  </w:r>
                  <w:r>
                    <w:rPr>
                      <w:rFonts w:cs="Georgia"/>
                      <w:b/>
                      <w:u w:val="single"/>
                    </w:rPr>
                    <w:t xml:space="preserve">de </w:t>
                  </w:r>
                  <w:r>
                    <w:rPr>
                      <w:rFonts w:cs="Georgia"/>
                      <w:b/>
                      <w:spacing w:val="1"/>
                      <w:u w:val="single"/>
                    </w:rPr>
                    <w:t>t</w:t>
                  </w:r>
                  <w:r>
                    <w:rPr>
                      <w:rFonts w:cs="Georgia"/>
                      <w:b/>
                      <w:spacing w:val="-1"/>
                      <w:u w:val="single"/>
                    </w:rPr>
                    <w:t>y</w:t>
                  </w:r>
                  <w:r>
                    <w:rPr>
                      <w:rFonts w:cs="Georgia"/>
                      <w:b/>
                      <w:spacing w:val="1"/>
                      <w:u w:val="single"/>
                    </w:rPr>
                    <w:t>p</w:t>
                  </w:r>
                  <w:r>
                    <w:rPr>
                      <w:rFonts w:cs="Georgia"/>
                      <w:b/>
                      <w:u w:val="single"/>
                    </w:rPr>
                    <w:t xml:space="preserve">e </w:t>
                  </w:r>
                  <w:r>
                    <w:rPr>
                      <w:rFonts w:cs="Georgia"/>
                      <w:b/>
                      <w:spacing w:val="1"/>
                      <w:u w:val="single"/>
                    </w:rPr>
                    <w:t>5 :</w:t>
                  </w:r>
                </w:p>
                <w:p>
                  <w:pPr>
                    <w:widowControl w:val="0"/>
                    <w:autoSpaceDE w:val="0"/>
                    <w:autoSpaceDN w:val="0"/>
                    <w:adjustRightInd w:val="0"/>
                    <w:rPr>
                      <w:rFonts w:cs="Georgia"/>
                      <w:b/>
                      <w:spacing w:val="1"/>
                      <w:u w:val="single"/>
                    </w:rPr>
                  </w:pPr>
                </w:p>
                <w:p>
                  <w:pPr>
                    <w:widowControl w:val="0"/>
                    <w:autoSpaceDE w:val="0"/>
                    <w:autoSpaceDN w:val="0"/>
                    <w:adjustRightInd w:val="0"/>
                    <w:jc w:val="both"/>
                    <w:rPr>
                      <w:rFonts w:cs="Georgia"/>
                    </w:rPr>
                  </w:pPr>
                  <w:r>
                    <w:rPr>
                      <w:rFonts w:cs="Georgia"/>
                      <w:spacing w:val="-1"/>
                    </w:rPr>
                    <w:t>L</w:t>
                  </w:r>
                  <w:r>
                    <w:rPr>
                      <w:rFonts w:cs="Georgia"/>
                    </w:rPr>
                    <w:t>’u</w:t>
                  </w:r>
                  <w:r>
                    <w:rPr>
                      <w:rFonts w:cs="Georgia"/>
                      <w:spacing w:val="1"/>
                    </w:rPr>
                    <w:t>t</w:t>
                  </w:r>
                  <w:r>
                    <w:rPr>
                      <w:rFonts w:cs="Georgia"/>
                    </w:rPr>
                    <w:t>i</w:t>
                  </w:r>
                  <w:r>
                    <w:rPr>
                      <w:rFonts w:cs="Georgia"/>
                      <w:spacing w:val="-1"/>
                    </w:rPr>
                    <w:t>l</w:t>
                  </w:r>
                  <w:r>
                    <w:rPr>
                      <w:rFonts w:cs="Georgia"/>
                    </w:rPr>
                    <w:t>i</w:t>
                  </w:r>
                  <w:r>
                    <w:rPr>
                      <w:rFonts w:cs="Georgia"/>
                      <w:spacing w:val="1"/>
                    </w:rPr>
                    <w:t>s</w:t>
                  </w:r>
                  <w:r>
                    <w:rPr>
                      <w:rFonts w:cs="Georgia"/>
                      <w:spacing w:val="-3"/>
                    </w:rPr>
                    <w:t>a</w:t>
                  </w:r>
                  <w:r>
                    <w:rPr>
                      <w:rFonts w:cs="Georgia"/>
                      <w:spacing w:val="1"/>
                    </w:rPr>
                    <w:t>t</w:t>
                  </w:r>
                  <w:r>
                    <w:rPr>
                      <w:rFonts w:cs="Georgia"/>
                    </w:rPr>
                    <w:t>i</w:t>
                  </w:r>
                  <w:r>
                    <w:rPr>
                      <w:rFonts w:cs="Georgia"/>
                      <w:spacing w:val="1"/>
                    </w:rPr>
                    <w:t>o</w:t>
                  </w:r>
                  <w:r>
                    <w:rPr>
                      <w:rFonts w:cs="Georgia"/>
                    </w:rPr>
                    <w:t>n</w:t>
                  </w:r>
                  <w:r>
                    <w:rPr>
                      <w:rFonts w:cs="Georgia"/>
                      <w:spacing w:val="1"/>
                    </w:rPr>
                    <w:t xml:space="preserve"> </w:t>
                  </w:r>
                  <w:r>
                    <w:rPr>
                      <w:rFonts w:cs="Georgia"/>
                    </w:rPr>
                    <w:t>d</w:t>
                  </w:r>
                  <w:r>
                    <w:rPr>
                      <w:rFonts w:cs="Georgia"/>
                      <w:spacing w:val="-1"/>
                    </w:rPr>
                    <w:t>e</w:t>
                  </w:r>
                  <w:r>
                    <w:rPr>
                      <w:rFonts w:cs="Georgia"/>
                    </w:rPr>
                    <w:t>s</w:t>
                  </w:r>
                  <w:r>
                    <w:rPr>
                      <w:rFonts w:cs="Georgia"/>
                      <w:spacing w:val="2"/>
                    </w:rPr>
                    <w:t xml:space="preserve"> </w:t>
                  </w:r>
                  <w:r>
                    <w:rPr>
                      <w:rFonts w:cs="Georgia"/>
                    </w:rPr>
                    <w:t>2</w:t>
                  </w:r>
                  <w:r>
                    <w:rPr>
                      <w:rFonts w:cs="Georgia"/>
                      <w:spacing w:val="1"/>
                    </w:rPr>
                    <w:t xml:space="preserve"> 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2"/>
                    </w:rPr>
                    <w:t xml:space="preserve"> </w:t>
                  </w:r>
                  <w:r>
                    <w:rPr>
                      <w:rFonts w:cs="Georgia"/>
                      <w:spacing w:val="-2"/>
                    </w:rPr>
                    <w:t xml:space="preserve">d’activités </w:t>
                  </w:r>
                  <w:r>
                    <w:rPr>
                      <w:rFonts w:cs="Georgia"/>
                      <w:spacing w:val="-1"/>
                    </w:rPr>
                    <w:t>p</w:t>
                  </w:r>
                  <w:r>
                    <w:rPr>
                      <w:rFonts w:cs="Georgia"/>
                      <w:spacing w:val="1"/>
                    </w:rPr>
                    <w:t>h</w:t>
                  </w:r>
                  <w:r>
                    <w:rPr>
                      <w:rFonts w:cs="Georgia"/>
                      <w:spacing w:val="-3"/>
                    </w:rPr>
                    <w:t>y</w:t>
                  </w:r>
                  <w:r>
                    <w:rPr>
                      <w:rFonts w:cs="Georgia"/>
                      <w:spacing w:val="1"/>
                    </w:rPr>
                    <w:t>s</w:t>
                  </w:r>
                  <w:r>
                    <w:rPr>
                      <w:rFonts w:cs="Georgia"/>
                    </w:rPr>
                    <w:t>i</w:t>
                  </w:r>
                  <w:r>
                    <w:rPr>
                      <w:rFonts w:cs="Georgia"/>
                      <w:spacing w:val="-1"/>
                    </w:rPr>
                    <w:t>q</w:t>
                  </w:r>
                  <w:r>
                    <w:rPr>
                      <w:rFonts w:cs="Georgia"/>
                    </w:rPr>
                    <w:t>u</w:t>
                  </w:r>
                  <w:r>
                    <w:rPr>
                      <w:rFonts w:cs="Georgia"/>
                      <w:spacing w:val="-1"/>
                    </w:rPr>
                    <w:t>es</w:t>
                  </w:r>
                  <w:r>
                    <w:rPr>
                      <w:rFonts w:cs="Georgia"/>
                      <w:spacing w:val="2"/>
                    </w:rPr>
                    <w:t xml:space="preserve"> et sportives, </w:t>
                  </w:r>
                  <w:r>
                    <w:rPr>
                      <w:rFonts w:cs="Georgia"/>
                      <w:spacing w:val="-1"/>
                    </w:rPr>
                    <w:t>n</w:t>
                  </w:r>
                  <w:r>
                    <w:rPr>
                      <w:rFonts w:cs="Georgia"/>
                    </w:rPr>
                    <w:t>’</w:t>
                  </w:r>
                  <w:r>
                    <w:rPr>
                      <w:rFonts w:cs="Georgia"/>
                      <w:spacing w:val="-1"/>
                    </w:rPr>
                    <w:t>e</w:t>
                  </w:r>
                  <w:r>
                    <w:rPr>
                      <w:rFonts w:cs="Georgia"/>
                      <w:spacing w:val="1"/>
                    </w:rPr>
                    <w:t>st p</w:t>
                  </w:r>
                  <w:r>
                    <w:rPr>
                      <w:rFonts w:cs="Georgia"/>
                      <w:spacing w:val="-1"/>
                    </w:rPr>
                    <w:t>a</w:t>
                  </w:r>
                  <w:r>
                    <w:rPr>
                      <w:rFonts w:cs="Georgia"/>
                    </w:rPr>
                    <w:t xml:space="preserve">s </w:t>
                  </w:r>
                  <w:r>
                    <w:rPr>
                      <w:rFonts w:cs="Georgia"/>
                      <w:spacing w:val="-1"/>
                    </w:rPr>
                    <w:t>o</w:t>
                  </w:r>
                  <w:r>
                    <w:rPr>
                      <w:rFonts w:cs="Georgia"/>
                      <w:spacing w:val="1"/>
                    </w:rPr>
                    <w:t>b</w:t>
                  </w:r>
                  <w:r>
                    <w:rPr>
                      <w:rFonts w:cs="Georgia"/>
                      <w:spacing w:val="-1"/>
                    </w:rPr>
                    <w:t>l</w:t>
                  </w:r>
                  <w:r>
                    <w:rPr>
                      <w:rFonts w:cs="Georgia"/>
                    </w:rPr>
                    <w:t>ig</w:t>
                  </w:r>
                  <w:r>
                    <w:rPr>
                      <w:rFonts w:cs="Georgia"/>
                      <w:spacing w:val="-1"/>
                    </w:rPr>
                    <w:t>a</w:t>
                  </w:r>
                  <w:r>
                    <w:rPr>
                      <w:rFonts w:cs="Georgia"/>
                      <w:spacing w:val="-2"/>
                    </w:rPr>
                    <w:t>t</w:t>
                  </w:r>
                  <w:r>
                    <w:rPr>
                      <w:rFonts w:cs="Georgia"/>
                      <w:spacing w:val="1"/>
                    </w:rPr>
                    <w:t>o</w:t>
                  </w:r>
                  <w:r>
                    <w:rPr>
                      <w:rFonts w:cs="Georgia"/>
                    </w:rPr>
                    <w:t>i</w:t>
                  </w:r>
                  <w:r>
                    <w:rPr>
                      <w:rFonts w:cs="Georgia"/>
                      <w:spacing w:val="1"/>
                    </w:rPr>
                    <w:t>r</w:t>
                  </w:r>
                  <w:r>
                    <w:rPr>
                      <w:rFonts w:cs="Georgia"/>
                    </w:rPr>
                    <w:t>e</w:t>
                  </w:r>
                  <w:r>
                    <w:rPr>
                      <w:rFonts w:cs="Georgia"/>
                      <w:spacing w:val="-4"/>
                    </w:rPr>
                    <w:t xml:space="preserve"> </w:t>
                  </w:r>
                  <w:r>
                    <w:rPr>
                      <w:rFonts w:cs="Georgia"/>
                      <w:spacing w:val="1"/>
                    </w:rPr>
                    <w:t>(c</w:t>
                  </w:r>
                  <w:r>
                    <w:rPr>
                      <w:rFonts w:cs="Georgia"/>
                      <w:spacing w:val="-1"/>
                    </w:rPr>
                    <w:t>e</w:t>
                  </w:r>
                  <w:r>
                    <w:rPr>
                      <w:rFonts w:cs="Georgia"/>
                    </w:rPr>
                    <w:t>s 2</w:t>
                  </w:r>
                  <w:r>
                    <w:rPr>
                      <w:rFonts w:cs="Georgia"/>
                      <w:spacing w:val="-1"/>
                    </w:rPr>
                    <w:t xml:space="preserve"> </w:t>
                  </w:r>
                  <w:r>
                    <w:rPr>
                      <w:rFonts w:cs="Georgia"/>
                      <w:spacing w:val="1"/>
                    </w:rPr>
                    <w:t>h</w:t>
                  </w:r>
                  <w:r>
                    <w:rPr>
                      <w:rFonts w:cs="Georgia"/>
                      <w:spacing w:val="-3"/>
                    </w:rPr>
                    <w:t>e</w:t>
                  </w:r>
                  <w:r>
                    <w:rPr>
                      <w:rFonts w:cs="Georgia"/>
                    </w:rPr>
                    <w:t>u</w:t>
                  </w:r>
                  <w:r>
                    <w:rPr>
                      <w:rFonts w:cs="Georgia"/>
                      <w:spacing w:val="1"/>
                    </w:rPr>
                    <w:t>r</w:t>
                  </w:r>
                  <w:r>
                    <w:rPr>
                      <w:rFonts w:cs="Georgia"/>
                      <w:spacing w:val="-1"/>
                    </w:rPr>
                    <w:t>e</w:t>
                  </w:r>
                  <w:r>
                    <w:rPr>
                      <w:rFonts w:cs="Georgia"/>
                    </w:rPr>
                    <w:t>s f</w:t>
                  </w:r>
                  <w:r>
                    <w:rPr>
                      <w:rFonts w:cs="Georgia"/>
                      <w:spacing w:val="1"/>
                    </w:rPr>
                    <w:t>o</w:t>
                  </w:r>
                  <w:r>
                    <w:rPr>
                      <w:rFonts w:cs="Georgia"/>
                      <w:spacing w:val="-3"/>
                    </w:rPr>
                    <w:t>n</w:t>
                  </w:r>
                  <w:r>
                    <w:rPr>
                      <w:rFonts w:cs="Georgia"/>
                    </w:rPr>
                    <w:t xml:space="preserve">t </w:t>
                  </w:r>
                  <w:r>
                    <w:rPr>
                      <w:rFonts w:cs="Georgia"/>
                      <w:spacing w:val="1"/>
                    </w:rPr>
                    <w:t>p</w:t>
                  </w:r>
                  <w:r>
                    <w:rPr>
                      <w:rFonts w:cs="Georgia"/>
                      <w:spacing w:val="-1"/>
                    </w:rPr>
                    <w:t>a</w:t>
                  </w:r>
                  <w:r>
                    <w:rPr>
                      <w:rFonts w:cs="Georgia"/>
                      <w:spacing w:val="-2"/>
                    </w:rPr>
                    <w:t>r</w:t>
                  </w:r>
                  <w:r>
                    <w:rPr>
                      <w:rFonts w:cs="Georgia"/>
                      <w:spacing w:val="1"/>
                    </w:rPr>
                    <w:t>t</w:t>
                  </w:r>
                  <w:r>
                    <w:rPr>
                      <w:rFonts w:cs="Georgia"/>
                    </w:rPr>
                    <w:t>ie</w:t>
                  </w:r>
                  <w:r>
                    <w:rPr>
                      <w:rFonts w:cs="Georgia"/>
                      <w:spacing w:val="-1"/>
                    </w:rPr>
                    <w:t xml:space="preserve"> </w:t>
                  </w:r>
                  <w:r>
                    <w:rPr>
                      <w:rFonts w:cs="Georgia"/>
                    </w:rPr>
                    <w:t xml:space="preserve">du </w:t>
                  </w:r>
                  <w:r>
                    <w:rPr>
                      <w:rFonts w:cs="Georgia"/>
                      <w:spacing w:val="1"/>
                    </w:rPr>
                    <w:t>c</w:t>
                  </w:r>
                  <w:r>
                    <w:rPr>
                      <w:rFonts w:cs="Georgia"/>
                      <w:spacing w:val="-3"/>
                    </w:rPr>
                    <w:t>a</w:t>
                  </w:r>
                  <w:r>
                    <w:rPr>
                      <w:rFonts w:cs="Georgia"/>
                      <w:spacing w:val="1"/>
                    </w:rPr>
                    <w:t>p</w:t>
                  </w:r>
                  <w:r>
                    <w:rPr>
                      <w:rFonts w:cs="Georgia"/>
                    </w:rPr>
                    <w:t>i</w:t>
                  </w:r>
                  <w:r>
                    <w:rPr>
                      <w:rFonts w:cs="Georgia"/>
                      <w:spacing w:val="1"/>
                    </w:rPr>
                    <w:t>t</w:t>
                  </w:r>
                  <w:r>
                    <w:rPr>
                      <w:rFonts w:cs="Georgia"/>
                      <w:spacing w:val="-3"/>
                    </w:rPr>
                    <w:t>a</w:t>
                  </w:r>
                  <w:r>
                    <w:rPr>
                      <w:rFonts w:cs="Georgia"/>
                      <w:spacing w:val="-1"/>
                    </w:rPr>
                    <w:t>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2"/>
                    </w:rPr>
                    <w:t xml:space="preserve"> </w:t>
                  </w:r>
                  <w:r>
                    <w:rPr>
                      <w:rFonts w:cs="Georgia"/>
                    </w:rPr>
                    <w:t>de</w:t>
                  </w:r>
                  <w:r>
                    <w:rPr>
                      <w:rFonts w:cs="Georgia"/>
                      <w:spacing w:val="-1"/>
                    </w:rPr>
                    <w:t xml:space="preserve"> l</w:t>
                  </w:r>
                  <w:r>
                    <w:rPr>
                      <w:rFonts w:cs="Georgia"/>
                    </w:rPr>
                    <w:t>’</w:t>
                  </w:r>
                  <w:r>
                    <w:rPr>
                      <w:rFonts w:cs="Georgia"/>
                      <w:spacing w:val="-1"/>
                    </w:rPr>
                    <w:t>é</w:t>
                  </w:r>
                  <w:r>
                    <w:rPr>
                      <w:rFonts w:cs="Georgia"/>
                      <w:spacing w:val="1"/>
                    </w:rPr>
                    <w:t>co</w:t>
                  </w:r>
                  <w:r>
                    <w:rPr>
                      <w:rFonts w:cs="Georgia"/>
                      <w:spacing w:val="-1"/>
                    </w:rPr>
                    <w:t>le</w:t>
                  </w:r>
                  <w:r>
                    <w:rPr>
                      <w:rFonts w:cs="Georgia"/>
                      <w:spacing w:val="1"/>
                    </w:rPr>
                    <w:t>)</w:t>
                  </w:r>
                  <w:r>
                    <w:rPr>
                      <w:rFonts w:cs="Georgia"/>
                    </w:rPr>
                    <w:t>.</w:t>
                  </w:r>
                </w:p>
                <w:p>
                  <w:pPr>
                    <w:widowControl w:val="0"/>
                    <w:autoSpaceDE w:val="0"/>
                    <w:autoSpaceDN w:val="0"/>
                    <w:adjustRightInd w:val="0"/>
                    <w:jc w:val="both"/>
                    <w:rPr>
                      <w:rFonts w:cs="Georgia"/>
                    </w:rPr>
                  </w:pPr>
                </w:p>
                <w:p>
                  <w:pPr>
                    <w:widowControl w:val="0"/>
                    <w:autoSpaceDE w:val="0"/>
                    <w:autoSpaceDN w:val="0"/>
                    <w:adjustRightInd w:val="0"/>
                    <w:spacing w:before="85" w:line="241" w:lineRule="auto"/>
                    <w:jc w:val="both"/>
                    <w:rPr>
                      <w:rFonts w:cs="Georgia"/>
                      <w:b/>
                      <w:spacing w:val="1"/>
                      <w:u w:val="single"/>
                    </w:rPr>
                  </w:pPr>
                  <w:r>
                    <w:rPr>
                      <w:rFonts w:cs="Georgia"/>
                      <w:b/>
                      <w:u w:val="single"/>
                    </w:rPr>
                    <w:t>P</w:t>
                  </w:r>
                  <w:r>
                    <w:rPr>
                      <w:rFonts w:cs="Georgia"/>
                      <w:b/>
                      <w:spacing w:val="1"/>
                      <w:u w:val="single"/>
                    </w:rPr>
                    <w:t>o</w:t>
                  </w:r>
                  <w:r>
                    <w:rPr>
                      <w:rFonts w:cs="Georgia"/>
                      <w:b/>
                      <w:u w:val="single"/>
                    </w:rPr>
                    <w:t>ur</w:t>
                  </w:r>
                  <w:r>
                    <w:rPr>
                      <w:rFonts w:cs="Georgia"/>
                      <w:b/>
                      <w:spacing w:val="2"/>
                      <w:u w:val="single"/>
                    </w:rPr>
                    <w:t xml:space="preserve"> </w:t>
                  </w:r>
                  <w:r>
                    <w:rPr>
                      <w:rFonts w:cs="Georgia"/>
                      <w:b/>
                      <w:spacing w:val="-1"/>
                      <w:u w:val="single"/>
                    </w:rPr>
                    <w:t>l</w:t>
                  </w:r>
                  <w:r>
                    <w:rPr>
                      <w:rFonts w:cs="Georgia"/>
                      <w:b/>
                      <w:u w:val="single"/>
                    </w:rPr>
                    <w:t>’</w:t>
                  </w:r>
                  <w:r>
                    <w:rPr>
                      <w:rFonts w:cs="Georgia"/>
                      <w:b/>
                      <w:spacing w:val="-1"/>
                      <w:u w:val="single"/>
                    </w:rPr>
                    <w:t>en</w:t>
                  </w:r>
                  <w:r>
                    <w:rPr>
                      <w:rFonts w:cs="Georgia"/>
                      <w:b/>
                      <w:spacing w:val="1"/>
                      <w:u w:val="single"/>
                    </w:rPr>
                    <w:t>s</w:t>
                  </w:r>
                  <w:r>
                    <w:rPr>
                      <w:rFonts w:cs="Georgia"/>
                      <w:b/>
                      <w:spacing w:val="-1"/>
                      <w:u w:val="single"/>
                    </w:rPr>
                    <w:t>e</w:t>
                  </w:r>
                  <w:r>
                    <w:rPr>
                      <w:rFonts w:cs="Georgia"/>
                      <w:b/>
                      <w:u w:val="single"/>
                    </w:rPr>
                    <w:t>ig</w:t>
                  </w:r>
                  <w:r>
                    <w:rPr>
                      <w:rFonts w:cs="Georgia"/>
                      <w:b/>
                      <w:spacing w:val="-1"/>
                      <w:u w:val="single"/>
                    </w:rPr>
                    <w:t>ne</w:t>
                  </w:r>
                  <w:r>
                    <w:rPr>
                      <w:rFonts w:cs="Georgia"/>
                      <w:b/>
                      <w:u w:val="single"/>
                    </w:rPr>
                    <w:t>m</w:t>
                  </w:r>
                  <w:r>
                    <w:rPr>
                      <w:rFonts w:cs="Georgia"/>
                      <w:b/>
                      <w:spacing w:val="-1"/>
                      <w:u w:val="single"/>
                    </w:rPr>
                    <w:t>en</w:t>
                  </w:r>
                  <w:r>
                    <w:rPr>
                      <w:rFonts w:cs="Georgia"/>
                      <w:b/>
                      <w:u w:val="single"/>
                    </w:rPr>
                    <w:t>t</w:t>
                  </w:r>
                  <w:r>
                    <w:rPr>
                      <w:rFonts w:cs="Georgia"/>
                      <w:b/>
                      <w:spacing w:val="2"/>
                      <w:u w:val="single"/>
                    </w:rPr>
                    <w:t xml:space="preserve"> </w:t>
                  </w:r>
                  <w:r>
                    <w:rPr>
                      <w:rFonts w:cs="Georgia"/>
                      <w:b/>
                      <w:u w:val="single"/>
                    </w:rPr>
                    <w:t xml:space="preserve">de </w:t>
                  </w:r>
                  <w:r>
                    <w:rPr>
                      <w:rFonts w:cs="Georgia"/>
                      <w:b/>
                      <w:spacing w:val="1"/>
                      <w:u w:val="single"/>
                    </w:rPr>
                    <w:t>t</w:t>
                  </w:r>
                  <w:r>
                    <w:rPr>
                      <w:rFonts w:cs="Georgia"/>
                      <w:b/>
                      <w:spacing w:val="-1"/>
                      <w:u w:val="single"/>
                    </w:rPr>
                    <w:t>y</w:t>
                  </w:r>
                  <w:r>
                    <w:rPr>
                      <w:rFonts w:cs="Georgia"/>
                      <w:b/>
                      <w:spacing w:val="1"/>
                      <w:u w:val="single"/>
                    </w:rPr>
                    <w:t>p</w:t>
                  </w:r>
                  <w:r>
                    <w:rPr>
                      <w:rFonts w:cs="Georgia"/>
                      <w:b/>
                      <w:u w:val="single"/>
                    </w:rPr>
                    <w:t xml:space="preserve">e </w:t>
                  </w:r>
                  <w:r>
                    <w:rPr>
                      <w:rFonts w:cs="Georgia"/>
                      <w:b/>
                      <w:spacing w:val="1"/>
                      <w:u w:val="single"/>
                    </w:rPr>
                    <w:t>4 :</w:t>
                  </w:r>
                </w:p>
                <w:p>
                  <w:pPr>
                    <w:widowControl w:val="0"/>
                    <w:autoSpaceDE w:val="0"/>
                    <w:autoSpaceDN w:val="0"/>
                    <w:adjustRightInd w:val="0"/>
                    <w:jc w:val="both"/>
                    <w:rPr>
                      <w:rFonts w:cs="Georgia"/>
                      <w:b/>
                      <w:u w:val="single"/>
                    </w:rPr>
                  </w:pPr>
                </w:p>
                <w:p>
                  <w:pPr>
                    <w:widowControl w:val="0"/>
                    <w:autoSpaceDE w:val="0"/>
                    <w:autoSpaceDN w:val="0"/>
                    <w:adjustRightInd w:val="0"/>
                    <w:spacing w:line="250" w:lineRule="exact"/>
                    <w:jc w:val="both"/>
                    <w:rPr>
                      <w:rFonts w:cs="Georgia"/>
                      <w:color w:val="000000"/>
                    </w:rPr>
                  </w:pPr>
                  <w:r>
                    <w:rPr>
                      <w:rFonts w:cs="Georgia"/>
                      <w:color w:val="000000"/>
                      <w:spacing w:val="-2"/>
                    </w:rPr>
                    <w:t>D</w:t>
                  </w:r>
                  <w:r>
                    <w:rPr>
                      <w:rFonts w:cs="Georgia"/>
                      <w:color w:val="000000"/>
                    </w:rPr>
                    <w:t>u</w:t>
                  </w:r>
                  <w:r>
                    <w:rPr>
                      <w:rFonts w:cs="Georgia"/>
                      <w:color w:val="000000"/>
                      <w:spacing w:val="1"/>
                    </w:rPr>
                    <w:t>r</w:t>
                  </w:r>
                  <w:r>
                    <w:rPr>
                      <w:rFonts w:cs="Georgia"/>
                      <w:color w:val="000000"/>
                      <w:spacing w:val="-1"/>
                    </w:rPr>
                    <w:t>an</w:t>
                  </w:r>
                  <w:r>
                    <w:rPr>
                      <w:rFonts w:cs="Georgia"/>
                      <w:color w:val="000000"/>
                    </w:rPr>
                    <w:t>t</w:t>
                  </w:r>
                  <w:r>
                    <w:rPr>
                      <w:rFonts w:cs="Georgia"/>
                      <w:color w:val="000000"/>
                      <w:spacing w:val="1"/>
                    </w:rPr>
                    <w:t xml:space="preserve"> c</w:t>
                  </w:r>
                  <w:r>
                    <w:rPr>
                      <w:rFonts w:cs="Georgia"/>
                      <w:color w:val="000000"/>
                      <w:spacing w:val="-1"/>
                    </w:rPr>
                    <w:t>e</w:t>
                  </w:r>
                  <w:r>
                    <w:rPr>
                      <w:rFonts w:cs="Georgia"/>
                      <w:color w:val="000000"/>
                    </w:rPr>
                    <w:t>s</w:t>
                  </w:r>
                  <w:r>
                    <w:rPr>
                      <w:rFonts w:cs="Georgia"/>
                      <w:color w:val="000000"/>
                      <w:spacing w:val="4"/>
                    </w:rPr>
                    <w:t xml:space="preserve"> </w:t>
                  </w:r>
                  <w:r>
                    <w:rPr>
                      <w:rFonts w:cs="Georgia"/>
                      <w:color w:val="000000"/>
                    </w:rPr>
                    <w:t xml:space="preserve">2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1"/>
                    </w:rPr>
                    <w:t xml:space="preserve"> </w:t>
                  </w:r>
                  <w:r>
                    <w:rPr>
                      <w:rFonts w:cs="Georgia"/>
                      <w:spacing w:val="-2"/>
                    </w:rPr>
                    <w:t xml:space="preserve">d’activités </w:t>
                  </w:r>
                  <w:r>
                    <w:rPr>
                      <w:rFonts w:cs="Georgia"/>
                      <w:spacing w:val="-1"/>
                    </w:rPr>
                    <w:t>p</w:t>
                  </w:r>
                  <w:r>
                    <w:rPr>
                      <w:rFonts w:cs="Georgia"/>
                      <w:spacing w:val="1"/>
                    </w:rPr>
                    <w:t>h</w:t>
                  </w:r>
                  <w:r>
                    <w:rPr>
                      <w:rFonts w:cs="Georgia"/>
                      <w:spacing w:val="-3"/>
                    </w:rPr>
                    <w:t>y</w:t>
                  </w:r>
                  <w:r>
                    <w:rPr>
                      <w:rFonts w:cs="Georgia"/>
                      <w:spacing w:val="1"/>
                    </w:rPr>
                    <w:t>s</w:t>
                  </w:r>
                  <w:r>
                    <w:rPr>
                      <w:rFonts w:cs="Georgia"/>
                    </w:rPr>
                    <w:t>i</w:t>
                  </w:r>
                  <w:r>
                    <w:rPr>
                      <w:rFonts w:cs="Georgia"/>
                      <w:spacing w:val="-1"/>
                    </w:rPr>
                    <w:t>q</w:t>
                  </w:r>
                  <w:r>
                    <w:rPr>
                      <w:rFonts w:cs="Georgia"/>
                    </w:rPr>
                    <w:t>u</w:t>
                  </w:r>
                  <w:r>
                    <w:rPr>
                      <w:rFonts w:cs="Georgia"/>
                      <w:spacing w:val="-1"/>
                    </w:rPr>
                    <w:t>es</w:t>
                  </w:r>
                  <w:r>
                    <w:rPr>
                      <w:rFonts w:cs="Georgia"/>
                      <w:spacing w:val="2"/>
                    </w:rPr>
                    <w:t xml:space="preserve"> et sportives</w:t>
                  </w:r>
                  <w:r>
                    <w:rPr>
                      <w:rFonts w:cs="Georgia"/>
                      <w:color w:val="000000"/>
                    </w:rPr>
                    <w:t>,</w:t>
                  </w:r>
                  <w:r>
                    <w:rPr>
                      <w:rFonts w:cs="Georgia"/>
                      <w:color w:val="000000"/>
                      <w:spacing w:val="29"/>
                    </w:rPr>
                    <w:t xml:space="preserve"> </w:t>
                  </w:r>
                  <w:r>
                    <w:rPr>
                      <w:rFonts w:cs="Georgia"/>
                      <w:color w:val="000000"/>
                      <w:spacing w:val="-3"/>
                    </w:rPr>
                    <w:t>l</w:t>
                  </w:r>
                  <w:r>
                    <w:rPr>
                      <w:rFonts w:cs="Georgia"/>
                      <w:color w:val="000000"/>
                    </w:rPr>
                    <w:t>a</w:t>
                  </w:r>
                  <w:r>
                    <w:rPr>
                      <w:rFonts w:cs="Georgia"/>
                      <w:color w:val="000000"/>
                      <w:spacing w:val="28"/>
                    </w:rPr>
                    <w:t xml:space="preserve"> </w:t>
                  </w:r>
                  <w:r>
                    <w:rPr>
                      <w:rFonts w:cs="Georgia"/>
                      <w:color w:val="000000"/>
                      <w:spacing w:val="1"/>
                    </w:rPr>
                    <w:t>pr</w:t>
                  </w:r>
                  <w:r>
                    <w:rPr>
                      <w:rFonts w:cs="Georgia"/>
                      <w:color w:val="000000"/>
                      <w:spacing w:val="-2"/>
                    </w:rPr>
                    <w:t>i</w:t>
                  </w:r>
                  <w:r>
                    <w:rPr>
                      <w:rFonts w:cs="Georgia"/>
                      <w:color w:val="000000"/>
                      <w:spacing w:val="1"/>
                    </w:rPr>
                    <w:t>s</w:t>
                  </w:r>
                  <w:r>
                    <w:rPr>
                      <w:rFonts w:cs="Georgia"/>
                      <w:color w:val="000000"/>
                    </w:rPr>
                    <w:t>e</w:t>
                  </w:r>
                  <w:r>
                    <w:rPr>
                      <w:rFonts w:cs="Georgia"/>
                      <w:color w:val="000000"/>
                      <w:spacing w:val="28"/>
                    </w:rPr>
                    <w:t xml:space="preserve"> </w:t>
                  </w:r>
                  <w:r>
                    <w:rPr>
                      <w:rFonts w:cs="Georgia"/>
                      <w:color w:val="000000"/>
                      <w:spacing w:val="-1"/>
                    </w:rPr>
                    <w:t>e</w:t>
                  </w:r>
                  <w:r>
                    <w:rPr>
                      <w:rFonts w:cs="Georgia"/>
                      <w:color w:val="000000"/>
                    </w:rPr>
                    <w:t>n</w:t>
                  </w:r>
                  <w:r>
                    <w:rPr>
                      <w:rFonts w:cs="Georgia"/>
                      <w:color w:val="000000"/>
                      <w:spacing w:val="28"/>
                    </w:rPr>
                    <w:t xml:space="preserve"> </w:t>
                  </w:r>
                  <w:r>
                    <w:rPr>
                      <w:rFonts w:cs="Georgia"/>
                      <w:color w:val="000000"/>
                      <w:spacing w:val="1"/>
                    </w:rPr>
                    <w:t>ch</w:t>
                  </w:r>
                  <w:r>
                    <w:rPr>
                      <w:rFonts w:cs="Georgia"/>
                      <w:color w:val="000000"/>
                      <w:spacing w:val="-3"/>
                    </w:rPr>
                    <w:t>a</w:t>
                  </w:r>
                  <w:r>
                    <w:rPr>
                      <w:rFonts w:cs="Georgia"/>
                      <w:color w:val="000000"/>
                      <w:spacing w:val="1"/>
                    </w:rPr>
                    <w:t>r</w:t>
                  </w:r>
                  <w:r>
                    <w:rPr>
                      <w:rFonts w:cs="Georgia"/>
                      <w:color w:val="000000"/>
                    </w:rPr>
                    <w:t>ge</w:t>
                  </w:r>
                  <w:r>
                    <w:rPr>
                      <w:rFonts w:cs="Georgia"/>
                      <w:color w:val="000000"/>
                      <w:spacing w:val="27"/>
                    </w:rPr>
                    <w:t xml:space="preserve"> </w:t>
                  </w:r>
                  <w:r>
                    <w:rPr>
                      <w:rFonts w:cs="Georgia"/>
                      <w:color w:val="000000"/>
                    </w:rPr>
                    <w:t>de</w:t>
                  </w:r>
                  <w:r>
                    <w:rPr>
                      <w:rFonts w:cs="Georgia"/>
                      <w:color w:val="000000"/>
                      <w:spacing w:val="25"/>
                    </w:rPr>
                    <w:t xml:space="preserve"> </w:t>
                  </w:r>
                  <w:r>
                    <w:rPr>
                      <w:rFonts w:cs="Georgia"/>
                      <w:color w:val="000000"/>
                      <w:spacing w:val="1"/>
                    </w:rPr>
                    <w:t>c</w:t>
                  </w:r>
                  <w:r>
                    <w:rPr>
                      <w:rFonts w:cs="Georgia"/>
                      <w:color w:val="000000"/>
                      <w:spacing w:val="-1"/>
                    </w:rPr>
                    <w:t>e</w:t>
                  </w:r>
                  <w:r>
                    <w:rPr>
                      <w:rFonts w:cs="Georgia"/>
                      <w:color w:val="000000"/>
                      <w:spacing w:val="-2"/>
                    </w:rPr>
                    <w:t>r</w:t>
                  </w:r>
                  <w:r>
                    <w:rPr>
                      <w:rFonts w:cs="Georgia"/>
                      <w:color w:val="000000"/>
                      <w:spacing w:val="1"/>
                    </w:rPr>
                    <w:t>t</w:t>
                  </w:r>
                  <w:r>
                    <w:rPr>
                      <w:rFonts w:cs="Georgia"/>
                      <w:color w:val="000000"/>
                      <w:spacing w:val="-1"/>
                    </w:rPr>
                    <w:t>a</w:t>
                  </w:r>
                  <w:r>
                    <w:rPr>
                      <w:rFonts w:cs="Georgia"/>
                      <w:color w:val="000000"/>
                    </w:rPr>
                    <w:t>i</w:t>
                  </w:r>
                  <w:r>
                    <w:rPr>
                      <w:rFonts w:cs="Georgia"/>
                      <w:color w:val="000000"/>
                      <w:spacing w:val="-1"/>
                    </w:rPr>
                    <w:t>n</w:t>
                  </w:r>
                  <w:r>
                    <w:rPr>
                      <w:rFonts w:cs="Georgia"/>
                      <w:color w:val="000000"/>
                    </w:rPr>
                    <w:t>s</w:t>
                  </w:r>
                  <w:r>
                    <w:rPr>
                      <w:rFonts w:cs="Georgia"/>
                      <w:color w:val="000000"/>
                      <w:spacing w:val="29"/>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9"/>
                    </w:rPr>
                    <w:t xml:space="preserve"> </w:t>
                  </w:r>
                  <w:r>
                    <w:rPr>
                      <w:rFonts w:cs="Georgia"/>
                      <w:color w:val="000000"/>
                      <w:spacing w:val="1"/>
                    </w:rPr>
                    <w:t>p</w:t>
                  </w:r>
                  <w:r>
                    <w:rPr>
                      <w:rFonts w:cs="Georgia"/>
                      <w:color w:val="000000"/>
                      <w:spacing w:val="-3"/>
                    </w:rPr>
                    <w:t>a</w:t>
                  </w:r>
                  <w:r>
                    <w:rPr>
                      <w:rFonts w:cs="Georgia"/>
                      <w:color w:val="000000"/>
                    </w:rPr>
                    <w:t>r</w:t>
                  </w:r>
                  <w:r>
                    <w:rPr>
                      <w:rFonts w:cs="Georgia"/>
                      <w:color w:val="000000"/>
                      <w:spacing w:val="29"/>
                    </w:rPr>
                    <w:t xml:space="preserve"> </w:t>
                  </w:r>
                  <w:r>
                    <w:rPr>
                      <w:rFonts w:cs="Georgia"/>
                      <w:color w:val="000000"/>
                      <w:spacing w:val="-2"/>
                    </w:rPr>
                    <w:t>d</w:t>
                  </w:r>
                  <w:r>
                    <w:rPr>
                      <w:rFonts w:cs="Georgia"/>
                      <w:color w:val="000000"/>
                    </w:rPr>
                    <w:t>u</w:t>
                  </w:r>
                  <w:r>
                    <w:rPr>
                      <w:rFonts w:cs="Georgia"/>
                      <w:color w:val="000000"/>
                      <w:spacing w:val="29"/>
                    </w:rPr>
                    <w:t xml:space="preserve"> </w:t>
                  </w:r>
                  <w:r>
                    <w:rPr>
                      <w:rFonts w:cs="Georgia"/>
                      <w:color w:val="000000"/>
                      <w:spacing w:val="1"/>
                    </w:rPr>
                    <w:t>p</w:t>
                  </w:r>
                  <w:r>
                    <w:rPr>
                      <w:rFonts w:cs="Georgia"/>
                      <w:color w:val="000000"/>
                      <w:spacing w:val="-3"/>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w:t>
                  </w:r>
                  <w:r>
                    <w:rPr>
                      <w:rFonts w:cs="Georgia"/>
                      <w:color w:val="000000"/>
                    </w:rPr>
                    <w:t>l</w:t>
                  </w:r>
                  <w:r>
                    <w:rPr>
                      <w:rFonts w:cs="Georgia"/>
                      <w:color w:val="000000"/>
                      <w:spacing w:val="28"/>
                    </w:rPr>
                    <w:t xml:space="preserve"> </w:t>
                  </w:r>
                  <w:r>
                    <w:rPr>
                      <w:rFonts w:cs="Georgia"/>
                      <w:color w:val="000000"/>
                      <w:spacing w:val="1"/>
                    </w:rPr>
                    <w:t>p</w:t>
                  </w:r>
                  <w:r>
                    <w:rPr>
                      <w:rFonts w:cs="Georgia"/>
                      <w:color w:val="000000"/>
                      <w:spacing w:val="-1"/>
                    </w:rPr>
                    <w:t>a</w:t>
                  </w:r>
                  <w:r>
                    <w:rPr>
                      <w:rFonts w:cs="Georgia"/>
                      <w:color w:val="000000"/>
                      <w:spacing w:val="1"/>
                    </w:rPr>
                    <w:t>r</w:t>
                  </w:r>
                  <w:r>
                    <w:rPr>
                      <w:rFonts w:cs="Georgia"/>
                      <w:color w:val="000000"/>
                      <w:spacing w:val="-1"/>
                    </w:rPr>
                    <w:t>a</w:t>
                  </w:r>
                  <w:r>
                    <w:rPr>
                      <w:rFonts w:cs="Georgia"/>
                      <w:color w:val="000000"/>
                    </w:rPr>
                    <w:t>m</w:t>
                  </w:r>
                  <w:r>
                    <w:rPr>
                      <w:rFonts w:cs="Georgia"/>
                      <w:color w:val="000000"/>
                      <w:spacing w:val="-1"/>
                    </w:rPr>
                    <w:t>é</w:t>
                  </w:r>
                  <w:r>
                    <w:rPr>
                      <w:rFonts w:cs="Georgia"/>
                      <w:color w:val="000000"/>
                    </w:rPr>
                    <w:t>di</w:t>
                  </w:r>
                  <w:r>
                    <w:rPr>
                      <w:rFonts w:cs="Georgia"/>
                      <w:color w:val="000000"/>
                      <w:spacing w:val="1"/>
                    </w:rPr>
                    <w:t>c</w:t>
                  </w:r>
                  <w:r>
                    <w:rPr>
                      <w:rFonts w:cs="Georgia"/>
                      <w:color w:val="000000"/>
                      <w:spacing w:val="-1"/>
                    </w:rPr>
                    <w:t>a</w:t>
                  </w:r>
                  <w:r>
                    <w:rPr>
                      <w:rFonts w:cs="Georgia"/>
                      <w:color w:val="000000"/>
                    </w:rPr>
                    <w:t>l</w:t>
                  </w:r>
                  <w:r>
                    <w:rPr>
                      <w:rFonts w:cs="Georgia"/>
                      <w:color w:val="000000"/>
                      <w:spacing w:val="25"/>
                    </w:rPr>
                    <w:t xml:space="preserve"> </w:t>
                  </w:r>
                  <w:r>
                    <w:rPr>
                      <w:rFonts w:cs="Georgia"/>
                      <w:color w:val="000000"/>
                      <w:spacing w:val="1"/>
                    </w:rPr>
                    <w:t>p</w:t>
                  </w:r>
                  <w:r>
                    <w:rPr>
                      <w:rFonts w:cs="Georgia"/>
                      <w:color w:val="000000"/>
                      <w:spacing w:val="-1"/>
                    </w:rPr>
                    <w:t>e</w:t>
                  </w:r>
                  <w:r>
                    <w:rPr>
                      <w:rFonts w:cs="Georgia"/>
                      <w:color w:val="000000"/>
                    </w:rPr>
                    <w:t xml:space="preserve">ut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a</w:t>
                  </w:r>
                  <w:r>
                    <w:rPr>
                      <w:rFonts w:cs="Georgia"/>
                      <w:color w:val="000000"/>
                    </w:rPr>
                    <w:t>u</w:t>
                  </w:r>
                  <w:r>
                    <w:rPr>
                      <w:rFonts w:cs="Georgia"/>
                      <w:color w:val="000000"/>
                      <w:spacing w:val="1"/>
                    </w:rPr>
                    <w:t>t</w:t>
                  </w:r>
                  <w:r>
                    <w:rPr>
                      <w:rFonts w:cs="Georgia"/>
                      <w:color w:val="000000"/>
                      <w:spacing w:val="-1"/>
                    </w:rPr>
                    <w:t>o</w:t>
                  </w:r>
                  <w:r>
                    <w:rPr>
                      <w:rFonts w:cs="Georgia"/>
                      <w:color w:val="000000"/>
                      <w:spacing w:val="1"/>
                    </w:rPr>
                    <w:t>r</w:t>
                  </w:r>
                  <w:r>
                    <w:rPr>
                      <w:rFonts w:cs="Georgia"/>
                      <w:color w:val="000000"/>
                    </w:rPr>
                    <w:t>i</w:t>
                  </w:r>
                  <w:r>
                    <w:rPr>
                      <w:rFonts w:cs="Georgia"/>
                      <w:color w:val="000000"/>
                      <w:spacing w:val="1"/>
                    </w:rPr>
                    <w:t>s</w:t>
                  </w:r>
                  <w:r>
                    <w:rPr>
                      <w:rFonts w:cs="Georgia"/>
                      <w:color w:val="000000"/>
                      <w:spacing w:val="-1"/>
                    </w:rPr>
                    <w:t>é</w:t>
                  </w:r>
                  <w:r>
                    <w:rPr>
                      <w:rFonts w:cs="Georgia"/>
                      <w:color w:val="000000"/>
                    </w:rPr>
                    <w:t>e</w:t>
                  </w:r>
                  <w:r>
                    <w:rPr>
                      <w:rFonts w:cs="Georgia"/>
                      <w:color w:val="000000"/>
                      <w:spacing w:val="-1"/>
                    </w:rPr>
                    <w:t xml:space="preserve"> a</w:t>
                  </w:r>
                  <w:r>
                    <w:rPr>
                      <w:rFonts w:cs="Georgia"/>
                      <w:color w:val="000000"/>
                    </w:rPr>
                    <w:t>fin</w:t>
                  </w:r>
                  <w:r>
                    <w:rPr>
                      <w:rFonts w:cs="Georgia"/>
                      <w:color w:val="000000"/>
                      <w:spacing w:val="-1"/>
                    </w:rPr>
                    <w:t xml:space="preserve"> q</w:t>
                  </w:r>
                  <w:r>
                    <w:rPr>
                      <w:rFonts w:cs="Georgia"/>
                      <w:color w:val="000000"/>
                    </w:rPr>
                    <w:t xml:space="preserve">u’ils </w:t>
                  </w:r>
                  <w:r>
                    <w:rPr>
                      <w:rFonts w:cs="Georgia"/>
                      <w:color w:val="000000"/>
                      <w:spacing w:val="1"/>
                    </w:rPr>
                    <w:t>p</w:t>
                  </w:r>
                  <w:r>
                    <w:rPr>
                      <w:rFonts w:cs="Georgia"/>
                      <w:color w:val="000000"/>
                    </w:rPr>
                    <w:t>ui</w:t>
                  </w:r>
                  <w:r>
                    <w:rPr>
                      <w:rFonts w:cs="Georgia"/>
                      <w:color w:val="000000"/>
                      <w:spacing w:val="-2"/>
                    </w:rPr>
                    <w:t>s</w:t>
                  </w:r>
                  <w:r>
                    <w:rPr>
                      <w:rFonts w:cs="Georgia"/>
                      <w:color w:val="000000"/>
                      <w:spacing w:val="1"/>
                    </w:rPr>
                    <w:t>s</w:t>
                  </w:r>
                  <w:r>
                    <w:rPr>
                      <w:rFonts w:cs="Georgia"/>
                      <w:color w:val="000000"/>
                      <w:spacing w:val="-1"/>
                    </w:rPr>
                    <w:t>en</w:t>
                  </w:r>
                  <w:r>
                    <w:rPr>
                      <w:rFonts w:cs="Georgia"/>
                      <w:color w:val="000000"/>
                    </w:rPr>
                    <w:t xml:space="preserve">t </w:t>
                  </w:r>
                  <w:r>
                    <w:rPr>
                      <w:rFonts w:cs="Georgia"/>
                      <w:color w:val="000000"/>
                      <w:spacing w:val="1"/>
                    </w:rPr>
                    <w:t>b</w:t>
                  </w:r>
                  <w:r>
                    <w:rPr>
                      <w:rFonts w:cs="Georgia"/>
                      <w:color w:val="000000"/>
                      <w:spacing w:val="-1"/>
                    </w:rPr>
                    <w:t>éné</w:t>
                  </w:r>
                  <w:r>
                    <w:rPr>
                      <w:rFonts w:cs="Georgia"/>
                      <w:color w:val="000000"/>
                    </w:rPr>
                    <w:t>fi</w:t>
                  </w:r>
                  <w:r>
                    <w:rPr>
                      <w:rFonts w:cs="Georgia"/>
                      <w:color w:val="000000"/>
                      <w:spacing w:val="1"/>
                    </w:rPr>
                    <w:t>c</w:t>
                  </w:r>
                  <w:r>
                    <w:rPr>
                      <w:rFonts w:cs="Georgia"/>
                      <w:color w:val="000000"/>
                      <w:spacing w:val="-2"/>
                    </w:rPr>
                    <w:t>i</w:t>
                  </w:r>
                  <w:r>
                    <w:rPr>
                      <w:rFonts w:cs="Georgia"/>
                      <w:color w:val="000000"/>
                      <w:spacing w:val="-1"/>
                    </w:rPr>
                    <w:t>e</w:t>
                  </w:r>
                  <w:r>
                    <w:rPr>
                      <w:rFonts w:cs="Georgia"/>
                      <w:color w:val="000000"/>
                    </w:rPr>
                    <w:t>r d’</w:t>
                  </w:r>
                  <w:r>
                    <w:rPr>
                      <w:rFonts w:cs="Georgia"/>
                      <w:color w:val="000000"/>
                      <w:spacing w:val="-1"/>
                    </w:rPr>
                    <w:t>a</w:t>
                  </w:r>
                  <w:r>
                    <w:rPr>
                      <w:rFonts w:cs="Georgia"/>
                      <w:color w:val="000000"/>
                      <w:spacing w:val="1"/>
                    </w:rPr>
                    <w:t>ct</w:t>
                  </w:r>
                  <w:r>
                    <w:rPr>
                      <w:rFonts w:cs="Georgia"/>
                      <w:color w:val="000000"/>
                      <w:spacing w:val="-2"/>
                    </w:rPr>
                    <w:t>i</w:t>
                  </w:r>
                  <w:r>
                    <w:rPr>
                      <w:rFonts w:cs="Georgia"/>
                      <w:color w:val="000000"/>
                      <w:spacing w:val="1"/>
                    </w:rPr>
                    <w:t>v</w:t>
                  </w:r>
                  <w:r>
                    <w:rPr>
                      <w:rFonts w:cs="Georgia"/>
                      <w:color w:val="000000"/>
                    </w:rPr>
                    <w:t>i</w:t>
                  </w:r>
                  <w:r>
                    <w:rPr>
                      <w:rFonts w:cs="Georgia"/>
                      <w:color w:val="000000"/>
                      <w:spacing w:val="1"/>
                    </w:rPr>
                    <w:t>t</w:t>
                  </w:r>
                  <w:r>
                    <w:rPr>
                      <w:rFonts w:cs="Georgia"/>
                      <w:color w:val="000000"/>
                      <w:spacing w:val="-1"/>
                    </w:rPr>
                    <w:t>é</w:t>
                  </w:r>
                  <w:r>
                    <w:rPr>
                      <w:rFonts w:cs="Georgia"/>
                      <w:color w:val="000000"/>
                    </w:rPr>
                    <w:t>s</w:t>
                  </w:r>
                  <w:r>
                    <w:rPr>
                      <w:rFonts w:cs="Georgia"/>
                      <w:color w:val="000000"/>
                      <w:spacing w:val="-2"/>
                    </w:rPr>
                    <w:t xml:space="preserve"> </w:t>
                  </w:r>
                  <w:r>
                    <w:rPr>
                      <w:rFonts w:cs="Georgia"/>
                      <w:color w:val="000000"/>
                      <w:spacing w:val="1"/>
                    </w:rPr>
                    <w:t>ps</w:t>
                  </w:r>
                  <w:r>
                    <w:rPr>
                      <w:rFonts w:cs="Georgia"/>
                      <w:color w:val="000000"/>
                      <w:spacing w:val="-1"/>
                    </w:rPr>
                    <w:t>y</w:t>
                  </w:r>
                  <w:r>
                    <w:rPr>
                      <w:rFonts w:cs="Georgia"/>
                      <w:color w:val="000000"/>
                      <w:spacing w:val="-2"/>
                    </w:rPr>
                    <w:t>c</w:t>
                  </w:r>
                  <w:r>
                    <w:rPr>
                      <w:rFonts w:cs="Georgia"/>
                      <w:color w:val="000000"/>
                      <w:spacing w:val="-1"/>
                    </w:rPr>
                    <w:t>h</w:t>
                  </w:r>
                  <w:r>
                    <w:rPr>
                      <w:rFonts w:cs="Georgia"/>
                      <w:color w:val="000000"/>
                      <w:spacing w:val="1"/>
                    </w:rPr>
                    <w:t>o</w:t>
                  </w:r>
                  <w:r>
                    <w:rPr>
                      <w:rFonts w:cs="Georgia"/>
                      <w:color w:val="000000"/>
                      <w:spacing w:val="-3"/>
                    </w:rPr>
                    <w:t>m</w:t>
                  </w:r>
                  <w:r>
                    <w:rPr>
                      <w:rFonts w:cs="Georgia"/>
                      <w:color w:val="000000"/>
                      <w:spacing w:val="1"/>
                    </w:rPr>
                    <w:t>ot</w:t>
                  </w:r>
                  <w:r>
                    <w:rPr>
                      <w:rFonts w:cs="Georgia"/>
                      <w:color w:val="000000"/>
                      <w:spacing w:val="-2"/>
                    </w:rPr>
                    <w:t>r</w:t>
                  </w:r>
                  <w:r>
                    <w:rPr>
                      <w:rFonts w:cs="Georgia"/>
                      <w:color w:val="000000"/>
                    </w:rPr>
                    <w:t>i</w:t>
                  </w:r>
                  <w:r>
                    <w:rPr>
                      <w:rFonts w:cs="Georgia"/>
                      <w:color w:val="000000"/>
                      <w:spacing w:val="1"/>
                    </w:rPr>
                    <w:t>c</w:t>
                  </w:r>
                  <w:r>
                    <w:rPr>
                      <w:rFonts w:cs="Georgia"/>
                      <w:color w:val="000000"/>
                      <w:spacing w:val="-1"/>
                    </w:rPr>
                    <w:t>e</w:t>
                  </w:r>
                  <w:r>
                    <w:rPr>
                      <w:rFonts w:cs="Georgia"/>
                      <w:color w:val="000000"/>
                      <w:spacing w:val="1"/>
                    </w:rPr>
                    <w:t>s.</w:t>
                  </w:r>
                </w:p>
                <w:p>
                  <w:pPr>
                    <w:widowControl w:val="0"/>
                    <w:autoSpaceDE w:val="0"/>
                    <w:autoSpaceDN w:val="0"/>
                    <w:adjustRightInd w:val="0"/>
                    <w:spacing w:line="250" w:lineRule="exact"/>
                    <w:jc w:val="both"/>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spacing w:val="1"/>
                    </w:rPr>
                    <w:t>L</w:t>
                  </w:r>
                  <w:r>
                    <w:rPr>
                      <w:rFonts w:cs="Georgia"/>
                      <w:color w:val="000000"/>
                    </w:rPr>
                    <w:t>’</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spacing w:val="-2"/>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34"/>
                    </w:rPr>
                    <w:t xml:space="preserve"> </w:t>
                  </w:r>
                  <w:r>
                    <w:rPr>
                      <w:rFonts w:cs="Georgia"/>
                      <w:color w:val="000000"/>
                    </w:rPr>
                    <w:t>d’</w:t>
                  </w:r>
                  <w:r>
                    <w:rPr>
                      <w:rFonts w:cs="Georgia"/>
                      <w:color w:val="000000"/>
                      <w:spacing w:val="-1"/>
                    </w:rPr>
                    <w:t>en</w:t>
                  </w:r>
                  <w:r>
                    <w:rPr>
                      <w:rFonts w:cs="Georgia"/>
                      <w:color w:val="000000"/>
                      <w:spacing w:val="1"/>
                    </w:rPr>
                    <w:t>s</w:t>
                  </w:r>
                  <w:r>
                    <w:rPr>
                      <w:rFonts w:cs="Georgia"/>
                      <w:color w:val="000000"/>
                      <w:spacing w:val="-1"/>
                    </w:rPr>
                    <w:t>e</w:t>
                  </w:r>
                  <w:r>
                    <w:rPr>
                      <w:rFonts w:cs="Georgia"/>
                      <w:color w:val="000000"/>
                      <w:spacing w:val="-2"/>
                    </w:rPr>
                    <w:t>i</w:t>
                  </w:r>
                  <w:r>
                    <w:rPr>
                      <w:rFonts w:cs="Georgia"/>
                      <w:color w:val="000000"/>
                    </w:rPr>
                    <w:t>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rPr>
                    <w:t>é d</w:t>
                  </w:r>
                  <w:r>
                    <w:rPr>
                      <w:rFonts w:cs="Georgia"/>
                      <w:color w:val="000000"/>
                      <w:spacing w:val="1"/>
                    </w:rPr>
                    <w:t>o</w:t>
                  </w:r>
                  <w:r>
                    <w:rPr>
                      <w:rFonts w:cs="Georgia"/>
                      <w:color w:val="000000"/>
                      <w:spacing w:val="-2"/>
                    </w:rPr>
                    <w:t>i</w:t>
                  </w:r>
                  <w:r>
                    <w:rPr>
                      <w:rFonts w:cs="Georgia"/>
                      <w:color w:val="000000"/>
                    </w:rPr>
                    <w:t>t</w:t>
                  </w:r>
                  <w:r>
                    <w:rPr>
                      <w:rFonts w:cs="Georgia"/>
                      <w:color w:val="000000"/>
                      <w:spacing w:val="31"/>
                    </w:rPr>
                    <w:t xml:space="preserve"> </w:t>
                  </w:r>
                  <w:r>
                    <w:rPr>
                      <w:rFonts w:cs="Georgia"/>
                      <w:color w:val="000000"/>
                    </w:rPr>
                    <w:t>i</w:t>
                  </w:r>
                  <w:r>
                    <w:rPr>
                      <w:rFonts w:cs="Georgia"/>
                      <w:color w:val="000000"/>
                      <w:spacing w:val="-1"/>
                    </w:rPr>
                    <w:t>n</w:t>
                  </w:r>
                  <w:r>
                    <w:rPr>
                      <w:rFonts w:cs="Georgia"/>
                      <w:color w:val="000000"/>
                      <w:spacing w:val="1"/>
                    </w:rPr>
                    <w:t>tro</w:t>
                  </w:r>
                  <w:r>
                    <w:rPr>
                      <w:rFonts w:cs="Georgia"/>
                      <w:color w:val="000000"/>
                      <w:spacing w:val="-2"/>
                    </w:rPr>
                    <w:t>d</w:t>
                  </w:r>
                  <w:r>
                    <w:rPr>
                      <w:rFonts w:cs="Georgia"/>
                      <w:color w:val="000000"/>
                    </w:rPr>
                    <w:t>ui</w:t>
                  </w:r>
                  <w:r>
                    <w:rPr>
                      <w:rFonts w:cs="Georgia"/>
                      <w:color w:val="000000"/>
                      <w:spacing w:val="1"/>
                    </w:rPr>
                    <w:t>r</w:t>
                  </w:r>
                  <w:r>
                    <w:rPr>
                      <w:rFonts w:cs="Georgia"/>
                      <w:color w:val="000000"/>
                    </w:rPr>
                    <w:t>e</w:t>
                  </w:r>
                  <w:r>
                    <w:rPr>
                      <w:rFonts w:cs="Georgia"/>
                      <w:color w:val="000000"/>
                      <w:spacing w:val="32"/>
                    </w:rPr>
                    <w:t xml:space="preserve"> </w:t>
                  </w:r>
                  <w:r>
                    <w:rPr>
                      <w:rFonts w:cs="Georgia"/>
                      <w:color w:val="000000"/>
                      <w:spacing w:val="-1"/>
                    </w:rPr>
                    <w:t>p</w:t>
                  </w:r>
                  <w:r>
                    <w:rPr>
                      <w:rFonts w:cs="Georgia"/>
                      <w:color w:val="000000"/>
                      <w:spacing w:val="1"/>
                    </w:rPr>
                    <w:t>o</w:t>
                  </w:r>
                  <w:r>
                    <w:rPr>
                      <w:rFonts w:cs="Georgia"/>
                      <w:color w:val="000000"/>
                      <w:spacing w:val="-2"/>
                    </w:rPr>
                    <w:t>u</w:t>
                  </w:r>
                  <w:r>
                    <w:rPr>
                      <w:rFonts w:cs="Georgia"/>
                      <w:color w:val="000000"/>
                    </w:rPr>
                    <w:t xml:space="preserve">r </w:t>
                  </w:r>
                  <w:r>
                    <w:rPr>
                      <w:rFonts w:cs="Georgia"/>
                      <w:color w:val="000000"/>
                      <w:spacing w:val="1"/>
                    </w:rPr>
                    <w:t>ch</w:t>
                  </w:r>
                  <w:r>
                    <w:rPr>
                      <w:rFonts w:cs="Georgia"/>
                      <w:color w:val="000000"/>
                      <w:spacing w:val="-1"/>
                    </w:rPr>
                    <w:t>a</w:t>
                  </w:r>
                  <w:r>
                    <w:rPr>
                      <w:rFonts w:cs="Georgia"/>
                      <w:color w:val="000000"/>
                      <w:spacing w:val="-4"/>
                    </w:rPr>
                    <w:t>q</w:t>
                  </w:r>
                  <w:r>
                    <w:rPr>
                      <w:rFonts w:cs="Georgia"/>
                      <w:color w:val="000000"/>
                    </w:rPr>
                    <w:t xml:space="preserve">ue </w:t>
                  </w:r>
                  <w:r>
                    <w:rPr>
                      <w:rFonts w:cs="Georgia"/>
                      <w:color w:val="000000"/>
                      <w:spacing w:val="-1"/>
                    </w:rPr>
                    <w:t>élè</w:t>
                  </w:r>
                  <w:r>
                    <w:rPr>
                      <w:rFonts w:cs="Georgia"/>
                      <w:color w:val="000000"/>
                      <w:spacing w:val="1"/>
                    </w:rPr>
                    <w:t>v</w:t>
                  </w:r>
                  <w:r>
                    <w:rPr>
                      <w:rFonts w:cs="Georgia"/>
                      <w:color w:val="000000"/>
                    </w:rPr>
                    <w:t>e u</w:t>
                  </w:r>
                  <w:r>
                    <w:rPr>
                      <w:rFonts w:cs="Georgia"/>
                      <w:color w:val="000000"/>
                      <w:spacing w:val="2"/>
                    </w:rPr>
                    <w:t>n</w:t>
                  </w:r>
                  <w:r>
                    <w:rPr>
                      <w:rFonts w:cs="Georgia"/>
                      <w:color w:val="000000"/>
                    </w:rPr>
                    <w:t>e d</w:t>
                  </w:r>
                  <w:r>
                    <w:rPr>
                      <w:rFonts w:cs="Georgia"/>
                      <w:color w:val="000000"/>
                      <w:spacing w:val="-1"/>
                    </w:rPr>
                    <w:t>e</w:t>
                  </w:r>
                  <w:r>
                    <w:rPr>
                      <w:rFonts w:cs="Georgia"/>
                      <w:color w:val="000000"/>
                    </w:rPr>
                    <w:t>m</w:t>
                  </w:r>
                  <w:r>
                    <w:rPr>
                      <w:rFonts w:cs="Georgia"/>
                      <w:color w:val="000000"/>
                      <w:spacing w:val="-1"/>
                    </w:rPr>
                    <w:t>an</w:t>
                  </w:r>
                  <w:r>
                    <w:rPr>
                      <w:rFonts w:cs="Georgia"/>
                      <w:color w:val="000000"/>
                    </w:rPr>
                    <w:t>de m</w:t>
                  </w:r>
                  <w:r>
                    <w:rPr>
                      <w:rFonts w:cs="Georgia"/>
                      <w:color w:val="000000"/>
                      <w:spacing w:val="1"/>
                    </w:rPr>
                    <w:t>ot</w:t>
                  </w:r>
                  <w:r>
                    <w:rPr>
                      <w:rFonts w:cs="Georgia"/>
                      <w:color w:val="000000"/>
                      <w:spacing w:val="-2"/>
                    </w:rPr>
                    <w:t>i</w:t>
                  </w:r>
                  <w:r>
                    <w:rPr>
                      <w:rFonts w:cs="Georgia"/>
                      <w:color w:val="000000"/>
                      <w:spacing w:val="1"/>
                    </w:rPr>
                    <w:t>v</w:t>
                  </w:r>
                  <w:r>
                    <w:rPr>
                      <w:rFonts w:cs="Georgia"/>
                      <w:color w:val="000000"/>
                      <w:spacing w:val="-1"/>
                    </w:rPr>
                    <w:t>é</w:t>
                  </w:r>
                  <w:r>
                    <w:rPr>
                      <w:rFonts w:cs="Georgia"/>
                      <w:color w:val="000000"/>
                    </w:rPr>
                    <w:t>e</w:t>
                  </w:r>
                  <w:r>
                    <w:rPr>
                      <w:rFonts w:cs="Georgia"/>
                      <w:color w:val="000000"/>
                      <w:spacing w:val="-1"/>
                    </w:rPr>
                    <w:t xml:space="preserve"> </w:t>
                  </w:r>
                  <w:r>
                    <w:rPr>
                      <w:rFonts w:cs="Georgia"/>
                      <w:color w:val="000000"/>
                      <w:spacing w:val="1"/>
                    </w:rPr>
                    <w:t>s</w:t>
                  </w:r>
                  <w:r>
                    <w:rPr>
                      <w:rFonts w:cs="Georgia"/>
                      <w:color w:val="000000"/>
                    </w:rPr>
                    <w:t>ur</w:t>
                  </w:r>
                  <w:r>
                    <w:rPr>
                      <w:rFonts w:cs="Georgia"/>
                      <w:color w:val="000000"/>
                      <w:spacing w:val="-2"/>
                    </w:rPr>
                    <w:t xml:space="preserve"> </w:t>
                  </w:r>
                  <w:r>
                    <w:rPr>
                      <w:rFonts w:cs="Georgia"/>
                      <w:color w:val="000000"/>
                      <w:spacing w:val="1"/>
                    </w:rPr>
                    <w:t>b</w:t>
                  </w:r>
                  <w:r>
                    <w:rPr>
                      <w:rFonts w:cs="Georgia"/>
                      <w:color w:val="000000"/>
                      <w:spacing w:val="-1"/>
                    </w:rPr>
                    <w:t>a</w:t>
                  </w:r>
                  <w:r>
                    <w:rPr>
                      <w:rFonts w:cs="Georgia"/>
                      <w:color w:val="000000"/>
                      <w:spacing w:val="1"/>
                    </w:rPr>
                    <w:t>s</w:t>
                  </w:r>
                  <w:r>
                    <w:rPr>
                      <w:rFonts w:cs="Georgia"/>
                      <w:color w:val="000000"/>
                    </w:rPr>
                    <w:t>e</w:t>
                  </w:r>
                  <w:r>
                    <w:rPr>
                      <w:rFonts w:cs="Georgia"/>
                      <w:color w:val="000000"/>
                      <w:spacing w:val="-1"/>
                    </w:rPr>
                    <w:t xml:space="preserve"> </w:t>
                  </w:r>
                  <w:r>
                    <w:rPr>
                      <w:rFonts w:cs="Georgia"/>
                      <w:color w:val="000000"/>
                    </w:rPr>
                    <w:t xml:space="preserve">du </w:t>
                  </w:r>
                  <w:r>
                    <w:rPr>
                      <w:rFonts w:cs="Georgia"/>
                      <w:color w:val="000000"/>
                      <w:spacing w:val="-3"/>
                    </w:rPr>
                    <w:t>m</w:t>
                  </w:r>
                  <w:r>
                    <w:rPr>
                      <w:rFonts w:cs="Georgia"/>
                      <w:color w:val="000000"/>
                      <w:spacing w:val="1"/>
                    </w:rPr>
                    <w:t>o</w:t>
                  </w:r>
                  <w:r>
                    <w:rPr>
                      <w:rFonts w:cs="Georgia"/>
                      <w:color w:val="000000"/>
                      <w:spacing w:val="-2"/>
                    </w:rPr>
                    <w:t>d</w:t>
                  </w:r>
                  <w:r>
                    <w:rPr>
                      <w:rFonts w:cs="Georgia"/>
                      <w:color w:val="000000"/>
                      <w:spacing w:val="-1"/>
                    </w:rPr>
                    <w:t>èl</w:t>
                  </w:r>
                  <w:r>
                    <w:rPr>
                      <w:rFonts w:cs="Georgia"/>
                      <w:color w:val="000000"/>
                    </w:rPr>
                    <w:t>e</w:t>
                  </w:r>
                  <w:r>
                    <w:rPr>
                      <w:rFonts w:cs="Georgia"/>
                      <w:color w:val="000000"/>
                      <w:spacing w:val="-1"/>
                    </w:rPr>
                    <w:t xml:space="preserve">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t</w:t>
                  </w:r>
                  <w:r>
                    <w:rPr>
                      <w:rFonts w:cs="Georgia"/>
                      <w:color w:val="000000"/>
                    </w:rPr>
                    <w:t>é</w:t>
                  </w:r>
                  <w:r>
                    <w:rPr>
                      <w:rFonts w:cs="Georgia"/>
                      <w:color w:val="000000"/>
                      <w:spacing w:val="-1"/>
                    </w:rPr>
                    <w:t xml:space="preserve"> e</w:t>
                  </w:r>
                  <w:r>
                    <w:rPr>
                      <w:rFonts w:cs="Georgia"/>
                      <w:color w:val="000000"/>
                    </w:rPr>
                    <w:t>n</w:t>
                  </w:r>
                  <w:r>
                    <w:rPr>
                      <w:rFonts w:cs="Georgia"/>
                      <w:color w:val="000000"/>
                      <w:spacing w:val="-1"/>
                    </w:rPr>
                    <w:t xml:space="preserve"> </w:t>
                  </w:r>
                  <w:hyperlink w:anchor="_Annexe_1_:" w:history="1">
                    <w:r>
                      <w:rPr>
                        <w:rStyle w:val="Lienhypertexte"/>
                        <w:rFonts w:cs="Georgia"/>
                        <w:spacing w:val="-1"/>
                      </w:rPr>
                      <w:t>an</w:t>
                    </w:r>
                    <w:r>
                      <w:rPr>
                        <w:rStyle w:val="Lienhypertexte"/>
                        <w:rFonts w:cs="Georgia"/>
                        <w:spacing w:val="2"/>
                      </w:rPr>
                      <w:t>n</w:t>
                    </w:r>
                    <w:r>
                      <w:rPr>
                        <w:rStyle w:val="Lienhypertexte"/>
                        <w:rFonts w:cs="Georgia"/>
                        <w:spacing w:val="-1"/>
                      </w:rPr>
                      <w:t>ex</w:t>
                    </w:r>
                    <w:r>
                      <w:rPr>
                        <w:rStyle w:val="Lienhypertexte"/>
                        <w:rFonts w:cs="Georgia"/>
                      </w:rPr>
                      <w:t>e</w:t>
                    </w:r>
                    <w:r>
                      <w:rPr>
                        <w:rStyle w:val="Lienhypertexte"/>
                        <w:rFonts w:cs="Georgia"/>
                        <w:spacing w:val="1"/>
                      </w:rPr>
                      <w:t xml:space="preserve"> 1</w:t>
                    </w:r>
                  </w:hyperlink>
                  <w:r>
                    <w:rPr>
                      <w:rFonts w:cs="Georgia"/>
                      <w:color w:val="000000"/>
                    </w:rPr>
                    <w:t>. C</w:t>
                  </w:r>
                  <w:r>
                    <w:rPr>
                      <w:rFonts w:cs="Georgia"/>
                      <w:color w:val="000000"/>
                      <w:spacing w:val="-1"/>
                    </w:rPr>
                    <w:t>e</w:t>
                  </w:r>
                  <w:r>
                    <w:rPr>
                      <w:rFonts w:cs="Georgia"/>
                      <w:color w:val="000000"/>
                      <w:spacing w:val="1"/>
                    </w:rPr>
                    <w:t>tt</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e</w:t>
                  </w:r>
                  <w:r>
                    <w:rPr>
                      <w:rFonts w:cs="Georgia"/>
                      <w:color w:val="000000"/>
                    </w:rPr>
                    <w:t>m</w:t>
                  </w:r>
                  <w:r>
                    <w:rPr>
                      <w:rFonts w:cs="Georgia"/>
                      <w:color w:val="000000"/>
                      <w:spacing w:val="-1"/>
                    </w:rPr>
                    <w:t>an</w:t>
                  </w:r>
                  <w:r>
                    <w:rPr>
                      <w:rFonts w:cs="Georgia"/>
                      <w:color w:val="000000"/>
                    </w:rPr>
                    <w:t>de</w:t>
                  </w:r>
                  <w:r>
                    <w:rPr>
                      <w:rFonts w:cs="Georgia"/>
                      <w:color w:val="000000"/>
                      <w:spacing w:val="2"/>
                    </w:rPr>
                    <w:t xml:space="preserve"> </w:t>
                  </w:r>
                  <w:r>
                    <w:rPr>
                      <w:rFonts w:cs="Georgia"/>
                      <w:color w:val="000000"/>
                      <w:spacing w:val="-2"/>
                    </w:rPr>
                    <w:t>d</w:t>
                  </w:r>
                  <w:r>
                    <w:rPr>
                      <w:rFonts w:cs="Georgia"/>
                      <w:color w:val="000000"/>
                      <w:spacing w:val="1"/>
                    </w:rPr>
                    <w:t>o</w:t>
                  </w:r>
                  <w:r>
                    <w:rPr>
                      <w:rFonts w:cs="Georgia"/>
                      <w:color w:val="000000"/>
                    </w:rPr>
                    <w:t>it</w:t>
                  </w:r>
                  <w:r>
                    <w:rPr>
                      <w:rFonts w:cs="Georgia"/>
                      <w:color w:val="000000"/>
                      <w:spacing w:val="2"/>
                    </w:rPr>
                    <w:t xml:space="preserve"> </w:t>
                  </w:r>
                  <w:r>
                    <w:rPr>
                      <w:rFonts w:cs="Georgia"/>
                      <w:color w:val="000000"/>
                      <w:spacing w:val="-1"/>
                    </w:rPr>
                    <w:t>ê</w:t>
                  </w:r>
                  <w:r>
                    <w:rPr>
                      <w:rFonts w:cs="Georgia"/>
                      <w:color w:val="000000"/>
                      <w:spacing w:val="1"/>
                    </w:rPr>
                    <w:t>tr</w:t>
                  </w:r>
                  <w:r>
                    <w:rPr>
                      <w:rFonts w:cs="Georgia"/>
                      <w:color w:val="000000"/>
                    </w:rPr>
                    <w:t xml:space="preserve">e </w:t>
                  </w:r>
                  <w:r>
                    <w:rPr>
                      <w:rFonts w:cs="Georgia"/>
                      <w:color w:val="000000"/>
                      <w:spacing w:val="1"/>
                    </w:rPr>
                    <w:t>tr</w:t>
                  </w:r>
                  <w:r>
                    <w:rPr>
                      <w:rFonts w:cs="Georgia"/>
                      <w:color w:val="000000"/>
                      <w:spacing w:val="-1"/>
                    </w:rPr>
                    <w:t>an</w:t>
                  </w:r>
                  <w:r>
                    <w:rPr>
                      <w:rFonts w:cs="Georgia"/>
                      <w:color w:val="000000"/>
                      <w:spacing w:val="1"/>
                    </w:rPr>
                    <w:t>s</w:t>
                  </w:r>
                  <w:r>
                    <w:rPr>
                      <w:rFonts w:cs="Georgia"/>
                      <w:color w:val="000000"/>
                    </w:rPr>
                    <w:t>m</w:t>
                  </w:r>
                  <w:r>
                    <w:rPr>
                      <w:rFonts w:cs="Georgia"/>
                      <w:color w:val="000000"/>
                      <w:spacing w:val="-2"/>
                    </w:rPr>
                    <w:t>i</w:t>
                  </w:r>
                  <w:r>
                    <w:rPr>
                      <w:rFonts w:cs="Georgia"/>
                      <w:color w:val="000000"/>
                      <w:spacing w:val="1"/>
                    </w:rPr>
                    <w:t>s</w:t>
                  </w:r>
                  <w:r>
                    <w:rPr>
                      <w:rFonts w:cs="Georgia"/>
                      <w:color w:val="000000"/>
                    </w:rPr>
                    <w:t>e</w:t>
                  </w:r>
                  <w:r>
                    <w:rPr>
                      <w:rFonts w:cs="Georgia"/>
                      <w:color w:val="000000"/>
                      <w:spacing w:val="2"/>
                    </w:rPr>
                    <w:t xml:space="preserve"> </w:t>
                  </w:r>
                  <w:r>
                    <w:rPr>
                      <w:rFonts w:cs="Georgia"/>
                      <w:color w:val="000000"/>
                      <w:spacing w:val="-1"/>
                    </w:rPr>
                    <w:t>a</w:t>
                  </w:r>
                  <w:r>
                    <w:rPr>
                      <w:rFonts w:cs="Georgia"/>
                      <w:color w:val="000000"/>
                      <w:spacing w:val="1"/>
                    </w:rPr>
                    <w:t>v</w:t>
                  </w:r>
                  <w:r>
                    <w:rPr>
                      <w:rFonts w:cs="Georgia"/>
                      <w:color w:val="000000"/>
                      <w:spacing w:val="-1"/>
                    </w:rPr>
                    <w:t>an</w:t>
                  </w:r>
                  <w:r>
                    <w:rPr>
                      <w:rFonts w:cs="Georgia"/>
                      <w:color w:val="000000"/>
                    </w:rPr>
                    <w:t>t</w:t>
                  </w:r>
                  <w:r>
                    <w:rPr>
                      <w:rFonts w:cs="Georgia"/>
                      <w:color w:val="000000"/>
                      <w:spacing w:val="4"/>
                    </w:rPr>
                    <w:t xml:space="preserve"> </w:t>
                  </w:r>
                  <w:r>
                    <w:rPr>
                      <w:rFonts w:cs="Georgia"/>
                      <w:color w:val="000000"/>
                      <w:spacing w:val="-1"/>
                    </w:rPr>
                    <w:t>l</w:t>
                  </w:r>
                  <w:r>
                    <w:rPr>
                      <w:rFonts w:cs="Georgia"/>
                      <w:color w:val="000000"/>
                    </w:rPr>
                    <w:t xml:space="preserve">e </w:t>
                  </w:r>
                  <w:r>
                    <w:rPr>
                      <w:rFonts w:cs="Georgia"/>
                      <w:color w:val="000000"/>
                      <w:spacing w:val="1"/>
                    </w:rPr>
                    <w:t>1</w:t>
                  </w:r>
                  <w:r>
                    <w:rPr>
                      <w:rFonts w:cs="Georgia"/>
                      <w:color w:val="000000"/>
                    </w:rPr>
                    <w:t>5</w:t>
                  </w:r>
                  <w:r>
                    <w:rPr>
                      <w:rFonts w:cs="Georgia"/>
                      <w:color w:val="000000"/>
                      <w:spacing w:val="2"/>
                    </w:rPr>
                    <w:t xml:space="preserve"> </w:t>
                  </w:r>
                  <w:r>
                    <w:rPr>
                      <w:rFonts w:cs="Georgia"/>
                      <w:color w:val="000000"/>
                      <w:spacing w:val="1"/>
                    </w:rPr>
                    <w:t>s</w:t>
                  </w:r>
                  <w:r>
                    <w:rPr>
                      <w:rFonts w:cs="Georgia"/>
                      <w:color w:val="000000"/>
                      <w:spacing w:val="-3"/>
                    </w:rPr>
                    <w:t>e</w:t>
                  </w:r>
                  <w:r>
                    <w:rPr>
                      <w:rFonts w:cs="Georgia"/>
                      <w:color w:val="000000"/>
                      <w:spacing w:val="-1"/>
                    </w:rPr>
                    <w:t>p</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br</w:t>
                  </w:r>
                  <w:r>
                    <w:rPr>
                      <w:rFonts w:cs="Georgia"/>
                      <w:color w:val="000000"/>
                    </w:rPr>
                    <w:t>e de</w:t>
                  </w:r>
                  <w:r>
                    <w:rPr>
                      <w:rFonts w:cs="Georgia"/>
                      <w:color w:val="000000"/>
                      <w:spacing w:val="2"/>
                    </w:rPr>
                    <w:t xml:space="preserve"> </w:t>
                  </w:r>
                  <w:r>
                    <w:rPr>
                      <w:rFonts w:cs="Georgia"/>
                      <w:color w:val="000000"/>
                      <w:spacing w:val="-1"/>
                    </w:rPr>
                    <w:t>l</w:t>
                  </w:r>
                  <w:r>
                    <w:rPr>
                      <w:rFonts w:cs="Georgia"/>
                      <w:color w:val="000000"/>
                    </w:rPr>
                    <w:t xml:space="preserve">a </w:t>
                  </w:r>
                  <w:r>
                    <w:rPr>
                      <w:rFonts w:cs="Georgia"/>
                      <w:color w:val="000000"/>
                      <w:spacing w:val="1"/>
                    </w:rPr>
                    <w:t>pr</w:t>
                  </w:r>
                  <w:r>
                    <w:rPr>
                      <w:rFonts w:cs="Georgia"/>
                      <w:color w:val="000000"/>
                      <w:spacing w:val="-1"/>
                    </w:rPr>
                    <w:t>e</w:t>
                  </w:r>
                  <w:r>
                    <w:rPr>
                      <w:rFonts w:cs="Georgia"/>
                      <w:color w:val="000000"/>
                    </w:rPr>
                    <w:t>mi</w:t>
                  </w:r>
                  <w:r>
                    <w:rPr>
                      <w:rFonts w:cs="Georgia"/>
                      <w:color w:val="000000"/>
                      <w:spacing w:val="-1"/>
                    </w:rPr>
                    <w:t>è</w:t>
                  </w:r>
                  <w:r>
                    <w:rPr>
                      <w:rFonts w:cs="Georgia"/>
                      <w:color w:val="000000"/>
                      <w:spacing w:val="1"/>
                    </w:rPr>
                    <w:t>r</w:t>
                  </w:r>
                  <w:r>
                    <w:rPr>
                      <w:rFonts w:cs="Georgia"/>
                      <w:color w:val="000000"/>
                    </w:rPr>
                    <w:t>e</w:t>
                  </w:r>
                  <w:r>
                    <w:rPr>
                      <w:rFonts w:cs="Georgia"/>
                      <w:color w:val="000000"/>
                      <w:spacing w:val="2"/>
                    </w:rPr>
                    <w:t xml:space="preserve"> </w:t>
                  </w:r>
                  <w:r>
                    <w:rPr>
                      <w:rFonts w:cs="Georgia"/>
                      <w:color w:val="000000"/>
                      <w:spacing w:val="-3"/>
                    </w:rPr>
                    <w:t>a</w:t>
                  </w:r>
                  <w:r>
                    <w:rPr>
                      <w:rFonts w:cs="Georgia"/>
                      <w:color w:val="000000"/>
                      <w:spacing w:val="-1"/>
                    </w:rPr>
                    <w:t>nné</w:t>
                  </w:r>
                  <w:r>
                    <w:rPr>
                      <w:rFonts w:cs="Georgia"/>
                      <w:color w:val="000000"/>
                    </w:rPr>
                    <w:t>e</w:t>
                  </w:r>
                  <w:r>
                    <w:rPr>
                      <w:rFonts w:cs="Georgia"/>
                      <w:color w:val="000000"/>
                      <w:spacing w:val="2"/>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2"/>
                    </w:rPr>
                    <w:t xml:space="preserve"> </w:t>
                  </w:r>
                  <w:r>
                    <w:rPr>
                      <w:rFonts w:cs="Georgia"/>
                      <w:color w:val="000000"/>
                      <w:spacing w:val="-2"/>
                    </w:rPr>
                    <w:t>c</w:t>
                  </w:r>
                  <w:r>
                    <w:rPr>
                      <w:rFonts w:cs="Georgia"/>
                      <w:color w:val="000000"/>
                      <w:spacing w:val="1"/>
                    </w:rPr>
                    <w:t>o</w:t>
                  </w:r>
                  <w:r>
                    <w:rPr>
                      <w:rFonts w:cs="Georgia"/>
                      <w:color w:val="000000"/>
                      <w:spacing w:val="-1"/>
                    </w:rPr>
                    <w:t>n</w:t>
                  </w:r>
                  <w:r>
                    <w:rPr>
                      <w:rFonts w:cs="Georgia"/>
                      <w:color w:val="000000"/>
                      <w:spacing w:val="1"/>
                    </w:rPr>
                    <w:t>c</w:t>
                  </w:r>
                  <w:r>
                    <w:rPr>
                      <w:rFonts w:cs="Georgia"/>
                      <w:color w:val="000000"/>
                      <w:spacing w:val="-1"/>
                    </w:rPr>
                    <w:t>e</w:t>
                  </w:r>
                  <w:r>
                    <w:rPr>
                      <w:rFonts w:cs="Georgia"/>
                      <w:color w:val="000000"/>
                      <w:spacing w:val="1"/>
                    </w:rPr>
                    <w:t>r</w:t>
                  </w:r>
                  <w:r>
                    <w:rPr>
                      <w:rFonts w:cs="Georgia"/>
                      <w:color w:val="000000"/>
                      <w:spacing w:val="-1"/>
                    </w:rPr>
                    <w:t xml:space="preserve">née </w:t>
                  </w:r>
                  <w:r>
                    <w:rPr>
                      <w:rFonts w:cs="Georgia"/>
                      <w:color w:val="000000"/>
                      <w:spacing w:val="1"/>
                    </w:rPr>
                    <w:t>o</w:t>
                  </w:r>
                  <w:r>
                    <w:rPr>
                      <w:rFonts w:cs="Georgia"/>
                      <w:color w:val="000000"/>
                    </w:rPr>
                    <w:t>u</w:t>
                  </w:r>
                  <w:r>
                    <w:rPr>
                      <w:rFonts w:cs="Georgia"/>
                      <w:color w:val="000000"/>
                      <w:spacing w:val="3"/>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3"/>
                    </w:rPr>
                    <w:t xml:space="preserve"> </w:t>
                  </w:r>
                  <w:r>
                    <w:rPr>
                      <w:rFonts w:cs="Georgia"/>
                      <w:color w:val="000000"/>
                      <w:spacing w:val="-1"/>
                    </w:rPr>
                    <w:t>le</w:t>
                  </w:r>
                  <w:r>
                    <w:rPr>
                      <w:rFonts w:cs="Georgia"/>
                      <w:color w:val="000000"/>
                    </w:rPr>
                    <w:t>s</w:t>
                  </w:r>
                  <w:r>
                    <w:rPr>
                      <w:rFonts w:cs="Georgia"/>
                      <w:color w:val="000000"/>
                      <w:spacing w:val="3"/>
                    </w:rPr>
                    <w:t xml:space="preserve"> </w:t>
                  </w:r>
                  <w:r>
                    <w:rPr>
                      <w:rFonts w:cs="Georgia"/>
                      <w:color w:val="000000"/>
                      <w:spacing w:val="-1"/>
                    </w:rPr>
                    <w:t>1</w:t>
                  </w:r>
                  <w:r>
                    <w:rPr>
                      <w:rFonts w:cs="Georgia"/>
                      <w:color w:val="000000"/>
                    </w:rPr>
                    <w:t>5</w:t>
                  </w:r>
                  <w:r>
                    <w:rPr>
                      <w:rFonts w:cs="Georgia"/>
                      <w:color w:val="000000"/>
                      <w:spacing w:val="3"/>
                    </w:rPr>
                    <w:t xml:space="preserve"> </w:t>
                  </w:r>
                  <w:r>
                    <w:rPr>
                      <w:rFonts w:cs="Georgia"/>
                      <w:color w:val="000000"/>
                    </w:rPr>
                    <w:t>j</w:t>
                  </w:r>
                  <w:r>
                    <w:rPr>
                      <w:rFonts w:cs="Georgia"/>
                      <w:color w:val="000000"/>
                      <w:spacing w:val="-1"/>
                    </w:rPr>
                    <w:t>o</w:t>
                  </w:r>
                  <w:r>
                    <w:rPr>
                      <w:rFonts w:cs="Georgia"/>
                      <w:color w:val="000000"/>
                    </w:rPr>
                    <w:t>u</w:t>
                  </w:r>
                  <w:r>
                    <w:rPr>
                      <w:rFonts w:cs="Georgia"/>
                      <w:color w:val="000000"/>
                      <w:spacing w:val="1"/>
                    </w:rPr>
                    <w:t>r</w:t>
                  </w:r>
                  <w:r>
                    <w:rPr>
                      <w:rFonts w:cs="Georgia"/>
                      <w:color w:val="000000"/>
                    </w:rPr>
                    <w:t>s</w:t>
                  </w:r>
                  <w:r>
                    <w:rPr>
                      <w:rFonts w:cs="Georgia"/>
                      <w:color w:val="000000"/>
                      <w:spacing w:val="3"/>
                    </w:rPr>
                    <w:t xml:space="preserve"> </w:t>
                  </w:r>
                  <w:r>
                    <w:rPr>
                      <w:rFonts w:cs="Georgia"/>
                      <w:color w:val="000000"/>
                      <w:spacing w:val="-1"/>
                    </w:rPr>
                    <w:t>q</w:t>
                  </w:r>
                  <w:r>
                    <w:rPr>
                      <w:rFonts w:cs="Georgia"/>
                      <w:color w:val="000000"/>
                    </w:rPr>
                    <w:t xml:space="preserve">ui </w:t>
                  </w:r>
                  <w:r>
                    <w:rPr>
                      <w:rFonts w:cs="Georgia"/>
                      <w:color w:val="000000"/>
                      <w:spacing w:val="1"/>
                    </w:rPr>
                    <w:t>s</w:t>
                  </w:r>
                  <w:r>
                    <w:rPr>
                      <w:rFonts w:cs="Georgia"/>
                      <w:color w:val="000000"/>
                    </w:rPr>
                    <w:t>ui</w:t>
                  </w:r>
                  <w:r>
                    <w:rPr>
                      <w:rFonts w:cs="Georgia"/>
                      <w:color w:val="000000"/>
                      <w:spacing w:val="1"/>
                    </w:rPr>
                    <w:t>v</w:t>
                  </w:r>
                  <w:r>
                    <w:rPr>
                      <w:rFonts w:cs="Georgia"/>
                      <w:color w:val="000000"/>
                      <w:spacing w:val="-1"/>
                    </w:rPr>
                    <w:t>en</w:t>
                  </w:r>
                  <w:r>
                    <w:rPr>
                      <w:rFonts w:cs="Georgia"/>
                      <w:color w:val="000000"/>
                    </w:rPr>
                    <w:t>t</w:t>
                  </w:r>
                  <w:r>
                    <w:rPr>
                      <w:rFonts w:cs="Georgia"/>
                      <w:color w:val="000000"/>
                      <w:spacing w:val="3"/>
                    </w:rPr>
                    <w:t xml:space="preserve"> </w:t>
                  </w:r>
                  <w:r>
                    <w:rPr>
                      <w:rFonts w:cs="Georgia"/>
                      <w:color w:val="000000"/>
                    </w:rPr>
                    <w:t>u</w:t>
                  </w:r>
                  <w:r>
                    <w:rPr>
                      <w:rFonts w:cs="Georgia"/>
                      <w:color w:val="000000"/>
                      <w:spacing w:val="-1"/>
                    </w:rPr>
                    <w:t>n</w:t>
                  </w:r>
                  <w:r>
                    <w:rPr>
                      <w:rFonts w:cs="Georgia"/>
                      <w:color w:val="000000"/>
                    </w:rPr>
                    <w:t>e</w:t>
                  </w:r>
                  <w:r>
                    <w:rPr>
                      <w:rFonts w:cs="Georgia"/>
                      <w:color w:val="000000"/>
                      <w:spacing w:val="1"/>
                    </w:rPr>
                    <w:t xml:space="preserve"> </w:t>
                  </w:r>
                  <w:r>
                    <w:rPr>
                      <w:rFonts w:cs="Georgia"/>
                      <w:color w:val="000000"/>
                    </w:rPr>
                    <w:t>i</w:t>
                  </w:r>
                  <w:r>
                    <w:rPr>
                      <w:rFonts w:cs="Georgia"/>
                      <w:color w:val="000000"/>
                      <w:spacing w:val="-1"/>
                    </w:rPr>
                    <w:t>n</w:t>
                  </w:r>
                  <w:r>
                    <w:rPr>
                      <w:rFonts w:cs="Georgia"/>
                      <w:color w:val="000000"/>
                      <w:spacing w:val="1"/>
                    </w:rPr>
                    <w:t>s</w:t>
                  </w:r>
                  <w:r>
                    <w:rPr>
                      <w:rFonts w:cs="Georgia"/>
                      <w:color w:val="000000"/>
                      <w:spacing w:val="-2"/>
                    </w:rPr>
                    <w:t>c</w:t>
                  </w:r>
                  <w:r>
                    <w:rPr>
                      <w:rFonts w:cs="Georgia"/>
                      <w:color w:val="000000"/>
                      <w:spacing w:val="1"/>
                    </w:rPr>
                    <w:t>r</w:t>
                  </w:r>
                  <w:r>
                    <w:rPr>
                      <w:rFonts w:cs="Georgia"/>
                      <w:color w:val="000000"/>
                      <w:spacing w:val="-2"/>
                    </w:rPr>
                    <w:t>i</w:t>
                  </w:r>
                  <w:r>
                    <w:rPr>
                      <w:rFonts w:cs="Georgia"/>
                      <w:color w:val="000000"/>
                      <w:spacing w:val="1"/>
                    </w:rPr>
                    <w:t>pt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2"/>
                    </w:rPr>
                    <w:t>d</w:t>
                  </w:r>
                  <w:r>
                    <w:rPr>
                      <w:rFonts w:cs="Georgia"/>
                      <w:color w:val="000000"/>
                      <w:spacing w:val="-1"/>
                    </w:rPr>
                    <w:t>an</w:t>
                  </w:r>
                  <w:r>
                    <w:rPr>
                      <w:rFonts w:cs="Georgia"/>
                      <w:color w:val="000000"/>
                    </w:rPr>
                    <w:t>s</w:t>
                  </w:r>
                  <w:r>
                    <w:rPr>
                      <w:rFonts w:cs="Georgia"/>
                      <w:color w:val="000000"/>
                      <w:spacing w:val="3"/>
                    </w:rPr>
                    <w:t xml:space="preserve"> </w:t>
                  </w:r>
                  <w:r>
                    <w:rPr>
                      <w:rFonts w:cs="Georgia"/>
                      <w:color w:val="000000"/>
                      <w:spacing w:val="-1"/>
                    </w:rPr>
                    <w:t>l</w:t>
                  </w:r>
                  <w:r>
                    <w:rPr>
                      <w:rFonts w:cs="Georgia"/>
                      <w:color w:val="000000"/>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sp</w:t>
                  </w:r>
                  <w:r>
                    <w:rPr>
                      <w:rFonts w:cs="Georgia"/>
                      <w:color w:val="000000"/>
                      <w:spacing w:val="-1"/>
                    </w:rPr>
                    <w:t>é</w:t>
                  </w:r>
                  <w:r>
                    <w:rPr>
                      <w:rFonts w:cs="Georgia"/>
                      <w:color w:val="000000"/>
                      <w:spacing w:val="1"/>
                    </w:rPr>
                    <w:t>c</w:t>
                  </w:r>
                  <w:r>
                    <w:rPr>
                      <w:rFonts w:cs="Georgia"/>
                      <w:color w:val="000000"/>
                      <w:spacing w:val="-2"/>
                    </w:rPr>
                    <w:t>i</w:t>
                  </w:r>
                  <w:r>
                    <w:rPr>
                      <w:rFonts w:cs="Georgia"/>
                      <w:color w:val="000000"/>
                      <w:spacing w:val="-1"/>
                    </w:rPr>
                    <w:t>al</w:t>
                  </w:r>
                  <w:r>
                    <w:rPr>
                      <w:rFonts w:cs="Georgia"/>
                      <w:color w:val="000000"/>
                    </w:rPr>
                    <w:t>i</w:t>
                  </w:r>
                  <w:r>
                    <w:rPr>
                      <w:rFonts w:cs="Georgia"/>
                      <w:color w:val="000000"/>
                      <w:spacing w:val="1"/>
                    </w:rPr>
                    <w:t>s</w:t>
                  </w:r>
                  <w:r>
                    <w:rPr>
                      <w:rFonts w:cs="Georgia"/>
                      <w:color w:val="000000"/>
                    </w:rPr>
                    <w:t>é</w:t>
                  </w:r>
                  <w:r>
                    <w:rPr>
                      <w:rFonts w:cs="Georgia"/>
                      <w:color w:val="000000"/>
                      <w:spacing w:val="1"/>
                    </w:rPr>
                    <w:t xml:space="preserve"> s</w:t>
                  </w:r>
                  <w:r>
                    <w:rPr>
                      <w:rFonts w:cs="Georgia"/>
                      <w:color w:val="000000"/>
                    </w:rPr>
                    <w:t>i</w:t>
                  </w:r>
                  <w:r>
                    <w:rPr>
                      <w:rFonts w:cs="Georgia"/>
                      <w:color w:val="000000"/>
                      <w:spacing w:val="2"/>
                    </w:rPr>
                    <w:t xml:space="preserve"> </w:t>
                  </w:r>
                  <w:r>
                    <w:rPr>
                      <w:rFonts w:cs="Georgia"/>
                      <w:color w:val="000000"/>
                      <w:spacing w:val="1"/>
                    </w:rPr>
                    <w:t>c</w:t>
                  </w:r>
                  <w:r>
                    <w:rPr>
                      <w:rFonts w:cs="Georgia"/>
                      <w:color w:val="000000"/>
                      <w:spacing w:val="-1"/>
                    </w:rPr>
                    <w:t>elle-</w:t>
                  </w:r>
                  <w:r>
                    <w:rPr>
                      <w:rFonts w:cs="Georgia"/>
                      <w:color w:val="000000"/>
                      <w:spacing w:val="1"/>
                    </w:rPr>
                    <w:t>c</w:t>
                  </w:r>
                  <w:r>
                    <w:rPr>
                      <w:rFonts w:cs="Georgia"/>
                      <w:color w:val="000000"/>
                    </w:rPr>
                    <w:t>i</w:t>
                  </w:r>
                  <w:r>
                    <w:rPr>
                      <w:rFonts w:cs="Georgia"/>
                      <w:color w:val="000000"/>
                      <w:spacing w:val="2"/>
                    </w:rPr>
                    <w:t xml:space="preserve"> </w:t>
                  </w:r>
                  <w:r>
                    <w:rPr>
                      <w:rFonts w:cs="Georgia"/>
                      <w:color w:val="000000"/>
                    </w:rPr>
                    <w:t>a</w:t>
                  </w:r>
                  <w:r>
                    <w:rPr>
                      <w:rFonts w:cs="Georgia"/>
                      <w:color w:val="000000"/>
                      <w:spacing w:val="1"/>
                    </w:rPr>
                    <w:t xml:space="preserve"> </w:t>
                  </w:r>
                  <w:r>
                    <w:rPr>
                      <w:rFonts w:cs="Georgia"/>
                      <w:color w:val="000000"/>
                      <w:spacing w:val="-1"/>
                    </w:rPr>
                    <w:t>l</w:t>
                  </w:r>
                  <w:r>
                    <w:rPr>
                      <w:rFonts w:cs="Georgia"/>
                      <w:color w:val="000000"/>
                    </w:rPr>
                    <w:t>i</w:t>
                  </w:r>
                  <w:r>
                    <w:rPr>
                      <w:rFonts w:cs="Georgia"/>
                      <w:color w:val="000000"/>
                      <w:spacing w:val="-1"/>
                    </w:rPr>
                    <w:t>e</w:t>
                  </w:r>
                  <w:r>
                    <w:rPr>
                      <w:rFonts w:cs="Georgia"/>
                      <w:color w:val="000000"/>
                    </w:rPr>
                    <w:t>u</w:t>
                  </w:r>
                  <w:r>
                    <w:rPr>
                      <w:rFonts w:cs="Georgia"/>
                      <w:color w:val="000000"/>
                      <w:spacing w:val="5"/>
                    </w:rPr>
                    <w:t xml:space="preserve"> </w:t>
                  </w:r>
                  <w:r>
                    <w:rPr>
                      <w:rFonts w:cs="Georgia"/>
                      <w:color w:val="000000"/>
                      <w:spacing w:val="-1"/>
                    </w:rPr>
                    <w:t>e</w:t>
                  </w:r>
                  <w:r>
                    <w:rPr>
                      <w:rFonts w:cs="Georgia"/>
                      <w:color w:val="000000"/>
                    </w:rPr>
                    <w:t xml:space="preserve">n </w:t>
                  </w:r>
                  <w:r>
                    <w:rPr>
                      <w:rFonts w:cs="Georgia"/>
                      <w:color w:val="000000"/>
                      <w:spacing w:val="1"/>
                    </w:rPr>
                    <w:t>co</w:t>
                  </w:r>
                  <w:r>
                    <w:rPr>
                      <w:rFonts w:cs="Georgia"/>
                      <w:color w:val="000000"/>
                      <w:spacing w:val="-2"/>
                    </w:rPr>
                    <w:t>u</w:t>
                  </w:r>
                  <w:r>
                    <w:rPr>
                      <w:rFonts w:cs="Georgia"/>
                      <w:color w:val="000000"/>
                      <w:spacing w:val="1"/>
                    </w:rPr>
                    <w:t>r</w:t>
                  </w:r>
                  <w:r>
                    <w:rPr>
                      <w:rFonts w:cs="Georgia"/>
                      <w:color w:val="000000"/>
                    </w:rPr>
                    <w:t xml:space="preserve">s </w:t>
                  </w:r>
                  <w:r>
                    <w:rPr>
                      <w:rFonts w:cs="Georgia"/>
                      <w:color w:val="000000"/>
                      <w:spacing w:val="-2"/>
                    </w:rPr>
                    <w:t>d</w:t>
                  </w:r>
                  <w:r>
                    <w:rPr>
                      <w:rFonts w:cs="Georgia"/>
                      <w:color w:val="000000"/>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rPr>
                    <w:t>à</w:t>
                  </w:r>
                  <w:r>
                    <w:rPr>
                      <w:rFonts w:cs="Georgia"/>
                      <w:color w:val="000000"/>
                      <w:spacing w:val="-1"/>
                    </w:rPr>
                    <w:t xml:space="preserve"> l</w:t>
                  </w:r>
                  <w:r>
                    <w:rPr>
                      <w:rFonts w:cs="Georgia"/>
                      <w:color w:val="000000"/>
                    </w:rPr>
                    <w:t>’</w:t>
                  </w:r>
                  <w:r>
                    <w:rPr>
                      <w:rFonts w:cs="Georgia"/>
                      <w:color w:val="000000"/>
                      <w:spacing w:val="-1"/>
                    </w:rPr>
                    <w:t>a</w:t>
                  </w:r>
                  <w:r>
                    <w:rPr>
                      <w:rFonts w:cs="Georgia"/>
                      <w:color w:val="000000"/>
                    </w:rPr>
                    <w:t>d</w:t>
                  </w:r>
                  <w:r>
                    <w:rPr>
                      <w:rFonts w:cs="Georgia"/>
                      <w:color w:val="000000"/>
                      <w:spacing w:val="1"/>
                    </w:rPr>
                    <w:t>r</w:t>
                  </w:r>
                  <w:r>
                    <w:rPr>
                      <w:rFonts w:cs="Georgia"/>
                      <w:color w:val="000000"/>
                      <w:spacing w:val="-1"/>
                    </w:rPr>
                    <w:t>e</w:t>
                  </w:r>
                  <w:r>
                    <w:rPr>
                      <w:rFonts w:cs="Georgia"/>
                      <w:color w:val="000000"/>
                      <w:spacing w:val="1"/>
                    </w:rPr>
                    <w:t>ss</w:t>
                  </w:r>
                  <w:r>
                    <w:rPr>
                      <w:rFonts w:cs="Georgia"/>
                      <w:color w:val="000000"/>
                    </w:rPr>
                    <w:t>e</w:t>
                  </w:r>
                  <w:r>
                    <w:rPr>
                      <w:rFonts w:cs="Georgia"/>
                      <w:color w:val="000000"/>
                      <w:spacing w:val="-1"/>
                    </w:rPr>
                    <w:t xml:space="preserve"> </w:t>
                  </w:r>
                  <w:r>
                    <w:rPr>
                      <w:rFonts w:cs="Georgia"/>
                      <w:color w:val="000000"/>
                      <w:spacing w:val="1"/>
                    </w:rPr>
                    <w:t>s</w:t>
                  </w:r>
                  <w:r>
                    <w:rPr>
                      <w:rFonts w:cs="Georgia"/>
                      <w:color w:val="000000"/>
                    </w:rPr>
                    <w:t>ui</w:t>
                  </w:r>
                  <w:r>
                    <w:rPr>
                      <w:rFonts w:cs="Georgia"/>
                      <w:color w:val="000000"/>
                      <w:spacing w:val="1"/>
                    </w:rPr>
                    <w:t>v</w:t>
                  </w:r>
                  <w:r>
                    <w:rPr>
                      <w:rFonts w:cs="Georgia"/>
                      <w:color w:val="000000"/>
                      <w:spacing w:val="-1"/>
                    </w:rPr>
                    <w:t>an</w:t>
                  </w:r>
                  <w:r>
                    <w:rPr>
                      <w:rFonts w:cs="Georgia"/>
                      <w:color w:val="000000"/>
                      <w:spacing w:val="1"/>
                    </w:rPr>
                    <w:t>t</w:t>
                  </w:r>
                  <w:r>
                    <w:rPr>
                      <w:rFonts w:cs="Georgia"/>
                      <w:color w:val="000000"/>
                    </w:rPr>
                    <w:t>e</w:t>
                  </w:r>
                  <w:r>
                    <w:rPr>
                      <w:rFonts w:cs="Georgia"/>
                      <w:color w:val="000000"/>
                      <w:spacing w:val="-1"/>
                    </w:rPr>
                    <w:t xml:space="preserve"> </w:t>
                  </w:r>
                  <w:r>
                    <w:rPr>
                      <w:rFonts w:cs="Georgia"/>
                      <w:color w:val="000000"/>
                    </w:rPr>
                    <w:t>:</w:t>
                  </w:r>
                </w:p>
                <w:p>
                  <w:pPr>
                    <w:widowControl w:val="0"/>
                    <w:autoSpaceDE w:val="0"/>
                    <w:autoSpaceDN w:val="0"/>
                    <w:adjustRightInd w:val="0"/>
                    <w:spacing w:before="16" w:line="260" w:lineRule="exact"/>
                    <w:jc w:val="both"/>
                    <w:rPr>
                      <w:rFonts w:cs="Georgia"/>
                      <w:color w:val="000000"/>
                    </w:rPr>
                  </w:pPr>
                </w:p>
                <w:p>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cs="Georgia"/>
                      <w:color w:val="000000"/>
                    </w:rPr>
                  </w:pPr>
                  <w:r>
                    <w:rPr>
                      <w:rFonts w:cs="Georgia"/>
                      <w:color w:val="000000"/>
                    </w:rPr>
                    <w:t>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g</w:t>
                  </w:r>
                  <w:r>
                    <w:rPr>
                      <w:rFonts w:cs="Georgia"/>
                      <w:color w:val="000000"/>
                      <w:spacing w:val="-1"/>
                    </w:rPr>
                    <w:t>éné</w:t>
                  </w:r>
                  <w:r>
                    <w:rPr>
                      <w:rFonts w:cs="Georgia"/>
                      <w:color w:val="000000"/>
                      <w:spacing w:val="1"/>
                    </w:rPr>
                    <w:t>r</w:t>
                  </w:r>
                  <w:r>
                    <w:rPr>
                      <w:rFonts w:cs="Georgia"/>
                      <w:color w:val="000000"/>
                      <w:spacing w:val="-1"/>
                    </w:rPr>
                    <w:t>al</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ob</w:t>
                  </w:r>
                  <w:r>
                    <w:rPr>
                      <w:rFonts w:cs="Georgia"/>
                      <w:color w:val="000000"/>
                      <w:spacing w:val="-1"/>
                    </w:rPr>
                    <w:t>l</w:t>
                  </w:r>
                  <w:r>
                    <w:rPr>
                      <w:rFonts w:cs="Georgia"/>
                      <w:color w:val="000000"/>
                    </w:rPr>
                    <w:t>ig</w:t>
                  </w:r>
                  <w:r>
                    <w:rPr>
                      <w:rFonts w:cs="Georgia"/>
                      <w:color w:val="000000"/>
                      <w:spacing w:val="-3"/>
                    </w:rPr>
                    <w:t>a</w:t>
                  </w:r>
                  <w:r>
                    <w:rPr>
                      <w:rFonts w:cs="Georgia"/>
                      <w:color w:val="000000"/>
                      <w:spacing w:val="1"/>
                    </w:rPr>
                    <w:t>to</w:t>
                  </w:r>
                  <w:r>
                    <w:rPr>
                      <w:rFonts w:cs="Georgia"/>
                      <w:color w:val="000000"/>
                      <w:spacing w:val="-2"/>
                    </w:rPr>
                    <w:t>i</w:t>
                  </w:r>
                  <w:r>
                    <w:rPr>
                      <w:rFonts w:cs="Georgia"/>
                      <w:color w:val="000000"/>
                      <w:spacing w:val="1"/>
                    </w:rPr>
                    <w:t>r</w:t>
                  </w:r>
                  <w:r>
                    <w:rPr>
                      <w:rFonts w:cs="Georgia"/>
                      <w:color w:val="000000"/>
                    </w:rPr>
                    <w:t xml:space="preserve">e </w:t>
                  </w:r>
                </w:p>
                <w:p>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cs="Georgia"/>
                      <w:color w:val="000000"/>
                    </w:rPr>
                  </w:pPr>
                  <w:r>
                    <w:rPr>
                      <w:rFonts w:cs="Georgia"/>
                      <w:color w:val="000000"/>
                      <w:spacing w:val="1"/>
                    </w:rPr>
                    <w:t>S</w:t>
                  </w:r>
                  <w:r>
                    <w:rPr>
                      <w:rFonts w:cs="Georgia"/>
                      <w:color w:val="000000"/>
                      <w:spacing w:val="-1"/>
                    </w:rPr>
                    <w:t>e</w:t>
                  </w:r>
                  <w:r>
                    <w:rPr>
                      <w:rFonts w:cs="Georgia"/>
                      <w:color w:val="000000"/>
                      <w:spacing w:val="1"/>
                    </w:rPr>
                    <w:t>rv</w:t>
                  </w:r>
                  <w:r>
                    <w:rPr>
                      <w:rFonts w:cs="Georgia"/>
                      <w:color w:val="000000"/>
                      <w:spacing w:val="-2"/>
                    </w:rPr>
                    <w:t>i</w:t>
                  </w:r>
                  <w:r>
                    <w:rPr>
                      <w:rFonts w:cs="Georgia"/>
                      <w:color w:val="000000"/>
                      <w:spacing w:val="1"/>
                    </w:rPr>
                    <w:t>c</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spacing w:val="-2"/>
                    </w:rPr>
                    <w:t>i</w:t>
                  </w:r>
                  <w:r>
                    <w:rPr>
                      <w:rFonts w:cs="Georgia"/>
                      <w:color w:val="000000"/>
                      <w:spacing w:val="1"/>
                    </w:rPr>
                    <w:t>s</w:t>
                  </w:r>
                  <w:r>
                    <w:rPr>
                      <w:rFonts w:cs="Georgia"/>
                      <w:color w:val="000000"/>
                    </w:rPr>
                    <w:t xml:space="preserve">é </w:t>
                  </w:r>
                </w:p>
                <w:p>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cs="Georgia"/>
                      <w:bCs/>
                      <w:color w:val="000000"/>
                    </w:rPr>
                  </w:pPr>
                  <w:r>
                    <w:rPr>
                      <w:rFonts w:cs="Georgia"/>
                      <w:bCs/>
                      <w:color w:val="000000"/>
                    </w:rPr>
                    <w:t>M</w:t>
                  </w:r>
                  <w:r>
                    <w:rPr>
                      <w:rFonts w:cs="Georgia"/>
                      <w:bCs/>
                      <w:color w:val="000000"/>
                      <w:spacing w:val="-1"/>
                    </w:rPr>
                    <w:t>on</w:t>
                  </w:r>
                  <w:r>
                    <w:rPr>
                      <w:rFonts w:cs="Georgia"/>
                      <w:bCs/>
                      <w:color w:val="000000"/>
                    </w:rPr>
                    <w:t>s</w:t>
                  </w:r>
                  <w:r>
                    <w:rPr>
                      <w:rFonts w:cs="Georgia"/>
                      <w:bCs/>
                      <w:color w:val="000000"/>
                      <w:spacing w:val="1"/>
                    </w:rPr>
                    <w:t>ie</w:t>
                  </w:r>
                  <w:r>
                    <w:rPr>
                      <w:rFonts w:cs="Georgia"/>
                      <w:bCs/>
                      <w:color w:val="000000"/>
                      <w:spacing w:val="-1"/>
                    </w:rPr>
                    <w:t>u</w:t>
                  </w:r>
                  <w:r>
                    <w:rPr>
                      <w:rFonts w:cs="Georgia"/>
                      <w:bCs/>
                      <w:color w:val="000000"/>
                    </w:rPr>
                    <w:t>r</w:t>
                  </w:r>
                  <w:r>
                    <w:rPr>
                      <w:rFonts w:cs="Georgia"/>
                      <w:bCs/>
                      <w:color w:val="000000"/>
                      <w:spacing w:val="-3"/>
                    </w:rPr>
                    <w:t xml:space="preserve"> </w:t>
                  </w:r>
                  <w:r>
                    <w:rPr>
                      <w:rFonts w:cs="Georgia"/>
                      <w:bCs/>
                      <w:color w:val="000000"/>
                      <w:spacing w:val="1"/>
                    </w:rPr>
                    <w:t>W</w:t>
                  </w:r>
                  <w:r>
                    <w:rPr>
                      <w:rFonts w:cs="Georgia"/>
                      <w:bCs/>
                      <w:color w:val="000000"/>
                      <w:spacing w:val="-1"/>
                    </w:rPr>
                    <w:t>i</w:t>
                  </w:r>
                  <w:r>
                    <w:rPr>
                      <w:rFonts w:cs="Georgia"/>
                      <w:bCs/>
                      <w:color w:val="000000"/>
                      <w:spacing w:val="1"/>
                    </w:rPr>
                    <w:t>l</w:t>
                  </w:r>
                  <w:r>
                    <w:rPr>
                      <w:rFonts w:cs="Georgia"/>
                      <w:bCs/>
                      <w:color w:val="000000"/>
                      <w:spacing w:val="-2"/>
                    </w:rPr>
                    <w:t>l</w:t>
                  </w:r>
                  <w:r>
                    <w:rPr>
                      <w:rFonts w:cs="Georgia"/>
                      <w:bCs/>
                      <w:color w:val="000000"/>
                      <w:spacing w:val="1"/>
                    </w:rPr>
                    <w:t>i</w:t>
                  </w:r>
                  <w:r>
                    <w:rPr>
                      <w:rFonts w:cs="Georgia"/>
                      <w:bCs/>
                      <w:color w:val="000000"/>
                    </w:rPr>
                    <w:t>am</w:t>
                  </w:r>
                  <w:r>
                    <w:rPr>
                      <w:rFonts w:cs="Georgia"/>
                      <w:bCs/>
                      <w:color w:val="000000"/>
                      <w:spacing w:val="-2"/>
                    </w:rPr>
                    <w:t xml:space="preserve"> FU</w:t>
                  </w:r>
                  <w:r>
                    <w:rPr>
                      <w:rFonts w:cs="Georgia"/>
                      <w:bCs/>
                      <w:color w:val="000000"/>
                      <w:spacing w:val="1"/>
                    </w:rPr>
                    <w:t>C</w:t>
                  </w:r>
                  <w:r>
                    <w:rPr>
                      <w:rFonts w:cs="Georgia"/>
                      <w:bCs/>
                      <w:color w:val="000000"/>
                    </w:rPr>
                    <w:t>HS</w:t>
                  </w:r>
                </w:p>
                <w:p>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cs="Georgia"/>
                      <w:color w:val="000000"/>
                    </w:rPr>
                  </w:pPr>
                  <w:r>
                    <w:rPr>
                      <w:rFonts w:cs="Georgia"/>
                      <w:color w:val="000000"/>
                    </w:rPr>
                    <w:t>Bu</w:t>
                  </w:r>
                  <w:r>
                    <w:rPr>
                      <w:rFonts w:cs="Georgia"/>
                      <w:color w:val="000000"/>
                      <w:spacing w:val="1"/>
                    </w:rPr>
                    <w:t>r</w:t>
                  </w:r>
                  <w:r>
                    <w:rPr>
                      <w:rFonts w:cs="Georgia"/>
                      <w:color w:val="000000"/>
                      <w:spacing w:val="-1"/>
                    </w:rPr>
                    <w:t>ea</w:t>
                  </w:r>
                  <w:r>
                    <w:rPr>
                      <w:rFonts w:cs="Georgia"/>
                      <w:color w:val="000000"/>
                    </w:rPr>
                    <w:t xml:space="preserve">u </w:t>
                  </w:r>
                  <w:r>
                    <w:rPr>
                      <w:rFonts w:cs="Georgia"/>
                      <w:color w:val="000000"/>
                      <w:spacing w:val="-1"/>
                    </w:rPr>
                    <w:t>2</w:t>
                  </w:r>
                  <w:r>
                    <w:rPr>
                      <w:rFonts w:cs="Georgia"/>
                      <w:color w:val="000000"/>
                    </w:rPr>
                    <w:t>F</w:t>
                  </w:r>
                  <w:r>
                    <w:rPr>
                      <w:rFonts w:cs="Georgia"/>
                      <w:color w:val="000000"/>
                      <w:spacing w:val="-1"/>
                    </w:rPr>
                    <w:t>2</w:t>
                  </w:r>
                  <w:r>
                    <w:rPr>
                      <w:rFonts w:cs="Georgia"/>
                      <w:color w:val="000000"/>
                      <w:spacing w:val="1"/>
                    </w:rPr>
                    <w:t>5</w:t>
                  </w:r>
                  <w:r>
                    <w:rPr>
                      <w:rFonts w:cs="Georgia"/>
                      <w:color w:val="000000"/>
                    </w:rPr>
                    <w:t xml:space="preserve">5 </w:t>
                  </w:r>
                </w:p>
                <w:p>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cs="Georgia"/>
                      <w:color w:val="000000"/>
                    </w:rPr>
                  </w:pPr>
                  <w:r>
                    <w:rPr>
                      <w:rFonts w:cs="Georgia"/>
                      <w:color w:val="000000"/>
                      <w:spacing w:val="1"/>
                    </w:rPr>
                    <w:t>R</w:t>
                  </w:r>
                  <w:r>
                    <w:rPr>
                      <w:rFonts w:cs="Georgia"/>
                      <w:color w:val="000000"/>
                    </w:rPr>
                    <w:t>ue</w:t>
                  </w:r>
                  <w:r>
                    <w:rPr>
                      <w:rFonts w:cs="Georgia"/>
                      <w:color w:val="000000"/>
                      <w:spacing w:val="-1"/>
                    </w:rPr>
                    <w:t xml:space="preserve"> </w:t>
                  </w:r>
                  <w:r>
                    <w:rPr>
                      <w:rFonts w:cs="Georgia"/>
                      <w:color w:val="000000"/>
                      <w:spacing w:val="1"/>
                    </w:rPr>
                    <w:t>A</w:t>
                  </w:r>
                  <w:r>
                    <w:rPr>
                      <w:rFonts w:cs="Georgia"/>
                      <w:color w:val="000000"/>
                      <w:spacing w:val="-2"/>
                    </w:rPr>
                    <w:t>d</w:t>
                  </w:r>
                  <w:r>
                    <w:rPr>
                      <w:rFonts w:cs="Georgia"/>
                      <w:color w:val="000000"/>
                      <w:spacing w:val="1"/>
                    </w:rPr>
                    <w:t>o</w:t>
                  </w:r>
                  <w:r>
                    <w:rPr>
                      <w:rFonts w:cs="Georgia"/>
                      <w:color w:val="000000"/>
                      <w:spacing w:val="-1"/>
                    </w:rPr>
                    <w:t>lp</w:t>
                  </w:r>
                  <w:r>
                    <w:rPr>
                      <w:rFonts w:cs="Georgia"/>
                      <w:color w:val="000000"/>
                      <w:spacing w:val="1"/>
                    </w:rPr>
                    <w:t>h</w:t>
                  </w:r>
                  <w:r>
                    <w:rPr>
                      <w:rFonts w:cs="Georgia"/>
                      <w:color w:val="000000"/>
                    </w:rPr>
                    <w:t xml:space="preserve">e </w:t>
                  </w:r>
                  <w:r>
                    <w:rPr>
                      <w:rFonts w:cs="Georgia"/>
                      <w:color w:val="000000"/>
                      <w:spacing w:val="1"/>
                    </w:rPr>
                    <w:t>L</w:t>
                  </w:r>
                  <w:r>
                    <w:rPr>
                      <w:rFonts w:cs="Georgia"/>
                      <w:color w:val="000000"/>
                      <w:spacing w:val="-3"/>
                    </w:rPr>
                    <w:t>a</w:t>
                  </w:r>
                  <w:r>
                    <w:rPr>
                      <w:rFonts w:cs="Georgia"/>
                      <w:color w:val="000000"/>
                      <w:spacing w:val="1"/>
                    </w:rPr>
                    <w:t>v</w:t>
                  </w:r>
                  <w:r>
                    <w:rPr>
                      <w:rFonts w:cs="Georgia"/>
                      <w:color w:val="000000"/>
                      <w:spacing w:val="-1"/>
                    </w:rPr>
                    <w:t>allée</w:t>
                  </w:r>
                  <w:r>
                    <w:rPr>
                      <w:rFonts w:cs="Georgia"/>
                      <w:color w:val="000000"/>
                    </w:rPr>
                    <w:t>, 1</w:t>
                  </w:r>
                </w:p>
                <w:p>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cs="Georgia"/>
                      <w:color w:val="000000"/>
                    </w:rPr>
                  </w:pPr>
                  <w:r>
                    <w:rPr>
                      <w:rFonts w:cs="Georgia"/>
                      <w:color w:val="000000"/>
                      <w:spacing w:val="1"/>
                    </w:rPr>
                    <w:t>1</w:t>
                  </w:r>
                  <w:r>
                    <w:rPr>
                      <w:rFonts w:cs="Georgia"/>
                      <w:color w:val="000000"/>
                      <w:spacing w:val="-1"/>
                    </w:rPr>
                    <w:t>0</w:t>
                  </w:r>
                  <w:r>
                    <w:rPr>
                      <w:rFonts w:cs="Georgia"/>
                      <w:color w:val="000000"/>
                    </w:rPr>
                    <w:t xml:space="preserve">80 </w:t>
                  </w:r>
                  <w:r>
                    <w:rPr>
                      <w:rFonts w:cs="Georgia"/>
                      <w:color w:val="000000"/>
                      <w:spacing w:val="51"/>
                    </w:rPr>
                    <w:t xml:space="preserve"> </w:t>
                  </w:r>
                  <w:r>
                    <w:rPr>
                      <w:rFonts w:cs="Georgia"/>
                      <w:color w:val="000000"/>
                    </w:rPr>
                    <w:t>B</w:t>
                  </w:r>
                  <w:r>
                    <w:rPr>
                      <w:rFonts w:cs="Georgia"/>
                      <w:color w:val="000000"/>
                      <w:spacing w:val="1"/>
                    </w:rPr>
                    <w:t>RU</w:t>
                  </w:r>
                  <w:r>
                    <w:rPr>
                      <w:rFonts w:cs="Georgia"/>
                      <w:color w:val="000000"/>
                      <w:spacing w:val="-1"/>
                    </w:rPr>
                    <w:t>X</w:t>
                  </w:r>
                  <w:r>
                    <w:rPr>
                      <w:rFonts w:cs="Georgia"/>
                      <w:color w:val="000000"/>
                      <w:spacing w:val="-3"/>
                    </w:rPr>
                    <w:t>E</w:t>
                  </w:r>
                  <w:r>
                    <w:rPr>
                      <w:rFonts w:cs="Georgia"/>
                      <w:color w:val="000000"/>
                      <w:spacing w:val="-1"/>
                    </w:rPr>
                    <w:t>L</w:t>
                  </w:r>
                  <w:r>
                    <w:rPr>
                      <w:rFonts w:cs="Georgia"/>
                      <w:color w:val="000000"/>
                      <w:spacing w:val="1"/>
                    </w:rPr>
                    <w:t>L</w:t>
                  </w:r>
                  <w:r>
                    <w:rPr>
                      <w:rFonts w:cs="Georgia"/>
                      <w:color w:val="000000"/>
                    </w:rPr>
                    <w:t>ES</w:t>
                  </w:r>
                </w:p>
                <w:p>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cs="Georgia"/>
                      <w:color w:val="000000"/>
                    </w:rPr>
                  </w:pPr>
                  <w:r>
                    <w:rPr>
                      <w:rFonts w:cs="Wingdings"/>
                      <w:position w:val="-1"/>
                    </w:rPr>
                    <w:sym w:font="Wingdings" w:char="F028"/>
                  </w:r>
                  <w:r>
                    <w:rPr>
                      <w:spacing w:val="-2"/>
                      <w:position w:val="-1"/>
                    </w:rPr>
                    <w:t xml:space="preserve"> </w:t>
                  </w:r>
                  <w:r>
                    <w:rPr>
                      <w:rFonts w:cs="Georgia"/>
                      <w:position w:val="-1"/>
                    </w:rPr>
                    <w:t xml:space="preserve">: </w:t>
                  </w:r>
                  <w:r>
                    <w:rPr>
                      <w:rFonts w:cs="Georgia"/>
                      <w:spacing w:val="-1"/>
                      <w:position w:val="-1"/>
                    </w:rPr>
                    <w:t>02</w:t>
                  </w:r>
                  <w:r>
                    <w:rPr>
                      <w:rFonts w:cs="Georgia"/>
                      <w:position w:val="-1"/>
                    </w:rPr>
                    <w:t>/69</w:t>
                  </w:r>
                  <w:r>
                    <w:rPr>
                      <w:rFonts w:cs="Georgia"/>
                      <w:spacing w:val="-1"/>
                      <w:position w:val="-1"/>
                    </w:rPr>
                    <w:t>0</w:t>
                  </w:r>
                  <w:r>
                    <w:rPr>
                      <w:rFonts w:cs="Georgia"/>
                      <w:position w:val="-1"/>
                    </w:rPr>
                    <w:t>.8</w:t>
                  </w:r>
                  <w:r>
                    <w:rPr>
                      <w:rFonts w:cs="Georgia"/>
                      <w:spacing w:val="-2"/>
                      <w:position w:val="-1"/>
                    </w:rPr>
                    <w:t>3</w:t>
                  </w:r>
                  <w:r>
                    <w:rPr>
                      <w:rFonts w:cs="Georgia"/>
                      <w:position w:val="-1"/>
                    </w:rPr>
                    <w:t>.94 -</w:t>
                  </w:r>
                  <w:r>
                    <w:rPr>
                      <w:rFonts w:cs="Georgia"/>
                      <w:spacing w:val="-1"/>
                      <w:position w:val="-1"/>
                    </w:rPr>
                    <w:t xml:space="preserve"> </w:t>
                  </w:r>
                  <w:r>
                    <w:rPr>
                      <w:rFonts w:cs="Wingdings"/>
                      <w:position w:val="-1"/>
                    </w:rPr>
                    <w:sym w:font="Wingdings" w:char="F03A"/>
                  </w:r>
                  <w:r>
                    <w:rPr>
                      <w:spacing w:val="-3"/>
                      <w:position w:val="-1"/>
                    </w:rPr>
                    <w:t xml:space="preserve"> </w:t>
                  </w:r>
                  <w:r>
                    <w:rPr>
                      <w:rFonts w:cs="Georgia"/>
                      <w:color w:val="000000"/>
                      <w:position w:val="-1"/>
                    </w:rPr>
                    <w:t xml:space="preserve">: </w:t>
                  </w:r>
                  <w:hyperlink r:id="rId144" w:history="1">
                    <w:r>
                      <w:rPr>
                        <w:rFonts w:cs="Georgia"/>
                        <w:bCs/>
                        <w:color w:val="0000FF"/>
                        <w:spacing w:val="-1"/>
                        <w:position w:val="-1"/>
                        <w:u w:val="single"/>
                      </w:rPr>
                      <w:t>w</w:t>
                    </w:r>
                    <w:r>
                      <w:rPr>
                        <w:rFonts w:cs="Georgia"/>
                        <w:bCs/>
                        <w:color w:val="0000FF"/>
                        <w:spacing w:val="1"/>
                        <w:position w:val="-1"/>
                        <w:u w:val="single"/>
                      </w:rPr>
                      <w:t>il</w:t>
                    </w:r>
                    <w:r>
                      <w:rPr>
                        <w:rFonts w:cs="Georgia"/>
                        <w:bCs/>
                        <w:color w:val="0000FF"/>
                        <w:spacing w:val="-2"/>
                        <w:position w:val="-1"/>
                        <w:u w:val="single"/>
                      </w:rPr>
                      <w:t>l</w:t>
                    </w:r>
                    <w:r>
                      <w:rPr>
                        <w:rFonts w:cs="Georgia"/>
                        <w:bCs/>
                        <w:color w:val="0000FF"/>
                        <w:spacing w:val="1"/>
                        <w:position w:val="-1"/>
                        <w:u w:val="single"/>
                      </w:rPr>
                      <w:t>i</w:t>
                    </w:r>
                    <w:r>
                      <w:rPr>
                        <w:rFonts w:cs="Georgia"/>
                        <w:bCs/>
                        <w:color w:val="0000FF"/>
                        <w:position w:val="-1"/>
                        <w:u w:val="single"/>
                      </w:rPr>
                      <w:t>a</w:t>
                    </w:r>
                    <w:r>
                      <w:rPr>
                        <w:rFonts w:cs="Georgia"/>
                        <w:bCs/>
                        <w:color w:val="0000FF"/>
                        <w:spacing w:val="-1"/>
                        <w:position w:val="-1"/>
                        <w:u w:val="single"/>
                      </w:rPr>
                      <w:t>m</w:t>
                    </w:r>
                    <w:r>
                      <w:rPr>
                        <w:rFonts w:cs="Georgia"/>
                        <w:bCs/>
                        <w:color w:val="0000FF"/>
                        <w:position w:val="-1"/>
                        <w:u w:val="single"/>
                      </w:rPr>
                      <w:t>.f</w:t>
                    </w:r>
                    <w:r>
                      <w:rPr>
                        <w:rFonts w:cs="Georgia"/>
                        <w:bCs/>
                        <w:color w:val="0000FF"/>
                        <w:spacing w:val="-1"/>
                        <w:position w:val="-1"/>
                        <w:u w:val="single"/>
                      </w:rPr>
                      <w:t>u</w:t>
                    </w:r>
                    <w:r>
                      <w:rPr>
                        <w:rFonts w:cs="Georgia"/>
                        <w:bCs/>
                        <w:color w:val="0000FF"/>
                        <w:spacing w:val="-2"/>
                        <w:position w:val="-1"/>
                        <w:u w:val="single"/>
                      </w:rPr>
                      <w:t>c</w:t>
                    </w:r>
                    <w:r>
                      <w:rPr>
                        <w:rFonts w:cs="Georgia"/>
                        <w:bCs/>
                        <w:color w:val="0000FF"/>
                        <w:spacing w:val="1"/>
                        <w:position w:val="-1"/>
                        <w:u w:val="single"/>
                      </w:rPr>
                      <w:t>h</w:t>
                    </w:r>
                    <w:r>
                      <w:rPr>
                        <w:rFonts w:cs="Georgia"/>
                        <w:bCs/>
                        <w:color w:val="0000FF"/>
                        <w:position w:val="-1"/>
                        <w:u w:val="single"/>
                      </w:rPr>
                      <w:t>s</w:t>
                    </w:r>
                    <w:r>
                      <w:rPr>
                        <w:rFonts w:cs="Georgia"/>
                        <w:bCs/>
                        <w:color w:val="0000FF"/>
                        <w:spacing w:val="-2"/>
                        <w:position w:val="-1"/>
                        <w:u w:val="single"/>
                      </w:rPr>
                      <w:t>@</w:t>
                    </w:r>
                    <w:r>
                      <w:rPr>
                        <w:rFonts w:cs="Georgia"/>
                        <w:bCs/>
                        <w:color w:val="0000FF"/>
                        <w:position w:val="-1"/>
                        <w:u w:val="single"/>
                      </w:rPr>
                      <w:t>cf</w:t>
                    </w:r>
                    <w:r>
                      <w:rPr>
                        <w:rFonts w:cs="Georgia"/>
                        <w:bCs/>
                        <w:color w:val="0000FF"/>
                        <w:spacing w:val="-1"/>
                        <w:position w:val="-1"/>
                        <w:u w:val="single"/>
                      </w:rPr>
                      <w:t>wb</w:t>
                    </w:r>
                    <w:r>
                      <w:rPr>
                        <w:rFonts w:cs="Georgia"/>
                        <w:bCs/>
                        <w:color w:val="0000FF"/>
                        <w:position w:val="-1"/>
                        <w:u w:val="single"/>
                      </w:rPr>
                      <w:t>.</w:t>
                    </w:r>
                    <w:r>
                      <w:rPr>
                        <w:rFonts w:cs="Georgia"/>
                        <w:bCs/>
                        <w:color w:val="0000FF"/>
                        <w:spacing w:val="-1"/>
                        <w:position w:val="-1"/>
                        <w:u w:val="single"/>
                      </w:rPr>
                      <w:t>b</w:t>
                    </w:r>
                    <w:r>
                      <w:rPr>
                        <w:rFonts w:cs="Georgia"/>
                        <w:bCs/>
                        <w:color w:val="0000FF"/>
                        <w:position w:val="-1"/>
                        <w:u w:val="single"/>
                      </w:rPr>
                      <w:t>e</w:t>
                    </w:r>
                  </w:hyperlink>
                </w:p>
                <w:p>
                  <w:pPr>
                    <w:widowControl w:val="0"/>
                    <w:autoSpaceDE w:val="0"/>
                    <w:autoSpaceDN w:val="0"/>
                    <w:adjustRightInd w:val="0"/>
                    <w:spacing w:before="10" w:line="240" w:lineRule="exact"/>
                    <w:rPr>
                      <w:rFonts w:cs="Georgia"/>
                      <w:color w:val="000000"/>
                    </w:rPr>
                  </w:pPr>
                </w:p>
                <w:p>
                  <w:pPr>
                    <w:widowControl w:val="0"/>
                    <w:autoSpaceDE w:val="0"/>
                    <w:autoSpaceDN w:val="0"/>
                    <w:adjustRightInd w:val="0"/>
                    <w:spacing w:before="38" w:line="250" w:lineRule="exact"/>
                    <w:jc w:val="both"/>
                    <w:rPr>
                      <w:rFonts w:cs="Georgia"/>
                      <w:color w:val="000000"/>
                    </w:rPr>
                  </w:pPr>
                  <w:r>
                    <w:rPr>
                      <w:rFonts w:cs="Georgia"/>
                      <w:color w:val="000000"/>
                      <w:spacing w:val="1"/>
                    </w:rPr>
                    <w:t>L</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o</w:t>
                  </w:r>
                  <w:r>
                    <w:rPr>
                      <w:rFonts w:cs="Georgia"/>
                      <w:color w:val="000000"/>
                      <w:spacing w:val="1"/>
                    </w:rPr>
                    <w:t>ss</w:t>
                  </w:r>
                  <w:r>
                    <w:rPr>
                      <w:rFonts w:cs="Georgia"/>
                      <w:color w:val="000000"/>
                    </w:rPr>
                    <w:t>i</w:t>
                  </w:r>
                  <w:r>
                    <w:rPr>
                      <w:rFonts w:cs="Georgia"/>
                      <w:color w:val="000000"/>
                      <w:spacing w:val="-1"/>
                    </w:rPr>
                    <w:t>e</w:t>
                  </w:r>
                  <w:r>
                    <w:rPr>
                      <w:rFonts w:cs="Georgia"/>
                      <w:color w:val="000000"/>
                    </w:rPr>
                    <w:t>r</w:t>
                  </w:r>
                  <w:r>
                    <w:rPr>
                      <w:rFonts w:cs="Georgia"/>
                      <w:color w:val="000000"/>
                      <w:spacing w:val="1"/>
                    </w:rPr>
                    <w:t xml:space="preserve"> </w:t>
                  </w:r>
                  <w:r>
                    <w:rPr>
                      <w:rFonts w:cs="Georgia"/>
                      <w:color w:val="000000"/>
                    </w:rPr>
                    <w:t>de</w:t>
                  </w:r>
                  <w:r>
                    <w:rPr>
                      <w:rFonts w:cs="Georgia"/>
                      <w:color w:val="000000"/>
                      <w:spacing w:val="2"/>
                    </w:rPr>
                    <w:t xml:space="preserve"> </w:t>
                  </w:r>
                  <w:r>
                    <w:rPr>
                      <w:rFonts w:cs="Georgia"/>
                      <w:color w:val="000000"/>
                    </w:rPr>
                    <w:t>d</w:t>
                  </w:r>
                  <w:r>
                    <w:rPr>
                      <w:rFonts w:cs="Georgia"/>
                      <w:color w:val="000000"/>
                      <w:spacing w:val="-1"/>
                    </w:rPr>
                    <w:t>e</w:t>
                  </w:r>
                  <w:r>
                    <w:rPr>
                      <w:rFonts w:cs="Georgia"/>
                      <w:color w:val="000000"/>
                    </w:rPr>
                    <w:t>m</w:t>
                  </w:r>
                  <w:r>
                    <w:rPr>
                      <w:rFonts w:cs="Georgia"/>
                      <w:color w:val="000000"/>
                      <w:spacing w:val="-1"/>
                    </w:rPr>
                    <w:t>an</w:t>
                  </w:r>
                  <w:r>
                    <w:rPr>
                      <w:rFonts w:cs="Georgia"/>
                      <w:color w:val="000000"/>
                      <w:spacing w:val="-2"/>
                    </w:rPr>
                    <w:t>d</w:t>
                  </w:r>
                  <w:r>
                    <w:rPr>
                      <w:rFonts w:cs="Georgia"/>
                      <w:color w:val="000000"/>
                    </w:rPr>
                    <w:t>e</w:t>
                  </w:r>
                  <w:r>
                    <w:rPr>
                      <w:rFonts w:cs="Georgia"/>
                      <w:color w:val="000000"/>
                      <w:spacing w:val="2"/>
                    </w:rPr>
                    <w:t xml:space="preserve"> </w:t>
                  </w:r>
                  <w:r>
                    <w:rPr>
                      <w:rFonts w:cs="Georgia"/>
                      <w:color w:val="000000"/>
                    </w:rPr>
                    <w:t>de</w:t>
                  </w:r>
                  <w:r>
                    <w:rPr>
                      <w:rFonts w:cs="Georgia"/>
                      <w:color w:val="000000"/>
                      <w:spacing w:val="2"/>
                    </w:rPr>
                    <w:t xml:space="preserve"> </w:t>
                  </w:r>
                  <w:r>
                    <w:rPr>
                      <w:rFonts w:cs="Georgia"/>
                      <w:color w:val="000000"/>
                    </w:rPr>
                    <w:t>di</w:t>
                  </w:r>
                  <w:r>
                    <w:rPr>
                      <w:rFonts w:cs="Georgia"/>
                      <w:color w:val="000000"/>
                      <w:spacing w:val="-2"/>
                    </w:rPr>
                    <w:t>s</w:t>
                  </w:r>
                  <w:r>
                    <w:rPr>
                      <w:rFonts w:cs="Georgia"/>
                      <w:color w:val="000000"/>
                      <w:spacing w:val="1"/>
                    </w:rPr>
                    <w:t>p</w:t>
                  </w:r>
                  <w:r>
                    <w:rPr>
                      <w:rFonts w:cs="Georgia"/>
                      <w:color w:val="000000"/>
                      <w:spacing w:val="-1"/>
                    </w:rPr>
                    <w:t>en</w:t>
                  </w:r>
                  <w:r>
                    <w:rPr>
                      <w:rFonts w:cs="Georgia"/>
                      <w:color w:val="000000"/>
                      <w:spacing w:val="1"/>
                    </w:rPr>
                    <w:t>s</w:t>
                  </w:r>
                  <w:r>
                    <w:rPr>
                      <w:rFonts w:cs="Georgia"/>
                      <w:color w:val="000000"/>
                    </w:rPr>
                    <w:t>e</w:t>
                  </w:r>
                  <w:r>
                    <w:rPr>
                      <w:rFonts w:cs="Georgia"/>
                      <w:color w:val="000000"/>
                      <w:spacing w:val="2"/>
                    </w:rPr>
                    <w:t xml:space="preserve"> </w:t>
                  </w:r>
                  <w:r>
                    <w:rPr>
                      <w:rFonts w:cs="Georgia"/>
                      <w:color w:val="000000"/>
                      <w:spacing w:val="1"/>
                    </w:rPr>
                    <w:t>s</w:t>
                  </w:r>
                  <w:r>
                    <w:rPr>
                      <w:rFonts w:cs="Georgia"/>
                      <w:color w:val="000000"/>
                      <w:spacing w:val="-1"/>
                    </w:rPr>
                    <w:t>e</w:t>
                  </w:r>
                  <w:r>
                    <w:rPr>
                      <w:rFonts w:cs="Georgia"/>
                      <w:color w:val="000000"/>
                      <w:spacing w:val="1"/>
                    </w:rPr>
                    <w:t>r</w:t>
                  </w:r>
                  <w:r>
                    <w:rPr>
                      <w:rFonts w:cs="Georgia"/>
                      <w:color w:val="000000"/>
                    </w:rPr>
                    <w:t>a</w:t>
                  </w:r>
                  <w:r>
                    <w:rPr>
                      <w:rFonts w:cs="Georgia"/>
                      <w:color w:val="000000"/>
                      <w:spacing w:val="2"/>
                    </w:rPr>
                    <w:t xml:space="preserve"> </w:t>
                  </w:r>
                  <w:r>
                    <w:rPr>
                      <w:rFonts w:cs="Georgia"/>
                      <w:color w:val="000000"/>
                      <w:spacing w:val="-1"/>
                    </w:rPr>
                    <w:t>en</w:t>
                  </w:r>
                  <w:r>
                    <w:rPr>
                      <w:rFonts w:cs="Georgia"/>
                      <w:color w:val="000000"/>
                      <w:spacing w:val="1"/>
                    </w:rPr>
                    <w:t>s</w:t>
                  </w:r>
                  <w:r>
                    <w:rPr>
                      <w:rFonts w:cs="Georgia"/>
                      <w:color w:val="000000"/>
                    </w:rPr>
                    <w:t>ui</w:t>
                  </w:r>
                  <w:r>
                    <w:rPr>
                      <w:rFonts w:cs="Georgia"/>
                      <w:color w:val="000000"/>
                      <w:spacing w:val="1"/>
                    </w:rPr>
                    <w:t>t</w:t>
                  </w:r>
                  <w:r>
                    <w:rPr>
                      <w:rFonts w:cs="Georgia"/>
                      <w:color w:val="000000"/>
                    </w:rPr>
                    <w:t>e</w:t>
                  </w:r>
                  <w:r>
                    <w:rPr>
                      <w:rFonts w:cs="Georgia"/>
                      <w:color w:val="000000"/>
                      <w:spacing w:val="2"/>
                    </w:rPr>
                    <w:t xml:space="preserve"> </w:t>
                  </w:r>
                  <w:r>
                    <w:rPr>
                      <w:rFonts w:cs="Georgia"/>
                      <w:color w:val="000000"/>
                      <w:spacing w:val="-2"/>
                    </w:rPr>
                    <w:t>s</w:t>
                  </w:r>
                  <w:r>
                    <w:rPr>
                      <w:rFonts w:cs="Georgia"/>
                      <w:color w:val="000000"/>
                      <w:spacing w:val="1"/>
                    </w:rPr>
                    <w:t>o</w:t>
                  </w:r>
                  <w:r>
                    <w:rPr>
                      <w:rFonts w:cs="Georgia"/>
                      <w:color w:val="000000"/>
                    </w:rPr>
                    <w:t>um</w:t>
                  </w:r>
                  <w:r>
                    <w:rPr>
                      <w:rFonts w:cs="Georgia"/>
                      <w:color w:val="000000"/>
                      <w:spacing w:val="-2"/>
                    </w:rPr>
                    <w:t>i</w:t>
                  </w:r>
                  <w:r>
                    <w:rPr>
                      <w:rFonts w:cs="Georgia"/>
                      <w:color w:val="000000"/>
                    </w:rPr>
                    <w:t>s</w:t>
                  </w:r>
                  <w:r>
                    <w:rPr>
                      <w:rFonts w:cs="Georgia"/>
                      <w:color w:val="000000"/>
                      <w:spacing w:val="1"/>
                    </w:rPr>
                    <w:t xml:space="preserve"> p</w:t>
                  </w:r>
                  <w:r>
                    <w:rPr>
                      <w:rFonts w:cs="Georgia"/>
                      <w:color w:val="000000"/>
                      <w:spacing w:val="-1"/>
                    </w:rPr>
                    <w:t>a</w:t>
                  </w:r>
                  <w:r>
                    <w:rPr>
                      <w:rFonts w:cs="Georgia"/>
                      <w:color w:val="000000"/>
                    </w:rPr>
                    <w:t>r</w:t>
                  </w:r>
                  <w:r>
                    <w:rPr>
                      <w:rFonts w:cs="Georgia"/>
                      <w:color w:val="000000"/>
                      <w:spacing w:val="4"/>
                    </w:rPr>
                    <w:t xml:space="preserve"> </w:t>
                  </w:r>
                  <w:r>
                    <w:rPr>
                      <w:rFonts w:cs="Georgia"/>
                      <w:color w:val="000000"/>
                      <w:spacing w:val="-1"/>
                    </w:rPr>
                    <w:t>l</w:t>
                  </w:r>
                  <w:r>
                    <w:rPr>
                      <w:rFonts w:cs="Georgia"/>
                      <w:color w:val="000000"/>
                    </w:rPr>
                    <w:t>a 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2"/>
                    </w:rPr>
                    <w:t>i</w:t>
                  </w:r>
                  <w:r>
                    <w:rPr>
                      <w:rFonts w:cs="Georgia"/>
                      <w:color w:val="000000"/>
                      <w:spacing w:val="1"/>
                    </w:rPr>
                    <w:t>o</w:t>
                  </w:r>
                  <w:r>
                    <w:rPr>
                      <w:rFonts w:cs="Georgia"/>
                      <w:color w:val="000000"/>
                    </w:rPr>
                    <w:t>n</w:t>
                  </w:r>
                  <w:r>
                    <w:rPr>
                      <w:rFonts w:cs="Georgia"/>
                      <w:color w:val="000000"/>
                      <w:spacing w:val="2"/>
                    </w:rPr>
                    <w:t xml:space="preserve"> </w:t>
                  </w:r>
                  <w:r>
                    <w:rPr>
                      <w:rFonts w:cs="Georgia"/>
                      <w:color w:val="000000"/>
                    </w:rPr>
                    <w:t>g</w:t>
                  </w:r>
                  <w:r>
                    <w:rPr>
                      <w:rFonts w:cs="Georgia"/>
                      <w:color w:val="000000"/>
                      <w:spacing w:val="-1"/>
                    </w:rPr>
                    <w:t>éné</w:t>
                  </w:r>
                  <w:r>
                    <w:rPr>
                      <w:rFonts w:cs="Georgia"/>
                      <w:color w:val="000000"/>
                      <w:spacing w:val="1"/>
                    </w:rPr>
                    <w:t>r</w:t>
                  </w:r>
                  <w:r>
                    <w:rPr>
                      <w:rFonts w:cs="Georgia"/>
                      <w:color w:val="000000"/>
                      <w:spacing w:val="-1"/>
                    </w:rPr>
                    <w:t>al</w:t>
                  </w:r>
                  <w:r>
                    <w:rPr>
                      <w:rFonts w:cs="Georgia"/>
                      <w:color w:val="000000"/>
                    </w:rPr>
                    <w:t>e</w:t>
                  </w:r>
                  <w:r>
                    <w:rPr>
                      <w:rFonts w:cs="Georgia"/>
                      <w:color w:val="000000"/>
                      <w:spacing w:val="2"/>
                    </w:rPr>
                    <w:t xml:space="preserve"> </w:t>
                  </w:r>
                  <w:r>
                    <w:rPr>
                      <w:rFonts w:cs="Georgia"/>
                      <w:color w:val="000000"/>
                    </w:rPr>
                    <w:t xml:space="preserve">de </w:t>
                  </w:r>
                  <w:r>
                    <w:rPr>
                      <w:rFonts w:cs="Georgia"/>
                      <w:color w:val="000000"/>
                      <w:spacing w:val="-1"/>
                    </w:rPr>
                    <w:t>l</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ob</w:t>
                  </w:r>
                  <w:r>
                    <w:rPr>
                      <w:rFonts w:cs="Georgia"/>
                      <w:color w:val="000000"/>
                      <w:spacing w:val="-1"/>
                    </w:rPr>
                    <w:t>l</w:t>
                  </w:r>
                  <w:r>
                    <w:rPr>
                      <w:rFonts w:cs="Georgia"/>
                      <w:color w:val="000000"/>
                    </w:rPr>
                    <w:t>ig</w:t>
                  </w:r>
                  <w:r>
                    <w:rPr>
                      <w:rFonts w:cs="Georgia"/>
                      <w:color w:val="000000"/>
                      <w:spacing w:val="-3"/>
                    </w:rPr>
                    <w:t>a</w:t>
                  </w:r>
                  <w:r>
                    <w:rPr>
                      <w:rFonts w:cs="Georgia"/>
                      <w:color w:val="000000"/>
                      <w:spacing w:val="1"/>
                    </w:rPr>
                    <w:t>to</w:t>
                  </w:r>
                  <w:r>
                    <w:rPr>
                      <w:rFonts w:cs="Georgia"/>
                      <w:color w:val="000000"/>
                      <w:spacing w:val="-2"/>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à</w:t>
                  </w:r>
                  <w:r>
                    <w:rPr>
                      <w:rFonts w:cs="Georgia"/>
                      <w:color w:val="000000"/>
                      <w:spacing w:val="-1"/>
                    </w:rPr>
                    <w:t xml:space="preserve"> l</w:t>
                  </w:r>
                  <w:r>
                    <w:rPr>
                      <w:rFonts w:cs="Georgia"/>
                      <w:color w:val="000000"/>
                    </w:rPr>
                    <w:t>’</w:t>
                  </w:r>
                  <w:r>
                    <w:rPr>
                      <w:rFonts w:cs="Georgia"/>
                      <w:color w:val="000000"/>
                      <w:spacing w:val="-1"/>
                    </w:rPr>
                    <w:t>a</w:t>
                  </w:r>
                  <w:r>
                    <w:rPr>
                      <w:rFonts w:cs="Georgia"/>
                      <w:color w:val="000000"/>
                      <w:spacing w:val="1"/>
                    </w:rPr>
                    <w:t>v</w:t>
                  </w:r>
                  <w:r>
                    <w:rPr>
                      <w:rFonts w:cs="Georgia"/>
                      <w:color w:val="000000"/>
                    </w:rPr>
                    <w:t xml:space="preserve">is du </w:t>
                  </w:r>
                  <w:r>
                    <w:rPr>
                      <w:rFonts w:cs="Georgia"/>
                      <w:color w:val="000000"/>
                      <w:spacing w:val="1"/>
                    </w:rPr>
                    <w:t>s</w:t>
                  </w:r>
                  <w:r>
                    <w:rPr>
                      <w:rFonts w:cs="Georgia"/>
                      <w:color w:val="000000"/>
                      <w:spacing w:val="-1"/>
                    </w:rPr>
                    <w:t>e</w:t>
                  </w:r>
                  <w:r>
                    <w:rPr>
                      <w:rFonts w:cs="Georgia"/>
                      <w:color w:val="000000"/>
                      <w:spacing w:val="-2"/>
                    </w:rPr>
                    <w:t>r</w:t>
                  </w:r>
                  <w:r>
                    <w:rPr>
                      <w:rFonts w:cs="Georgia"/>
                      <w:color w:val="000000"/>
                      <w:spacing w:val="1"/>
                    </w:rPr>
                    <w:t>v</w:t>
                  </w:r>
                  <w:r>
                    <w:rPr>
                      <w:rFonts w:cs="Georgia"/>
                      <w:color w:val="000000"/>
                    </w:rPr>
                    <w:t>i</w:t>
                  </w:r>
                  <w:r>
                    <w:rPr>
                      <w:rFonts w:cs="Georgia"/>
                      <w:color w:val="000000"/>
                      <w:spacing w:val="1"/>
                    </w:rPr>
                    <w:t>c</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spacing w:val="-2"/>
                    </w:rPr>
                    <w:t>’</w:t>
                  </w:r>
                  <w:r>
                    <w:rPr>
                      <w:rFonts w:cs="Georgia"/>
                      <w:color w:val="000000"/>
                    </w:rPr>
                    <w:t>I</w:t>
                  </w:r>
                  <w:r>
                    <w:rPr>
                      <w:rFonts w:cs="Georgia"/>
                      <w:color w:val="000000"/>
                      <w:spacing w:val="-1"/>
                    </w:rPr>
                    <w:t>n</w:t>
                  </w:r>
                  <w:r>
                    <w:rPr>
                      <w:rFonts w:cs="Georgia"/>
                      <w:color w:val="000000"/>
                      <w:spacing w:val="1"/>
                    </w:rPr>
                    <w:t>sp</w:t>
                  </w:r>
                  <w:r>
                    <w:rPr>
                      <w:rFonts w:cs="Georgia"/>
                      <w:color w:val="000000"/>
                      <w:spacing w:val="-1"/>
                    </w:rPr>
                    <w:t>e</w:t>
                  </w:r>
                  <w:r>
                    <w:rPr>
                      <w:rFonts w:cs="Georgia"/>
                      <w:color w:val="000000"/>
                      <w:spacing w:val="-2"/>
                    </w:rPr>
                    <w:t>c</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w:t>
                  </w:r>
                  <w:r>
                    <w:rPr>
                      <w:rFonts w:cs="Georgia"/>
                      <w:color w:val="000000"/>
                      <w:spacing w:val="-3"/>
                    </w:rPr>
                    <w:t>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spacing w:val="-1"/>
                    </w:rPr>
                    <w:t>é.</w:t>
                  </w:r>
                </w:p>
                <w:p>
                  <w:pPr>
                    <w:widowControl w:val="0"/>
                    <w:autoSpaceDE w:val="0"/>
                    <w:autoSpaceDN w:val="0"/>
                    <w:adjustRightInd w:val="0"/>
                    <w:spacing w:line="250" w:lineRule="exact"/>
                    <w:jc w:val="both"/>
                    <w:rPr>
                      <w:rFonts w:cs="Georgia"/>
                      <w:color w:val="000000"/>
                      <w:spacing w:val="-1"/>
                    </w:rPr>
                  </w:pPr>
                  <w:r>
                    <w:rPr>
                      <w:rFonts w:cs="Georgia"/>
                      <w:color w:val="000000"/>
                      <w:spacing w:val="1"/>
                    </w:rPr>
                    <w:t>L</w:t>
                  </w:r>
                  <w:r>
                    <w:rPr>
                      <w:rFonts w:cs="Georgia"/>
                      <w:color w:val="000000"/>
                    </w:rPr>
                    <w:t xml:space="preserve">e </w:t>
                  </w:r>
                  <w:r>
                    <w:rPr>
                      <w:rFonts w:cs="Georgia"/>
                      <w:color w:val="000000"/>
                      <w:spacing w:val="1"/>
                    </w:rPr>
                    <w:t>co</w:t>
                  </w:r>
                  <w:r>
                    <w:rPr>
                      <w:rFonts w:cs="Georgia"/>
                      <w:color w:val="000000"/>
                    </w:rPr>
                    <w:t>m</w:t>
                  </w:r>
                  <w:r>
                    <w:rPr>
                      <w:rFonts w:cs="Georgia"/>
                      <w:color w:val="000000"/>
                      <w:spacing w:val="-2"/>
                    </w:rPr>
                    <w:t>i</w:t>
                  </w:r>
                  <w:r>
                    <w:rPr>
                      <w:rFonts w:cs="Georgia"/>
                      <w:color w:val="000000"/>
                      <w:spacing w:val="1"/>
                    </w:rPr>
                    <w:t>t</w:t>
                  </w:r>
                  <w:r>
                    <w:rPr>
                      <w:rFonts w:cs="Georgia"/>
                      <w:color w:val="000000"/>
                    </w:rPr>
                    <w:t>é d’</w:t>
                  </w:r>
                  <w:r>
                    <w:rPr>
                      <w:rFonts w:cs="Georgia"/>
                      <w:color w:val="000000"/>
                      <w:spacing w:val="-1"/>
                    </w:rPr>
                    <w:t>é</w:t>
                  </w:r>
                  <w:r>
                    <w:rPr>
                      <w:rFonts w:cs="Georgia"/>
                      <w:color w:val="000000"/>
                      <w:spacing w:val="1"/>
                    </w:rPr>
                    <w:t>v</w:t>
                  </w:r>
                  <w:r>
                    <w:rPr>
                      <w:rFonts w:cs="Georgia"/>
                      <w:color w:val="000000"/>
                      <w:spacing w:val="-1"/>
                    </w:rPr>
                    <w:t>al</w:t>
                  </w:r>
                  <w:r>
                    <w:rPr>
                      <w:rFonts w:cs="Georgia"/>
                      <w:color w:val="000000"/>
                    </w:rPr>
                    <w:t>u</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 xml:space="preserve">n </w:t>
                  </w:r>
                  <w:r>
                    <w:rPr>
                      <w:rFonts w:cs="Georgia"/>
                      <w:color w:val="000000"/>
                      <w:spacing w:val="-1"/>
                    </w:rPr>
                    <w:t>e</w:t>
                  </w:r>
                  <w:r>
                    <w:rPr>
                      <w:rFonts w:cs="Georgia"/>
                      <w:color w:val="000000"/>
                      <w:spacing w:val="1"/>
                    </w:rPr>
                    <w:t>s</w:t>
                  </w:r>
                  <w:r>
                    <w:rPr>
                      <w:rFonts w:cs="Georgia"/>
                      <w:color w:val="000000"/>
                    </w:rPr>
                    <w:t>t</w:t>
                  </w:r>
                  <w:r>
                    <w:rPr>
                      <w:rFonts w:cs="Georgia"/>
                      <w:color w:val="000000"/>
                      <w:spacing w:val="1"/>
                    </w:rPr>
                    <w:t xml:space="preserve"> ch</w:t>
                  </w:r>
                  <w:r>
                    <w:rPr>
                      <w:rFonts w:cs="Georgia"/>
                      <w:color w:val="000000"/>
                      <w:spacing w:val="-3"/>
                    </w:rPr>
                    <w:t>a</w:t>
                  </w:r>
                  <w:r>
                    <w:rPr>
                      <w:rFonts w:cs="Georgia"/>
                      <w:color w:val="000000"/>
                      <w:spacing w:val="1"/>
                    </w:rPr>
                    <w:t>r</w:t>
                  </w:r>
                  <w:r>
                    <w:rPr>
                      <w:rFonts w:cs="Georgia"/>
                      <w:color w:val="000000"/>
                    </w:rPr>
                    <w:t>gé de d</w:t>
                  </w:r>
                  <w:r>
                    <w:rPr>
                      <w:rFonts w:cs="Georgia"/>
                      <w:color w:val="000000"/>
                      <w:spacing w:val="1"/>
                    </w:rPr>
                    <w:t>o</w:t>
                  </w:r>
                  <w:r>
                    <w:rPr>
                      <w:rFonts w:cs="Georgia"/>
                      <w:color w:val="000000"/>
                      <w:spacing w:val="-1"/>
                    </w:rPr>
                    <w:t>nne</w:t>
                  </w:r>
                  <w:r>
                    <w:rPr>
                      <w:rFonts w:cs="Georgia"/>
                      <w:color w:val="000000"/>
                    </w:rPr>
                    <w:t>r</w:t>
                  </w:r>
                  <w:r>
                    <w:rPr>
                      <w:rFonts w:cs="Georgia"/>
                      <w:color w:val="000000"/>
                      <w:spacing w:val="1"/>
                    </w:rPr>
                    <w:t xml:space="preserve"> </w:t>
                  </w:r>
                  <w:r>
                    <w:rPr>
                      <w:rFonts w:cs="Georgia"/>
                      <w:color w:val="000000"/>
                    </w:rPr>
                    <w:t xml:space="preserve">un </w:t>
                  </w:r>
                  <w:r>
                    <w:rPr>
                      <w:rFonts w:cs="Georgia"/>
                      <w:color w:val="000000"/>
                      <w:spacing w:val="-1"/>
                    </w:rPr>
                    <w:t>a</w:t>
                  </w:r>
                  <w:r>
                    <w:rPr>
                      <w:rFonts w:cs="Georgia"/>
                      <w:color w:val="000000"/>
                      <w:spacing w:val="1"/>
                    </w:rPr>
                    <w:t>v</w:t>
                  </w:r>
                  <w:r>
                    <w:rPr>
                      <w:rFonts w:cs="Georgia"/>
                      <w:color w:val="000000"/>
                    </w:rPr>
                    <w:t>is</w:t>
                  </w:r>
                  <w:r>
                    <w:rPr>
                      <w:rFonts w:cs="Georgia"/>
                      <w:color w:val="000000"/>
                      <w:spacing w:val="1"/>
                    </w:rPr>
                    <w:t xml:space="preserve"> s</w:t>
                  </w:r>
                  <w:r>
                    <w:rPr>
                      <w:rFonts w:cs="Georgia"/>
                      <w:color w:val="000000"/>
                      <w:spacing w:val="-2"/>
                    </w:rPr>
                    <w:t>u</w:t>
                  </w:r>
                  <w:r>
                    <w:rPr>
                      <w:rFonts w:cs="Georgia"/>
                      <w:color w:val="000000"/>
                    </w:rPr>
                    <w:t>r</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o</w:t>
                  </w:r>
                  <w:r>
                    <w:rPr>
                      <w:rFonts w:cs="Georgia"/>
                      <w:color w:val="000000"/>
                      <w:spacing w:val="1"/>
                    </w:rPr>
                    <w:t>p</w:t>
                  </w:r>
                  <w:r>
                    <w:rPr>
                      <w:rFonts w:cs="Georgia"/>
                      <w:color w:val="000000"/>
                      <w:spacing w:val="-1"/>
                    </w:rPr>
                    <w:t>p</w:t>
                  </w:r>
                  <w:r>
                    <w:rPr>
                      <w:rFonts w:cs="Georgia"/>
                      <w:color w:val="000000"/>
                      <w:spacing w:val="1"/>
                    </w:rPr>
                    <w:t>o</w:t>
                  </w:r>
                  <w:r>
                    <w:rPr>
                      <w:rFonts w:cs="Georgia"/>
                      <w:color w:val="000000"/>
                      <w:spacing w:val="-2"/>
                    </w:rPr>
                    <w:t>r</w:t>
                  </w:r>
                  <w:r>
                    <w:rPr>
                      <w:rFonts w:cs="Georgia"/>
                      <w:color w:val="000000"/>
                      <w:spacing w:val="1"/>
                    </w:rPr>
                    <w:t>t</w:t>
                  </w:r>
                  <w:r>
                    <w:rPr>
                      <w:rFonts w:cs="Georgia"/>
                      <w:color w:val="000000"/>
                    </w:rPr>
                    <w:t>u</w:t>
                  </w:r>
                  <w:r>
                    <w:rPr>
                      <w:rFonts w:cs="Georgia"/>
                      <w:color w:val="000000"/>
                      <w:spacing w:val="-1"/>
                    </w:rPr>
                    <w:t>n</w:t>
                  </w:r>
                  <w:r>
                    <w:rPr>
                      <w:rFonts w:cs="Georgia"/>
                      <w:color w:val="000000"/>
                    </w:rPr>
                    <w:t>i</w:t>
                  </w:r>
                  <w:r>
                    <w:rPr>
                      <w:rFonts w:cs="Georgia"/>
                      <w:color w:val="000000"/>
                      <w:spacing w:val="1"/>
                    </w:rPr>
                    <w:t>t</w:t>
                  </w:r>
                  <w:r>
                    <w:rPr>
                      <w:rFonts w:cs="Georgia"/>
                      <w:color w:val="000000"/>
                    </w:rPr>
                    <w:t xml:space="preserve">é de </w:t>
                  </w:r>
                  <w:r>
                    <w:rPr>
                      <w:rFonts w:cs="Georgia"/>
                      <w:color w:val="000000"/>
                      <w:spacing w:val="-1"/>
                    </w:rPr>
                    <w:t>l</w:t>
                  </w:r>
                  <w:r>
                    <w:rPr>
                      <w:rFonts w:cs="Georgia"/>
                      <w:color w:val="000000"/>
                    </w:rPr>
                    <w:t>a d</w:t>
                  </w:r>
                  <w:r>
                    <w:rPr>
                      <w:rFonts w:cs="Georgia"/>
                      <w:color w:val="000000"/>
                      <w:spacing w:val="-1"/>
                    </w:rPr>
                    <w:t>e</w:t>
                  </w:r>
                  <w:r>
                    <w:rPr>
                      <w:rFonts w:cs="Georgia"/>
                      <w:color w:val="000000"/>
                    </w:rPr>
                    <w:t>m</w:t>
                  </w:r>
                  <w:r>
                    <w:rPr>
                      <w:rFonts w:cs="Georgia"/>
                      <w:color w:val="000000"/>
                      <w:spacing w:val="-1"/>
                    </w:rPr>
                    <w:t>an</w:t>
                  </w:r>
                  <w:r>
                    <w:rPr>
                      <w:rFonts w:cs="Georgia"/>
                      <w:color w:val="000000"/>
                    </w:rPr>
                    <w:t>de de di</w:t>
                  </w:r>
                  <w:r>
                    <w:rPr>
                      <w:rFonts w:cs="Georgia"/>
                      <w:color w:val="000000"/>
                      <w:spacing w:val="1"/>
                    </w:rPr>
                    <w:t>sp</w:t>
                  </w:r>
                  <w:r>
                    <w:rPr>
                      <w:rFonts w:cs="Georgia"/>
                      <w:color w:val="000000"/>
                      <w:spacing w:val="-1"/>
                    </w:rPr>
                    <w:t>en</w:t>
                  </w:r>
                  <w:r>
                    <w:rPr>
                      <w:rFonts w:cs="Georgia"/>
                      <w:color w:val="000000"/>
                      <w:spacing w:val="1"/>
                    </w:rPr>
                    <w:t xml:space="preserve">se </w:t>
                  </w:r>
                  <w:r>
                    <w:rPr>
                      <w:rFonts w:cs="Georgia"/>
                      <w:color w:val="000000"/>
                      <w:spacing w:val="-1"/>
                    </w:rPr>
                    <w:t>a</w:t>
                  </w:r>
                  <w:r>
                    <w:rPr>
                      <w:rFonts w:cs="Georgia"/>
                      <w:color w:val="000000"/>
                    </w:rPr>
                    <w:t>u</w:t>
                  </w:r>
                  <w:r>
                    <w:rPr>
                      <w:rFonts w:cs="Georgia"/>
                      <w:color w:val="000000"/>
                      <w:spacing w:val="2"/>
                    </w:rPr>
                    <w:t xml:space="preserve"> </w:t>
                  </w:r>
                  <w:r>
                    <w:rPr>
                      <w:rFonts w:cs="Georgia"/>
                      <w:color w:val="000000"/>
                      <w:spacing w:val="1"/>
                    </w:rPr>
                    <w:t>p</w:t>
                  </w:r>
                  <w:r>
                    <w:rPr>
                      <w:rFonts w:cs="Georgia"/>
                      <w:color w:val="000000"/>
                      <w:spacing w:val="-1"/>
                    </w:rPr>
                    <w:t>l</w:t>
                  </w:r>
                  <w:r>
                    <w:rPr>
                      <w:rFonts w:cs="Georgia"/>
                      <w:color w:val="000000"/>
                    </w:rPr>
                    <w:t xml:space="preserve">us </w:t>
                  </w:r>
                  <w:r>
                    <w:rPr>
                      <w:rFonts w:cs="Georgia"/>
                      <w:color w:val="000000"/>
                      <w:spacing w:val="1"/>
                    </w:rPr>
                    <w:t>t</w:t>
                  </w:r>
                  <w:r>
                    <w:rPr>
                      <w:rFonts w:cs="Georgia"/>
                      <w:color w:val="000000"/>
                      <w:spacing w:val="-1"/>
                    </w:rPr>
                    <w:t>a</w:t>
                  </w:r>
                  <w:r>
                    <w:rPr>
                      <w:rFonts w:cs="Georgia"/>
                      <w:color w:val="000000"/>
                      <w:spacing w:val="-2"/>
                    </w:rPr>
                    <w:t>r</w:t>
                  </w:r>
                  <w:r>
                    <w:rPr>
                      <w:rFonts w:cs="Georgia"/>
                      <w:color w:val="000000"/>
                    </w:rPr>
                    <w:t>d</w:t>
                  </w:r>
                  <w:r>
                    <w:rPr>
                      <w:rFonts w:cs="Georgia"/>
                      <w:color w:val="000000"/>
                      <w:spacing w:val="2"/>
                    </w:rPr>
                    <w:t xml:space="preserve"> </w:t>
                  </w:r>
                  <w:r>
                    <w:rPr>
                      <w:rFonts w:cs="Georgia"/>
                      <w:color w:val="000000"/>
                      <w:spacing w:val="-1"/>
                    </w:rPr>
                    <w:t>p</w:t>
                  </w:r>
                  <w:r>
                    <w:rPr>
                      <w:rFonts w:cs="Georgia"/>
                      <w:color w:val="000000"/>
                      <w:spacing w:val="1"/>
                    </w:rPr>
                    <w:t>o</w:t>
                  </w:r>
                  <w:r>
                    <w:rPr>
                      <w:rFonts w:cs="Georgia"/>
                      <w:color w:val="000000"/>
                    </w:rPr>
                    <w:t xml:space="preserve">ur </w:t>
                  </w:r>
                  <w:r>
                    <w:rPr>
                      <w:rFonts w:cs="Georgia"/>
                      <w:color w:val="000000"/>
                      <w:spacing w:val="-1"/>
                    </w:rPr>
                    <w:t>l</w:t>
                  </w:r>
                  <w:r>
                    <w:rPr>
                      <w:rFonts w:cs="Georgia"/>
                      <w:color w:val="000000"/>
                    </w:rPr>
                    <w:t xml:space="preserve">e </w:t>
                  </w:r>
                  <w:r>
                    <w:rPr>
                      <w:rFonts w:cs="Georgia"/>
                      <w:color w:val="000000"/>
                      <w:spacing w:val="-1"/>
                    </w:rPr>
                    <w:t>1</w:t>
                  </w:r>
                  <w:r>
                    <w:rPr>
                      <w:rFonts w:cs="Georgia"/>
                      <w:color w:val="000000"/>
                    </w:rPr>
                    <w:t>5</w:t>
                  </w:r>
                  <w:r>
                    <w:rPr>
                      <w:rFonts w:cs="Georgia"/>
                      <w:color w:val="000000"/>
                      <w:spacing w:val="2"/>
                    </w:rPr>
                    <w:t xml:space="preserve"> </w:t>
                  </w:r>
                  <w:r>
                    <w:rPr>
                      <w:rFonts w:cs="Georgia"/>
                      <w:color w:val="000000"/>
                      <w:spacing w:val="1"/>
                    </w:rPr>
                    <w:t>o</w:t>
                  </w:r>
                  <w:r>
                    <w:rPr>
                      <w:rFonts w:cs="Georgia"/>
                      <w:color w:val="000000"/>
                      <w:spacing w:val="-2"/>
                    </w:rPr>
                    <w:t>c</w:t>
                  </w:r>
                  <w:r>
                    <w:rPr>
                      <w:rFonts w:cs="Georgia"/>
                      <w:color w:val="000000"/>
                      <w:spacing w:val="1"/>
                    </w:rPr>
                    <w:t>t</w:t>
                  </w:r>
                  <w:r>
                    <w:rPr>
                      <w:rFonts w:cs="Georgia"/>
                      <w:color w:val="000000"/>
                      <w:spacing w:val="-1"/>
                    </w:rPr>
                    <w:t>o</w:t>
                  </w:r>
                  <w:r>
                    <w:rPr>
                      <w:rFonts w:cs="Georgia"/>
                      <w:color w:val="000000"/>
                      <w:spacing w:val="1"/>
                    </w:rPr>
                    <w:t>br</w:t>
                  </w:r>
                  <w:r>
                    <w:rPr>
                      <w:rFonts w:cs="Georgia"/>
                      <w:color w:val="000000"/>
                    </w:rPr>
                    <w:t xml:space="preserve">e </w:t>
                  </w:r>
                  <w:r>
                    <w:rPr>
                      <w:rFonts w:cs="Georgia"/>
                      <w:color w:val="000000"/>
                      <w:spacing w:val="-1"/>
                    </w:rPr>
                    <w:t>o</w:t>
                  </w:r>
                  <w:r>
                    <w:rPr>
                      <w:rFonts w:cs="Georgia"/>
                      <w:color w:val="000000"/>
                    </w:rPr>
                    <w:t>u d</w:t>
                  </w:r>
                  <w:r>
                    <w:rPr>
                      <w:rFonts w:cs="Georgia"/>
                      <w:color w:val="000000"/>
                      <w:spacing w:val="-1"/>
                    </w:rPr>
                    <w:t>an</w:t>
                  </w:r>
                  <w:r>
                    <w:rPr>
                      <w:rFonts w:cs="Georgia"/>
                      <w:color w:val="000000"/>
                    </w:rPr>
                    <w:t xml:space="preserve">s </w:t>
                  </w:r>
                  <w:r>
                    <w:rPr>
                      <w:rFonts w:cs="Georgia"/>
                      <w:color w:val="000000"/>
                      <w:spacing w:val="-1"/>
                    </w:rPr>
                    <w:t>l</w:t>
                  </w:r>
                  <w:r>
                    <w:rPr>
                      <w:rFonts w:cs="Georgia"/>
                      <w:color w:val="000000"/>
                    </w:rPr>
                    <w:t>e m</w:t>
                  </w:r>
                  <w:r>
                    <w:rPr>
                      <w:rFonts w:cs="Georgia"/>
                      <w:color w:val="000000"/>
                      <w:spacing w:val="1"/>
                    </w:rPr>
                    <w:t>o</w:t>
                  </w:r>
                  <w:r>
                    <w:rPr>
                      <w:rFonts w:cs="Georgia"/>
                      <w:color w:val="000000"/>
                    </w:rPr>
                    <w:t xml:space="preserve">is </w:t>
                  </w:r>
                  <w:r>
                    <w:rPr>
                      <w:rFonts w:cs="Georgia"/>
                      <w:color w:val="000000"/>
                      <w:spacing w:val="-1"/>
                    </w:rPr>
                    <w:t>q</w:t>
                  </w:r>
                  <w:r>
                    <w:rPr>
                      <w:rFonts w:cs="Georgia"/>
                      <w:color w:val="000000"/>
                    </w:rPr>
                    <w:t xml:space="preserve">ui </w:t>
                  </w:r>
                  <w:r>
                    <w:rPr>
                      <w:rFonts w:cs="Georgia"/>
                      <w:color w:val="000000"/>
                      <w:spacing w:val="-2"/>
                    </w:rPr>
                    <w:t>s</w:t>
                  </w:r>
                  <w:r>
                    <w:rPr>
                      <w:rFonts w:cs="Georgia"/>
                      <w:color w:val="000000"/>
                    </w:rPr>
                    <w:t>uit</w:t>
                  </w:r>
                  <w:r>
                    <w:rPr>
                      <w:rFonts w:cs="Georgia"/>
                      <w:color w:val="000000"/>
                      <w:spacing w:val="2"/>
                    </w:rPr>
                    <w:t xml:space="preserve"> </w:t>
                  </w:r>
                  <w:r>
                    <w:rPr>
                      <w:rFonts w:cs="Georgia"/>
                      <w:color w:val="000000"/>
                      <w:spacing w:val="-1"/>
                    </w:rPr>
                    <w:t>l</w:t>
                  </w:r>
                  <w:r>
                    <w:rPr>
                      <w:rFonts w:cs="Georgia"/>
                      <w:color w:val="000000"/>
                    </w:rPr>
                    <w:t>’i</w:t>
                  </w:r>
                  <w:r>
                    <w:rPr>
                      <w:rFonts w:cs="Georgia"/>
                      <w:color w:val="000000"/>
                      <w:spacing w:val="-1"/>
                    </w:rPr>
                    <w:t>n</w:t>
                  </w:r>
                  <w:r>
                    <w:rPr>
                      <w:rFonts w:cs="Georgia"/>
                      <w:color w:val="000000"/>
                      <w:spacing w:val="-2"/>
                    </w:rPr>
                    <w:t>t</w:t>
                  </w:r>
                  <w:r>
                    <w:rPr>
                      <w:rFonts w:cs="Georgia"/>
                      <w:color w:val="000000"/>
                      <w:spacing w:val="1"/>
                    </w:rPr>
                    <w:t>r</w:t>
                  </w:r>
                  <w:r>
                    <w:rPr>
                      <w:rFonts w:cs="Georgia"/>
                      <w:color w:val="000000"/>
                      <w:spacing w:val="-1"/>
                    </w:rPr>
                    <w:t>o</w:t>
                  </w:r>
                  <w:r>
                    <w:rPr>
                      <w:rFonts w:cs="Georgia"/>
                      <w:color w:val="000000"/>
                    </w:rPr>
                    <w:t>d</w:t>
                  </w:r>
                  <w:r>
                    <w:rPr>
                      <w:rFonts w:cs="Georgia"/>
                      <w:color w:val="000000"/>
                      <w:spacing w:val="-2"/>
                    </w:rPr>
                    <w:t>u</w:t>
                  </w:r>
                  <w:r>
                    <w:rPr>
                      <w:rFonts w:cs="Georgia"/>
                      <w:color w:val="000000"/>
                      <w:spacing w:val="1"/>
                    </w:rPr>
                    <w:t>ct</w:t>
                  </w:r>
                  <w:r>
                    <w:rPr>
                      <w:rFonts w:cs="Georgia"/>
                      <w:color w:val="000000"/>
                    </w:rPr>
                    <w:t>i</w:t>
                  </w:r>
                  <w:r>
                    <w:rPr>
                      <w:rFonts w:cs="Georgia"/>
                      <w:color w:val="000000"/>
                      <w:spacing w:val="1"/>
                    </w:rPr>
                    <w:t>o</w:t>
                  </w:r>
                  <w:r>
                    <w:rPr>
                      <w:rFonts w:cs="Georgia"/>
                      <w:color w:val="000000"/>
                    </w:rPr>
                    <w:t xml:space="preserve">n de </w:t>
                  </w:r>
                  <w:r>
                    <w:rPr>
                      <w:rFonts w:cs="Georgia"/>
                      <w:color w:val="000000"/>
                      <w:spacing w:val="-1"/>
                    </w:rPr>
                    <w:t>l</w:t>
                  </w:r>
                  <w:r>
                    <w:rPr>
                      <w:rFonts w:cs="Georgia"/>
                      <w:color w:val="000000"/>
                    </w:rPr>
                    <w:t>a d</w:t>
                  </w:r>
                  <w:r>
                    <w:rPr>
                      <w:rFonts w:cs="Georgia"/>
                      <w:color w:val="000000"/>
                      <w:spacing w:val="-1"/>
                    </w:rPr>
                    <w:t>e</w:t>
                  </w:r>
                  <w:r>
                    <w:rPr>
                      <w:rFonts w:cs="Georgia"/>
                      <w:color w:val="000000"/>
                    </w:rPr>
                    <w:t>m</w:t>
                  </w:r>
                  <w:r>
                    <w:rPr>
                      <w:rFonts w:cs="Georgia"/>
                      <w:color w:val="000000"/>
                      <w:spacing w:val="-1"/>
                    </w:rPr>
                    <w:t>an</w:t>
                  </w:r>
                  <w:r>
                    <w:rPr>
                      <w:rFonts w:cs="Georgia"/>
                      <w:color w:val="000000"/>
                    </w:rPr>
                    <w:t xml:space="preserve">de </w:t>
                  </w:r>
                  <w:r>
                    <w:rPr>
                      <w:rFonts w:cs="Georgia"/>
                      <w:color w:val="000000"/>
                      <w:spacing w:val="1"/>
                    </w:rPr>
                    <w:t>s</w:t>
                  </w:r>
                  <w:r>
                    <w:rPr>
                      <w:rFonts w:cs="Georgia"/>
                      <w:color w:val="000000"/>
                    </w:rPr>
                    <w:t xml:space="preserve">i </w:t>
                  </w:r>
                  <w:r>
                    <w:rPr>
                      <w:rFonts w:cs="Georgia"/>
                      <w:color w:val="000000"/>
                      <w:spacing w:val="-1"/>
                    </w:rPr>
                    <w:t>l</w:t>
                  </w:r>
                  <w:r>
                    <w:rPr>
                      <w:rFonts w:cs="Georgia"/>
                      <w:color w:val="000000"/>
                    </w:rPr>
                    <w:t>’i</w:t>
                  </w:r>
                  <w:r>
                    <w:rPr>
                      <w:rFonts w:cs="Georgia"/>
                      <w:color w:val="000000"/>
                      <w:spacing w:val="-1"/>
                    </w:rPr>
                    <w:t>n</w:t>
                  </w:r>
                  <w:r>
                    <w:rPr>
                      <w:rFonts w:cs="Georgia"/>
                      <w:color w:val="000000"/>
                      <w:spacing w:val="1"/>
                    </w:rPr>
                    <w:t>scr</w:t>
                  </w:r>
                  <w:r>
                    <w:rPr>
                      <w:rFonts w:cs="Georgia"/>
                      <w:color w:val="000000"/>
                      <w:spacing w:val="-2"/>
                    </w:rPr>
                    <w:t>i</w:t>
                  </w:r>
                  <w:r>
                    <w:rPr>
                      <w:rFonts w:cs="Georgia"/>
                      <w:color w:val="000000"/>
                      <w:spacing w:val="1"/>
                    </w:rPr>
                    <w:t>pt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w:t>
                  </w:r>
                  <w:r>
                    <w:rPr>
                      <w:rFonts w:cs="Georgia"/>
                      <w:color w:val="000000"/>
                      <w:spacing w:val="-1"/>
                    </w:rPr>
                    <w:t>élè</w:t>
                  </w:r>
                  <w:r>
                    <w:rPr>
                      <w:rFonts w:cs="Georgia"/>
                      <w:color w:val="000000"/>
                      <w:spacing w:val="1"/>
                    </w:rPr>
                    <w:t>v</w:t>
                  </w:r>
                  <w:r>
                    <w:rPr>
                      <w:rFonts w:cs="Georgia"/>
                      <w:color w:val="000000"/>
                    </w:rPr>
                    <w:t>e</w:t>
                  </w:r>
                  <w:r>
                    <w:rPr>
                      <w:rFonts w:cs="Georgia"/>
                      <w:color w:val="000000"/>
                      <w:spacing w:val="-1"/>
                    </w:rPr>
                    <w:t xml:space="preserve"> </w:t>
                  </w:r>
                  <w:r>
                    <w:rPr>
                      <w:rFonts w:cs="Georgia"/>
                      <w:color w:val="000000"/>
                    </w:rPr>
                    <w:t>a</w:t>
                  </w:r>
                  <w:r>
                    <w:rPr>
                      <w:rFonts w:cs="Georgia"/>
                      <w:color w:val="000000"/>
                      <w:spacing w:val="-1"/>
                    </w:rPr>
                    <w:t xml:space="preserve"> </w:t>
                  </w:r>
                  <w:r>
                    <w:rPr>
                      <w:rFonts w:cs="Georgia"/>
                      <w:color w:val="000000"/>
                      <w:spacing w:val="2"/>
                    </w:rPr>
                    <w:t>l</w:t>
                  </w:r>
                  <w:r>
                    <w:rPr>
                      <w:rFonts w:cs="Georgia"/>
                      <w:color w:val="000000"/>
                    </w:rPr>
                    <w:t>i</w:t>
                  </w:r>
                  <w:r>
                    <w:rPr>
                      <w:rFonts w:cs="Georgia"/>
                      <w:color w:val="000000"/>
                      <w:spacing w:val="-1"/>
                    </w:rPr>
                    <w:t>e</w:t>
                  </w:r>
                  <w:r>
                    <w:rPr>
                      <w:rFonts w:cs="Georgia"/>
                      <w:color w:val="000000"/>
                    </w:rPr>
                    <w:t xml:space="preserve">u </w:t>
                  </w:r>
                  <w:r>
                    <w:rPr>
                      <w:rFonts w:cs="Georgia"/>
                      <w:color w:val="000000"/>
                      <w:spacing w:val="-1"/>
                    </w:rPr>
                    <w:t>e</w:t>
                  </w:r>
                  <w:r>
                    <w:rPr>
                      <w:rFonts w:cs="Georgia"/>
                      <w:color w:val="000000"/>
                    </w:rPr>
                    <w:t>n</w:t>
                  </w:r>
                  <w:r>
                    <w:rPr>
                      <w:rFonts w:cs="Georgia"/>
                      <w:color w:val="000000"/>
                      <w:spacing w:val="-1"/>
                    </w:rPr>
                    <w:t xml:space="preserve"> </w:t>
                  </w:r>
                  <w:r>
                    <w:rPr>
                      <w:rFonts w:cs="Georgia"/>
                      <w:color w:val="000000"/>
                      <w:spacing w:val="1"/>
                    </w:rPr>
                    <w:t>co</w:t>
                  </w:r>
                  <w:r>
                    <w:rPr>
                      <w:rFonts w:cs="Georgia"/>
                      <w:color w:val="000000"/>
                    </w:rPr>
                    <w:t>u</w:t>
                  </w:r>
                  <w:r>
                    <w:rPr>
                      <w:rFonts w:cs="Georgia"/>
                      <w:color w:val="000000"/>
                      <w:spacing w:val="1"/>
                    </w:rPr>
                    <w:t>r</w:t>
                  </w:r>
                  <w:r>
                    <w:rPr>
                      <w:rFonts w:cs="Georgia"/>
                      <w:color w:val="000000"/>
                    </w:rPr>
                    <w:t>s</w:t>
                  </w:r>
                  <w:r>
                    <w:rPr>
                      <w:rFonts w:cs="Georgia"/>
                      <w:color w:val="000000"/>
                      <w:spacing w:val="-2"/>
                    </w:rPr>
                    <w:t xml:space="preserve"> </w:t>
                  </w:r>
                  <w:r>
                    <w:rPr>
                      <w:rFonts w:cs="Georgia"/>
                      <w:color w:val="000000"/>
                    </w:rPr>
                    <w:t>d’</w:t>
                  </w:r>
                  <w:r>
                    <w:rPr>
                      <w:rFonts w:cs="Georgia"/>
                      <w:color w:val="000000"/>
                      <w:spacing w:val="-1"/>
                    </w:rPr>
                    <w:t>année</w:t>
                  </w:r>
                  <w:r>
                    <w:rPr>
                      <w:rFonts w:cs="Georgia"/>
                      <w:color w:val="000000"/>
                    </w:rPr>
                    <w:t>. A d</w:t>
                  </w:r>
                  <w:r>
                    <w:rPr>
                      <w:rFonts w:cs="Georgia"/>
                      <w:color w:val="000000"/>
                      <w:spacing w:val="-1"/>
                    </w:rPr>
                    <w:t>é</w:t>
                  </w:r>
                  <w:r>
                    <w:rPr>
                      <w:rFonts w:cs="Georgia"/>
                      <w:color w:val="000000"/>
                    </w:rPr>
                    <w:t>f</w:t>
                  </w:r>
                  <w:r>
                    <w:rPr>
                      <w:rFonts w:cs="Georgia"/>
                      <w:color w:val="000000"/>
                      <w:spacing w:val="-1"/>
                    </w:rPr>
                    <w:t>a</w:t>
                  </w:r>
                  <w:r>
                    <w:rPr>
                      <w:rFonts w:cs="Georgia"/>
                      <w:color w:val="000000"/>
                    </w:rPr>
                    <w:t xml:space="preserve">ut </w:t>
                  </w:r>
                  <w:r>
                    <w:rPr>
                      <w:rFonts w:cs="Georgia"/>
                      <w:color w:val="000000"/>
                      <w:spacing w:val="-2"/>
                    </w:rPr>
                    <w:t>d</w:t>
                  </w:r>
                  <w:r>
                    <w:rPr>
                      <w:rFonts w:cs="Georgia"/>
                      <w:color w:val="000000"/>
                    </w:rPr>
                    <w:t>’</w:t>
                  </w:r>
                  <w:r>
                    <w:rPr>
                      <w:rFonts w:cs="Georgia"/>
                      <w:color w:val="000000"/>
                      <w:spacing w:val="-1"/>
                    </w:rPr>
                    <w:t>a</w:t>
                  </w:r>
                  <w:r>
                    <w:rPr>
                      <w:rFonts w:cs="Georgia"/>
                      <w:color w:val="000000"/>
                      <w:spacing w:val="1"/>
                    </w:rPr>
                    <w:t>v</w:t>
                  </w:r>
                  <w:r>
                    <w:rPr>
                      <w:rFonts w:cs="Georgia"/>
                      <w:color w:val="000000"/>
                      <w:spacing w:val="-1"/>
                    </w:rPr>
                    <w:t>o</w:t>
                  </w:r>
                  <w:r>
                    <w:rPr>
                      <w:rFonts w:cs="Georgia"/>
                      <w:color w:val="000000"/>
                    </w:rPr>
                    <w:t xml:space="preserve">ir </w:t>
                  </w:r>
                  <w:r>
                    <w:rPr>
                      <w:rFonts w:cs="Georgia"/>
                      <w:color w:val="000000"/>
                      <w:spacing w:val="1"/>
                    </w:rPr>
                    <w:t>r</w:t>
                  </w:r>
                  <w:r>
                    <w:rPr>
                      <w:rFonts w:cs="Georgia"/>
                      <w:color w:val="000000"/>
                      <w:spacing w:val="-1"/>
                    </w:rPr>
                    <w:t>en</w:t>
                  </w:r>
                  <w:r>
                    <w:rPr>
                      <w:rFonts w:cs="Georgia"/>
                      <w:color w:val="000000"/>
                    </w:rPr>
                    <w:t>du</w:t>
                  </w:r>
                  <w:r>
                    <w:rPr>
                      <w:rFonts w:cs="Georgia"/>
                      <w:color w:val="000000"/>
                      <w:spacing w:val="-2"/>
                    </w:rPr>
                    <w:t xml:space="preserve"> u</w:t>
                  </w:r>
                  <w:r>
                    <w:rPr>
                      <w:rFonts w:cs="Georgia"/>
                      <w:color w:val="000000"/>
                    </w:rPr>
                    <w:t>n</w:t>
                  </w:r>
                  <w:r>
                    <w:rPr>
                      <w:rFonts w:cs="Georgia"/>
                      <w:color w:val="000000"/>
                      <w:spacing w:val="-1"/>
                    </w:rPr>
                    <w:t xml:space="preserve"> a</w:t>
                  </w:r>
                  <w:r>
                    <w:rPr>
                      <w:rFonts w:cs="Georgia"/>
                      <w:color w:val="000000"/>
                      <w:spacing w:val="1"/>
                    </w:rPr>
                    <w:t>v</w:t>
                  </w:r>
                  <w:r>
                    <w:rPr>
                      <w:rFonts w:cs="Georgia"/>
                      <w:color w:val="000000"/>
                    </w:rPr>
                    <w:t>is d</w:t>
                  </w:r>
                  <w:r>
                    <w:rPr>
                      <w:rFonts w:cs="Georgia"/>
                      <w:color w:val="000000"/>
                      <w:spacing w:val="-1"/>
                    </w:rPr>
                    <w:t>an</w:t>
                  </w:r>
                  <w:r>
                    <w:rPr>
                      <w:rFonts w:cs="Georgia"/>
                      <w:color w:val="000000"/>
                    </w:rPr>
                    <w:t xml:space="preserve">s </w:t>
                  </w:r>
                  <w:r>
                    <w:rPr>
                      <w:rFonts w:cs="Georgia"/>
                      <w:color w:val="000000"/>
                      <w:spacing w:val="-1"/>
                    </w:rPr>
                    <w:t>l</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éla</w:t>
                  </w:r>
                  <w:r>
                    <w:rPr>
                      <w:rFonts w:cs="Georgia"/>
                      <w:color w:val="000000"/>
                    </w:rPr>
                    <w:t>i im</w:t>
                  </w:r>
                  <w:r>
                    <w:rPr>
                      <w:rFonts w:cs="Georgia"/>
                      <w:color w:val="000000"/>
                      <w:spacing w:val="1"/>
                    </w:rPr>
                    <w:t>p</w:t>
                  </w:r>
                  <w:r>
                    <w:rPr>
                      <w:rFonts w:cs="Georgia"/>
                      <w:color w:val="000000"/>
                      <w:spacing w:val="-3"/>
                    </w:rPr>
                    <w:t>a</w:t>
                  </w:r>
                  <w:r>
                    <w:rPr>
                      <w:rFonts w:cs="Georgia"/>
                      <w:color w:val="000000"/>
                      <w:spacing w:val="1"/>
                    </w:rPr>
                    <w:t>rt</w:t>
                  </w:r>
                  <w:r>
                    <w:rPr>
                      <w:rFonts w:cs="Georgia"/>
                      <w:color w:val="000000"/>
                    </w:rPr>
                    <w:t xml:space="preserve">i, </w:t>
                  </w:r>
                  <w:r>
                    <w:rPr>
                      <w:rFonts w:cs="Georgia"/>
                      <w:color w:val="000000"/>
                      <w:spacing w:val="-1"/>
                    </w:rPr>
                    <w:t>l</w:t>
                  </w:r>
                  <w:r>
                    <w:rPr>
                      <w:rFonts w:cs="Georgia"/>
                      <w:color w:val="000000"/>
                    </w:rPr>
                    <w:t>’</w:t>
                  </w:r>
                  <w:r>
                    <w:rPr>
                      <w:rFonts w:cs="Georgia"/>
                      <w:color w:val="000000"/>
                      <w:spacing w:val="-1"/>
                    </w:rPr>
                    <w:t>a</w:t>
                  </w:r>
                  <w:r>
                    <w:rPr>
                      <w:rFonts w:cs="Georgia"/>
                      <w:color w:val="000000"/>
                      <w:spacing w:val="-2"/>
                    </w:rPr>
                    <w:t>v</w:t>
                  </w:r>
                  <w:r>
                    <w:rPr>
                      <w:rFonts w:cs="Georgia"/>
                      <w:color w:val="000000"/>
                    </w:rPr>
                    <w:t>is de</w:t>
                  </w:r>
                  <w:r>
                    <w:rPr>
                      <w:rFonts w:cs="Georgia"/>
                      <w:color w:val="000000"/>
                      <w:spacing w:val="-1"/>
                    </w:rPr>
                    <w:t xml:space="preserve"> l</w:t>
                  </w:r>
                  <w:r>
                    <w:rPr>
                      <w:rFonts w:cs="Georgia"/>
                      <w:color w:val="000000"/>
                    </w:rPr>
                    <w:t>’I</w:t>
                  </w:r>
                  <w:r>
                    <w:rPr>
                      <w:rFonts w:cs="Georgia"/>
                      <w:color w:val="000000"/>
                      <w:spacing w:val="-1"/>
                    </w:rPr>
                    <w:t>n</w:t>
                  </w:r>
                  <w:r>
                    <w:rPr>
                      <w:rFonts w:cs="Georgia"/>
                      <w:color w:val="000000"/>
                      <w:spacing w:val="-2"/>
                    </w:rPr>
                    <w:t>s</w:t>
                  </w:r>
                  <w:r>
                    <w:rPr>
                      <w:rFonts w:cs="Georgia"/>
                      <w:color w:val="000000"/>
                      <w:spacing w:val="1"/>
                    </w:rPr>
                    <w:t>p</w:t>
                  </w:r>
                  <w:r>
                    <w:rPr>
                      <w:rFonts w:cs="Georgia"/>
                      <w:color w:val="000000"/>
                      <w:spacing w:val="-1"/>
                    </w:rPr>
                    <w:t>e</w:t>
                  </w:r>
                  <w:r>
                    <w:rPr>
                      <w:rFonts w:cs="Georgia"/>
                      <w:color w:val="000000"/>
                      <w:spacing w:val="1"/>
                    </w:rPr>
                    <w:t>ct</w:t>
                  </w:r>
                  <w:r>
                    <w:rPr>
                      <w:rFonts w:cs="Georgia"/>
                      <w:color w:val="000000"/>
                      <w:spacing w:val="-2"/>
                    </w:rPr>
                    <w:t>i</w:t>
                  </w:r>
                  <w:r>
                    <w:rPr>
                      <w:rFonts w:cs="Georgia"/>
                      <w:color w:val="000000"/>
                      <w:spacing w:val="1"/>
                    </w:rPr>
                    <w:t>o</w:t>
                  </w:r>
                  <w:r>
                    <w:rPr>
                      <w:rFonts w:cs="Georgia"/>
                      <w:color w:val="000000"/>
                    </w:rPr>
                    <w:t>n</w:t>
                  </w:r>
                  <w:r>
                    <w:rPr>
                      <w:rFonts w:cs="Georgia"/>
                      <w:color w:val="000000"/>
                      <w:spacing w:val="-4"/>
                    </w:rPr>
                    <w:t xml:space="preserve"> </w:t>
                  </w:r>
                  <w:r>
                    <w:rPr>
                      <w:rFonts w:cs="Georgia"/>
                      <w:color w:val="000000"/>
                      <w:spacing w:val="-1"/>
                    </w:rPr>
                    <w:t>e</w:t>
                  </w:r>
                  <w:r>
                    <w:rPr>
                      <w:rFonts w:cs="Georgia"/>
                      <w:color w:val="000000"/>
                      <w:spacing w:val="1"/>
                    </w:rPr>
                    <w:t>s</w:t>
                  </w:r>
                  <w:r>
                    <w:rPr>
                      <w:rFonts w:cs="Georgia"/>
                      <w:color w:val="000000"/>
                    </w:rPr>
                    <w:t xml:space="preserve">t </w:t>
                  </w:r>
                  <w:r>
                    <w:rPr>
                      <w:rFonts w:cs="Georgia"/>
                      <w:color w:val="000000"/>
                      <w:spacing w:val="1"/>
                    </w:rPr>
                    <w:t>r</w:t>
                  </w:r>
                  <w:r>
                    <w:rPr>
                      <w:rFonts w:cs="Georgia"/>
                      <w:color w:val="000000"/>
                      <w:spacing w:val="-1"/>
                    </w:rPr>
                    <w:t>é</w:t>
                  </w:r>
                  <w:r>
                    <w:rPr>
                      <w:rFonts w:cs="Georgia"/>
                      <w:color w:val="000000"/>
                      <w:spacing w:val="1"/>
                    </w:rPr>
                    <w:t>p</w:t>
                  </w:r>
                  <w:r>
                    <w:rPr>
                      <w:rFonts w:cs="Georgia"/>
                      <w:color w:val="000000"/>
                      <w:spacing w:val="-2"/>
                    </w:rPr>
                    <w:t>u</w:t>
                  </w:r>
                  <w:r>
                    <w:rPr>
                      <w:rFonts w:cs="Georgia"/>
                      <w:color w:val="000000"/>
                      <w:spacing w:val="1"/>
                    </w:rPr>
                    <w:t>t</w:t>
                  </w:r>
                  <w:r>
                    <w:rPr>
                      <w:rFonts w:cs="Georgia"/>
                      <w:color w:val="000000"/>
                    </w:rPr>
                    <w:t>é</w:t>
                  </w:r>
                  <w:r>
                    <w:rPr>
                      <w:rFonts w:cs="Georgia"/>
                      <w:color w:val="000000"/>
                      <w:spacing w:val="-1"/>
                    </w:rPr>
                    <w:t xml:space="preserve"> </w:t>
                  </w:r>
                  <w:r>
                    <w:rPr>
                      <w:rFonts w:cs="Georgia"/>
                      <w:color w:val="000000"/>
                    </w:rPr>
                    <w:t>f</w:t>
                  </w:r>
                  <w:r>
                    <w:rPr>
                      <w:rFonts w:cs="Georgia"/>
                      <w:color w:val="000000"/>
                      <w:spacing w:val="-1"/>
                    </w:rPr>
                    <w:t>a</w:t>
                  </w:r>
                  <w:r>
                    <w:rPr>
                      <w:rFonts w:cs="Georgia"/>
                      <w:color w:val="000000"/>
                      <w:spacing w:val="1"/>
                    </w:rPr>
                    <w:t>v</w:t>
                  </w:r>
                  <w:r>
                    <w:rPr>
                      <w:rFonts w:cs="Georgia"/>
                      <w:color w:val="000000"/>
                      <w:spacing w:val="-1"/>
                    </w:rPr>
                    <w:t>o</w:t>
                  </w:r>
                  <w:r>
                    <w:rPr>
                      <w:rFonts w:cs="Georgia"/>
                      <w:color w:val="000000"/>
                      <w:spacing w:val="1"/>
                    </w:rPr>
                    <w:t>r</w:t>
                  </w:r>
                  <w:r>
                    <w:rPr>
                      <w:rFonts w:cs="Georgia"/>
                      <w:color w:val="000000"/>
                      <w:spacing w:val="-1"/>
                    </w:rPr>
                    <w:t>a</w:t>
                  </w:r>
                  <w:r>
                    <w:rPr>
                      <w:rFonts w:cs="Georgia"/>
                      <w:color w:val="000000"/>
                      <w:spacing w:val="1"/>
                    </w:rPr>
                    <w:t>b</w:t>
                  </w:r>
                  <w:r>
                    <w:rPr>
                      <w:rFonts w:cs="Georgia"/>
                      <w:color w:val="000000"/>
                      <w:spacing w:val="-1"/>
                    </w:rPr>
                    <w:t>le</w:t>
                  </w:r>
                  <w:r>
                    <w:rPr>
                      <w:rFonts w:cs="Georgia"/>
                      <w:color w:val="000000"/>
                    </w:rPr>
                    <w:t xml:space="preserve">. </w:t>
                  </w:r>
                  <w:r>
                    <w:rPr>
                      <w:rFonts w:cs="Georgia"/>
                      <w:color w:val="000000"/>
                      <w:spacing w:val="1"/>
                    </w:rPr>
                    <w:t>L</w:t>
                  </w:r>
                  <w:r>
                    <w:rPr>
                      <w:rFonts w:cs="Georgia"/>
                      <w:color w:val="000000"/>
                    </w:rPr>
                    <w:t>a</w:t>
                  </w:r>
                  <w:r>
                    <w:rPr>
                      <w:rFonts w:cs="Georgia"/>
                      <w:color w:val="000000"/>
                      <w:spacing w:val="-1"/>
                    </w:rPr>
                    <w:t xml:space="preserve"> </w:t>
                  </w:r>
                  <w:r>
                    <w:rPr>
                      <w:rFonts w:cs="Georgia"/>
                      <w:color w:val="000000"/>
                    </w:rPr>
                    <w:t>Di</w:t>
                  </w:r>
                  <w:r>
                    <w:rPr>
                      <w:rFonts w:cs="Georgia"/>
                      <w:color w:val="000000"/>
                      <w:spacing w:val="1"/>
                    </w:rPr>
                    <w:t>r</w:t>
                  </w:r>
                  <w:r>
                    <w:rPr>
                      <w:rFonts w:cs="Georgia"/>
                      <w:color w:val="000000"/>
                      <w:spacing w:val="-1"/>
                    </w:rPr>
                    <w:t>e</w:t>
                  </w:r>
                  <w:r>
                    <w:rPr>
                      <w:rFonts w:cs="Georgia"/>
                      <w:color w:val="000000"/>
                      <w:spacing w:val="-2"/>
                    </w:rPr>
                    <w:t>c</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g</w:t>
                  </w:r>
                  <w:r>
                    <w:rPr>
                      <w:rFonts w:cs="Georgia"/>
                      <w:color w:val="000000"/>
                      <w:spacing w:val="-1"/>
                    </w:rPr>
                    <w:t>éné</w:t>
                  </w:r>
                  <w:r>
                    <w:rPr>
                      <w:rFonts w:cs="Georgia"/>
                      <w:color w:val="000000"/>
                      <w:spacing w:val="1"/>
                    </w:rPr>
                    <w:t>r</w:t>
                  </w:r>
                  <w:r>
                    <w:rPr>
                      <w:rFonts w:cs="Georgia"/>
                      <w:color w:val="000000"/>
                      <w:spacing w:val="-1"/>
                    </w:rPr>
                    <w:t>al</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ob</w:t>
                  </w:r>
                  <w:r>
                    <w:rPr>
                      <w:rFonts w:cs="Georgia"/>
                      <w:color w:val="000000"/>
                      <w:spacing w:val="-1"/>
                    </w:rPr>
                    <w:t>l</w:t>
                  </w:r>
                  <w:r>
                    <w:rPr>
                      <w:rFonts w:cs="Georgia"/>
                      <w:color w:val="000000"/>
                    </w:rPr>
                    <w:t>ig</w:t>
                  </w:r>
                  <w:r>
                    <w:rPr>
                      <w:rFonts w:cs="Georgia"/>
                      <w:color w:val="000000"/>
                      <w:spacing w:val="-3"/>
                    </w:rPr>
                    <w:t>a</w:t>
                  </w:r>
                  <w:r>
                    <w:rPr>
                      <w:rFonts w:cs="Georgia"/>
                      <w:color w:val="000000"/>
                      <w:spacing w:val="1"/>
                    </w:rPr>
                    <w:t>to</w:t>
                  </w:r>
                  <w:r>
                    <w:rPr>
                      <w:rFonts w:cs="Georgia"/>
                      <w:color w:val="000000"/>
                      <w:spacing w:val="-2"/>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1"/>
                    </w:rPr>
                    <w:t>st</w:t>
                  </w:r>
                  <w:r>
                    <w:rPr>
                      <w:rFonts w:cs="Georgia"/>
                      <w:color w:val="000000"/>
                      <w:spacing w:val="-1"/>
                    </w:rPr>
                    <w:t>a</w:t>
                  </w:r>
                  <w:r>
                    <w:rPr>
                      <w:rFonts w:cs="Georgia"/>
                      <w:color w:val="000000"/>
                      <w:spacing w:val="1"/>
                    </w:rPr>
                    <w:t>t</w:t>
                  </w:r>
                  <w:r>
                    <w:rPr>
                      <w:rFonts w:cs="Georgia"/>
                      <w:color w:val="000000"/>
                    </w:rPr>
                    <w:t>ue</w:t>
                  </w:r>
                  <w:r>
                    <w:rPr>
                      <w:rFonts w:cs="Georgia"/>
                      <w:color w:val="000000"/>
                      <w:spacing w:val="-1"/>
                    </w:rPr>
                    <w:t xml:space="preserve"> </w:t>
                  </w:r>
                  <w:r>
                    <w:rPr>
                      <w:rFonts w:cs="Georgia"/>
                      <w:color w:val="000000"/>
                      <w:spacing w:val="1"/>
                    </w:rPr>
                    <w:t>s</w:t>
                  </w:r>
                  <w:r>
                    <w:rPr>
                      <w:rFonts w:cs="Georgia"/>
                      <w:color w:val="000000"/>
                      <w:spacing w:val="-2"/>
                    </w:rPr>
                    <w:t>u</w:t>
                  </w:r>
                  <w:r>
                    <w:rPr>
                      <w:rFonts w:cs="Georgia"/>
                      <w:color w:val="000000"/>
                    </w:rPr>
                    <w:t xml:space="preserve">r </w:t>
                  </w:r>
                  <w:r>
                    <w:rPr>
                      <w:rFonts w:cs="Georgia"/>
                      <w:color w:val="000000"/>
                      <w:spacing w:val="-1"/>
                    </w:rPr>
                    <w:t>le</w:t>
                  </w:r>
                  <w:r>
                    <w:rPr>
                      <w:rFonts w:cs="Georgia"/>
                      <w:color w:val="000000"/>
                    </w:rPr>
                    <w:t>s d</w:t>
                  </w:r>
                  <w:r>
                    <w:rPr>
                      <w:rFonts w:cs="Georgia"/>
                      <w:color w:val="000000"/>
                      <w:spacing w:val="-1"/>
                    </w:rPr>
                    <w:t>e</w:t>
                  </w:r>
                  <w:r>
                    <w:rPr>
                      <w:rFonts w:cs="Georgia"/>
                      <w:color w:val="000000"/>
                    </w:rPr>
                    <w:t>m</w:t>
                  </w:r>
                  <w:r>
                    <w:rPr>
                      <w:rFonts w:cs="Georgia"/>
                      <w:color w:val="000000"/>
                      <w:spacing w:val="-1"/>
                    </w:rPr>
                    <w:t>an</w:t>
                  </w:r>
                  <w:r>
                    <w:rPr>
                      <w:rFonts w:cs="Georgia"/>
                      <w:color w:val="000000"/>
                      <w:spacing w:val="-2"/>
                    </w:rPr>
                    <w:t>d</w:t>
                  </w:r>
                  <w:r>
                    <w:rPr>
                      <w:rFonts w:cs="Georgia"/>
                      <w:color w:val="000000"/>
                      <w:spacing w:val="-1"/>
                    </w:rPr>
                    <w:t>e</w:t>
                  </w:r>
                  <w:r>
                    <w:rPr>
                      <w:rFonts w:cs="Georgia"/>
                      <w:color w:val="000000"/>
                    </w:rPr>
                    <w:t>s de</w:t>
                  </w:r>
                  <w:r>
                    <w:rPr>
                      <w:rFonts w:cs="Georgia"/>
                      <w:color w:val="000000"/>
                      <w:spacing w:val="-1"/>
                    </w:rPr>
                    <w:t xml:space="preserve"> </w:t>
                  </w:r>
                  <w:r>
                    <w:rPr>
                      <w:rFonts w:cs="Georgia"/>
                      <w:color w:val="000000"/>
                    </w:rPr>
                    <w:t>di</w:t>
                  </w:r>
                  <w:r>
                    <w:rPr>
                      <w:rFonts w:cs="Georgia"/>
                      <w:color w:val="000000"/>
                      <w:spacing w:val="1"/>
                    </w:rPr>
                    <w:t>sp</w:t>
                  </w:r>
                  <w:r>
                    <w:rPr>
                      <w:rFonts w:cs="Georgia"/>
                      <w:color w:val="000000"/>
                      <w:spacing w:val="-1"/>
                    </w:rPr>
                    <w:t>en</w:t>
                  </w:r>
                  <w:r>
                    <w:rPr>
                      <w:rFonts w:cs="Georgia"/>
                      <w:color w:val="000000"/>
                      <w:spacing w:val="1"/>
                    </w:rPr>
                    <w:t>s</w:t>
                  </w:r>
                  <w:r>
                    <w:rPr>
                      <w:rFonts w:cs="Georgia"/>
                      <w:color w:val="000000"/>
                      <w:spacing w:val="-1"/>
                    </w:rPr>
                    <w:t>e.</w:t>
                  </w:r>
                </w:p>
                <w:p>
                  <w:pPr>
                    <w:widowControl w:val="0"/>
                    <w:autoSpaceDE w:val="0"/>
                    <w:autoSpaceDN w:val="0"/>
                    <w:adjustRightInd w:val="0"/>
                    <w:spacing w:line="250" w:lineRule="exact"/>
                    <w:jc w:val="both"/>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spacing w:val="1"/>
                    </w:rPr>
                    <w:t>L</w:t>
                  </w:r>
                  <w:r>
                    <w:rPr>
                      <w:rFonts w:cs="Georgia"/>
                      <w:color w:val="000000"/>
                    </w:rPr>
                    <w:t>a</w:t>
                  </w:r>
                  <w:r>
                    <w:rPr>
                      <w:rFonts w:cs="Georgia"/>
                      <w:color w:val="000000"/>
                      <w:spacing w:val="2"/>
                    </w:rPr>
                    <w:t xml:space="preserve"> </w:t>
                  </w:r>
                  <w:r>
                    <w:rPr>
                      <w:rFonts w:cs="Georgia"/>
                      <w:color w:val="000000"/>
                    </w:rPr>
                    <w:t>d</w:t>
                  </w:r>
                  <w:r>
                    <w:rPr>
                      <w:rFonts w:cs="Georgia"/>
                      <w:color w:val="000000"/>
                      <w:spacing w:val="-2"/>
                    </w:rPr>
                    <w:t>i</w:t>
                  </w:r>
                  <w:r>
                    <w:rPr>
                      <w:rFonts w:cs="Georgia"/>
                      <w:color w:val="000000"/>
                      <w:spacing w:val="1"/>
                    </w:rPr>
                    <w:t>sp</w:t>
                  </w:r>
                  <w:r>
                    <w:rPr>
                      <w:rFonts w:cs="Georgia"/>
                      <w:color w:val="000000"/>
                      <w:spacing w:val="-1"/>
                    </w:rPr>
                    <w:t>en</w:t>
                  </w:r>
                  <w:r>
                    <w:rPr>
                      <w:rFonts w:cs="Georgia"/>
                      <w:color w:val="000000"/>
                      <w:spacing w:val="1"/>
                    </w:rPr>
                    <w:t>s</w:t>
                  </w:r>
                  <w:r>
                    <w:rPr>
                      <w:rFonts w:cs="Georgia"/>
                      <w:color w:val="000000"/>
                    </w:rPr>
                    <w:t>e</w:t>
                  </w:r>
                  <w:r>
                    <w:rPr>
                      <w:rFonts w:cs="Georgia"/>
                      <w:color w:val="000000"/>
                      <w:spacing w:val="2"/>
                    </w:rPr>
                    <w:t xml:space="preserve"> </w:t>
                  </w:r>
                  <w:r>
                    <w:rPr>
                      <w:rFonts w:cs="Georgia"/>
                      <w:color w:val="000000"/>
                      <w:spacing w:val="-1"/>
                    </w:rPr>
                    <w:t>e</w:t>
                  </w:r>
                  <w:r>
                    <w:rPr>
                      <w:rFonts w:cs="Georgia"/>
                      <w:color w:val="000000"/>
                      <w:spacing w:val="-2"/>
                    </w:rPr>
                    <w:t>s</w:t>
                  </w:r>
                  <w:r>
                    <w:rPr>
                      <w:rFonts w:cs="Georgia"/>
                      <w:color w:val="000000"/>
                    </w:rPr>
                    <w:t>t</w:t>
                  </w:r>
                  <w:r>
                    <w:rPr>
                      <w:rFonts w:cs="Georgia"/>
                      <w:color w:val="000000"/>
                      <w:spacing w:val="4"/>
                    </w:rPr>
                    <w:t xml:space="preserve"> </w:t>
                  </w:r>
                  <w:r>
                    <w:rPr>
                      <w:rFonts w:cs="Georgia"/>
                      <w:color w:val="000000"/>
                      <w:spacing w:val="-1"/>
                    </w:rPr>
                    <w:t>a</w:t>
                  </w:r>
                  <w:r>
                    <w:rPr>
                      <w:rFonts w:cs="Georgia"/>
                      <w:color w:val="000000"/>
                      <w:spacing w:val="1"/>
                    </w:rPr>
                    <w:t>c</w:t>
                  </w:r>
                  <w:r>
                    <w:rPr>
                      <w:rFonts w:cs="Georgia"/>
                      <w:color w:val="000000"/>
                      <w:spacing w:val="-1"/>
                    </w:rPr>
                    <w:t>q</w:t>
                  </w:r>
                  <w:r>
                    <w:rPr>
                      <w:rFonts w:cs="Georgia"/>
                      <w:color w:val="000000"/>
                    </w:rPr>
                    <w:t>u</w:t>
                  </w:r>
                  <w:r>
                    <w:rPr>
                      <w:rFonts w:cs="Georgia"/>
                      <w:color w:val="000000"/>
                      <w:spacing w:val="-2"/>
                    </w:rPr>
                    <w:t>i</w:t>
                  </w:r>
                  <w:r>
                    <w:rPr>
                      <w:rFonts w:cs="Georgia"/>
                      <w:color w:val="000000"/>
                      <w:spacing w:val="1"/>
                    </w:rPr>
                    <w:t>s</w:t>
                  </w:r>
                  <w:r>
                    <w:rPr>
                      <w:rFonts w:cs="Georgia"/>
                      <w:color w:val="000000"/>
                    </w:rPr>
                    <w:t xml:space="preserve">e </w:t>
                  </w:r>
                  <w:r>
                    <w:rPr>
                      <w:rFonts w:cs="Georgia"/>
                      <w:color w:val="000000"/>
                      <w:spacing w:val="1"/>
                    </w:rPr>
                    <w:t>po</w:t>
                  </w:r>
                  <w:r>
                    <w:rPr>
                      <w:rFonts w:cs="Georgia"/>
                      <w:color w:val="000000"/>
                      <w:spacing w:val="-2"/>
                    </w:rPr>
                    <w:t>u</w:t>
                  </w:r>
                  <w:r>
                    <w:rPr>
                      <w:rFonts w:cs="Georgia"/>
                      <w:color w:val="000000"/>
                    </w:rPr>
                    <w:t>r</w:t>
                  </w:r>
                  <w:r>
                    <w:rPr>
                      <w:rFonts w:cs="Georgia"/>
                      <w:color w:val="000000"/>
                      <w:spacing w:val="4"/>
                    </w:rPr>
                    <w:t xml:space="preserve"> </w:t>
                  </w:r>
                  <w:r>
                    <w:rPr>
                      <w:rFonts w:cs="Georgia"/>
                      <w:color w:val="000000"/>
                      <w:spacing w:val="-1"/>
                    </w:rPr>
                    <w:t>le</w:t>
                  </w:r>
                  <w:r>
                    <w:rPr>
                      <w:rFonts w:cs="Georgia"/>
                      <w:color w:val="000000"/>
                    </w:rPr>
                    <w:t>s</w:t>
                  </w:r>
                  <w:r>
                    <w:rPr>
                      <w:rFonts w:cs="Georgia"/>
                      <w:color w:val="000000"/>
                      <w:spacing w:val="4"/>
                    </w:rPr>
                    <w:t xml:space="preserve"> </w:t>
                  </w:r>
                  <w:r>
                    <w:rPr>
                      <w:rFonts w:cs="Georgia"/>
                      <w:color w:val="000000"/>
                      <w:spacing w:val="-1"/>
                    </w:rPr>
                    <w:t>année</w:t>
                  </w:r>
                  <w:r>
                    <w:rPr>
                      <w:rFonts w:cs="Georgia"/>
                      <w:color w:val="000000"/>
                    </w:rPr>
                    <w:t>s</w:t>
                  </w:r>
                  <w:r>
                    <w:rPr>
                      <w:rFonts w:cs="Georgia"/>
                      <w:color w:val="000000"/>
                      <w:spacing w:val="4"/>
                    </w:rPr>
                    <w:t xml:space="preserve"> </w:t>
                  </w:r>
                  <w:r>
                    <w:rPr>
                      <w:rFonts w:cs="Georgia"/>
                      <w:color w:val="000000"/>
                      <w:spacing w:val="-2"/>
                    </w:rPr>
                    <w:t>s</w:t>
                  </w:r>
                  <w:r>
                    <w:rPr>
                      <w:rFonts w:cs="Georgia"/>
                      <w:color w:val="000000"/>
                    </w:rPr>
                    <w:t>ui</w:t>
                  </w:r>
                  <w:r>
                    <w:rPr>
                      <w:rFonts w:cs="Georgia"/>
                      <w:color w:val="000000"/>
                      <w:spacing w:val="1"/>
                    </w:rPr>
                    <w:t>v</w:t>
                  </w:r>
                  <w:r>
                    <w:rPr>
                      <w:rFonts w:cs="Georgia"/>
                      <w:color w:val="000000"/>
                      <w:spacing w:val="-1"/>
                    </w:rPr>
                    <w:t>an</w:t>
                  </w:r>
                  <w:r>
                    <w:rPr>
                      <w:rFonts w:cs="Georgia"/>
                      <w:color w:val="000000"/>
                      <w:spacing w:val="-2"/>
                    </w:rPr>
                    <w:t>t</w:t>
                  </w:r>
                  <w:r>
                    <w:rPr>
                      <w:rFonts w:cs="Georgia"/>
                      <w:color w:val="000000"/>
                      <w:spacing w:val="-1"/>
                    </w:rPr>
                    <w:t>e</w:t>
                  </w:r>
                  <w:r>
                    <w:rPr>
                      <w:rFonts w:cs="Georgia"/>
                      <w:color w:val="000000"/>
                    </w:rPr>
                    <w:t>s</w:t>
                  </w:r>
                  <w:r>
                    <w:rPr>
                      <w:rFonts w:cs="Georgia"/>
                      <w:color w:val="000000"/>
                      <w:spacing w:val="4"/>
                    </w:rPr>
                    <w:t xml:space="preserve"> </w:t>
                  </w:r>
                  <w:r>
                    <w:rPr>
                      <w:rFonts w:cs="Georgia"/>
                      <w:color w:val="000000"/>
                      <w:spacing w:val="1"/>
                    </w:rPr>
                    <w:t>s</w:t>
                  </w:r>
                  <w:r>
                    <w:rPr>
                      <w:rFonts w:cs="Georgia"/>
                      <w:color w:val="000000"/>
                      <w:spacing w:val="-1"/>
                    </w:rPr>
                    <w:t>a</w:t>
                  </w:r>
                  <w:r>
                    <w:rPr>
                      <w:rFonts w:cs="Georgia"/>
                      <w:color w:val="000000"/>
                    </w:rPr>
                    <w:t>uf</w:t>
                  </w:r>
                  <w:r>
                    <w:rPr>
                      <w:rFonts w:cs="Georgia"/>
                      <w:color w:val="000000"/>
                      <w:spacing w:val="3"/>
                    </w:rPr>
                    <w:t xml:space="preserve"> </w:t>
                  </w:r>
                  <w:r>
                    <w:rPr>
                      <w:rFonts w:cs="Georgia"/>
                      <w:color w:val="000000"/>
                      <w:spacing w:val="-3"/>
                    </w:rPr>
                    <w:t>a</w:t>
                  </w:r>
                  <w:r>
                    <w:rPr>
                      <w:rFonts w:cs="Georgia"/>
                      <w:color w:val="000000"/>
                      <w:spacing w:val="1"/>
                    </w:rPr>
                    <w:t>v</w:t>
                  </w:r>
                  <w:r>
                    <w:rPr>
                      <w:rFonts w:cs="Georgia"/>
                      <w:color w:val="000000"/>
                    </w:rPr>
                    <w:t>is</w:t>
                  </w:r>
                  <w:r>
                    <w:rPr>
                      <w:rFonts w:cs="Georgia"/>
                      <w:color w:val="000000"/>
                      <w:spacing w:val="1"/>
                    </w:rPr>
                    <w:t xml:space="preserve"> co</w:t>
                  </w:r>
                  <w:r>
                    <w:rPr>
                      <w:rFonts w:cs="Georgia"/>
                      <w:color w:val="000000"/>
                      <w:spacing w:val="-3"/>
                    </w:rPr>
                    <w:t>n</w:t>
                  </w:r>
                  <w:r>
                    <w:rPr>
                      <w:rFonts w:cs="Georgia"/>
                      <w:color w:val="000000"/>
                      <w:spacing w:val="1"/>
                    </w:rPr>
                    <w:t>tr</w:t>
                  </w:r>
                  <w:r>
                    <w:rPr>
                      <w:rFonts w:cs="Georgia"/>
                      <w:color w:val="000000"/>
                      <w:spacing w:val="-1"/>
                    </w:rPr>
                    <w:t>a</w:t>
                  </w:r>
                  <w:r>
                    <w:rPr>
                      <w:rFonts w:cs="Georgia"/>
                      <w:color w:val="000000"/>
                    </w:rPr>
                    <w:t>i</w:t>
                  </w:r>
                  <w:r>
                    <w:rPr>
                      <w:rFonts w:cs="Georgia"/>
                      <w:color w:val="000000"/>
                      <w:spacing w:val="1"/>
                    </w:rPr>
                    <w:t>r</w:t>
                  </w:r>
                  <w:r>
                    <w:rPr>
                      <w:rFonts w:cs="Georgia"/>
                      <w:color w:val="000000"/>
                    </w:rPr>
                    <w:t xml:space="preserve">e </w:t>
                  </w:r>
                  <w:r>
                    <w:rPr>
                      <w:rFonts w:cs="Georgia"/>
                      <w:color w:val="000000"/>
                      <w:spacing w:val="-3"/>
                    </w:rPr>
                    <w:t>m</w:t>
                  </w:r>
                  <w:r>
                    <w:rPr>
                      <w:rFonts w:cs="Georgia"/>
                      <w:color w:val="000000"/>
                      <w:spacing w:val="1"/>
                    </w:rPr>
                    <w:t>ot</w:t>
                  </w:r>
                  <w:r>
                    <w:rPr>
                      <w:rFonts w:cs="Georgia"/>
                      <w:color w:val="000000"/>
                      <w:spacing w:val="-2"/>
                    </w:rPr>
                    <w:t>i</w:t>
                  </w:r>
                  <w:r>
                    <w:rPr>
                      <w:rFonts w:cs="Georgia"/>
                      <w:color w:val="000000"/>
                      <w:spacing w:val="1"/>
                    </w:rPr>
                    <w:t>v</w:t>
                  </w:r>
                  <w:r>
                    <w:rPr>
                      <w:rFonts w:cs="Georgia"/>
                      <w:color w:val="000000"/>
                    </w:rPr>
                    <w:t>é</w:t>
                  </w:r>
                  <w:r>
                    <w:rPr>
                      <w:rFonts w:cs="Georgia"/>
                      <w:color w:val="000000"/>
                      <w:spacing w:val="2"/>
                    </w:rPr>
                    <w:t xml:space="preserve"> </w:t>
                  </w:r>
                  <w:r>
                    <w:rPr>
                      <w:rFonts w:cs="Georgia"/>
                      <w:color w:val="000000"/>
                    </w:rPr>
                    <w:t>de</w:t>
                  </w:r>
                  <w:r>
                    <w:rPr>
                      <w:rFonts w:cs="Georgia"/>
                      <w:color w:val="000000"/>
                      <w:spacing w:val="2"/>
                    </w:rPr>
                    <w:t xml:space="preserve"> </w:t>
                  </w:r>
                  <w:r>
                    <w:rPr>
                      <w:rFonts w:cs="Georgia"/>
                      <w:color w:val="000000"/>
                      <w:spacing w:val="-1"/>
                    </w:rPr>
                    <w:t>l</w:t>
                  </w:r>
                  <w:r>
                    <w:rPr>
                      <w:rFonts w:cs="Georgia"/>
                      <w:color w:val="000000"/>
                    </w:rPr>
                    <w:t>’I</w:t>
                  </w:r>
                  <w:r>
                    <w:rPr>
                      <w:rFonts w:cs="Georgia"/>
                      <w:color w:val="000000"/>
                      <w:spacing w:val="-1"/>
                    </w:rPr>
                    <w:t>n</w:t>
                  </w:r>
                  <w:r>
                    <w:rPr>
                      <w:rFonts w:cs="Georgia"/>
                      <w:color w:val="000000"/>
                      <w:spacing w:val="-2"/>
                    </w:rPr>
                    <w:t>s</w:t>
                  </w:r>
                  <w:r>
                    <w:rPr>
                      <w:rFonts w:cs="Georgia"/>
                      <w:color w:val="000000"/>
                      <w:spacing w:val="1"/>
                    </w:rPr>
                    <w:t>p</w:t>
                  </w:r>
                  <w:r>
                    <w:rPr>
                      <w:rFonts w:cs="Georgia"/>
                      <w:color w:val="000000"/>
                      <w:spacing w:val="-1"/>
                    </w:rPr>
                    <w:t>e</w:t>
                  </w:r>
                  <w:r>
                    <w:rPr>
                      <w:rFonts w:cs="Georgia"/>
                      <w:color w:val="000000"/>
                      <w:spacing w:val="1"/>
                    </w:rPr>
                    <w:t>c</w:t>
                  </w:r>
                  <w:r>
                    <w:rPr>
                      <w:rFonts w:cs="Georgia"/>
                      <w:color w:val="000000"/>
                      <w:spacing w:val="-2"/>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o</w:t>
                  </w:r>
                  <w:r>
                    <w:rPr>
                      <w:rFonts w:cs="Georgia"/>
                      <w:color w:val="000000"/>
                    </w:rPr>
                    <w:t xml:space="preserve">u du </w:t>
                  </w:r>
                  <w:r>
                    <w:rPr>
                      <w:rFonts w:cs="Georgia"/>
                      <w:color w:val="000000"/>
                      <w:spacing w:val="1"/>
                    </w:rPr>
                    <w:t>ch</w:t>
                  </w:r>
                  <w:r>
                    <w:rPr>
                      <w:rFonts w:cs="Georgia"/>
                      <w:color w:val="000000"/>
                      <w:spacing w:val="-1"/>
                    </w:rPr>
                    <w:t>an</w:t>
                  </w:r>
                  <w:r>
                    <w:rPr>
                      <w:rFonts w:cs="Georgia"/>
                      <w:color w:val="000000"/>
                    </w:rPr>
                    <w:t>g</w:t>
                  </w:r>
                  <w:r>
                    <w:rPr>
                      <w:rFonts w:cs="Georgia"/>
                      <w:color w:val="000000"/>
                      <w:spacing w:val="-1"/>
                    </w:rPr>
                    <w:t>e</w:t>
                  </w:r>
                  <w:r>
                    <w:rPr>
                      <w:rFonts w:cs="Georgia"/>
                      <w:color w:val="000000"/>
                    </w:rPr>
                    <w:t>m</w:t>
                  </w:r>
                  <w:r>
                    <w:rPr>
                      <w:rFonts w:cs="Georgia"/>
                      <w:color w:val="000000"/>
                      <w:spacing w:val="-1"/>
                    </w:rPr>
                    <w:t>en</w:t>
                  </w:r>
                  <w:r>
                    <w:rPr>
                      <w:rFonts w:cs="Georgia"/>
                      <w:color w:val="000000"/>
                    </w:rPr>
                    <w:t>t d’</w:t>
                  </w:r>
                  <w:r>
                    <w:rPr>
                      <w:rFonts w:cs="Georgia"/>
                      <w:color w:val="000000"/>
                      <w:spacing w:val="-1"/>
                    </w:rPr>
                    <w:t>é</w:t>
                  </w:r>
                  <w:r>
                    <w:rPr>
                      <w:rFonts w:cs="Georgia"/>
                      <w:color w:val="000000"/>
                      <w:spacing w:val="1"/>
                    </w:rPr>
                    <w:t>t</w:t>
                  </w:r>
                  <w:r>
                    <w:rPr>
                      <w:rFonts w:cs="Georgia"/>
                      <w:color w:val="000000"/>
                      <w:spacing w:val="-3"/>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ss</w:t>
                  </w:r>
                  <w:r>
                    <w:rPr>
                      <w:rFonts w:cs="Georgia"/>
                      <w:color w:val="000000"/>
                      <w:spacing w:val="-3"/>
                    </w:rPr>
                    <w:t>e</w:t>
                  </w:r>
                  <w:r>
                    <w:rPr>
                      <w:rFonts w:cs="Georgia"/>
                      <w:color w:val="000000"/>
                    </w:rPr>
                    <w:t>m</w:t>
                  </w:r>
                  <w:r>
                    <w:rPr>
                      <w:rFonts w:cs="Georgia"/>
                      <w:color w:val="000000"/>
                      <w:spacing w:val="-1"/>
                    </w:rPr>
                    <w:t>en</w:t>
                  </w:r>
                  <w:r>
                    <w:rPr>
                      <w:rFonts w:cs="Georgia"/>
                      <w:color w:val="000000"/>
                      <w:spacing w:val="1"/>
                    </w:rPr>
                    <w:t>t.</w:t>
                  </w:r>
                </w:p>
                <w:p>
                  <w:pPr>
                    <w:widowControl w:val="0"/>
                    <w:autoSpaceDE w:val="0"/>
                    <w:autoSpaceDN w:val="0"/>
                    <w:adjustRightInd w:val="0"/>
                    <w:spacing w:before="7" w:line="240" w:lineRule="exact"/>
                    <w:jc w:val="both"/>
                    <w:rPr>
                      <w:rFonts w:cs="Georgia"/>
                      <w:color w:val="000000"/>
                    </w:rPr>
                  </w:pPr>
                </w:p>
                <w:p>
                  <w:pPr>
                    <w:widowControl w:val="0"/>
                    <w:autoSpaceDE w:val="0"/>
                    <w:autoSpaceDN w:val="0"/>
                    <w:adjustRightInd w:val="0"/>
                    <w:jc w:val="both"/>
                    <w:rPr>
                      <w:rFonts w:cs="Georgia"/>
                      <w:color w:val="000000"/>
                    </w:rPr>
                  </w:pPr>
                  <w:r>
                    <w:rPr>
                      <w:rFonts w:cs="Georgia"/>
                      <w:color w:val="000000"/>
                    </w:rPr>
                    <w:t>En</w:t>
                  </w:r>
                  <w:r>
                    <w:rPr>
                      <w:rFonts w:cs="Georgia"/>
                      <w:color w:val="000000"/>
                      <w:spacing w:val="-1"/>
                    </w:rPr>
                    <w:t xml:space="preserve"> a</w:t>
                  </w:r>
                  <w:r>
                    <w:rPr>
                      <w:rFonts w:cs="Georgia"/>
                      <w:color w:val="000000"/>
                    </w:rPr>
                    <w:t>u</w:t>
                  </w:r>
                  <w:r>
                    <w:rPr>
                      <w:rFonts w:cs="Georgia"/>
                      <w:color w:val="000000"/>
                      <w:spacing w:val="1"/>
                    </w:rPr>
                    <w:t>c</w:t>
                  </w:r>
                  <w:r>
                    <w:rPr>
                      <w:rFonts w:cs="Georgia"/>
                      <w:color w:val="000000"/>
                    </w:rPr>
                    <w:t>un</w:t>
                  </w:r>
                  <w:r>
                    <w:rPr>
                      <w:rFonts w:cs="Georgia"/>
                      <w:color w:val="000000"/>
                      <w:spacing w:val="-1"/>
                    </w:rPr>
                    <w:t xml:space="preserve"> </w:t>
                  </w:r>
                  <w:r>
                    <w:rPr>
                      <w:rFonts w:cs="Georgia"/>
                      <w:color w:val="000000"/>
                      <w:spacing w:val="1"/>
                    </w:rPr>
                    <w:t>c</w:t>
                  </w:r>
                  <w:r>
                    <w:rPr>
                      <w:rFonts w:cs="Georgia"/>
                      <w:color w:val="000000"/>
                      <w:spacing w:val="-1"/>
                    </w:rPr>
                    <w:t>a</w:t>
                  </w:r>
                  <w:r>
                    <w:rPr>
                      <w:rFonts w:cs="Georgia"/>
                      <w:color w:val="000000"/>
                      <w:spacing w:val="1"/>
                    </w:rPr>
                    <w:t>s</w:t>
                  </w:r>
                  <w:r>
                    <w:rPr>
                      <w:rFonts w:cs="Georgia"/>
                      <w:color w:val="000000"/>
                    </w:rPr>
                    <w:t>, il</w:t>
                  </w:r>
                  <w:r>
                    <w:rPr>
                      <w:rFonts w:cs="Georgia"/>
                      <w:color w:val="000000"/>
                      <w:spacing w:val="-1"/>
                    </w:rPr>
                    <w:t xml:space="preserve"> n</w:t>
                  </w:r>
                  <w:r>
                    <w:rPr>
                      <w:rFonts w:cs="Georgia"/>
                      <w:color w:val="000000"/>
                    </w:rPr>
                    <w:t>e</w:t>
                  </w:r>
                  <w:r>
                    <w:rPr>
                      <w:rFonts w:cs="Georgia"/>
                      <w:color w:val="000000"/>
                      <w:spacing w:val="-1"/>
                    </w:rPr>
                    <w:t xml:space="preserve"> </w:t>
                  </w:r>
                  <w:r>
                    <w:rPr>
                      <w:rFonts w:cs="Georgia"/>
                      <w:color w:val="000000"/>
                      <w:spacing w:val="1"/>
                    </w:rPr>
                    <w:t>s</w:t>
                  </w:r>
                  <w:r>
                    <w:rPr>
                      <w:rFonts w:cs="Georgia"/>
                      <w:color w:val="000000"/>
                    </w:rPr>
                    <w:t>’</w:t>
                  </w:r>
                  <w:r>
                    <w:rPr>
                      <w:rFonts w:cs="Georgia"/>
                      <w:color w:val="000000"/>
                      <w:spacing w:val="-1"/>
                    </w:rPr>
                    <w:t>a</w:t>
                  </w:r>
                  <w:r>
                    <w:rPr>
                      <w:rFonts w:cs="Georgia"/>
                      <w:color w:val="000000"/>
                    </w:rPr>
                    <w:t>git</w:t>
                  </w:r>
                  <w:r>
                    <w:rPr>
                      <w:rFonts w:cs="Georgia"/>
                      <w:color w:val="000000"/>
                      <w:spacing w:val="-2"/>
                    </w:rPr>
                    <w:t xml:space="preserve"> </w:t>
                  </w:r>
                  <w:r>
                    <w:rPr>
                      <w:rFonts w:cs="Georgia"/>
                      <w:color w:val="000000"/>
                    </w:rPr>
                    <w:t>d’un</w:t>
                  </w:r>
                  <w:r>
                    <w:rPr>
                      <w:rFonts w:cs="Georgia"/>
                      <w:color w:val="000000"/>
                      <w:spacing w:val="-1"/>
                    </w:rPr>
                    <w:t xml:space="preserve"> </w:t>
                  </w:r>
                  <w:r>
                    <w:rPr>
                      <w:rFonts w:cs="Georgia"/>
                      <w:color w:val="000000"/>
                      <w:spacing w:val="1"/>
                    </w:rPr>
                    <w:t>tr</w:t>
                  </w:r>
                  <w:r>
                    <w:rPr>
                      <w:rFonts w:cs="Georgia"/>
                      <w:color w:val="000000"/>
                      <w:spacing w:val="-1"/>
                    </w:rPr>
                    <w:t>an</w:t>
                  </w:r>
                  <w:r>
                    <w:rPr>
                      <w:rFonts w:cs="Georgia"/>
                      <w:color w:val="000000"/>
                      <w:spacing w:val="-2"/>
                    </w:rPr>
                    <w:t>s</w:t>
                  </w:r>
                  <w:r>
                    <w:rPr>
                      <w:rFonts w:cs="Georgia"/>
                      <w:color w:val="000000"/>
                    </w:rPr>
                    <w:t>f</w:t>
                  </w:r>
                  <w:r>
                    <w:rPr>
                      <w:rFonts w:cs="Georgia"/>
                      <w:color w:val="000000"/>
                      <w:spacing w:val="-1"/>
                    </w:rPr>
                    <w:t>e</w:t>
                  </w:r>
                  <w:r>
                    <w:rPr>
                      <w:rFonts w:cs="Georgia"/>
                      <w:color w:val="000000"/>
                      <w:spacing w:val="1"/>
                    </w:rPr>
                    <w:t>r</w:t>
                  </w:r>
                  <w:r>
                    <w:rPr>
                      <w:rFonts w:cs="Georgia"/>
                      <w:color w:val="000000"/>
                    </w:rPr>
                    <w:t>t de</w:t>
                  </w:r>
                  <w:r>
                    <w:rPr>
                      <w:rFonts w:cs="Georgia"/>
                      <w:color w:val="000000"/>
                      <w:spacing w:val="-4"/>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 d’u</w:t>
                  </w:r>
                  <w:r>
                    <w:rPr>
                      <w:rFonts w:cs="Georgia"/>
                      <w:color w:val="000000"/>
                      <w:spacing w:val="-1"/>
                    </w:rPr>
                    <w:t>n</w:t>
                  </w:r>
                  <w:r>
                    <w:rPr>
                      <w:rFonts w:cs="Georgia"/>
                      <w:color w:val="000000"/>
                    </w:rPr>
                    <w:t>e</w:t>
                  </w:r>
                  <w:r>
                    <w:rPr>
                      <w:rFonts w:cs="Georgia"/>
                      <w:color w:val="000000"/>
                      <w:spacing w:val="-1"/>
                    </w:rPr>
                    <w:t xml:space="preserve"> </w:t>
                  </w:r>
                  <w:r>
                    <w:rPr>
                      <w:rFonts w:cs="Georgia"/>
                      <w:color w:val="000000"/>
                      <w:spacing w:val="1"/>
                    </w:rPr>
                    <w:t>c</w:t>
                  </w:r>
                  <w:r>
                    <w:rPr>
                      <w:rFonts w:cs="Georgia"/>
                      <w:color w:val="000000"/>
                      <w:spacing w:val="-1"/>
                    </w:rPr>
                    <w:t>a</w:t>
                  </w:r>
                  <w:r>
                    <w:rPr>
                      <w:rFonts w:cs="Georgia"/>
                      <w:color w:val="000000"/>
                      <w:spacing w:val="1"/>
                    </w:rPr>
                    <w:t>t</w:t>
                  </w:r>
                  <w:r>
                    <w:rPr>
                      <w:rFonts w:cs="Georgia"/>
                      <w:color w:val="000000"/>
                      <w:spacing w:val="-1"/>
                    </w:rPr>
                    <w:t>é</w:t>
                  </w:r>
                  <w:r>
                    <w:rPr>
                      <w:rFonts w:cs="Georgia"/>
                      <w:color w:val="000000"/>
                      <w:spacing w:val="-2"/>
                    </w:rPr>
                    <w:t>g</w:t>
                  </w:r>
                  <w:r>
                    <w:rPr>
                      <w:rFonts w:cs="Georgia"/>
                      <w:color w:val="000000"/>
                      <w:spacing w:val="1"/>
                    </w:rPr>
                    <w:t>or</w:t>
                  </w:r>
                  <w:r>
                    <w:rPr>
                      <w:rFonts w:cs="Georgia"/>
                      <w:color w:val="000000"/>
                    </w:rPr>
                    <w:t>ie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p</w:t>
                  </w:r>
                  <w:r>
                    <w:rPr>
                      <w:rFonts w:cs="Georgia"/>
                      <w:color w:val="000000"/>
                      <w:spacing w:val="-1"/>
                    </w:rPr>
                    <w:t>e</w:t>
                  </w:r>
                  <w:r>
                    <w:rPr>
                      <w:rFonts w:cs="Georgia"/>
                      <w:color w:val="000000"/>
                      <w:spacing w:val="-2"/>
                    </w:rPr>
                    <w:t>rs</w:t>
                  </w:r>
                  <w:r>
                    <w:rPr>
                      <w:rFonts w:cs="Georgia"/>
                      <w:color w:val="000000"/>
                      <w:spacing w:val="1"/>
                    </w:rPr>
                    <w:t>o</w:t>
                  </w:r>
                  <w:r>
                    <w:rPr>
                      <w:rFonts w:cs="Georgia"/>
                      <w:color w:val="000000"/>
                      <w:spacing w:val="-1"/>
                    </w:rPr>
                    <w:t>nne</w:t>
                  </w:r>
                  <w:r>
                    <w:rPr>
                      <w:rFonts w:cs="Georgia"/>
                      <w:color w:val="000000"/>
                    </w:rPr>
                    <w:t>l</w:t>
                  </w:r>
                  <w:r>
                    <w:rPr>
                      <w:rFonts w:cs="Georgia"/>
                      <w:color w:val="000000"/>
                      <w:spacing w:val="-1"/>
                    </w:rPr>
                    <w:t xml:space="preserve"> </w:t>
                  </w:r>
                  <w:r>
                    <w:rPr>
                      <w:rFonts w:cs="Georgia"/>
                      <w:color w:val="000000"/>
                      <w:spacing w:val="1"/>
                    </w:rPr>
                    <w:t>v</w:t>
                  </w:r>
                  <w:r>
                    <w:rPr>
                      <w:rFonts w:cs="Georgia"/>
                      <w:color w:val="000000"/>
                      <w:spacing w:val="-1"/>
                    </w:rPr>
                    <w:t>e</w:t>
                  </w:r>
                  <w:r>
                    <w:rPr>
                      <w:rFonts w:cs="Georgia"/>
                      <w:color w:val="000000"/>
                      <w:spacing w:val="1"/>
                    </w:rPr>
                    <w:t>r</w:t>
                  </w:r>
                  <w:r>
                    <w:rPr>
                      <w:rFonts w:cs="Georgia"/>
                      <w:color w:val="000000"/>
                    </w:rPr>
                    <w:t>s u</w:t>
                  </w:r>
                  <w:r>
                    <w:rPr>
                      <w:rFonts w:cs="Georgia"/>
                      <w:color w:val="000000"/>
                      <w:spacing w:val="-1"/>
                    </w:rPr>
                    <w:t>n</w:t>
                  </w:r>
                  <w:r>
                    <w:rPr>
                      <w:rFonts w:cs="Georgia"/>
                      <w:color w:val="000000"/>
                    </w:rPr>
                    <w:t>e</w:t>
                  </w:r>
                  <w:r>
                    <w:rPr>
                      <w:rFonts w:cs="Georgia"/>
                      <w:color w:val="000000"/>
                      <w:spacing w:val="-1"/>
                    </w:rPr>
                    <w:t xml:space="preserve"> a</w:t>
                  </w:r>
                  <w:r>
                    <w:rPr>
                      <w:rFonts w:cs="Georgia"/>
                      <w:color w:val="000000"/>
                    </w:rPr>
                    <w:t>u</w:t>
                  </w:r>
                  <w:r>
                    <w:rPr>
                      <w:rFonts w:cs="Georgia"/>
                      <w:color w:val="000000"/>
                      <w:spacing w:val="1"/>
                    </w:rPr>
                    <w:t>tr</w:t>
                  </w:r>
                  <w:r>
                    <w:rPr>
                      <w:rFonts w:cs="Georgia"/>
                      <w:color w:val="000000"/>
                      <w:spacing w:val="-1"/>
                    </w:rPr>
                    <w:t>e</w:t>
                  </w:r>
                  <w:r>
                    <w:rPr>
                      <w:rFonts w:cs="Georgia"/>
                      <w:color w:val="000000"/>
                    </w:rPr>
                    <w:t>.</w:t>
                  </w:r>
                </w:p>
                <w:p>
                  <w:pPr>
                    <w:widowControl w:val="0"/>
                    <w:autoSpaceDE w:val="0"/>
                    <w:autoSpaceDN w:val="0"/>
                    <w:adjustRightInd w:val="0"/>
                    <w:jc w:val="both"/>
                    <w:rPr>
                      <w:rFonts w:cs="Georgia"/>
                      <w:color w:val="000000"/>
                    </w:rPr>
                  </w:pPr>
                </w:p>
                <w:p>
                  <w:pPr>
                    <w:widowControl w:val="0"/>
                    <w:autoSpaceDE w:val="0"/>
                    <w:autoSpaceDN w:val="0"/>
                    <w:adjustRightInd w:val="0"/>
                    <w:spacing w:before="3" w:line="250" w:lineRule="exact"/>
                    <w:jc w:val="both"/>
                    <w:rPr>
                      <w:rFonts w:cs="Georgia"/>
                      <w:b/>
                      <w:color w:val="000000"/>
                      <w:u w:val="single"/>
                    </w:rPr>
                  </w:pPr>
                  <w:r>
                    <w:rPr>
                      <w:rFonts w:cs="Georgia"/>
                      <w:b/>
                      <w:color w:val="000000"/>
                      <w:u w:val="single"/>
                    </w:rPr>
                    <w:t>En</w:t>
                  </w:r>
                  <w:r>
                    <w:rPr>
                      <w:rFonts w:cs="Georgia"/>
                      <w:b/>
                      <w:color w:val="000000"/>
                      <w:spacing w:val="1"/>
                      <w:u w:val="single"/>
                    </w:rPr>
                    <w:t xml:space="preserve"> co</w:t>
                  </w:r>
                  <w:r>
                    <w:rPr>
                      <w:rFonts w:cs="Georgia"/>
                      <w:b/>
                      <w:color w:val="000000"/>
                      <w:spacing w:val="-1"/>
                      <w:u w:val="single"/>
                    </w:rPr>
                    <w:t>n</w:t>
                  </w:r>
                  <w:r>
                    <w:rPr>
                      <w:rFonts w:cs="Georgia"/>
                      <w:b/>
                      <w:color w:val="000000"/>
                      <w:spacing w:val="1"/>
                      <w:u w:val="single"/>
                    </w:rPr>
                    <w:t>s</w:t>
                  </w:r>
                  <w:r>
                    <w:rPr>
                      <w:rFonts w:cs="Georgia"/>
                      <w:b/>
                      <w:color w:val="000000"/>
                      <w:spacing w:val="-1"/>
                      <w:u w:val="single"/>
                    </w:rPr>
                    <w:t>éq</w:t>
                  </w:r>
                  <w:r>
                    <w:rPr>
                      <w:rFonts w:cs="Georgia"/>
                      <w:b/>
                      <w:color w:val="000000"/>
                      <w:u w:val="single"/>
                    </w:rPr>
                    <w:t>u</w:t>
                  </w:r>
                  <w:r>
                    <w:rPr>
                      <w:rFonts w:cs="Georgia"/>
                      <w:b/>
                      <w:color w:val="000000"/>
                      <w:spacing w:val="-1"/>
                      <w:u w:val="single"/>
                    </w:rPr>
                    <w:t>en</w:t>
                  </w:r>
                  <w:r>
                    <w:rPr>
                      <w:rFonts w:cs="Georgia"/>
                      <w:b/>
                      <w:color w:val="000000"/>
                      <w:spacing w:val="1"/>
                      <w:u w:val="single"/>
                    </w:rPr>
                    <w:t>c</w:t>
                  </w:r>
                  <w:r>
                    <w:rPr>
                      <w:rFonts w:cs="Georgia"/>
                      <w:b/>
                      <w:color w:val="000000"/>
                      <w:spacing w:val="-1"/>
                      <w:u w:val="single"/>
                    </w:rPr>
                    <w:t>e</w:t>
                  </w:r>
                  <w:r>
                    <w:rPr>
                      <w:rFonts w:cs="Georgia"/>
                      <w:b/>
                      <w:color w:val="000000"/>
                      <w:u w:val="single"/>
                    </w:rPr>
                    <w:t>,</w:t>
                  </w:r>
                  <w:r>
                    <w:rPr>
                      <w:rFonts w:cs="Georgia"/>
                      <w:b/>
                      <w:color w:val="000000"/>
                      <w:spacing w:val="2"/>
                      <w:u w:val="single"/>
                    </w:rPr>
                    <w:t xml:space="preserve"> </w:t>
                  </w:r>
                  <w:r>
                    <w:rPr>
                      <w:rFonts w:cs="Georgia"/>
                      <w:b/>
                      <w:color w:val="000000"/>
                      <w:u w:val="single"/>
                    </w:rPr>
                    <w:t>il</w:t>
                  </w:r>
                  <w:r>
                    <w:rPr>
                      <w:rFonts w:cs="Georgia"/>
                      <w:b/>
                      <w:color w:val="000000"/>
                      <w:spacing w:val="1"/>
                      <w:u w:val="single"/>
                    </w:rPr>
                    <w:t xml:space="preserve"> </w:t>
                  </w:r>
                  <w:r>
                    <w:rPr>
                      <w:rFonts w:cs="Georgia"/>
                      <w:b/>
                      <w:color w:val="000000"/>
                      <w:spacing w:val="-1"/>
                      <w:u w:val="single"/>
                    </w:rPr>
                    <w:t>n</w:t>
                  </w:r>
                  <w:r>
                    <w:rPr>
                      <w:rFonts w:cs="Georgia"/>
                      <w:b/>
                      <w:color w:val="000000"/>
                      <w:u w:val="single"/>
                    </w:rPr>
                    <w:t>e</w:t>
                  </w:r>
                  <w:r>
                    <w:rPr>
                      <w:rFonts w:cs="Georgia"/>
                      <w:b/>
                      <w:color w:val="000000"/>
                      <w:spacing w:val="1"/>
                      <w:u w:val="single"/>
                    </w:rPr>
                    <w:t xml:space="preserve"> p</w:t>
                  </w:r>
                  <w:r>
                    <w:rPr>
                      <w:rFonts w:cs="Georgia"/>
                      <w:b/>
                      <w:color w:val="000000"/>
                      <w:spacing w:val="-1"/>
                      <w:u w:val="single"/>
                    </w:rPr>
                    <w:t>e</w:t>
                  </w:r>
                  <w:r>
                    <w:rPr>
                      <w:rFonts w:cs="Georgia"/>
                      <w:b/>
                      <w:color w:val="000000"/>
                      <w:u w:val="single"/>
                    </w:rPr>
                    <w:t>ut</w:t>
                  </w:r>
                  <w:r>
                    <w:rPr>
                      <w:rFonts w:cs="Georgia"/>
                      <w:b/>
                      <w:color w:val="000000"/>
                      <w:spacing w:val="3"/>
                      <w:u w:val="single"/>
                    </w:rPr>
                    <w:t xml:space="preserve"> </w:t>
                  </w:r>
                  <w:r>
                    <w:rPr>
                      <w:rFonts w:cs="Georgia"/>
                      <w:b/>
                      <w:color w:val="000000"/>
                      <w:spacing w:val="-1"/>
                      <w:u w:val="single"/>
                    </w:rPr>
                    <w:t>ê</w:t>
                  </w:r>
                  <w:r>
                    <w:rPr>
                      <w:rFonts w:cs="Georgia"/>
                      <w:b/>
                      <w:color w:val="000000"/>
                      <w:spacing w:val="1"/>
                      <w:u w:val="single"/>
                    </w:rPr>
                    <w:t>tr</w:t>
                  </w:r>
                  <w:r>
                    <w:rPr>
                      <w:rFonts w:cs="Georgia"/>
                      <w:b/>
                      <w:color w:val="000000"/>
                      <w:u w:val="single"/>
                    </w:rPr>
                    <w:t>e</w:t>
                  </w:r>
                  <w:r>
                    <w:rPr>
                      <w:rFonts w:cs="Georgia"/>
                      <w:b/>
                      <w:color w:val="000000"/>
                      <w:spacing w:val="1"/>
                      <w:u w:val="single"/>
                    </w:rPr>
                    <w:t xml:space="preserve"> </w:t>
                  </w:r>
                  <w:r>
                    <w:rPr>
                      <w:rFonts w:cs="Georgia"/>
                      <w:b/>
                      <w:color w:val="000000"/>
                      <w:spacing w:val="-1"/>
                      <w:u w:val="single"/>
                    </w:rPr>
                    <w:t>q</w:t>
                  </w:r>
                  <w:r>
                    <w:rPr>
                      <w:rFonts w:cs="Georgia"/>
                      <w:b/>
                      <w:color w:val="000000"/>
                      <w:u w:val="single"/>
                    </w:rPr>
                    <w:t>u</w:t>
                  </w:r>
                  <w:r>
                    <w:rPr>
                      <w:rFonts w:cs="Georgia"/>
                      <w:b/>
                      <w:color w:val="000000"/>
                      <w:spacing w:val="-1"/>
                      <w:u w:val="single"/>
                    </w:rPr>
                    <w:t>e</w:t>
                  </w:r>
                  <w:r>
                    <w:rPr>
                      <w:rFonts w:cs="Georgia"/>
                      <w:b/>
                      <w:color w:val="000000"/>
                      <w:spacing w:val="1"/>
                      <w:u w:val="single"/>
                    </w:rPr>
                    <w:t>st</w:t>
                  </w:r>
                  <w:r>
                    <w:rPr>
                      <w:rFonts w:cs="Georgia"/>
                      <w:b/>
                      <w:color w:val="000000"/>
                      <w:spacing w:val="-2"/>
                      <w:u w:val="single"/>
                    </w:rPr>
                    <w:t>i</w:t>
                  </w:r>
                  <w:r>
                    <w:rPr>
                      <w:rFonts w:cs="Georgia"/>
                      <w:b/>
                      <w:color w:val="000000"/>
                      <w:spacing w:val="1"/>
                      <w:u w:val="single"/>
                    </w:rPr>
                    <w:t>o</w:t>
                  </w:r>
                  <w:r>
                    <w:rPr>
                      <w:rFonts w:cs="Georgia"/>
                      <w:b/>
                      <w:color w:val="000000"/>
                      <w:u w:val="single"/>
                    </w:rPr>
                    <w:t>n</w:t>
                  </w:r>
                  <w:r>
                    <w:rPr>
                      <w:rFonts w:cs="Georgia"/>
                      <w:b/>
                      <w:color w:val="000000"/>
                      <w:spacing w:val="1"/>
                      <w:u w:val="single"/>
                    </w:rPr>
                    <w:t xml:space="preserve"> </w:t>
                  </w:r>
                  <w:r>
                    <w:rPr>
                      <w:rFonts w:cs="Georgia"/>
                      <w:b/>
                      <w:color w:val="000000"/>
                      <w:u w:val="single"/>
                    </w:rPr>
                    <w:t>de</w:t>
                  </w:r>
                  <w:r>
                    <w:rPr>
                      <w:rFonts w:cs="Georgia"/>
                      <w:b/>
                      <w:color w:val="000000"/>
                      <w:spacing w:val="1"/>
                      <w:u w:val="single"/>
                    </w:rPr>
                    <w:t xml:space="preserve"> pr</w:t>
                  </w:r>
                  <w:r>
                    <w:rPr>
                      <w:rFonts w:cs="Georgia"/>
                      <w:b/>
                      <w:color w:val="000000"/>
                      <w:spacing w:val="-1"/>
                      <w:u w:val="single"/>
                    </w:rPr>
                    <w:t>e</w:t>
                  </w:r>
                  <w:r>
                    <w:rPr>
                      <w:rFonts w:cs="Georgia"/>
                      <w:b/>
                      <w:color w:val="000000"/>
                      <w:spacing w:val="-3"/>
                      <w:u w:val="single"/>
                    </w:rPr>
                    <w:t>n</w:t>
                  </w:r>
                  <w:r>
                    <w:rPr>
                      <w:rFonts w:cs="Georgia"/>
                      <w:b/>
                      <w:color w:val="000000"/>
                      <w:u w:val="single"/>
                    </w:rPr>
                    <w:t>d</w:t>
                  </w:r>
                  <w:r>
                    <w:rPr>
                      <w:rFonts w:cs="Georgia"/>
                      <w:b/>
                      <w:color w:val="000000"/>
                      <w:spacing w:val="1"/>
                      <w:u w:val="single"/>
                    </w:rPr>
                    <w:t>r</w:t>
                  </w:r>
                  <w:r>
                    <w:rPr>
                      <w:rFonts w:cs="Georgia"/>
                      <w:b/>
                      <w:color w:val="000000"/>
                      <w:u w:val="single"/>
                    </w:rPr>
                    <w:t>e</w:t>
                  </w:r>
                  <w:r>
                    <w:rPr>
                      <w:rFonts w:cs="Georgia"/>
                      <w:b/>
                      <w:color w:val="000000"/>
                      <w:spacing w:val="1"/>
                      <w:u w:val="single"/>
                    </w:rPr>
                    <w:t xml:space="preserve"> </w:t>
                  </w:r>
                  <w:r>
                    <w:rPr>
                      <w:rFonts w:cs="Georgia"/>
                      <w:b/>
                      <w:color w:val="000000"/>
                      <w:spacing w:val="-1"/>
                      <w:u w:val="single"/>
                    </w:rPr>
                    <w:t>e</w:t>
                  </w:r>
                  <w:r>
                    <w:rPr>
                      <w:rFonts w:cs="Georgia"/>
                      <w:b/>
                      <w:color w:val="000000"/>
                      <w:u w:val="single"/>
                    </w:rPr>
                    <w:t>n</w:t>
                  </w:r>
                  <w:r>
                    <w:rPr>
                      <w:rFonts w:cs="Georgia"/>
                      <w:b/>
                      <w:color w:val="000000"/>
                      <w:spacing w:val="1"/>
                      <w:u w:val="single"/>
                    </w:rPr>
                    <w:t xml:space="preserve"> co</w:t>
                  </w:r>
                  <w:r>
                    <w:rPr>
                      <w:rFonts w:cs="Georgia"/>
                      <w:b/>
                      <w:color w:val="000000"/>
                      <w:spacing w:val="-1"/>
                      <w:u w:val="single"/>
                    </w:rPr>
                    <w:t>n</w:t>
                  </w:r>
                  <w:r>
                    <w:rPr>
                      <w:rFonts w:cs="Georgia"/>
                      <w:b/>
                      <w:color w:val="000000"/>
                      <w:spacing w:val="1"/>
                      <w:u w:val="single"/>
                    </w:rPr>
                    <w:t>s</w:t>
                  </w:r>
                  <w:r>
                    <w:rPr>
                      <w:rFonts w:cs="Georgia"/>
                      <w:b/>
                      <w:color w:val="000000"/>
                      <w:u w:val="single"/>
                    </w:rPr>
                    <w:t>id</w:t>
                  </w:r>
                  <w:r>
                    <w:rPr>
                      <w:rFonts w:cs="Georgia"/>
                      <w:b/>
                      <w:color w:val="000000"/>
                      <w:spacing w:val="-3"/>
                      <w:u w:val="single"/>
                    </w:rPr>
                    <w:t>é</w:t>
                  </w:r>
                  <w:r>
                    <w:rPr>
                      <w:rFonts w:cs="Georgia"/>
                      <w:b/>
                      <w:color w:val="000000"/>
                      <w:spacing w:val="1"/>
                      <w:u w:val="single"/>
                    </w:rPr>
                    <w:t>r</w:t>
                  </w:r>
                  <w:r>
                    <w:rPr>
                      <w:rFonts w:cs="Georgia"/>
                      <w:b/>
                      <w:color w:val="000000"/>
                      <w:spacing w:val="-1"/>
                      <w:u w:val="single"/>
                    </w:rPr>
                    <w:t>a</w:t>
                  </w:r>
                  <w:r>
                    <w:rPr>
                      <w:rFonts w:cs="Georgia"/>
                      <w:b/>
                      <w:color w:val="000000"/>
                      <w:spacing w:val="1"/>
                      <w:u w:val="single"/>
                    </w:rPr>
                    <w:t>t</w:t>
                  </w:r>
                  <w:r>
                    <w:rPr>
                      <w:rFonts w:cs="Georgia"/>
                      <w:b/>
                      <w:color w:val="000000"/>
                      <w:u w:val="single"/>
                    </w:rPr>
                    <w:t>i</w:t>
                  </w:r>
                  <w:r>
                    <w:rPr>
                      <w:rFonts w:cs="Georgia"/>
                      <w:b/>
                      <w:color w:val="000000"/>
                      <w:spacing w:val="1"/>
                      <w:u w:val="single"/>
                    </w:rPr>
                    <w:t>o</w:t>
                  </w:r>
                  <w:r>
                    <w:rPr>
                      <w:rFonts w:cs="Georgia"/>
                      <w:b/>
                      <w:color w:val="000000"/>
                      <w:u w:val="single"/>
                    </w:rPr>
                    <w:t>n</w:t>
                  </w:r>
                  <w:r>
                    <w:rPr>
                      <w:rFonts w:cs="Georgia"/>
                      <w:b/>
                      <w:color w:val="000000"/>
                      <w:spacing w:val="1"/>
                      <w:u w:val="single"/>
                    </w:rPr>
                    <w:t xml:space="preserve"> c</w:t>
                  </w:r>
                  <w:r>
                    <w:rPr>
                      <w:rFonts w:cs="Georgia"/>
                      <w:b/>
                      <w:color w:val="000000"/>
                      <w:spacing w:val="-3"/>
                      <w:u w:val="single"/>
                    </w:rPr>
                    <w:t>e</w:t>
                  </w:r>
                  <w:r>
                    <w:rPr>
                      <w:rFonts w:cs="Georgia"/>
                      <w:b/>
                      <w:color w:val="000000"/>
                      <w:u w:val="single"/>
                    </w:rPr>
                    <w:t xml:space="preserve">s </w:t>
                  </w:r>
                  <w:r>
                    <w:rPr>
                      <w:rFonts w:cs="Georgia"/>
                      <w:b/>
                      <w:color w:val="000000"/>
                      <w:spacing w:val="1"/>
                      <w:u w:val="single"/>
                    </w:rPr>
                    <w:t>p</w:t>
                  </w:r>
                  <w:r>
                    <w:rPr>
                      <w:rFonts w:cs="Georgia"/>
                      <w:b/>
                      <w:color w:val="000000"/>
                      <w:spacing w:val="-1"/>
                      <w:u w:val="single"/>
                    </w:rPr>
                    <w:t>é</w:t>
                  </w:r>
                  <w:r>
                    <w:rPr>
                      <w:rFonts w:cs="Georgia"/>
                      <w:b/>
                      <w:color w:val="000000"/>
                      <w:spacing w:val="1"/>
                      <w:u w:val="single"/>
                    </w:rPr>
                    <w:t>r</w:t>
                  </w:r>
                  <w:r>
                    <w:rPr>
                      <w:rFonts w:cs="Georgia"/>
                      <w:b/>
                      <w:color w:val="000000"/>
                      <w:u w:val="single"/>
                    </w:rPr>
                    <w:t>i</w:t>
                  </w:r>
                  <w:r>
                    <w:rPr>
                      <w:rFonts w:cs="Georgia"/>
                      <w:b/>
                      <w:color w:val="000000"/>
                      <w:spacing w:val="-1"/>
                      <w:u w:val="single"/>
                    </w:rPr>
                    <w:t>o</w:t>
                  </w:r>
                  <w:r>
                    <w:rPr>
                      <w:rFonts w:cs="Georgia"/>
                      <w:b/>
                      <w:color w:val="000000"/>
                      <w:u w:val="single"/>
                    </w:rPr>
                    <w:t>d</w:t>
                  </w:r>
                  <w:r>
                    <w:rPr>
                      <w:rFonts w:cs="Georgia"/>
                      <w:b/>
                      <w:color w:val="000000"/>
                      <w:spacing w:val="-1"/>
                      <w:u w:val="single"/>
                    </w:rPr>
                    <w:t>e</w:t>
                  </w:r>
                  <w:r>
                    <w:rPr>
                      <w:rFonts w:cs="Georgia"/>
                      <w:b/>
                      <w:color w:val="000000"/>
                      <w:u w:val="single"/>
                    </w:rPr>
                    <w:t>s</w:t>
                  </w:r>
                  <w:r>
                    <w:rPr>
                      <w:rFonts w:cs="Georgia"/>
                      <w:b/>
                      <w:color w:val="000000"/>
                      <w:spacing w:val="3"/>
                      <w:u w:val="single"/>
                    </w:rPr>
                    <w:t xml:space="preserve"> </w:t>
                  </w:r>
                  <w:r>
                    <w:rPr>
                      <w:rFonts w:cs="Georgia"/>
                      <w:b/>
                      <w:color w:val="000000"/>
                      <w:spacing w:val="-1"/>
                      <w:u w:val="single"/>
                    </w:rPr>
                    <w:t>p</w:t>
                  </w:r>
                  <w:r>
                    <w:rPr>
                      <w:rFonts w:cs="Georgia"/>
                      <w:b/>
                      <w:color w:val="000000"/>
                      <w:spacing w:val="1"/>
                      <w:u w:val="single"/>
                    </w:rPr>
                    <w:t>o</w:t>
                  </w:r>
                  <w:r>
                    <w:rPr>
                      <w:rFonts w:cs="Georgia"/>
                      <w:b/>
                      <w:color w:val="000000"/>
                      <w:spacing w:val="-2"/>
                      <w:u w:val="single"/>
                    </w:rPr>
                    <w:t>u</w:t>
                  </w:r>
                  <w:r>
                    <w:rPr>
                      <w:rFonts w:cs="Georgia"/>
                      <w:b/>
                      <w:color w:val="000000"/>
                      <w:u w:val="single"/>
                    </w:rPr>
                    <w:t>r</w:t>
                  </w:r>
                  <w:r>
                    <w:rPr>
                      <w:rFonts w:cs="Georgia"/>
                      <w:b/>
                      <w:color w:val="000000"/>
                      <w:spacing w:val="4"/>
                      <w:u w:val="single"/>
                    </w:rPr>
                    <w:t xml:space="preserve"> </w:t>
                  </w:r>
                  <w:r>
                    <w:rPr>
                      <w:rFonts w:cs="Georgia"/>
                      <w:b/>
                      <w:color w:val="000000"/>
                      <w:spacing w:val="-1"/>
                      <w:u w:val="single"/>
                    </w:rPr>
                    <w:t>n</w:t>
                  </w:r>
                  <w:r>
                    <w:rPr>
                      <w:rFonts w:cs="Georgia"/>
                      <w:b/>
                      <w:color w:val="000000"/>
                      <w:spacing w:val="1"/>
                      <w:u w:val="single"/>
                    </w:rPr>
                    <w:t>o</w:t>
                  </w:r>
                  <w:r>
                    <w:rPr>
                      <w:rFonts w:cs="Georgia"/>
                      <w:b/>
                      <w:color w:val="000000"/>
                      <w:u w:val="single"/>
                    </w:rPr>
                    <w:t>mm</w:t>
                  </w:r>
                  <w:r>
                    <w:rPr>
                      <w:rFonts w:cs="Georgia"/>
                      <w:b/>
                      <w:color w:val="000000"/>
                      <w:spacing w:val="-1"/>
                      <w:u w:val="single"/>
                    </w:rPr>
                    <w:t>e</w:t>
                  </w:r>
                  <w:r>
                    <w:rPr>
                      <w:rFonts w:cs="Georgia"/>
                      <w:b/>
                      <w:color w:val="000000"/>
                      <w:u w:val="single"/>
                    </w:rPr>
                    <w:t>r un</w:t>
                  </w:r>
                  <w:r>
                    <w:rPr>
                      <w:rFonts w:cs="Georgia"/>
                      <w:b/>
                      <w:color w:val="000000"/>
                      <w:spacing w:val="-1"/>
                      <w:u w:val="single"/>
                    </w:rPr>
                    <w:t xml:space="preserve"> </w:t>
                  </w:r>
                  <w:r>
                    <w:rPr>
                      <w:rFonts w:cs="Georgia"/>
                      <w:b/>
                      <w:color w:val="000000"/>
                      <w:u w:val="single"/>
                    </w:rPr>
                    <w:t>m</w:t>
                  </w:r>
                  <w:r>
                    <w:rPr>
                      <w:rFonts w:cs="Georgia"/>
                      <w:b/>
                      <w:color w:val="000000"/>
                      <w:spacing w:val="-1"/>
                      <w:u w:val="single"/>
                    </w:rPr>
                    <w:t>e</w:t>
                  </w:r>
                  <w:r>
                    <w:rPr>
                      <w:rFonts w:cs="Georgia"/>
                      <w:b/>
                      <w:color w:val="000000"/>
                      <w:u w:val="single"/>
                    </w:rPr>
                    <w:t>m</w:t>
                  </w:r>
                  <w:r>
                    <w:rPr>
                      <w:rFonts w:cs="Georgia"/>
                      <w:b/>
                      <w:color w:val="000000"/>
                      <w:spacing w:val="1"/>
                      <w:u w:val="single"/>
                    </w:rPr>
                    <w:t>br</w:t>
                  </w:r>
                  <w:r>
                    <w:rPr>
                      <w:rFonts w:cs="Georgia"/>
                      <w:b/>
                      <w:color w:val="000000"/>
                      <w:u w:val="single"/>
                    </w:rPr>
                    <w:t>e</w:t>
                  </w:r>
                  <w:r>
                    <w:rPr>
                      <w:rFonts w:cs="Georgia"/>
                      <w:b/>
                      <w:color w:val="000000"/>
                      <w:spacing w:val="-1"/>
                      <w:u w:val="single"/>
                    </w:rPr>
                    <w:t xml:space="preserve"> </w:t>
                  </w:r>
                  <w:r>
                    <w:rPr>
                      <w:rFonts w:cs="Georgia"/>
                      <w:b/>
                      <w:color w:val="000000"/>
                      <w:u w:val="single"/>
                    </w:rPr>
                    <w:t>du</w:t>
                  </w:r>
                  <w:r>
                    <w:rPr>
                      <w:rFonts w:cs="Georgia"/>
                      <w:b/>
                      <w:color w:val="000000"/>
                      <w:spacing w:val="-2"/>
                      <w:u w:val="single"/>
                    </w:rPr>
                    <w:t xml:space="preserve"> </w:t>
                  </w:r>
                  <w:r>
                    <w:rPr>
                      <w:rFonts w:cs="Georgia"/>
                      <w:b/>
                      <w:color w:val="000000"/>
                      <w:spacing w:val="1"/>
                      <w:u w:val="single"/>
                    </w:rPr>
                    <w:t>p</w:t>
                  </w:r>
                  <w:r>
                    <w:rPr>
                      <w:rFonts w:cs="Georgia"/>
                      <w:b/>
                      <w:color w:val="000000"/>
                      <w:spacing w:val="-1"/>
                      <w:u w:val="single"/>
                    </w:rPr>
                    <w:t>e</w:t>
                  </w:r>
                  <w:r>
                    <w:rPr>
                      <w:rFonts w:cs="Georgia"/>
                      <w:b/>
                      <w:color w:val="000000"/>
                      <w:spacing w:val="-2"/>
                      <w:u w:val="single"/>
                    </w:rPr>
                    <w:t>r</w:t>
                  </w:r>
                  <w:r>
                    <w:rPr>
                      <w:rFonts w:cs="Georgia"/>
                      <w:b/>
                      <w:color w:val="000000"/>
                      <w:spacing w:val="1"/>
                      <w:u w:val="single"/>
                    </w:rPr>
                    <w:t>so</w:t>
                  </w:r>
                  <w:r>
                    <w:rPr>
                      <w:rFonts w:cs="Georgia"/>
                      <w:b/>
                      <w:color w:val="000000"/>
                      <w:spacing w:val="-1"/>
                      <w:u w:val="single"/>
                    </w:rPr>
                    <w:t>nne</w:t>
                  </w:r>
                  <w:r>
                    <w:rPr>
                      <w:rFonts w:cs="Georgia"/>
                      <w:b/>
                      <w:color w:val="000000"/>
                      <w:u w:val="single"/>
                    </w:rPr>
                    <w:t>l</w:t>
                  </w:r>
                  <w:r>
                    <w:rPr>
                      <w:rFonts w:cs="Georgia"/>
                      <w:b/>
                      <w:color w:val="000000"/>
                      <w:spacing w:val="-1"/>
                      <w:u w:val="single"/>
                    </w:rPr>
                    <w:t xml:space="preserve"> </w:t>
                  </w:r>
                  <w:r>
                    <w:rPr>
                      <w:rFonts w:cs="Georgia"/>
                      <w:b/>
                      <w:color w:val="000000"/>
                      <w:spacing w:val="1"/>
                      <w:u w:val="single"/>
                    </w:rPr>
                    <w:t>p</w:t>
                  </w:r>
                  <w:r>
                    <w:rPr>
                      <w:rFonts w:cs="Georgia"/>
                      <w:b/>
                      <w:color w:val="000000"/>
                      <w:spacing w:val="-1"/>
                      <w:u w:val="single"/>
                    </w:rPr>
                    <w:t>a</w:t>
                  </w:r>
                  <w:r>
                    <w:rPr>
                      <w:rFonts w:cs="Georgia"/>
                      <w:b/>
                      <w:color w:val="000000"/>
                      <w:spacing w:val="1"/>
                      <w:u w:val="single"/>
                    </w:rPr>
                    <w:t>r</w:t>
                  </w:r>
                  <w:r>
                    <w:rPr>
                      <w:rFonts w:cs="Georgia"/>
                      <w:b/>
                      <w:color w:val="000000"/>
                      <w:spacing w:val="-1"/>
                      <w:u w:val="single"/>
                    </w:rPr>
                    <w:t>a</w:t>
                  </w:r>
                  <w:r>
                    <w:rPr>
                      <w:rFonts w:cs="Georgia"/>
                      <w:b/>
                      <w:color w:val="000000"/>
                      <w:u w:val="single"/>
                    </w:rPr>
                    <w:t>m</w:t>
                  </w:r>
                  <w:r>
                    <w:rPr>
                      <w:rFonts w:cs="Georgia"/>
                      <w:b/>
                      <w:color w:val="000000"/>
                      <w:spacing w:val="-1"/>
                      <w:u w:val="single"/>
                    </w:rPr>
                    <w:t>é</w:t>
                  </w:r>
                  <w:r>
                    <w:rPr>
                      <w:rFonts w:cs="Georgia"/>
                      <w:b/>
                      <w:color w:val="000000"/>
                      <w:u w:val="single"/>
                    </w:rPr>
                    <w:t>di</w:t>
                  </w:r>
                  <w:r>
                    <w:rPr>
                      <w:rFonts w:cs="Georgia"/>
                      <w:b/>
                      <w:color w:val="000000"/>
                      <w:spacing w:val="1"/>
                      <w:u w:val="single"/>
                    </w:rPr>
                    <w:t>c</w:t>
                  </w:r>
                  <w:r>
                    <w:rPr>
                      <w:rFonts w:cs="Georgia"/>
                      <w:b/>
                      <w:color w:val="000000"/>
                      <w:spacing w:val="-1"/>
                      <w:u w:val="single"/>
                    </w:rPr>
                    <w:t>al</w:t>
                  </w:r>
                  <w:r>
                    <w:rPr>
                      <w:rFonts w:cs="Georgia"/>
                      <w:b/>
                      <w:color w:val="000000"/>
                      <w:u w:val="single"/>
                    </w:rPr>
                    <w:t>.</w:t>
                  </w:r>
                </w:p>
                <w:p>
                  <w:pPr>
                    <w:widowControl w:val="0"/>
                    <w:autoSpaceDE w:val="0"/>
                    <w:autoSpaceDN w:val="0"/>
                    <w:adjustRightInd w:val="0"/>
                    <w:spacing w:line="250" w:lineRule="exact"/>
                    <w:jc w:val="both"/>
                    <w:rPr>
                      <w:b/>
                      <w:color w:val="000000"/>
                      <w:u w:val="single"/>
                    </w:rPr>
                  </w:pPr>
                </w:p>
                <w:p>
                  <w:pPr>
                    <w:pStyle w:val="Titre5"/>
                  </w:pPr>
                  <w:r>
                    <w:t>2.4.12. Maîtres d’éducation musicale</w:t>
                  </w:r>
                </w:p>
                <w:p>
                  <w:pPr>
                    <w:widowControl w:val="0"/>
                    <w:autoSpaceDE w:val="0"/>
                    <w:autoSpaceDN w:val="0"/>
                    <w:adjustRightInd w:val="0"/>
                    <w:jc w:val="both"/>
                    <w:rPr>
                      <w:rFonts w:cs="Georgia"/>
                      <w:color w:val="000000"/>
                    </w:rPr>
                  </w:pPr>
                </w:p>
                <w:p>
                  <w:pPr>
                    <w:widowControl w:val="0"/>
                    <w:autoSpaceDE w:val="0"/>
                    <w:autoSpaceDN w:val="0"/>
                    <w:adjustRightInd w:val="0"/>
                    <w:jc w:val="both"/>
                    <w:rPr>
                      <w:rFonts w:cs="Georgia"/>
                      <w:color w:val="000000"/>
                    </w:rPr>
                  </w:pPr>
                  <w:r>
                    <w:rPr>
                      <w:rFonts w:cs="Georgia"/>
                      <w:color w:val="000000"/>
                    </w:rPr>
                    <w:t>D</w:t>
                  </w:r>
                  <w:r>
                    <w:rPr>
                      <w:rFonts w:cs="Georgia"/>
                      <w:color w:val="000000"/>
                      <w:spacing w:val="-1"/>
                    </w:rPr>
                    <w:t>an</w:t>
                  </w:r>
                  <w:r>
                    <w:rPr>
                      <w:rFonts w:cs="Georgia"/>
                      <w:color w:val="000000"/>
                    </w:rPr>
                    <w:t xml:space="preserve">s </w:t>
                  </w:r>
                  <w:r>
                    <w:rPr>
                      <w:rFonts w:cs="Georgia"/>
                      <w:color w:val="000000"/>
                      <w:spacing w:val="-1"/>
                    </w:rPr>
                    <w:t>le</w:t>
                  </w:r>
                  <w:r>
                    <w:rPr>
                      <w:rFonts w:cs="Georgia"/>
                      <w:color w:val="000000"/>
                    </w:rPr>
                    <w:t xml:space="preserve">s </w:t>
                  </w:r>
                  <w:r>
                    <w:rPr>
                      <w:rFonts w:cs="Georgia"/>
                      <w:color w:val="000000"/>
                      <w:spacing w:val="-1"/>
                    </w:rPr>
                    <w:t>é</w:t>
                  </w:r>
                  <w:r>
                    <w:rPr>
                      <w:rFonts w:cs="Georgia"/>
                      <w:color w:val="000000"/>
                      <w:spacing w:val="1"/>
                    </w:rPr>
                    <w:t>co</w:t>
                  </w:r>
                  <w:r>
                    <w:rPr>
                      <w:rFonts w:cs="Georgia"/>
                      <w:color w:val="000000"/>
                      <w:spacing w:val="-1"/>
                    </w:rPr>
                    <w:t>le</w:t>
                  </w:r>
                  <w:r>
                    <w:rPr>
                      <w:rFonts w:cs="Georgia"/>
                      <w:color w:val="000000"/>
                    </w:rPr>
                    <w:t xml:space="preserve">s </w:t>
                  </w:r>
                  <w:r>
                    <w:rPr>
                      <w:rFonts w:cs="Georgia"/>
                      <w:color w:val="000000"/>
                      <w:spacing w:val="1"/>
                    </w:rPr>
                    <w:t>s</w:t>
                  </w:r>
                  <w:r>
                    <w:rPr>
                      <w:rFonts w:cs="Georgia"/>
                      <w:color w:val="000000"/>
                      <w:spacing w:val="-2"/>
                    </w:rPr>
                    <w:t>u</w:t>
                  </w:r>
                  <w:r>
                    <w:rPr>
                      <w:rFonts w:cs="Georgia"/>
                      <w:color w:val="000000"/>
                      <w:spacing w:val="1"/>
                    </w:rPr>
                    <w:t>bv</w:t>
                  </w:r>
                  <w:r>
                    <w:rPr>
                      <w:rFonts w:cs="Georgia"/>
                      <w:color w:val="000000"/>
                      <w:spacing w:val="-3"/>
                    </w:rPr>
                    <w:t>e</w:t>
                  </w:r>
                  <w:r>
                    <w:rPr>
                      <w:rFonts w:cs="Georgia"/>
                      <w:color w:val="000000"/>
                      <w:spacing w:val="-1"/>
                    </w:rPr>
                    <w:t>n</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nnée</w:t>
                  </w:r>
                  <w:r>
                    <w:rPr>
                      <w:rFonts w:cs="Georgia"/>
                      <w:color w:val="000000"/>
                    </w:rPr>
                    <w:t xml:space="preserve">s </w:t>
                  </w:r>
                  <w:r>
                    <w:rPr>
                      <w:rFonts w:cs="Georgia"/>
                      <w:color w:val="000000"/>
                      <w:spacing w:val="1"/>
                    </w:rPr>
                    <w:t>p</w:t>
                  </w:r>
                  <w:r>
                    <w:rPr>
                      <w:rFonts w:cs="Georgia"/>
                      <w:color w:val="000000"/>
                      <w:spacing w:val="-1"/>
                    </w:rPr>
                    <w:t>a</w:t>
                  </w:r>
                  <w:r>
                    <w:rPr>
                      <w:rFonts w:cs="Georgia"/>
                      <w:color w:val="000000"/>
                    </w:rPr>
                    <w:t xml:space="preserve">r </w:t>
                  </w:r>
                  <w:r>
                    <w:rPr>
                      <w:rFonts w:cs="Georgia"/>
                      <w:color w:val="000000"/>
                      <w:spacing w:val="-1"/>
                    </w:rPr>
                    <w:t>l</w:t>
                  </w:r>
                  <w:r>
                    <w:rPr>
                      <w:rFonts w:cs="Georgia"/>
                      <w:color w:val="000000"/>
                    </w:rPr>
                    <w:t>a</w:t>
                  </w:r>
                  <w:r>
                    <w:rPr>
                      <w:rFonts w:cs="Georgia"/>
                      <w:color w:val="000000"/>
                      <w:spacing w:val="-1"/>
                    </w:rPr>
                    <w:t xml:space="preserve"> </w:t>
                  </w:r>
                  <w:r>
                    <w:rPr>
                      <w:rFonts w:cs="Georgia"/>
                      <w:color w:val="000000"/>
                    </w:rPr>
                    <w:t>F</w:t>
                  </w:r>
                  <w:r>
                    <w:rPr>
                      <w:rFonts w:cs="Georgia"/>
                      <w:color w:val="000000"/>
                      <w:spacing w:val="-1"/>
                    </w:rPr>
                    <w:t>é</w:t>
                  </w:r>
                  <w:r>
                    <w:rPr>
                      <w:rFonts w:cs="Georgia"/>
                      <w:color w:val="000000"/>
                    </w:rPr>
                    <w:t>d</w:t>
                  </w:r>
                  <w:r>
                    <w:rPr>
                      <w:rFonts w:cs="Georgia"/>
                      <w:color w:val="000000"/>
                      <w:spacing w:val="-1"/>
                    </w:rPr>
                    <w:t>é</w:t>
                  </w:r>
                  <w:r>
                    <w:rPr>
                      <w:rFonts w:cs="Georgia"/>
                      <w:color w:val="000000"/>
                      <w:spacing w:val="1"/>
                    </w:rPr>
                    <w:t>r</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1"/>
                    </w:rPr>
                    <w:t>W</w:t>
                  </w:r>
                  <w:r>
                    <w:rPr>
                      <w:rFonts w:cs="Georgia"/>
                      <w:color w:val="000000"/>
                      <w:spacing w:val="-1"/>
                    </w:rPr>
                    <w:t>all</w:t>
                  </w:r>
                  <w:r>
                    <w:rPr>
                      <w:rFonts w:cs="Georgia"/>
                      <w:color w:val="000000"/>
                      <w:spacing w:val="1"/>
                    </w:rPr>
                    <w:t>o</w:t>
                  </w:r>
                  <w:r>
                    <w:rPr>
                      <w:rFonts w:cs="Georgia"/>
                      <w:color w:val="000000"/>
                      <w:spacing w:val="-1"/>
                    </w:rPr>
                    <w:t>n</w:t>
                  </w:r>
                  <w:r>
                    <w:rPr>
                      <w:rFonts w:cs="Georgia"/>
                      <w:color w:val="000000"/>
                    </w:rPr>
                    <w:t>i</w:t>
                  </w:r>
                  <w:r>
                    <w:rPr>
                      <w:rFonts w:cs="Georgia"/>
                      <w:color w:val="000000"/>
                      <w:spacing w:val="-1"/>
                    </w:rPr>
                    <w:t>e-</w:t>
                  </w:r>
                  <w:r>
                    <w:rPr>
                      <w:rFonts w:cs="Georgia"/>
                      <w:color w:val="000000"/>
                    </w:rPr>
                    <w:t>B</w:t>
                  </w:r>
                  <w:r>
                    <w:rPr>
                      <w:rFonts w:cs="Georgia"/>
                      <w:color w:val="000000"/>
                      <w:spacing w:val="1"/>
                    </w:rPr>
                    <w:t>r</w:t>
                  </w:r>
                  <w:r>
                    <w:rPr>
                      <w:rFonts w:cs="Georgia"/>
                      <w:color w:val="000000"/>
                    </w:rPr>
                    <w:t>u</w:t>
                  </w:r>
                  <w:r>
                    <w:rPr>
                      <w:rFonts w:cs="Georgia"/>
                      <w:color w:val="000000"/>
                      <w:spacing w:val="-1"/>
                    </w:rPr>
                    <w:t>xelles</w:t>
                  </w:r>
                  <w:r>
                    <w:rPr>
                      <w:rFonts w:cs="Georgia"/>
                      <w:color w:val="000000"/>
                      <w:spacing w:val="1"/>
                    </w:rPr>
                    <w:t>, s</w:t>
                  </w:r>
                  <w:r>
                    <w:rPr>
                      <w:rFonts w:cs="Georgia"/>
                      <w:color w:val="000000"/>
                    </w:rPr>
                    <w:t>i</w:t>
                  </w:r>
                  <w:r>
                    <w:rPr>
                      <w:rFonts w:cs="Georgia"/>
                      <w:color w:val="000000"/>
                      <w:spacing w:val="3"/>
                    </w:rPr>
                    <w:t xml:space="preserve"> </w:t>
                  </w:r>
                  <w:r>
                    <w:rPr>
                      <w:rFonts w:cs="Georgia"/>
                      <w:color w:val="000000"/>
                      <w:spacing w:val="-1"/>
                    </w:rPr>
                    <w:t>les périodes</w:t>
                  </w:r>
                  <w:r>
                    <w:rPr>
                      <w:rFonts w:cs="Georgia"/>
                      <w:color w:val="000000"/>
                      <w:spacing w:val="4"/>
                    </w:rPr>
                    <w:t xml:space="preserve"> </w:t>
                  </w:r>
                  <w:r>
                    <w:rPr>
                      <w:rFonts w:cs="Georgia"/>
                      <w:color w:val="000000"/>
                      <w:spacing w:val="1"/>
                    </w:rPr>
                    <w:t>so</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pr</w:t>
                  </w:r>
                  <w:r>
                    <w:rPr>
                      <w:rFonts w:cs="Georgia"/>
                      <w:color w:val="000000"/>
                      <w:spacing w:val="-1"/>
                    </w:rPr>
                    <w:t>é</w:t>
                  </w:r>
                  <w:r>
                    <w:rPr>
                      <w:rFonts w:cs="Georgia"/>
                      <w:color w:val="000000"/>
                      <w:spacing w:val="-2"/>
                    </w:rPr>
                    <w:t>v</w:t>
                  </w:r>
                  <w:r>
                    <w:rPr>
                      <w:rFonts w:cs="Georgia"/>
                      <w:color w:val="000000"/>
                    </w:rPr>
                    <w:t>u</w:t>
                  </w:r>
                  <w:r>
                    <w:rPr>
                      <w:rFonts w:cs="Georgia"/>
                      <w:color w:val="000000"/>
                      <w:spacing w:val="-1"/>
                    </w:rPr>
                    <w:t>e</w:t>
                  </w:r>
                  <w:r>
                    <w:rPr>
                      <w:rFonts w:cs="Georgia"/>
                      <w:color w:val="000000"/>
                    </w:rPr>
                    <w:t>s</w:t>
                  </w:r>
                  <w:r>
                    <w:rPr>
                      <w:rFonts w:cs="Georgia"/>
                      <w:color w:val="000000"/>
                      <w:spacing w:val="4"/>
                    </w:rPr>
                    <w:t xml:space="preserve"> </w:t>
                  </w:r>
                  <w:r>
                    <w:rPr>
                      <w:rFonts w:cs="Georgia"/>
                      <w:color w:val="000000"/>
                      <w:spacing w:val="-2"/>
                    </w:rPr>
                    <w:t>d</w:t>
                  </w:r>
                  <w:r>
                    <w:rPr>
                      <w:rFonts w:cs="Georgia"/>
                      <w:color w:val="000000"/>
                      <w:spacing w:val="-1"/>
                    </w:rPr>
                    <w:t>an</w:t>
                  </w:r>
                  <w:r>
                    <w:rPr>
                      <w:rFonts w:cs="Georgia"/>
                      <w:color w:val="000000"/>
                    </w:rPr>
                    <w:t>s</w:t>
                  </w:r>
                  <w:r>
                    <w:rPr>
                      <w:rFonts w:cs="Georgia"/>
                      <w:color w:val="000000"/>
                      <w:spacing w:val="4"/>
                    </w:rPr>
                    <w:t xml:space="preserve"> </w:t>
                  </w:r>
                  <w:r>
                    <w:rPr>
                      <w:rFonts w:cs="Georgia"/>
                      <w:color w:val="000000"/>
                      <w:spacing w:val="-1"/>
                    </w:rPr>
                    <w:t>l</w:t>
                  </w:r>
                  <w:r>
                    <w:rPr>
                      <w:rFonts w:cs="Georgia"/>
                      <w:color w:val="000000"/>
                    </w:rPr>
                    <w:t>a</w:t>
                  </w:r>
                  <w:r>
                    <w:rPr>
                      <w:rFonts w:cs="Georgia"/>
                      <w:color w:val="000000"/>
                      <w:spacing w:val="2"/>
                    </w:rPr>
                    <w:t xml:space="preserve"> </w:t>
                  </w:r>
                  <w:r>
                    <w:rPr>
                      <w:rFonts w:cs="Georgia"/>
                      <w:color w:val="000000"/>
                    </w:rPr>
                    <w:t>g</w:t>
                  </w:r>
                  <w:r>
                    <w:rPr>
                      <w:rFonts w:cs="Georgia"/>
                      <w:color w:val="000000"/>
                      <w:spacing w:val="1"/>
                    </w:rPr>
                    <w:t>r</w:t>
                  </w:r>
                  <w:r>
                    <w:rPr>
                      <w:rFonts w:cs="Georgia"/>
                      <w:color w:val="000000"/>
                    </w:rPr>
                    <w:t>i</w:t>
                  </w:r>
                  <w:r>
                    <w:rPr>
                      <w:rFonts w:cs="Georgia"/>
                      <w:color w:val="000000"/>
                      <w:spacing w:val="-1"/>
                    </w:rPr>
                    <w:t>ll</w:t>
                  </w:r>
                  <w:r>
                    <w:rPr>
                      <w:rFonts w:cs="Georgia"/>
                      <w:color w:val="000000"/>
                    </w:rPr>
                    <w:t>e</w:t>
                  </w:r>
                  <w:r>
                    <w:rPr>
                      <w:rFonts w:cs="Georgia"/>
                      <w:color w:val="000000"/>
                      <w:spacing w:val="2"/>
                    </w:rPr>
                    <w:t xml:space="preserve"> </w:t>
                  </w:r>
                  <w:r>
                    <w:rPr>
                      <w:rFonts w:cs="Georgia"/>
                      <w:color w:val="000000"/>
                      <w:spacing w:val="1"/>
                    </w:rPr>
                    <w:t>hor</w:t>
                  </w:r>
                  <w:r>
                    <w:rPr>
                      <w:rFonts w:cs="Georgia"/>
                      <w:color w:val="000000"/>
                      <w:spacing w:val="-1"/>
                    </w:rPr>
                    <w:t>a</w:t>
                  </w:r>
                  <w:r>
                    <w:rPr>
                      <w:rFonts w:cs="Georgia"/>
                      <w:color w:val="000000"/>
                      <w:spacing w:val="-2"/>
                    </w:rPr>
                    <w:t>i</w:t>
                  </w:r>
                  <w:r>
                    <w:rPr>
                      <w:rFonts w:cs="Georgia"/>
                      <w:color w:val="000000"/>
                      <w:spacing w:val="1"/>
                    </w:rPr>
                    <w:t>r</w:t>
                  </w:r>
                  <w:r>
                    <w:rPr>
                      <w:rFonts w:cs="Georgia"/>
                      <w:color w:val="000000"/>
                    </w:rPr>
                    <w:t>e</w:t>
                  </w:r>
                  <w:r>
                    <w:rPr>
                      <w:rFonts w:cs="Georgia"/>
                      <w:color w:val="000000"/>
                      <w:spacing w:val="2"/>
                    </w:rPr>
                    <w:t xml:space="preserve"> </w:t>
                  </w:r>
                  <w:r>
                    <w:rPr>
                      <w:rFonts w:cs="Georgia"/>
                      <w:color w:val="000000"/>
                      <w:spacing w:val="-1"/>
                    </w:rPr>
                    <w:t>a</w:t>
                  </w:r>
                  <w:r>
                    <w:rPr>
                      <w:rFonts w:cs="Georgia"/>
                      <w:color w:val="000000"/>
                      <w:spacing w:val="-2"/>
                    </w:rPr>
                    <w:t>r</w:t>
                  </w:r>
                  <w:r>
                    <w:rPr>
                      <w:rFonts w:cs="Georgia"/>
                      <w:color w:val="000000"/>
                      <w:spacing w:val="1"/>
                    </w:rPr>
                    <w:t>r</w:t>
                  </w:r>
                  <w:r>
                    <w:rPr>
                      <w:rFonts w:cs="Georgia"/>
                      <w:color w:val="000000"/>
                      <w:spacing w:val="-1"/>
                    </w:rPr>
                    <w:t>ê</w:t>
                  </w:r>
                  <w:r>
                    <w:rPr>
                      <w:rFonts w:cs="Georgia"/>
                      <w:color w:val="000000"/>
                      <w:spacing w:val="1"/>
                    </w:rPr>
                    <w:t>t</w:t>
                  </w:r>
                  <w:r>
                    <w:rPr>
                      <w:rFonts w:cs="Georgia"/>
                      <w:color w:val="000000"/>
                      <w:spacing w:val="-1"/>
                    </w:rPr>
                    <w:t>é</w:t>
                  </w:r>
                  <w:r>
                    <w:rPr>
                      <w:rFonts w:cs="Georgia"/>
                      <w:color w:val="000000"/>
                    </w:rPr>
                    <w:t>e</w:t>
                  </w:r>
                  <w:r>
                    <w:rPr>
                      <w:rFonts w:cs="Georgia"/>
                      <w:color w:val="000000"/>
                      <w:spacing w:val="2"/>
                    </w:rPr>
                    <w:t xml:space="preserve"> </w:t>
                  </w:r>
                  <w:r>
                    <w:rPr>
                      <w:rFonts w:cs="Georgia"/>
                      <w:color w:val="000000"/>
                      <w:spacing w:val="1"/>
                    </w:rPr>
                    <w:t>p</w:t>
                  </w:r>
                  <w:r>
                    <w:rPr>
                      <w:rFonts w:cs="Georgia"/>
                      <w:color w:val="000000"/>
                      <w:spacing w:val="-1"/>
                    </w:rPr>
                    <w:t>a</w:t>
                  </w:r>
                  <w:r>
                    <w:rPr>
                      <w:rFonts w:cs="Georgia"/>
                      <w:color w:val="000000"/>
                    </w:rPr>
                    <w:t>r</w:t>
                  </w:r>
                  <w:r>
                    <w:rPr>
                      <w:rFonts w:cs="Georgia"/>
                      <w:color w:val="000000"/>
                      <w:spacing w:val="4"/>
                    </w:rPr>
                    <w:t xml:space="preserve"> </w:t>
                  </w:r>
                  <w:r>
                    <w:rPr>
                      <w:rFonts w:cs="Georgia"/>
                      <w:color w:val="000000"/>
                      <w:spacing w:val="-1"/>
                    </w:rPr>
                    <w:t>l</w:t>
                  </w:r>
                  <w:r>
                    <w:rPr>
                      <w:rFonts w:cs="Georgia"/>
                      <w:color w:val="000000"/>
                    </w:rPr>
                    <w:t>e</w:t>
                  </w:r>
                  <w:r>
                    <w:rPr>
                      <w:rFonts w:cs="Georgia"/>
                      <w:color w:val="000000"/>
                      <w:spacing w:val="2"/>
                    </w:rPr>
                    <w:t xml:space="preserve"> </w:t>
                  </w:r>
                  <w:r>
                    <w:rPr>
                      <w:rFonts w:cs="Georgia"/>
                      <w:color w:val="000000"/>
                      <w:spacing w:val="1"/>
                    </w:rPr>
                    <w:t>p</w:t>
                  </w:r>
                  <w:r>
                    <w:rPr>
                      <w:rFonts w:cs="Georgia"/>
                      <w:color w:val="000000"/>
                      <w:spacing w:val="-1"/>
                    </w:rPr>
                    <w:t>o</w:t>
                  </w:r>
                  <w:r>
                    <w:rPr>
                      <w:rFonts w:cs="Georgia"/>
                      <w:color w:val="000000"/>
                    </w:rPr>
                    <w:t>u</w:t>
                  </w:r>
                  <w:r>
                    <w:rPr>
                      <w:rFonts w:cs="Georgia"/>
                      <w:color w:val="000000"/>
                      <w:spacing w:val="-2"/>
                    </w:rPr>
                    <w:t>v</w:t>
                  </w:r>
                  <w:r>
                    <w:rPr>
                      <w:rFonts w:cs="Georgia"/>
                      <w:color w:val="000000"/>
                      <w:spacing w:val="1"/>
                    </w:rPr>
                    <w:t>o</w:t>
                  </w:r>
                  <w:r>
                    <w:rPr>
                      <w:rFonts w:cs="Georgia"/>
                      <w:color w:val="000000"/>
                    </w:rPr>
                    <w:t>ir</w:t>
                  </w:r>
                  <w:r>
                    <w:rPr>
                      <w:rFonts w:cs="Georgia"/>
                      <w:color w:val="000000"/>
                      <w:spacing w:val="2"/>
                    </w:rPr>
                    <w:t xml:space="preserve"> o</w:t>
                  </w:r>
                  <w:r>
                    <w:rPr>
                      <w:rFonts w:cs="Georgia"/>
                      <w:color w:val="000000"/>
                      <w:spacing w:val="-2"/>
                    </w:rPr>
                    <w:t>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1"/>
                    </w:rPr>
                    <w:t>a</w:t>
                  </w:r>
                  <w:r>
                    <w:rPr>
                      <w:rFonts w:cs="Georgia"/>
                      <w:color w:val="000000"/>
                      <w:spacing w:val="1"/>
                    </w:rPr>
                    <w:t>t</w:t>
                  </w:r>
                  <w:r>
                    <w:rPr>
                      <w:rFonts w:cs="Georgia"/>
                      <w:color w:val="000000"/>
                      <w:spacing w:val="-1"/>
                    </w:rPr>
                    <w:t>e</w:t>
                  </w:r>
                  <w:r>
                    <w:rPr>
                      <w:rFonts w:cs="Georgia"/>
                      <w:color w:val="000000"/>
                    </w:rPr>
                    <w:t>u</w:t>
                  </w:r>
                  <w:r>
                    <w:rPr>
                      <w:rFonts w:cs="Georgia"/>
                      <w:color w:val="000000"/>
                      <w:spacing w:val="1"/>
                    </w:rPr>
                    <w:t>r</w:t>
                  </w:r>
                  <w:r>
                    <w:rPr>
                      <w:rFonts w:cs="Georgia"/>
                      <w:color w:val="000000"/>
                    </w:rPr>
                    <w:t>,</w:t>
                  </w:r>
                  <w:r>
                    <w:rPr>
                      <w:rFonts w:cs="Georgia"/>
                      <w:color w:val="000000"/>
                      <w:spacing w:val="4"/>
                    </w:rPr>
                    <w:t xml:space="preserve"> </w:t>
                  </w:r>
                  <w:r>
                    <w:rPr>
                      <w:rFonts w:cs="Georgia"/>
                      <w:color w:val="000000"/>
                    </w:rPr>
                    <w:t xml:space="preserve">2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s d’</w:t>
                  </w:r>
                  <w:r>
                    <w:rPr>
                      <w:rFonts w:cs="Georgia"/>
                      <w:color w:val="000000"/>
                      <w:spacing w:val="-1"/>
                    </w:rPr>
                    <w:t>é</w:t>
                  </w:r>
                  <w:r>
                    <w:rPr>
                      <w:rFonts w:cs="Georgia"/>
                      <w:color w:val="000000"/>
                    </w:rPr>
                    <w:t>du</w:t>
                  </w:r>
                  <w:r>
                    <w:rPr>
                      <w:rFonts w:cs="Georgia"/>
                      <w:color w:val="000000"/>
                      <w:spacing w:val="1"/>
                    </w:rPr>
                    <w:t>c</w:t>
                  </w:r>
                  <w:r>
                    <w:rPr>
                      <w:rFonts w:cs="Georgia"/>
                      <w:color w:val="000000"/>
                      <w:spacing w:val="-1"/>
                    </w:rPr>
                    <w:t>a</w:t>
                  </w:r>
                  <w:r>
                    <w:rPr>
                      <w:rFonts w:cs="Georgia"/>
                      <w:color w:val="000000"/>
                      <w:spacing w:val="-2"/>
                    </w:rPr>
                    <w:t>t</w:t>
                  </w:r>
                  <w:r>
                    <w:rPr>
                      <w:rFonts w:cs="Georgia"/>
                      <w:color w:val="000000"/>
                    </w:rPr>
                    <w:t>i</w:t>
                  </w:r>
                  <w:r>
                    <w:rPr>
                      <w:rFonts w:cs="Georgia"/>
                      <w:color w:val="000000"/>
                      <w:spacing w:val="1"/>
                    </w:rPr>
                    <w:t>o</w:t>
                  </w:r>
                  <w:r>
                    <w:rPr>
                      <w:rFonts w:cs="Georgia"/>
                      <w:color w:val="000000"/>
                    </w:rPr>
                    <w:t>n</w:t>
                  </w:r>
                  <w:r>
                    <w:rPr>
                      <w:rFonts w:cs="Georgia"/>
                      <w:color w:val="000000"/>
                      <w:spacing w:val="37"/>
                    </w:rPr>
                    <w:t xml:space="preserve"> </w:t>
                  </w:r>
                  <w:r>
                    <w:rPr>
                      <w:rFonts w:cs="Georgia"/>
                      <w:color w:val="000000"/>
                      <w:spacing w:val="-3"/>
                    </w:rPr>
                    <w:t>m</w:t>
                  </w:r>
                  <w:r>
                    <w:rPr>
                      <w:rFonts w:cs="Georgia"/>
                      <w:color w:val="000000"/>
                    </w:rPr>
                    <w:t>u</w:t>
                  </w:r>
                  <w:r>
                    <w:rPr>
                      <w:rFonts w:cs="Georgia"/>
                      <w:color w:val="000000"/>
                      <w:spacing w:val="1"/>
                    </w:rPr>
                    <w:t>s</w:t>
                  </w:r>
                  <w:r>
                    <w:rPr>
                      <w:rFonts w:cs="Georgia"/>
                      <w:color w:val="000000"/>
                      <w:spacing w:val="-2"/>
                    </w:rPr>
                    <w:t>i</w:t>
                  </w:r>
                  <w:r>
                    <w:rPr>
                      <w:rFonts w:cs="Georgia"/>
                      <w:color w:val="000000"/>
                      <w:spacing w:val="1"/>
                    </w:rPr>
                    <w:t>c</w:t>
                  </w:r>
                  <w:r>
                    <w:rPr>
                      <w:rFonts w:cs="Georgia"/>
                      <w:color w:val="000000"/>
                      <w:spacing w:val="-1"/>
                    </w:rPr>
                    <w:t>al</w:t>
                  </w:r>
                  <w:r>
                    <w:rPr>
                      <w:rFonts w:cs="Georgia"/>
                      <w:color w:val="000000"/>
                    </w:rPr>
                    <w:t>e</w:t>
                  </w:r>
                  <w:r>
                    <w:rPr>
                      <w:rFonts w:cs="Georgia"/>
                      <w:color w:val="000000"/>
                      <w:spacing w:val="37"/>
                    </w:rPr>
                    <w:t xml:space="preserve"> </w:t>
                  </w:r>
                  <w:r>
                    <w:rPr>
                      <w:rFonts w:cs="Georgia"/>
                      <w:color w:val="000000"/>
                      <w:spacing w:val="1"/>
                    </w:rPr>
                    <w:t>p</w:t>
                  </w:r>
                  <w:r>
                    <w:rPr>
                      <w:rFonts w:cs="Georgia"/>
                      <w:color w:val="000000"/>
                      <w:spacing w:val="-1"/>
                    </w:rPr>
                    <w:t>e</w:t>
                  </w:r>
                  <w:r>
                    <w:rPr>
                      <w:rFonts w:cs="Georgia"/>
                      <w:color w:val="000000"/>
                    </w:rPr>
                    <w:t>u</w:t>
                  </w:r>
                  <w:r>
                    <w:rPr>
                      <w:rFonts w:cs="Georgia"/>
                      <w:color w:val="000000"/>
                      <w:spacing w:val="1"/>
                    </w:rPr>
                    <w:t>v</w:t>
                  </w:r>
                  <w:r>
                    <w:rPr>
                      <w:rFonts w:cs="Georgia"/>
                      <w:color w:val="000000"/>
                      <w:spacing w:val="-1"/>
                    </w:rPr>
                    <w:t>en</w:t>
                  </w:r>
                  <w:r>
                    <w:rPr>
                      <w:rFonts w:cs="Georgia"/>
                      <w:color w:val="000000"/>
                    </w:rPr>
                    <w:t>t</w:t>
                  </w:r>
                  <w:r>
                    <w:rPr>
                      <w:rFonts w:cs="Georgia"/>
                      <w:color w:val="000000"/>
                      <w:spacing w:val="39"/>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35"/>
                    </w:rPr>
                    <w:t xml:space="preserve"> </w:t>
                  </w:r>
                  <w:r>
                    <w:rPr>
                      <w:rFonts w:cs="Georgia"/>
                      <w:color w:val="000000"/>
                      <w:spacing w:val="1"/>
                    </w:rPr>
                    <w:t>co</w:t>
                  </w:r>
                  <w:r>
                    <w:rPr>
                      <w:rFonts w:cs="Georgia"/>
                      <w:color w:val="000000"/>
                      <w:spacing w:val="-1"/>
                    </w:rPr>
                    <w:t>n</w:t>
                  </w:r>
                  <w:r>
                    <w:rPr>
                      <w:rFonts w:cs="Georgia"/>
                      <w:color w:val="000000"/>
                    </w:rPr>
                    <w:t>fi</w:t>
                  </w:r>
                  <w:r>
                    <w:rPr>
                      <w:rFonts w:cs="Georgia"/>
                      <w:color w:val="000000"/>
                      <w:spacing w:val="-1"/>
                    </w:rPr>
                    <w:t>ée</w:t>
                  </w:r>
                  <w:r>
                    <w:rPr>
                      <w:rFonts w:cs="Georgia"/>
                      <w:color w:val="000000"/>
                    </w:rPr>
                    <w:t>s</w:t>
                  </w:r>
                  <w:r>
                    <w:rPr>
                      <w:rFonts w:cs="Georgia"/>
                      <w:color w:val="000000"/>
                      <w:spacing w:val="36"/>
                    </w:rPr>
                    <w:t xml:space="preserve"> </w:t>
                  </w:r>
                  <w:r>
                    <w:rPr>
                      <w:rFonts w:cs="Georgia"/>
                      <w:color w:val="000000"/>
                      <w:spacing w:val="1"/>
                    </w:rPr>
                    <w:t>p</w:t>
                  </w:r>
                  <w:r>
                    <w:rPr>
                      <w:rFonts w:cs="Georgia"/>
                      <w:color w:val="000000"/>
                    </w:rPr>
                    <w:t>ar</w:t>
                  </w:r>
                  <w:r>
                    <w:rPr>
                      <w:rFonts w:cs="Georgia"/>
                      <w:color w:val="000000"/>
                      <w:spacing w:val="36"/>
                    </w:rPr>
                    <w:t xml:space="preserve"> </w:t>
                  </w:r>
                  <w:r>
                    <w:rPr>
                      <w:rFonts w:cs="Georgia"/>
                      <w:color w:val="000000"/>
                      <w:spacing w:val="1"/>
                    </w:rPr>
                    <w:t>c</w:t>
                  </w:r>
                  <w:r>
                    <w:rPr>
                      <w:rFonts w:cs="Georgia"/>
                      <w:color w:val="000000"/>
                      <w:spacing w:val="-1"/>
                    </w:rPr>
                    <w:t>la</w:t>
                  </w:r>
                  <w:r>
                    <w:rPr>
                      <w:rFonts w:cs="Georgia"/>
                      <w:color w:val="000000"/>
                      <w:spacing w:val="1"/>
                    </w:rPr>
                    <w:t>ss</w:t>
                  </w:r>
                  <w:r>
                    <w:rPr>
                      <w:rFonts w:cs="Georgia"/>
                      <w:color w:val="000000"/>
                    </w:rPr>
                    <w:t>e</w:t>
                  </w:r>
                  <w:r>
                    <w:rPr>
                      <w:rFonts w:cs="Georgia"/>
                      <w:color w:val="000000"/>
                      <w:spacing w:val="37"/>
                    </w:rPr>
                    <w:t xml:space="preserve"> </w:t>
                  </w:r>
                  <w:r>
                    <w:rPr>
                      <w:rFonts w:cs="Georgia"/>
                      <w:color w:val="000000"/>
                    </w:rPr>
                    <w:t>à</w:t>
                  </w:r>
                  <w:r>
                    <w:rPr>
                      <w:rFonts w:cs="Georgia"/>
                      <w:color w:val="000000"/>
                      <w:spacing w:val="37"/>
                    </w:rPr>
                    <w:t xml:space="preserve"> </w:t>
                  </w:r>
                  <w:r>
                    <w:rPr>
                      <w:rFonts w:cs="Georgia"/>
                      <w:color w:val="000000"/>
                    </w:rPr>
                    <w:t>un</w:t>
                  </w:r>
                  <w:r>
                    <w:rPr>
                      <w:rFonts w:cs="Georgia"/>
                      <w:color w:val="000000"/>
                      <w:spacing w:val="37"/>
                    </w:rPr>
                    <w:t xml:space="preserve"> </w:t>
                  </w:r>
                  <w:r>
                    <w:rPr>
                      <w:rFonts w:cs="Georgia"/>
                      <w:color w:val="000000"/>
                    </w:rPr>
                    <w:t>m</w:t>
                  </w:r>
                  <w:r>
                    <w:rPr>
                      <w:rFonts w:cs="Georgia"/>
                      <w:color w:val="000000"/>
                      <w:spacing w:val="-1"/>
                    </w:rPr>
                    <w:t>a</w:t>
                  </w:r>
                  <w:r>
                    <w:rPr>
                      <w:rFonts w:cs="Georgia"/>
                      <w:color w:val="000000"/>
                      <w:spacing w:val="-2"/>
                    </w:rPr>
                    <w:t>î</w:t>
                  </w:r>
                  <w:r>
                    <w:rPr>
                      <w:rFonts w:cs="Georgia"/>
                      <w:color w:val="000000"/>
                      <w:spacing w:val="1"/>
                    </w:rPr>
                    <w:t>tr</w:t>
                  </w:r>
                  <w:r>
                    <w:rPr>
                      <w:rFonts w:cs="Georgia"/>
                      <w:color w:val="000000"/>
                    </w:rPr>
                    <w:t>e</w:t>
                  </w:r>
                  <w:r>
                    <w:rPr>
                      <w:rFonts w:cs="Georgia"/>
                      <w:color w:val="000000"/>
                      <w:spacing w:val="37"/>
                    </w:rPr>
                    <w:t xml:space="preserve"> </w:t>
                  </w:r>
                  <w:r>
                    <w:rPr>
                      <w:rFonts w:cs="Georgia"/>
                      <w:color w:val="000000"/>
                      <w:spacing w:val="-2"/>
                    </w:rPr>
                    <w:t>d’éducation</w:t>
                  </w:r>
                  <w:r>
                    <w:rPr>
                      <w:rFonts w:cs="Georgia"/>
                      <w:color w:val="000000"/>
                      <w:spacing w:val="37"/>
                    </w:rPr>
                    <w:t xml:space="preserve"> </w:t>
                  </w:r>
                  <w:r>
                    <w:rPr>
                      <w:rFonts w:cs="Georgia"/>
                      <w:color w:val="000000"/>
                    </w:rPr>
                    <w:t>m</w:t>
                  </w:r>
                  <w:r>
                    <w:rPr>
                      <w:rFonts w:cs="Georgia"/>
                      <w:color w:val="000000"/>
                      <w:spacing w:val="-2"/>
                    </w:rPr>
                    <w:t>u</w:t>
                  </w:r>
                  <w:r>
                    <w:rPr>
                      <w:rFonts w:cs="Georgia"/>
                      <w:color w:val="000000"/>
                      <w:spacing w:val="1"/>
                    </w:rPr>
                    <w:t>s</w:t>
                  </w:r>
                  <w:r>
                    <w:rPr>
                      <w:rFonts w:cs="Georgia"/>
                      <w:color w:val="000000"/>
                    </w:rPr>
                    <w:t>i</w:t>
                  </w:r>
                  <w:r>
                    <w:rPr>
                      <w:rFonts w:cs="Georgia"/>
                      <w:color w:val="000000"/>
                      <w:spacing w:val="1"/>
                    </w:rPr>
                    <w:t>c</w:t>
                  </w:r>
                  <w:r>
                    <w:rPr>
                      <w:rFonts w:cs="Georgia"/>
                      <w:color w:val="000000"/>
                      <w:spacing w:val="-1"/>
                    </w:rPr>
                    <w:t>a</w:t>
                  </w:r>
                  <w:r>
                    <w:rPr>
                      <w:rFonts w:cs="Georgia"/>
                      <w:color w:val="000000"/>
                      <w:spacing w:val="-3"/>
                    </w:rPr>
                    <w:t>l</w:t>
                  </w:r>
                  <w:r>
                    <w:rPr>
                      <w:rFonts w:cs="Georgia"/>
                      <w:color w:val="000000"/>
                    </w:rPr>
                    <w:t xml:space="preserve">e. Cependant, </w:t>
                  </w:r>
                  <w:r>
                    <w:rPr>
                      <w:rFonts w:cs="Georgia"/>
                      <w:color w:val="000000"/>
                      <w:spacing w:val="1"/>
                    </w:rPr>
                    <w:t>c</w:t>
                  </w:r>
                  <w:r>
                    <w:rPr>
                      <w:rFonts w:cs="Georgia"/>
                      <w:color w:val="000000"/>
                      <w:spacing w:val="-1"/>
                    </w:rPr>
                    <w:t>e</w:t>
                  </w:r>
                  <w:r>
                    <w:rPr>
                      <w:rFonts w:cs="Georgia"/>
                      <w:color w:val="000000"/>
                      <w:spacing w:val="1"/>
                    </w:rPr>
                    <w:t>tt</w:t>
                  </w:r>
                  <w:r>
                    <w:rPr>
                      <w:rFonts w:cs="Georgia"/>
                      <w:color w:val="000000"/>
                    </w:rPr>
                    <w:t>e</w:t>
                  </w:r>
                  <w:r>
                    <w:rPr>
                      <w:rFonts w:cs="Georgia"/>
                      <w:color w:val="000000"/>
                      <w:spacing w:val="-1"/>
                    </w:rPr>
                    <w:t xml:space="preserve"> no</w:t>
                  </w:r>
                  <w:r>
                    <w:rPr>
                      <w:rFonts w:cs="Georgia"/>
                      <w:color w:val="000000"/>
                    </w:rPr>
                    <w:t>u</w:t>
                  </w:r>
                  <w:r>
                    <w:rPr>
                      <w:rFonts w:cs="Georgia"/>
                      <w:color w:val="000000"/>
                      <w:spacing w:val="1"/>
                    </w:rPr>
                    <w:t>v</w:t>
                  </w:r>
                  <w:r>
                    <w:rPr>
                      <w:rFonts w:cs="Georgia"/>
                      <w:color w:val="000000"/>
                      <w:spacing w:val="-1"/>
                    </w:rPr>
                    <w:t>ell</w:t>
                  </w:r>
                  <w:r>
                    <w:rPr>
                      <w:rFonts w:cs="Georgia"/>
                      <w:color w:val="000000"/>
                    </w:rPr>
                    <w:t>e</w:t>
                  </w:r>
                  <w:r>
                    <w:rPr>
                      <w:rFonts w:cs="Georgia"/>
                      <w:color w:val="000000"/>
                      <w:spacing w:val="-1"/>
                    </w:rPr>
                    <w:t xml:space="preserve"> </w:t>
                  </w:r>
                  <w:r>
                    <w:rPr>
                      <w:rFonts w:cs="Georgia"/>
                      <w:color w:val="000000"/>
                      <w:spacing w:val="1"/>
                    </w:rPr>
                    <w:t>or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ne peut pas avoir pour</w:t>
                  </w:r>
                  <w:r>
                    <w:rPr>
                      <w:rFonts w:cs="Georgia"/>
                      <w:color w:val="000000"/>
                    </w:rPr>
                    <w:t xml:space="preserve"> </w:t>
                  </w:r>
                  <w:r>
                    <w:rPr>
                      <w:rFonts w:cs="Georgia"/>
                      <w:color w:val="000000"/>
                      <w:spacing w:val="-2"/>
                    </w:rPr>
                    <w:t>c</w:t>
                  </w:r>
                  <w:r>
                    <w:rPr>
                      <w:rFonts w:cs="Georgia"/>
                      <w:color w:val="000000"/>
                      <w:spacing w:val="1"/>
                    </w:rPr>
                    <w:t>o</w:t>
                  </w:r>
                  <w:r>
                    <w:rPr>
                      <w:rFonts w:cs="Georgia"/>
                      <w:color w:val="000000"/>
                      <w:spacing w:val="-1"/>
                    </w:rPr>
                    <w:t>n</w:t>
                  </w:r>
                  <w:r>
                    <w:rPr>
                      <w:rFonts w:cs="Georgia"/>
                      <w:color w:val="000000"/>
                      <w:spacing w:val="1"/>
                    </w:rPr>
                    <w:t>s</w:t>
                  </w:r>
                  <w:r>
                    <w:rPr>
                      <w:rFonts w:cs="Georgia"/>
                      <w:color w:val="000000"/>
                      <w:spacing w:val="-1"/>
                    </w:rPr>
                    <w:t>éq</w:t>
                  </w:r>
                  <w:r>
                    <w:rPr>
                      <w:rFonts w:cs="Georgia"/>
                      <w:color w:val="000000"/>
                    </w:rPr>
                    <w:t>u</w:t>
                  </w:r>
                  <w:r>
                    <w:rPr>
                      <w:rFonts w:cs="Georgia"/>
                      <w:color w:val="000000"/>
                      <w:spacing w:val="-1"/>
                    </w:rPr>
                    <w:t>en</w:t>
                  </w:r>
                  <w:r>
                    <w:rPr>
                      <w:rFonts w:cs="Georgia"/>
                      <w:color w:val="000000"/>
                      <w:spacing w:val="1"/>
                    </w:rPr>
                    <w:t>c</w:t>
                  </w:r>
                  <w:r>
                    <w:rPr>
                      <w:rFonts w:cs="Georgia"/>
                      <w:color w:val="000000"/>
                    </w:rPr>
                    <w:t>e</w:t>
                  </w:r>
                  <w:r>
                    <w:rPr>
                      <w:rFonts w:cs="Georgia"/>
                      <w:color w:val="000000"/>
                      <w:spacing w:val="-1"/>
                    </w:rPr>
                    <w:t xml:space="preserve"> </w:t>
                  </w:r>
                  <w:r>
                    <w:rPr>
                      <w:rFonts w:cs="Georgia"/>
                      <w:color w:val="000000"/>
                    </w:rPr>
                    <w:t>:</w:t>
                  </w:r>
                </w:p>
                <w:p>
                  <w:pPr>
                    <w:pStyle w:val="Paragraphedeliste"/>
                    <w:widowControl w:val="0"/>
                    <w:numPr>
                      <w:ilvl w:val="0"/>
                      <w:numId w:val="25"/>
                    </w:numPr>
                    <w:tabs>
                      <w:tab w:val="left" w:pos="1134"/>
                    </w:tabs>
                    <w:autoSpaceDE w:val="0"/>
                    <w:autoSpaceDN w:val="0"/>
                    <w:adjustRightInd w:val="0"/>
                    <w:spacing w:line="250" w:lineRule="exact"/>
                    <w:ind w:left="567"/>
                    <w:jc w:val="both"/>
                    <w:rPr>
                      <w:rFonts w:asciiTheme="majorHAnsi" w:hAnsiTheme="majorHAnsi" w:cs="Georgia"/>
                      <w:color w:val="000000"/>
                      <w:sz w:val="22"/>
                      <w:szCs w:val="22"/>
                    </w:rPr>
                  </w:pPr>
                  <w:r>
                    <w:rPr>
                      <w:rFonts w:asciiTheme="majorHAnsi" w:hAnsiTheme="majorHAnsi" w:cs="Georgia"/>
                      <w:color w:val="000000"/>
                      <w:spacing w:val="1"/>
                      <w:sz w:val="22"/>
                      <w:szCs w:val="22"/>
                    </w:rPr>
                    <w:t>L</w:t>
                  </w:r>
                  <w:r>
                    <w:rPr>
                      <w:rFonts w:asciiTheme="majorHAnsi" w:hAnsiTheme="majorHAnsi" w:cs="Georgia"/>
                      <w:color w:val="000000"/>
                      <w:sz w:val="22"/>
                      <w:szCs w:val="22"/>
                    </w:rPr>
                    <w:t>a</w:t>
                  </w:r>
                  <w:r>
                    <w:rPr>
                      <w:rFonts w:asciiTheme="majorHAnsi" w:hAnsiTheme="majorHAnsi" w:cs="Georgia"/>
                      <w:color w:val="000000"/>
                      <w:spacing w:val="11"/>
                      <w:sz w:val="22"/>
                      <w:szCs w:val="22"/>
                    </w:rPr>
                    <w:t xml:space="preserve"> </w:t>
                  </w:r>
                  <w:r>
                    <w:rPr>
                      <w:rFonts w:asciiTheme="majorHAnsi" w:hAnsiTheme="majorHAnsi" w:cs="Georgia"/>
                      <w:color w:val="000000"/>
                      <w:sz w:val="22"/>
                      <w:szCs w:val="22"/>
                    </w:rPr>
                    <w:t>m</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s</w:t>
                  </w:r>
                  <w:r>
                    <w:rPr>
                      <w:rFonts w:asciiTheme="majorHAnsi" w:hAnsiTheme="majorHAnsi" w:cs="Georgia"/>
                      <w:color w:val="000000"/>
                      <w:sz w:val="22"/>
                      <w:szCs w:val="22"/>
                    </w:rPr>
                    <w:t>e</w:t>
                  </w:r>
                  <w:r>
                    <w:rPr>
                      <w:rFonts w:asciiTheme="majorHAnsi" w:hAnsiTheme="majorHAnsi" w:cs="Georgia"/>
                      <w:color w:val="000000"/>
                      <w:spacing w:val="11"/>
                      <w:sz w:val="22"/>
                      <w:szCs w:val="22"/>
                    </w:rPr>
                    <w:t xml:space="preserve"> </w:t>
                  </w:r>
                  <w:r>
                    <w:rPr>
                      <w:rFonts w:asciiTheme="majorHAnsi" w:hAnsiTheme="majorHAnsi" w:cs="Georgia"/>
                      <w:color w:val="000000"/>
                      <w:spacing w:val="-1"/>
                      <w:sz w:val="22"/>
                      <w:szCs w:val="22"/>
                    </w:rPr>
                    <w:t>e</w:t>
                  </w:r>
                  <w:r>
                    <w:rPr>
                      <w:rFonts w:asciiTheme="majorHAnsi" w:hAnsiTheme="majorHAnsi" w:cs="Georgia"/>
                      <w:color w:val="000000"/>
                      <w:sz w:val="22"/>
                      <w:szCs w:val="22"/>
                    </w:rPr>
                    <w:t>n</w:t>
                  </w:r>
                  <w:r>
                    <w:rPr>
                      <w:rFonts w:asciiTheme="majorHAnsi" w:hAnsiTheme="majorHAnsi" w:cs="Georgia"/>
                      <w:color w:val="000000"/>
                      <w:spacing w:val="11"/>
                      <w:sz w:val="22"/>
                      <w:szCs w:val="22"/>
                    </w:rPr>
                    <w:t xml:space="preserve"> </w:t>
                  </w:r>
                  <w:r>
                    <w:rPr>
                      <w:rFonts w:asciiTheme="majorHAnsi" w:hAnsiTheme="majorHAnsi" w:cs="Georgia"/>
                      <w:color w:val="000000"/>
                      <w:sz w:val="22"/>
                      <w:szCs w:val="22"/>
                    </w:rPr>
                    <w:t>di</w:t>
                  </w:r>
                  <w:r>
                    <w:rPr>
                      <w:rFonts w:asciiTheme="majorHAnsi" w:hAnsiTheme="majorHAnsi" w:cs="Georgia"/>
                      <w:color w:val="000000"/>
                      <w:spacing w:val="-2"/>
                      <w:sz w:val="22"/>
                      <w:szCs w:val="22"/>
                    </w:rPr>
                    <w:t>s</w:t>
                  </w:r>
                  <w:r>
                    <w:rPr>
                      <w:rFonts w:asciiTheme="majorHAnsi" w:hAnsiTheme="majorHAnsi" w:cs="Georgia"/>
                      <w:color w:val="000000"/>
                      <w:spacing w:val="1"/>
                      <w:sz w:val="22"/>
                      <w:szCs w:val="22"/>
                    </w:rPr>
                    <w:t>po</w:t>
                  </w:r>
                  <w:r>
                    <w:rPr>
                      <w:rFonts w:asciiTheme="majorHAnsi" w:hAnsiTheme="majorHAnsi" w:cs="Georgia"/>
                      <w:color w:val="000000"/>
                      <w:spacing w:val="-1"/>
                      <w:sz w:val="22"/>
                      <w:szCs w:val="22"/>
                    </w:rPr>
                    <w:t>n</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b</w:t>
                  </w:r>
                  <w:r>
                    <w:rPr>
                      <w:rFonts w:asciiTheme="majorHAnsi" w:hAnsiTheme="majorHAnsi" w:cs="Georgia"/>
                      <w:color w:val="000000"/>
                      <w:sz w:val="22"/>
                      <w:szCs w:val="22"/>
                    </w:rPr>
                    <w:t>i</w:t>
                  </w:r>
                  <w:r>
                    <w:rPr>
                      <w:rFonts w:asciiTheme="majorHAnsi" w:hAnsiTheme="majorHAnsi" w:cs="Georgia"/>
                      <w:color w:val="000000"/>
                      <w:spacing w:val="-1"/>
                      <w:sz w:val="22"/>
                      <w:szCs w:val="22"/>
                    </w:rPr>
                    <w:t>l</w:t>
                  </w:r>
                  <w:r>
                    <w:rPr>
                      <w:rFonts w:asciiTheme="majorHAnsi" w:hAnsiTheme="majorHAnsi" w:cs="Georgia"/>
                      <w:color w:val="000000"/>
                      <w:sz w:val="22"/>
                      <w:szCs w:val="22"/>
                    </w:rPr>
                    <w:t>i</w:t>
                  </w:r>
                  <w:r>
                    <w:rPr>
                      <w:rFonts w:asciiTheme="majorHAnsi" w:hAnsiTheme="majorHAnsi" w:cs="Georgia"/>
                      <w:color w:val="000000"/>
                      <w:spacing w:val="1"/>
                      <w:sz w:val="22"/>
                      <w:szCs w:val="22"/>
                    </w:rPr>
                    <w:t>t</w:t>
                  </w:r>
                  <w:r>
                    <w:rPr>
                      <w:rFonts w:asciiTheme="majorHAnsi" w:hAnsiTheme="majorHAnsi" w:cs="Georgia"/>
                      <w:color w:val="000000"/>
                      <w:sz w:val="22"/>
                      <w:szCs w:val="22"/>
                    </w:rPr>
                    <w:t>é</w:t>
                  </w:r>
                  <w:r>
                    <w:rPr>
                      <w:rFonts w:asciiTheme="majorHAnsi" w:hAnsiTheme="majorHAnsi" w:cs="Georgia"/>
                      <w:color w:val="000000"/>
                      <w:spacing w:val="8"/>
                      <w:sz w:val="22"/>
                      <w:szCs w:val="22"/>
                    </w:rPr>
                    <w:t xml:space="preserve"> </w:t>
                  </w:r>
                  <w:r>
                    <w:rPr>
                      <w:rFonts w:asciiTheme="majorHAnsi" w:hAnsiTheme="majorHAnsi" w:cs="Georgia"/>
                      <w:color w:val="000000"/>
                      <w:spacing w:val="1"/>
                      <w:sz w:val="22"/>
                      <w:szCs w:val="22"/>
                    </w:rPr>
                    <w:t>o</w:t>
                  </w:r>
                  <w:r>
                    <w:rPr>
                      <w:rFonts w:asciiTheme="majorHAnsi" w:hAnsiTheme="majorHAnsi" w:cs="Georgia"/>
                      <w:color w:val="000000"/>
                      <w:sz w:val="22"/>
                      <w:szCs w:val="22"/>
                    </w:rPr>
                    <w:t>u</w:t>
                  </w:r>
                  <w:r>
                    <w:rPr>
                      <w:rFonts w:asciiTheme="majorHAnsi" w:hAnsiTheme="majorHAnsi" w:cs="Georgia"/>
                      <w:color w:val="000000"/>
                      <w:spacing w:val="12"/>
                      <w:sz w:val="22"/>
                      <w:szCs w:val="22"/>
                    </w:rPr>
                    <w:t xml:space="preserve"> </w:t>
                  </w:r>
                  <w:r>
                    <w:rPr>
                      <w:rFonts w:asciiTheme="majorHAnsi" w:hAnsiTheme="majorHAnsi" w:cs="Georgia"/>
                      <w:color w:val="000000"/>
                      <w:sz w:val="22"/>
                      <w:szCs w:val="22"/>
                    </w:rPr>
                    <w:t>u</w:t>
                  </w:r>
                  <w:r>
                    <w:rPr>
                      <w:rFonts w:asciiTheme="majorHAnsi" w:hAnsiTheme="majorHAnsi" w:cs="Georgia"/>
                      <w:color w:val="000000"/>
                      <w:spacing w:val="-1"/>
                      <w:sz w:val="22"/>
                      <w:szCs w:val="22"/>
                    </w:rPr>
                    <w:t>n</w:t>
                  </w:r>
                  <w:r>
                    <w:rPr>
                      <w:rFonts w:asciiTheme="majorHAnsi" w:hAnsiTheme="majorHAnsi" w:cs="Georgia"/>
                      <w:color w:val="000000"/>
                      <w:sz w:val="22"/>
                      <w:szCs w:val="22"/>
                    </w:rPr>
                    <w:t>e</w:t>
                  </w:r>
                  <w:r>
                    <w:rPr>
                      <w:rFonts w:asciiTheme="majorHAnsi" w:hAnsiTheme="majorHAnsi" w:cs="Georgia"/>
                      <w:color w:val="000000"/>
                      <w:spacing w:val="8"/>
                      <w:sz w:val="22"/>
                      <w:szCs w:val="22"/>
                    </w:rPr>
                    <w:t xml:space="preserve"> </w:t>
                  </w:r>
                  <w:r>
                    <w:rPr>
                      <w:rFonts w:asciiTheme="majorHAnsi" w:hAnsiTheme="majorHAnsi" w:cs="Georgia"/>
                      <w:color w:val="000000"/>
                      <w:sz w:val="22"/>
                      <w:szCs w:val="22"/>
                    </w:rPr>
                    <w:t>dimi</w:t>
                  </w:r>
                  <w:r>
                    <w:rPr>
                      <w:rFonts w:asciiTheme="majorHAnsi" w:hAnsiTheme="majorHAnsi" w:cs="Georgia"/>
                      <w:color w:val="000000"/>
                      <w:spacing w:val="-1"/>
                      <w:sz w:val="22"/>
                      <w:szCs w:val="22"/>
                    </w:rPr>
                    <w:t>n</w:t>
                  </w:r>
                  <w:r>
                    <w:rPr>
                      <w:rFonts w:asciiTheme="majorHAnsi" w:hAnsiTheme="majorHAnsi" w:cs="Georgia"/>
                      <w:color w:val="000000"/>
                      <w:spacing w:val="-2"/>
                      <w:sz w:val="22"/>
                      <w:szCs w:val="22"/>
                    </w:rPr>
                    <w:t>u</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1"/>
                      <w:sz w:val="22"/>
                      <w:szCs w:val="22"/>
                    </w:rPr>
                    <w:t>o</w:t>
                  </w:r>
                  <w:r>
                    <w:rPr>
                      <w:rFonts w:asciiTheme="majorHAnsi" w:hAnsiTheme="majorHAnsi" w:cs="Georgia"/>
                      <w:color w:val="000000"/>
                      <w:sz w:val="22"/>
                      <w:szCs w:val="22"/>
                    </w:rPr>
                    <w:t>n</w:t>
                  </w:r>
                  <w:r>
                    <w:rPr>
                      <w:rFonts w:asciiTheme="majorHAnsi" w:hAnsiTheme="majorHAnsi" w:cs="Georgia"/>
                      <w:color w:val="000000"/>
                      <w:spacing w:val="8"/>
                      <w:sz w:val="22"/>
                      <w:szCs w:val="22"/>
                    </w:rPr>
                    <w:t xml:space="preserve"> </w:t>
                  </w:r>
                  <w:r>
                    <w:rPr>
                      <w:rFonts w:asciiTheme="majorHAnsi" w:hAnsiTheme="majorHAnsi" w:cs="Georgia"/>
                      <w:color w:val="000000"/>
                      <w:sz w:val="22"/>
                      <w:szCs w:val="22"/>
                    </w:rPr>
                    <w:t>de</w:t>
                  </w:r>
                  <w:r>
                    <w:rPr>
                      <w:rFonts w:asciiTheme="majorHAnsi" w:hAnsiTheme="majorHAnsi" w:cs="Georgia"/>
                      <w:color w:val="000000"/>
                      <w:spacing w:val="11"/>
                      <w:sz w:val="22"/>
                      <w:szCs w:val="22"/>
                    </w:rPr>
                    <w:t xml:space="preserve"> </w:t>
                  </w:r>
                  <w:r>
                    <w:rPr>
                      <w:rFonts w:asciiTheme="majorHAnsi" w:hAnsiTheme="majorHAnsi" w:cs="Georgia"/>
                      <w:color w:val="000000"/>
                      <w:spacing w:val="-2"/>
                      <w:sz w:val="22"/>
                      <w:szCs w:val="22"/>
                    </w:rPr>
                    <w:t>c</w:t>
                  </w:r>
                  <w:r>
                    <w:rPr>
                      <w:rFonts w:asciiTheme="majorHAnsi" w:hAnsiTheme="majorHAnsi" w:cs="Georgia"/>
                      <w:color w:val="000000"/>
                      <w:spacing w:val="-1"/>
                      <w:sz w:val="22"/>
                      <w:szCs w:val="22"/>
                    </w:rPr>
                    <w:t>ha</w:t>
                  </w:r>
                  <w:r>
                    <w:rPr>
                      <w:rFonts w:asciiTheme="majorHAnsi" w:hAnsiTheme="majorHAnsi" w:cs="Georgia"/>
                      <w:color w:val="000000"/>
                      <w:spacing w:val="1"/>
                      <w:sz w:val="22"/>
                      <w:szCs w:val="22"/>
                    </w:rPr>
                    <w:t>r</w:t>
                  </w:r>
                  <w:r>
                    <w:rPr>
                      <w:rFonts w:asciiTheme="majorHAnsi" w:hAnsiTheme="majorHAnsi" w:cs="Georgia"/>
                      <w:color w:val="000000"/>
                      <w:sz w:val="22"/>
                      <w:szCs w:val="22"/>
                    </w:rPr>
                    <w:t>ge</w:t>
                  </w:r>
                  <w:r>
                    <w:rPr>
                      <w:rFonts w:asciiTheme="majorHAnsi" w:hAnsiTheme="majorHAnsi" w:cs="Georgia"/>
                      <w:color w:val="000000"/>
                      <w:spacing w:val="11"/>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w:t>
                  </w:r>
                  <w:r>
                    <w:rPr>
                      <w:rFonts w:asciiTheme="majorHAnsi" w:hAnsiTheme="majorHAnsi" w:cs="Georgia"/>
                      <w:color w:val="000000"/>
                      <w:sz w:val="22"/>
                      <w:szCs w:val="22"/>
                    </w:rPr>
                    <w:t>un</w:t>
                  </w:r>
                  <w:r>
                    <w:rPr>
                      <w:rFonts w:asciiTheme="majorHAnsi" w:hAnsiTheme="majorHAnsi" w:cs="Georgia"/>
                      <w:color w:val="000000"/>
                      <w:spacing w:val="8"/>
                      <w:sz w:val="22"/>
                      <w:szCs w:val="22"/>
                    </w:rPr>
                    <w:t xml:space="preserve"> </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2"/>
                      <w:sz w:val="22"/>
                      <w:szCs w:val="22"/>
                    </w:rPr>
                    <w:t>t</w:t>
                  </w:r>
                  <w:r>
                    <w:rPr>
                      <w:rFonts w:asciiTheme="majorHAnsi" w:hAnsiTheme="majorHAnsi" w:cs="Georgia"/>
                      <w:color w:val="000000"/>
                      <w:sz w:val="22"/>
                      <w:szCs w:val="22"/>
                    </w:rPr>
                    <w:t>u</w:t>
                  </w:r>
                  <w:r>
                    <w:rPr>
                      <w:rFonts w:asciiTheme="majorHAnsi" w:hAnsiTheme="majorHAnsi" w:cs="Georgia"/>
                      <w:color w:val="000000"/>
                      <w:spacing w:val="-1"/>
                      <w:sz w:val="22"/>
                      <w:szCs w:val="22"/>
                    </w:rPr>
                    <w:t>la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z w:val="22"/>
                      <w:szCs w:val="22"/>
                    </w:rPr>
                    <w:t>e</w:t>
                  </w:r>
                  <w:r>
                    <w:rPr>
                      <w:rFonts w:asciiTheme="majorHAnsi" w:hAnsiTheme="majorHAnsi" w:cs="Georgia"/>
                      <w:color w:val="000000"/>
                      <w:spacing w:val="11"/>
                      <w:sz w:val="22"/>
                      <w:szCs w:val="22"/>
                    </w:rPr>
                    <w:t xml:space="preserve"> </w:t>
                  </w:r>
                  <w:r>
                    <w:rPr>
                      <w:rFonts w:asciiTheme="majorHAnsi" w:hAnsiTheme="majorHAnsi" w:cs="Georgia"/>
                      <w:color w:val="000000"/>
                      <w:sz w:val="22"/>
                      <w:szCs w:val="22"/>
                    </w:rPr>
                    <w:t>de</w:t>
                  </w:r>
                  <w:r>
                    <w:rPr>
                      <w:rFonts w:asciiTheme="majorHAnsi" w:hAnsiTheme="majorHAnsi" w:cs="Georgia"/>
                      <w:color w:val="000000"/>
                      <w:spacing w:val="8"/>
                      <w:sz w:val="22"/>
                      <w:szCs w:val="22"/>
                    </w:rPr>
                    <w:t xml:space="preserve"> </w:t>
                  </w:r>
                  <w:r>
                    <w:rPr>
                      <w:rFonts w:asciiTheme="majorHAnsi" w:hAnsiTheme="majorHAnsi" w:cs="Georgia"/>
                      <w:color w:val="000000"/>
                      <w:spacing w:val="1"/>
                      <w:sz w:val="22"/>
                      <w:szCs w:val="22"/>
                    </w:rPr>
                    <w:t>c</w:t>
                  </w:r>
                  <w:r>
                    <w:rPr>
                      <w:rFonts w:asciiTheme="majorHAnsi" w:hAnsiTheme="majorHAnsi" w:cs="Georgia"/>
                      <w:color w:val="000000"/>
                      <w:spacing w:val="-1"/>
                      <w:sz w:val="22"/>
                      <w:szCs w:val="22"/>
                    </w:rPr>
                    <w:t>la</w:t>
                  </w:r>
                  <w:r>
                    <w:rPr>
                      <w:rFonts w:asciiTheme="majorHAnsi" w:hAnsiTheme="majorHAnsi" w:cs="Georgia"/>
                      <w:color w:val="000000"/>
                      <w:spacing w:val="1"/>
                      <w:sz w:val="22"/>
                      <w:szCs w:val="22"/>
                    </w:rPr>
                    <w:t>ss</w:t>
                  </w:r>
                  <w:r>
                    <w:rPr>
                      <w:rFonts w:asciiTheme="majorHAnsi" w:hAnsiTheme="majorHAnsi" w:cs="Georgia"/>
                      <w:color w:val="000000"/>
                      <w:sz w:val="22"/>
                      <w:szCs w:val="22"/>
                    </w:rPr>
                    <w:t>e</w:t>
                  </w:r>
                  <w:r>
                    <w:rPr>
                      <w:rFonts w:asciiTheme="majorHAnsi" w:hAnsiTheme="majorHAnsi" w:cs="Georgia"/>
                      <w:color w:val="000000"/>
                      <w:spacing w:val="11"/>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é</w:t>
                  </w:r>
                  <w:r>
                    <w:rPr>
                      <w:rFonts w:asciiTheme="majorHAnsi" w:hAnsiTheme="majorHAnsi" w:cs="Georgia"/>
                      <w:color w:val="000000"/>
                      <w:sz w:val="22"/>
                      <w:szCs w:val="22"/>
                    </w:rPr>
                    <w:t>fi</w:t>
                  </w:r>
                  <w:r>
                    <w:rPr>
                      <w:rFonts w:asciiTheme="majorHAnsi" w:hAnsiTheme="majorHAnsi" w:cs="Georgia"/>
                      <w:color w:val="000000"/>
                      <w:spacing w:val="-1"/>
                      <w:sz w:val="22"/>
                      <w:szCs w:val="22"/>
                    </w:rPr>
                    <w:t>n</w:t>
                  </w:r>
                  <w:r>
                    <w:rPr>
                      <w:rFonts w:asciiTheme="majorHAnsi" w:hAnsiTheme="majorHAnsi" w:cs="Georgia"/>
                      <w:color w:val="000000"/>
                      <w:sz w:val="22"/>
                      <w:szCs w:val="22"/>
                    </w:rPr>
                    <w:t>i</w:t>
                  </w:r>
                  <w:r>
                    <w:rPr>
                      <w:rFonts w:asciiTheme="majorHAnsi" w:hAnsiTheme="majorHAnsi" w:cs="Georgia"/>
                      <w:color w:val="000000"/>
                      <w:spacing w:val="-2"/>
                      <w:sz w:val="22"/>
                      <w:szCs w:val="22"/>
                    </w:rPr>
                    <w:t>t</w:t>
                  </w:r>
                  <w:r>
                    <w:rPr>
                      <w:rFonts w:asciiTheme="majorHAnsi" w:hAnsiTheme="majorHAnsi" w:cs="Georgia"/>
                      <w:color w:val="000000"/>
                      <w:sz w:val="22"/>
                      <w:szCs w:val="22"/>
                    </w:rPr>
                    <w:t>if</w:t>
                  </w:r>
                  <w:r>
                    <w:rPr>
                      <w:rFonts w:asciiTheme="majorHAnsi" w:hAnsiTheme="majorHAnsi" w:cs="Georgia"/>
                      <w:color w:val="000000"/>
                      <w:spacing w:val="12"/>
                      <w:sz w:val="22"/>
                      <w:szCs w:val="22"/>
                    </w:rPr>
                    <w:t xml:space="preserve"> </w:t>
                  </w:r>
                  <w:r>
                    <w:rPr>
                      <w:rFonts w:asciiTheme="majorHAnsi" w:hAnsiTheme="majorHAnsi" w:cs="Georgia"/>
                      <w:color w:val="000000"/>
                      <w:spacing w:val="-2"/>
                      <w:sz w:val="22"/>
                      <w:szCs w:val="22"/>
                    </w:rPr>
                    <w:t>s</w:t>
                  </w:r>
                  <w:r>
                    <w:rPr>
                      <w:rFonts w:asciiTheme="majorHAnsi" w:hAnsiTheme="majorHAnsi" w:cs="Georgia"/>
                      <w:color w:val="000000"/>
                      <w:sz w:val="22"/>
                      <w:szCs w:val="22"/>
                    </w:rPr>
                    <w:t>i</w:t>
                  </w:r>
                  <w:r>
                    <w:rPr>
                      <w:rFonts w:asciiTheme="majorHAnsi" w:hAnsiTheme="majorHAnsi" w:cs="Georgia"/>
                      <w:color w:val="000000"/>
                      <w:spacing w:val="12"/>
                      <w:sz w:val="22"/>
                      <w:szCs w:val="22"/>
                    </w:rPr>
                    <w:t xml:space="preserve"> </w:t>
                  </w:r>
                  <w:r>
                    <w:rPr>
                      <w:rFonts w:asciiTheme="majorHAnsi" w:hAnsiTheme="majorHAnsi" w:cs="Georgia"/>
                      <w:color w:val="000000"/>
                      <w:spacing w:val="-1"/>
                      <w:sz w:val="22"/>
                      <w:szCs w:val="22"/>
                    </w:rPr>
                    <w:t>l</w:t>
                  </w:r>
                  <w:r>
                    <w:rPr>
                      <w:rFonts w:asciiTheme="majorHAnsi" w:hAnsiTheme="majorHAnsi" w:cs="Georgia"/>
                      <w:color w:val="000000"/>
                      <w:sz w:val="22"/>
                      <w:szCs w:val="22"/>
                    </w:rPr>
                    <w:t>e m</w:t>
                  </w:r>
                  <w:r>
                    <w:rPr>
                      <w:rFonts w:asciiTheme="majorHAnsi" w:hAnsiTheme="majorHAnsi" w:cs="Georgia"/>
                      <w:color w:val="000000"/>
                      <w:spacing w:val="-1"/>
                      <w:sz w:val="22"/>
                      <w:szCs w:val="22"/>
                    </w:rPr>
                    <w:t>a</w:t>
                  </w:r>
                  <w:r>
                    <w:rPr>
                      <w:rFonts w:asciiTheme="majorHAnsi" w:hAnsiTheme="majorHAnsi" w:cs="Georgia"/>
                      <w:color w:val="000000"/>
                      <w:sz w:val="22"/>
                      <w:szCs w:val="22"/>
                    </w:rPr>
                    <w:t>î</w:t>
                  </w:r>
                  <w:r>
                    <w:rPr>
                      <w:rFonts w:asciiTheme="majorHAnsi" w:hAnsiTheme="majorHAnsi" w:cs="Georgia"/>
                      <w:color w:val="000000"/>
                      <w:spacing w:val="1"/>
                      <w:sz w:val="22"/>
                      <w:szCs w:val="22"/>
                    </w:rPr>
                    <w:t>tr</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w:t>
                  </w:r>
                  <w:r>
                    <w:rPr>
                      <w:rFonts w:asciiTheme="majorHAnsi" w:hAnsiTheme="majorHAnsi" w:cs="Georgia"/>
                      <w:color w:val="000000"/>
                      <w:spacing w:val="-2"/>
                      <w:sz w:val="22"/>
                      <w:szCs w:val="22"/>
                    </w:rPr>
                    <w:t>s</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é</w:t>
                  </w:r>
                  <w:r>
                    <w:rPr>
                      <w:rFonts w:asciiTheme="majorHAnsi" w:hAnsiTheme="majorHAnsi" w:cs="Georgia"/>
                      <w:color w:val="000000"/>
                      <w:spacing w:val="1"/>
                      <w:sz w:val="22"/>
                      <w:szCs w:val="22"/>
                    </w:rPr>
                    <w:t>c</w:t>
                  </w:r>
                  <w:r>
                    <w:rPr>
                      <w:rFonts w:asciiTheme="majorHAnsi" w:hAnsiTheme="majorHAnsi" w:cs="Georgia"/>
                      <w:color w:val="000000"/>
                      <w:sz w:val="22"/>
                      <w:szCs w:val="22"/>
                    </w:rPr>
                    <w:t>i</w:t>
                  </w:r>
                  <w:r>
                    <w:rPr>
                      <w:rFonts w:asciiTheme="majorHAnsi" w:hAnsiTheme="majorHAnsi" w:cs="Georgia"/>
                      <w:color w:val="000000"/>
                      <w:spacing w:val="-1"/>
                      <w:sz w:val="22"/>
                      <w:szCs w:val="22"/>
                    </w:rPr>
                    <w:t>a</w:t>
                  </w:r>
                  <w:r>
                    <w:rPr>
                      <w:rFonts w:asciiTheme="majorHAnsi" w:hAnsiTheme="majorHAnsi" w:cs="Georgia"/>
                      <w:color w:val="000000"/>
                      <w:sz w:val="22"/>
                      <w:szCs w:val="22"/>
                    </w:rPr>
                    <w:t>l</w:t>
                  </w:r>
                  <w:r>
                    <w:rPr>
                      <w:rFonts w:asciiTheme="majorHAnsi" w:hAnsiTheme="majorHAnsi" w:cs="Georgia"/>
                      <w:color w:val="000000"/>
                      <w:spacing w:val="-1"/>
                      <w:sz w:val="22"/>
                      <w:szCs w:val="22"/>
                    </w:rPr>
                    <w:t xml:space="preserve"> </w:t>
                  </w:r>
                  <w:r>
                    <w:rPr>
                      <w:rFonts w:asciiTheme="majorHAnsi" w:hAnsiTheme="majorHAnsi" w:cs="Georgia"/>
                      <w:color w:val="000000"/>
                      <w:spacing w:val="1"/>
                      <w:sz w:val="22"/>
                      <w:szCs w:val="22"/>
                    </w:rPr>
                    <w:t>b</w:t>
                  </w:r>
                  <w:r>
                    <w:rPr>
                      <w:rFonts w:asciiTheme="majorHAnsi" w:hAnsiTheme="majorHAnsi" w:cs="Georgia"/>
                      <w:color w:val="000000"/>
                      <w:spacing w:val="-1"/>
                      <w:sz w:val="22"/>
                      <w:szCs w:val="22"/>
                    </w:rPr>
                    <w:t>éné</w:t>
                  </w:r>
                  <w:r>
                    <w:rPr>
                      <w:rFonts w:asciiTheme="majorHAnsi" w:hAnsiTheme="majorHAnsi" w:cs="Georgia"/>
                      <w:color w:val="000000"/>
                      <w:sz w:val="22"/>
                      <w:szCs w:val="22"/>
                    </w:rPr>
                    <w:t>fi</w:t>
                  </w:r>
                  <w:r>
                    <w:rPr>
                      <w:rFonts w:asciiTheme="majorHAnsi" w:hAnsiTheme="majorHAnsi" w:cs="Georgia"/>
                      <w:color w:val="000000"/>
                      <w:spacing w:val="1"/>
                      <w:sz w:val="22"/>
                      <w:szCs w:val="22"/>
                    </w:rPr>
                    <w:t>c</w:t>
                  </w:r>
                  <w:r>
                    <w:rPr>
                      <w:rFonts w:asciiTheme="majorHAnsi" w:hAnsiTheme="majorHAnsi" w:cs="Georgia"/>
                      <w:color w:val="000000"/>
                      <w:sz w:val="22"/>
                      <w:szCs w:val="22"/>
                    </w:rPr>
                    <w:t>i</w:t>
                  </w:r>
                  <w:r>
                    <w:rPr>
                      <w:rFonts w:asciiTheme="majorHAnsi" w:hAnsiTheme="majorHAnsi" w:cs="Georgia"/>
                      <w:color w:val="000000"/>
                      <w:spacing w:val="-1"/>
                      <w:sz w:val="22"/>
                      <w:szCs w:val="22"/>
                    </w:rPr>
                    <w:t>a</w:t>
                  </w:r>
                  <w:r>
                    <w:rPr>
                      <w:rFonts w:asciiTheme="majorHAnsi" w:hAnsiTheme="majorHAnsi" w:cs="Georgia"/>
                      <w:color w:val="000000"/>
                      <w:sz w:val="22"/>
                      <w:szCs w:val="22"/>
                    </w:rPr>
                    <w:t>i</w:t>
                  </w:r>
                  <w:r>
                    <w:rPr>
                      <w:rFonts w:asciiTheme="majorHAnsi" w:hAnsiTheme="majorHAnsi" w:cs="Georgia"/>
                      <w:color w:val="000000"/>
                      <w:spacing w:val="-2"/>
                      <w:sz w:val="22"/>
                      <w:szCs w:val="22"/>
                    </w:rPr>
                    <w:t>r</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e</w:t>
                  </w:r>
                  <w:r>
                    <w:rPr>
                      <w:rFonts w:asciiTheme="majorHAnsi" w:hAnsiTheme="majorHAnsi" w:cs="Georgia"/>
                      <w:color w:val="000000"/>
                      <w:spacing w:val="1"/>
                      <w:sz w:val="22"/>
                      <w:szCs w:val="22"/>
                    </w:rPr>
                    <w:t>s</w:t>
                  </w:r>
                  <w:r>
                    <w:rPr>
                      <w:rFonts w:asciiTheme="majorHAnsi" w:hAnsiTheme="majorHAnsi" w:cs="Georgia"/>
                      <w:color w:val="000000"/>
                      <w:sz w:val="22"/>
                      <w:szCs w:val="22"/>
                    </w:rPr>
                    <w:t xml:space="preserve">t </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w:t>
                  </w:r>
                  <w:r>
                    <w:rPr>
                      <w:rFonts w:asciiTheme="majorHAnsi" w:hAnsiTheme="majorHAnsi" w:cs="Georgia"/>
                      <w:color w:val="000000"/>
                      <w:sz w:val="22"/>
                      <w:szCs w:val="22"/>
                    </w:rPr>
                    <w:t>m</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z w:val="22"/>
                      <w:szCs w:val="22"/>
                    </w:rPr>
                    <w:t>.</w:t>
                  </w:r>
                </w:p>
                <w:p>
                  <w:pPr>
                    <w:pStyle w:val="Paragraphedeliste"/>
                    <w:widowControl w:val="0"/>
                    <w:tabs>
                      <w:tab w:val="left" w:pos="1134"/>
                    </w:tabs>
                    <w:autoSpaceDE w:val="0"/>
                    <w:autoSpaceDN w:val="0"/>
                    <w:adjustRightInd w:val="0"/>
                    <w:ind w:left="567"/>
                    <w:jc w:val="both"/>
                    <w:rPr>
                      <w:rFonts w:asciiTheme="majorHAnsi" w:hAnsiTheme="majorHAnsi" w:cs="Georgia"/>
                      <w:color w:val="000000"/>
                      <w:sz w:val="22"/>
                      <w:szCs w:val="22"/>
                    </w:rPr>
                  </w:pPr>
                </w:p>
                <w:p>
                  <w:pPr>
                    <w:pStyle w:val="Paragraphedeliste"/>
                    <w:widowControl w:val="0"/>
                    <w:numPr>
                      <w:ilvl w:val="0"/>
                      <w:numId w:val="25"/>
                    </w:numPr>
                    <w:tabs>
                      <w:tab w:val="left" w:pos="1134"/>
                    </w:tabs>
                    <w:autoSpaceDE w:val="0"/>
                    <w:autoSpaceDN w:val="0"/>
                    <w:adjustRightInd w:val="0"/>
                    <w:spacing w:line="250" w:lineRule="exact"/>
                    <w:ind w:left="567"/>
                    <w:jc w:val="both"/>
                    <w:rPr>
                      <w:rFonts w:asciiTheme="majorHAnsi" w:hAnsiTheme="majorHAnsi" w:cs="Georgia"/>
                      <w:color w:val="000000"/>
                      <w:sz w:val="22"/>
                      <w:szCs w:val="22"/>
                    </w:rPr>
                  </w:pPr>
                  <w:r>
                    <w:rPr>
                      <w:rFonts w:asciiTheme="majorHAnsi" w:hAnsiTheme="majorHAnsi" w:cs="Georgia"/>
                      <w:color w:val="000000"/>
                      <w:spacing w:val="1"/>
                      <w:sz w:val="22"/>
                      <w:szCs w:val="22"/>
                    </w:rPr>
                    <w:t>L</w:t>
                  </w:r>
                  <w:r>
                    <w:rPr>
                      <w:rFonts w:asciiTheme="majorHAnsi" w:hAnsiTheme="majorHAnsi" w:cs="Georgia"/>
                      <w:color w:val="000000"/>
                      <w:sz w:val="22"/>
                      <w:szCs w:val="22"/>
                    </w:rPr>
                    <w:t>a</w:t>
                  </w:r>
                  <w:r>
                    <w:rPr>
                      <w:rFonts w:asciiTheme="majorHAnsi" w:hAnsiTheme="majorHAnsi" w:cs="Georgia"/>
                      <w:color w:val="000000"/>
                      <w:spacing w:val="23"/>
                      <w:sz w:val="22"/>
                      <w:szCs w:val="22"/>
                    </w:rPr>
                    <w:t xml:space="preserve"> </w:t>
                  </w:r>
                  <w:r>
                    <w:rPr>
                      <w:rFonts w:asciiTheme="majorHAnsi" w:hAnsiTheme="majorHAnsi" w:cs="Georgia"/>
                      <w:color w:val="000000"/>
                      <w:sz w:val="22"/>
                      <w:szCs w:val="22"/>
                    </w:rPr>
                    <w:t>m</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s</w:t>
                  </w:r>
                  <w:r>
                    <w:rPr>
                      <w:rFonts w:asciiTheme="majorHAnsi" w:hAnsiTheme="majorHAnsi" w:cs="Georgia"/>
                      <w:color w:val="000000"/>
                      <w:sz w:val="22"/>
                      <w:szCs w:val="22"/>
                    </w:rPr>
                    <w:t>e</w:t>
                  </w:r>
                  <w:r>
                    <w:rPr>
                      <w:rFonts w:asciiTheme="majorHAnsi" w:hAnsiTheme="majorHAnsi" w:cs="Georgia"/>
                      <w:color w:val="000000"/>
                      <w:spacing w:val="23"/>
                      <w:sz w:val="22"/>
                      <w:szCs w:val="22"/>
                    </w:rPr>
                    <w:t xml:space="preserve"> </w:t>
                  </w:r>
                  <w:r>
                    <w:rPr>
                      <w:rFonts w:asciiTheme="majorHAnsi" w:hAnsiTheme="majorHAnsi" w:cs="Georgia"/>
                      <w:color w:val="000000"/>
                      <w:spacing w:val="-1"/>
                      <w:sz w:val="22"/>
                      <w:szCs w:val="22"/>
                    </w:rPr>
                    <w:t>e</w:t>
                  </w:r>
                  <w:r>
                    <w:rPr>
                      <w:rFonts w:asciiTheme="majorHAnsi" w:hAnsiTheme="majorHAnsi" w:cs="Georgia"/>
                      <w:color w:val="000000"/>
                      <w:sz w:val="22"/>
                      <w:szCs w:val="22"/>
                    </w:rPr>
                    <w:t>n</w:t>
                  </w:r>
                  <w:r>
                    <w:rPr>
                      <w:rFonts w:asciiTheme="majorHAnsi" w:hAnsiTheme="majorHAnsi" w:cs="Georgia"/>
                      <w:color w:val="000000"/>
                      <w:spacing w:val="23"/>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s</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b</w:t>
                  </w:r>
                  <w:r>
                    <w:rPr>
                      <w:rFonts w:asciiTheme="majorHAnsi" w:hAnsiTheme="majorHAnsi" w:cs="Georgia"/>
                      <w:color w:val="000000"/>
                      <w:sz w:val="22"/>
                      <w:szCs w:val="22"/>
                    </w:rPr>
                    <w:t>i</w:t>
                  </w:r>
                  <w:r>
                    <w:rPr>
                      <w:rFonts w:asciiTheme="majorHAnsi" w:hAnsiTheme="majorHAnsi" w:cs="Georgia"/>
                      <w:color w:val="000000"/>
                      <w:spacing w:val="-1"/>
                      <w:sz w:val="22"/>
                      <w:szCs w:val="22"/>
                    </w:rPr>
                    <w:t>l</w:t>
                  </w:r>
                  <w:r>
                    <w:rPr>
                      <w:rFonts w:asciiTheme="majorHAnsi" w:hAnsiTheme="majorHAnsi" w:cs="Georgia"/>
                      <w:color w:val="000000"/>
                      <w:sz w:val="22"/>
                      <w:szCs w:val="22"/>
                    </w:rPr>
                    <w:t>i</w:t>
                  </w:r>
                  <w:r>
                    <w:rPr>
                      <w:rFonts w:asciiTheme="majorHAnsi" w:hAnsiTheme="majorHAnsi" w:cs="Georgia"/>
                      <w:color w:val="000000"/>
                      <w:spacing w:val="1"/>
                      <w:sz w:val="22"/>
                      <w:szCs w:val="22"/>
                    </w:rPr>
                    <w:t>t</w:t>
                  </w:r>
                  <w:r>
                    <w:rPr>
                      <w:rFonts w:asciiTheme="majorHAnsi" w:hAnsiTheme="majorHAnsi" w:cs="Georgia"/>
                      <w:color w:val="000000"/>
                      <w:sz w:val="22"/>
                      <w:szCs w:val="22"/>
                    </w:rPr>
                    <w:t>é</w:t>
                  </w:r>
                  <w:r>
                    <w:rPr>
                      <w:rFonts w:asciiTheme="majorHAnsi" w:hAnsiTheme="majorHAnsi" w:cs="Georgia"/>
                      <w:color w:val="000000"/>
                      <w:spacing w:val="20"/>
                      <w:sz w:val="22"/>
                      <w:szCs w:val="22"/>
                    </w:rPr>
                    <w:t xml:space="preserve"> </w:t>
                  </w:r>
                  <w:r>
                    <w:rPr>
                      <w:rFonts w:asciiTheme="majorHAnsi" w:hAnsiTheme="majorHAnsi" w:cs="Georgia"/>
                      <w:color w:val="000000"/>
                      <w:spacing w:val="1"/>
                      <w:sz w:val="22"/>
                      <w:szCs w:val="22"/>
                    </w:rPr>
                    <w:t>o</w:t>
                  </w:r>
                  <w:r>
                    <w:rPr>
                      <w:rFonts w:asciiTheme="majorHAnsi" w:hAnsiTheme="majorHAnsi" w:cs="Georgia"/>
                      <w:color w:val="000000"/>
                      <w:sz w:val="22"/>
                      <w:szCs w:val="22"/>
                    </w:rPr>
                    <w:t>u</w:t>
                  </w:r>
                  <w:r>
                    <w:rPr>
                      <w:rFonts w:asciiTheme="majorHAnsi" w:hAnsiTheme="majorHAnsi" w:cs="Georgia"/>
                      <w:color w:val="000000"/>
                      <w:spacing w:val="22"/>
                      <w:sz w:val="22"/>
                      <w:szCs w:val="22"/>
                    </w:rPr>
                    <w:t xml:space="preserve"> </w:t>
                  </w:r>
                  <w:r>
                    <w:rPr>
                      <w:rFonts w:asciiTheme="majorHAnsi" w:hAnsiTheme="majorHAnsi" w:cs="Georgia"/>
                      <w:color w:val="000000"/>
                      <w:sz w:val="22"/>
                      <w:szCs w:val="22"/>
                    </w:rPr>
                    <w:t>u</w:t>
                  </w:r>
                  <w:r>
                    <w:rPr>
                      <w:rFonts w:asciiTheme="majorHAnsi" w:hAnsiTheme="majorHAnsi" w:cs="Georgia"/>
                      <w:color w:val="000000"/>
                      <w:spacing w:val="-1"/>
                      <w:sz w:val="22"/>
                      <w:szCs w:val="22"/>
                    </w:rPr>
                    <w:t>n</w:t>
                  </w:r>
                  <w:r>
                    <w:rPr>
                      <w:rFonts w:asciiTheme="majorHAnsi" w:hAnsiTheme="majorHAnsi" w:cs="Georgia"/>
                      <w:color w:val="000000"/>
                      <w:sz w:val="22"/>
                      <w:szCs w:val="22"/>
                    </w:rPr>
                    <w:t>e</w:t>
                  </w:r>
                  <w:r>
                    <w:rPr>
                      <w:rFonts w:asciiTheme="majorHAnsi" w:hAnsiTheme="majorHAnsi" w:cs="Georgia"/>
                      <w:color w:val="000000"/>
                      <w:spacing w:val="23"/>
                      <w:sz w:val="22"/>
                      <w:szCs w:val="22"/>
                    </w:rPr>
                    <w:t xml:space="preserve"> </w:t>
                  </w:r>
                  <w:r>
                    <w:rPr>
                      <w:rFonts w:asciiTheme="majorHAnsi" w:hAnsiTheme="majorHAnsi" w:cs="Georgia"/>
                      <w:color w:val="000000"/>
                      <w:spacing w:val="-2"/>
                      <w:sz w:val="22"/>
                      <w:szCs w:val="22"/>
                    </w:rPr>
                    <w:t>d</w:t>
                  </w:r>
                  <w:r>
                    <w:rPr>
                      <w:rFonts w:asciiTheme="majorHAnsi" w:hAnsiTheme="majorHAnsi" w:cs="Georgia"/>
                      <w:color w:val="000000"/>
                      <w:sz w:val="22"/>
                      <w:szCs w:val="22"/>
                    </w:rPr>
                    <w:t>imi</w:t>
                  </w:r>
                  <w:r>
                    <w:rPr>
                      <w:rFonts w:asciiTheme="majorHAnsi" w:hAnsiTheme="majorHAnsi" w:cs="Georgia"/>
                      <w:color w:val="000000"/>
                      <w:spacing w:val="-1"/>
                      <w:sz w:val="22"/>
                      <w:szCs w:val="22"/>
                    </w:rPr>
                    <w:t>n</w:t>
                  </w:r>
                  <w:r>
                    <w:rPr>
                      <w:rFonts w:asciiTheme="majorHAnsi" w:hAnsiTheme="majorHAnsi" w:cs="Georgia"/>
                      <w:color w:val="000000"/>
                      <w:sz w:val="22"/>
                      <w:szCs w:val="22"/>
                    </w:rPr>
                    <w:t>u</w:t>
                  </w:r>
                  <w:r>
                    <w:rPr>
                      <w:rFonts w:asciiTheme="majorHAnsi" w:hAnsiTheme="majorHAnsi" w:cs="Georgia"/>
                      <w:color w:val="000000"/>
                      <w:spacing w:val="-2"/>
                      <w:sz w:val="22"/>
                      <w:szCs w:val="22"/>
                    </w:rPr>
                    <w:t>t</w:t>
                  </w:r>
                  <w:r>
                    <w:rPr>
                      <w:rFonts w:asciiTheme="majorHAnsi" w:hAnsiTheme="majorHAnsi" w:cs="Georgia"/>
                      <w:color w:val="000000"/>
                      <w:sz w:val="22"/>
                      <w:szCs w:val="22"/>
                    </w:rPr>
                    <w:t>i</w:t>
                  </w:r>
                  <w:r>
                    <w:rPr>
                      <w:rFonts w:asciiTheme="majorHAnsi" w:hAnsiTheme="majorHAnsi" w:cs="Georgia"/>
                      <w:color w:val="000000"/>
                      <w:spacing w:val="1"/>
                      <w:sz w:val="22"/>
                      <w:szCs w:val="22"/>
                    </w:rPr>
                    <w:t>o</w:t>
                  </w:r>
                  <w:r>
                    <w:rPr>
                      <w:rFonts w:asciiTheme="majorHAnsi" w:hAnsiTheme="majorHAnsi" w:cs="Georgia"/>
                      <w:color w:val="000000"/>
                      <w:sz w:val="22"/>
                      <w:szCs w:val="22"/>
                    </w:rPr>
                    <w:t>n</w:t>
                  </w:r>
                  <w:r>
                    <w:rPr>
                      <w:rFonts w:asciiTheme="majorHAnsi" w:hAnsiTheme="majorHAnsi" w:cs="Georgia"/>
                      <w:color w:val="000000"/>
                      <w:spacing w:val="21"/>
                      <w:sz w:val="22"/>
                      <w:szCs w:val="22"/>
                    </w:rPr>
                    <w:t xml:space="preserve"> </w:t>
                  </w:r>
                  <w:r>
                    <w:rPr>
                      <w:rFonts w:asciiTheme="majorHAnsi" w:hAnsiTheme="majorHAnsi" w:cs="Georgia"/>
                      <w:color w:val="000000"/>
                      <w:sz w:val="22"/>
                      <w:szCs w:val="22"/>
                    </w:rPr>
                    <w:t>de</w:t>
                  </w:r>
                  <w:r>
                    <w:rPr>
                      <w:rFonts w:asciiTheme="majorHAnsi" w:hAnsiTheme="majorHAnsi" w:cs="Georgia"/>
                      <w:color w:val="000000"/>
                      <w:spacing w:val="23"/>
                      <w:sz w:val="22"/>
                      <w:szCs w:val="22"/>
                    </w:rPr>
                    <w:t xml:space="preserve"> </w:t>
                  </w:r>
                  <w:r>
                    <w:rPr>
                      <w:rFonts w:asciiTheme="majorHAnsi" w:hAnsiTheme="majorHAnsi" w:cs="Georgia"/>
                      <w:color w:val="000000"/>
                      <w:spacing w:val="-2"/>
                      <w:sz w:val="22"/>
                      <w:szCs w:val="22"/>
                    </w:rPr>
                    <w:t>c</w:t>
                  </w:r>
                  <w:r>
                    <w:rPr>
                      <w:rFonts w:asciiTheme="majorHAnsi" w:hAnsiTheme="majorHAnsi" w:cs="Georgia"/>
                      <w:color w:val="000000"/>
                      <w:spacing w:val="1"/>
                      <w:sz w:val="22"/>
                      <w:szCs w:val="22"/>
                    </w:rPr>
                    <w:t>h</w:t>
                  </w:r>
                  <w:r>
                    <w:rPr>
                      <w:rFonts w:asciiTheme="majorHAnsi" w:hAnsiTheme="majorHAnsi" w:cs="Georgia"/>
                      <w:color w:val="000000"/>
                      <w:spacing w:val="-1"/>
                      <w:sz w:val="22"/>
                      <w:szCs w:val="22"/>
                    </w:rPr>
                    <w:t>a</w:t>
                  </w:r>
                  <w:r>
                    <w:rPr>
                      <w:rFonts w:asciiTheme="majorHAnsi" w:hAnsiTheme="majorHAnsi" w:cs="Georgia"/>
                      <w:color w:val="000000"/>
                      <w:spacing w:val="1"/>
                      <w:sz w:val="22"/>
                      <w:szCs w:val="22"/>
                    </w:rPr>
                    <w:t>r</w:t>
                  </w:r>
                  <w:r>
                    <w:rPr>
                      <w:rFonts w:asciiTheme="majorHAnsi" w:hAnsiTheme="majorHAnsi" w:cs="Georgia"/>
                      <w:color w:val="000000"/>
                      <w:sz w:val="22"/>
                      <w:szCs w:val="22"/>
                    </w:rPr>
                    <w:t>ge</w:t>
                  </w:r>
                  <w:r>
                    <w:rPr>
                      <w:rFonts w:asciiTheme="majorHAnsi" w:hAnsiTheme="majorHAnsi" w:cs="Georgia"/>
                      <w:color w:val="000000"/>
                      <w:spacing w:val="20"/>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w:t>
                  </w:r>
                  <w:r>
                    <w:rPr>
                      <w:rFonts w:asciiTheme="majorHAnsi" w:hAnsiTheme="majorHAnsi" w:cs="Georgia"/>
                      <w:color w:val="000000"/>
                      <w:sz w:val="22"/>
                      <w:szCs w:val="22"/>
                    </w:rPr>
                    <w:t>un</w:t>
                  </w:r>
                  <w:r>
                    <w:rPr>
                      <w:rFonts w:asciiTheme="majorHAnsi" w:hAnsiTheme="majorHAnsi" w:cs="Georgia"/>
                      <w:color w:val="000000"/>
                      <w:spacing w:val="21"/>
                      <w:sz w:val="22"/>
                      <w:szCs w:val="22"/>
                    </w:rPr>
                    <w:t xml:space="preserve"> </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2"/>
                      <w:sz w:val="22"/>
                      <w:szCs w:val="22"/>
                    </w:rPr>
                    <w:t>t</w:t>
                  </w:r>
                  <w:r>
                    <w:rPr>
                      <w:rFonts w:asciiTheme="majorHAnsi" w:hAnsiTheme="majorHAnsi" w:cs="Georgia"/>
                      <w:color w:val="000000"/>
                      <w:sz w:val="22"/>
                      <w:szCs w:val="22"/>
                    </w:rPr>
                    <w:t>u</w:t>
                  </w:r>
                  <w:r>
                    <w:rPr>
                      <w:rFonts w:asciiTheme="majorHAnsi" w:hAnsiTheme="majorHAnsi" w:cs="Georgia"/>
                      <w:color w:val="000000"/>
                      <w:spacing w:val="-1"/>
                      <w:sz w:val="22"/>
                      <w:szCs w:val="22"/>
                    </w:rPr>
                    <w:t>la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z w:val="22"/>
                      <w:szCs w:val="22"/>
                    </w:rPr>
                    <w:t>e</w:t>
                  </w:r>
                  <w:r>
                    <w:rPr>
                      <w:rFonts w:asciiTheme="majorHAnsi" w:hAnsiTheme="majorHAnsi" w:cs="Georgia"/>
                      <w:color w:val="000000"/>
                      <w:spacing w:val="23"/>
                      <w:sz w:val="22"/>
                      <w:szCs w:val="22"/>
                    </w:rPr>
                    <w:t xml:space="preserve"> </w:t>
                  </w:r>
                  <w:r>
                    <w:rPr>
                      <w:rFonts w:asciiTheme="majorHAnsi" w:hAnsiTheme="majorHAnsi" w:cs="Georgia"/>
                      <w:color w:val="000000"/>
                      <w:sz w:val="22"/>
                      <w:szCs w:val="22"/>
                    </w:rPr>
                    <w:t>de</w:t>
                  </w:r>
                  <w:r>
                    <w:rPr>
                      <w:rFonts w:asciiTheme="majorHAnsi" w:hAnsiTheme="majorHAnsi" w:cs="Georgia"/>
                      <w:color w:val="000000"/>
                      <w:spacing w:val="20"/>
                      <w:sz w:val="22"/>
                      <w:szCs w:val="22"/>
                    </w:rPr>
                    <w:t xml:space="preserve"> </w:t>
                  </w:r>
                  <w:r>
                    <w:rPr>
                      <w:rFonts w:asciiTheme="majorHAnsi" w:hAnsiTheme="majorHAnsi" w:cs="Georgia"/>
                      <w:color w:val="000000"/>
                      <w:spacing w:val="1"/>
                      <w:sz w:val="22"/>
                      <w:szCs w:val="22"/>
                    </w:rPr>
                    <w:t>c</w:t>
                  </w:r>
                  <w:r>
                    <w:rPr>
                      <w:rFonts w:asciiTheme="majorHAnsi" w:hAnsiTheme="majorHAnsi" w:cs="Georgia"/>
                      <w:color w:val="000000"/>
                      <w:spacing w:val="-3"/>
                      <w:sz w:val="22"/>
                      <w:szCs w:val="22"/>
                    </w:rPr>
                    <w:t>l</w:t>
                  </w:r>
                  <w:r>
                    <w:rPr>
                      <w:rFonts w:asciiTheme="majorHAnsi" w:hAnsiTheme="majorHAnsi" w:cs="Georgia"/>
                      <w:color w:val="000000"/>
                      <w:spacing w:val="-1"/>
                      <w:sz w:val="22"/>
                      <w:szCs w:val="22"/>
                    </w:rPr>
                    <w:t>a</w:t>
                  </w:r>
                  <w:r>
                    <w:rPr>
                      <w:rFonts w:asciiTheme="majorHAnsi" w:hAnsiTheme="majorHAnsi" w:cs="Georgia"/>
                      <w:color w:val="000000"/>
                      <w:spacing w:val="1"/>
                      <w:sz w:val="22"/>
                      <w:szCs w:val="22"/>
                    </w:rPr>
                    <w:t>ss</w:t>
                  </w:r>
                  <w:r>
                    <w:rPr>
                      <w:rFonts w:asciiTheme="majorHAnsi" w:hAnsiTheme="majorHAnsi" w:cs="Georgia"/>
                      <w:color w:val="000000"/>
                      <w:sz w:val="22"/>
                      <w:szCs w:val="22"/>
                    </w:rPr>
                    <w:t>e</w:t>
                  </w:r>
                  <w:r>
                    <w:rPr>
                      <w:rFonts w:asciiTheme="majorHAnsi" w:hAnsiTheme="majorHAnsi" w:cs="Georgia"/>
                      <w:color w:val="000000"/>
                      <w:spacing w:val="23"/>
                      <w:sz w:val="22"/>
                      <w:szCs w:val="22"/>
                    </w:rPr>
                    <w:t xml:space="preserve"> </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w:t>
                  </w:r>
                  <w:r>
                    <w:rPr>
                      <w:rFonts w:asciiTheme="majorHAnsi" w:hAnsiTheme="majorHAnsi" w:cs="Georgia"/>
                      <w:color w:val="000000"/>
                      <w:spacing w:val="-3"/>
                      <w:sz w:val="22"/>
                      <w:szCs w:val="22"/>
                    </w:rPr>
                    <w:t>m</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z w:val="22"/>
                      <w:szCs w:val="22"/>
                    </w:rPr>
                    <w:t xml:space="preserve">e </w:t>
                  </w:r>
                  <w:r>
                    <w:rPr>
                      <w:rFonts w:asciiTheme="majorHAnsi" w:hAnsiTheme="majorHAnsi" w:cs="Georgia"/>
                      <w:color w:val="000000"/>
                      <w:spacing w:val="1"/>
                      <w:sz w:val="22"/>
                      <w:szCs w:val="22"/>
                    </w:rPr>
                    <w:t>pr</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or</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w:t>
                  </w:r>
                  <w:r>
                    <w:rPr>
                      <w:rFonts w:asciiTheme="majorHAnsi" w:hAnsiTheme="majorHAnsi" w:cs="Georgia"/>
                      <w:color w:val="000000"/>
                      <w:spacing w:val="1"/>
                      <w:sz w:val="22"/>
                      <w:szCs w:val="22"/>
                    </w:rPr>
                    <w:t>s</w:t>
                  </w:r>
                  <w:r>
                    <w:rPr>
                      <w:rFonts w:asciiTheme="majorHAnsi" w:hAnsiTheme="majorHAnsi" w:cs="Georgia"/>
                      <w:color w:val="000000"/>
                      <w:sz w:val="22"/>
                      <w:szCs w:val="22"/>
                    </w:rPr>
                    <w:t xml:space="preserve">i </w:t>
                  </w:r>
                  <w:r>
                    <w:rPr>
                      <w:rFonts w:asciiTheme="majorHAnsi" w:hAnsiTheme="majorHAnsi" w:cs="Georgia"/>
                      <w:color w:val="000000"/>
                      <w:spacing w:val="-1"/>
                      <w:sz w:val="22"/>
                      <w:szCs w:val="22"/>
                    </w:rPr>
                    <w:t>l</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w:t>
                  </w:r>
                  <w:r>
                    <w:rPr>
                      <w:rFonts w:asciiTheme="majorHAnsi" w:hAnsiTheme="majorHAnsi" w:cs="Georgia"/>
                      <w:color w:val="000000"/>
                      <w:sz w:val="22"/>
                      <w:szCs w:val="22"/>
                    </w:rPr>
                    <w:t>m</w:t>
                  </w:r>
                  <w:r>
                    <w:rPr>
                      <w:rFonts w:asciiTheme="majorHAnsi" w:hAnsiTheme="majorHAnsi" w:cs="Georgia"/>
                      <w:color w:val="000000"/>
                      <w:spacing w:val="-1"/>
                      <w:sz w:val="22"/>
                      <w:szCs w:val="22"/>
                    </w:rPr>
                    <w:t>a</w:t>
                  </w:r>
                  <w:r>
                    <w:rPr>
                      <w:rFonts w:asciiTheme="majorHAnsi" w:hAnsiTheme="majorHAnsi" w:cs="Georgia"/>
                      <w:color w:val="000000"/>
                      <w:sz w:val="22"/>
                      <w:szCs w:val="22"/>
                    </w:rPr>
                    <w:t>î</w:t>
                  </w:r>
                  <w:r>
                    <w:rPr>
                      <w:rFonts w:asciiTheme="majorHAnsi" w:hAnsiTheme="majorHAnsi" w:cs="Georgia"/>
                      <w:color w:val="000000"/>
                      <w:spacing w:val="1"/>
                      <w:sz w:val="22"/>
                      <w:szCs w:val="22"/>
                    </w:rPr>
                    <w:t>tr</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w:t>
                  </w:r>
                  <w:r>
                    <w:rPr>
                      <w:rFonts w:asciiTheme="majorHAnsi" w:hAnsiTheme="majorHAnsi" w:cs="Georgia"/>
                      <w:color w:val="000000"/>
                      <w:spacing w:val="-2"/>
                      <w:sz w:val="22"/>
                      <w:szCs w:val="22"/>
                    </w:rPr>
                    <w:t>s</w:t>
                  </w:r>
                  <w:r>
                    <w:rPr>
                      <w:rFonts w:asciiTheme="majorHAnsi" w:hAnsiTheme="majorHAnsi" w:cs="Georgia"/>
                      <w:color w:val="000000"/>
                      <w:spacing w:val="-1"/>
                      <w:sz w:val="22"/>
                      <w:szCs w:val="22"/>
                    </w:rPr>
                    <w:t>pé</w:t>
                  </w:r>
                  <w:r>
                    <w:rPr>
                      <w:rFonts w:asciiTheme="majorHAnsi" w:hAnsiTheme="majorHAnsi" w:cs="Georgia"/>
                      <w:color w:val="000000"/>
                      <w:spacing w:val="1"/>
                      <w:sz w:val="22"/>
                      <w:szCs w:val="22"/>
                    </w:rPr>
                    <w:t>c</w:t>
                  </w:r>
                  <w:r>
                    <w:rPr>
                      <w:rFonts w:asciiTheme="majorHAnsi" w:hAnsiTheme="majorHAnsi" w:cs="Georgia"/>
                      <w:color w:val="000000"/>
                      <w:sz w:val="22"/>
                      <w:szCs w:val="22"/>
                    </w:rPr>
                    <w:t>i</w:t>
                  </w:r>
                  <w:r>
                    <w:rPr>
                      <w:rFonts w:asciiTheme="majorHAnsi" w:hAnsiTheme="majorHAnsi" w:cs="Georgia"/>
                      <w:color w:val="000000"/>
                      <w:spacing w:val="-1"/>
                      <w:sz w:val="22"/>
                      <w:szCs w:val="22"/>
                    </w:rPr>
                    <w:t>a</w:t>
                  </w:r>
                  <w:r>
                    <w:rPr>
                      <w:rFonts w:asciiTheme="majorHAnsi" w:hAnsiTheme="majorHAnsi" w:cs="Georgia"/>
                      <w:color w:val="000000"/>
                      <w:sz w:val="22"/>
                      <w:szCs w:val="22"/>
                    </w:rPr>
                    <w:t>l</w:t>
                  </w:r>
                  <w:r>
                    <w:rPr>
                      <w:rFonts w:asciiTheme="majorHAnsi" w:hAnsiTheme="majorHAnsi" w:cs="Georgia"/>
                      <w:color w:val="000000"/>
                      <w:spacing w:val="-1"/>
                      <w:sz w:val="22"/>
                      <w:szCs w:val="22"/>
                    </w:rPr>
                    <w:t xml:space="preserve"> </w:t>
                  </w:r>
                  <w:r>
                    <w:rPr>
                      <w:rFonts w:asciiTheme="majorHAnsi" w:hAnsiTheme="majorHAnsi" w:cs="Georgia"/>
                      <w:color w:val="000000"/>
                      <w:spacing w:val="1"/>
                      <w:sz w:val="22"/>
                      <w:szCs w:val="22"/>
                    </w:rPr>
                    <w:t>b</w:t>
                  </w:r>
                  <w:r>
                    <w:rPr>
                      <w:rFonts w:asciiTheme="majorHAnsi" w:hAnsiTheme="majorHAnsi" w:cs="Georgia"/>
                      <w:color w:val="000000"/>
                      <w:spacing w:val="-1"/>
                      <w:sz w:val="22"/>
                      <w:szCs w:val="22"/>
                    </w:rPr>
                    <w:t>éné</w:t>
                  </w:r>
                  <w:r>
                    <w:rPr>
                      <w:rFonts w:asciiTheme="majorHAnsi" w:hAnsiTheme="majorHAnsi" w:cs="Georgia"/>
                      <w:color w:val="000000"/>
                      <w:sz w:val="22"/>
                      <w:szCs w:val="22"/>
                    </w:rPr>
                    <w:t>fi</w:t>
                  </w:r>
                  <w:r>
                    <w:rPr>
                      <w:rFonts w:asciiTheme="majorHAnsi" w:hAnsiTheme="majorHAnsi" w:cs="Georgia"/>
                      <w:color w:val="000000"/>
                      <w:spacing w:val="1"/>
                      <w:sz w:val="22"/>
                      <w:szCs w:val="22"/>
                    </w:rPr>
                    <w:t>c</w:t>
                  </w:r>
                  <w:r>
                    <w:rPr>
                      <w:rFonts w:asciiTheme="majorHAnsi" w:hAnsiTheme="majorHAnsi" w:cs="Georgia"/>
                      <w:color w:val="000000"/>
                      <w:sz w:val="22"/>
                      <w:szCs w:val="22"/>
                    </w:rPr>
                    <w:t>i</w:t>
                  </w:r>
                  <w:r>
                    <w:rPr>
                      <w:rFonts w:asciiTheme="majorHAnsi" w:hAnsiTheme="majorHAnsi" w:cs="Georgia"/>
                      <w:color w:val="000000"/>
                      <w:spacing w:val="-1"/>
                      <w:sz w:val="22"/>
                      <w:szCs w:val="22"/>
                    </w:rPr>
                    <w:t>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e</w:t>
                  </w:r>
                  <w:r>
                    <w:rPr>
                      <w:rFonts w:asciiTheme="majorHAnsi" w:hAnsiTheme="majorHAnsi" w:cs="Georgia"/>
                      <w:color w:val="000000"/>
                      <w:spacing w:val="1"/>
                      <w:sz w:val="22"/>
                      <w:szCs w:val="22"/>
                    </w:rPr>
                    <w:t>s</w:t>
                  </w:r>
                  <w:r>
                    <w:rPr>
                      <w:rFonts w:asciiTheme="majorHAnsi" w:hAnsiTheme="majorHAnsi" w:cs="Georgia"/>
                      <w:color w:val="000000"/>
                      <w:sz w:val="22"/>
                      <w:szCs w:val="22"/>
                    </w:rPr>
                    <w:t xml:space="preserve">t </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w:t>
                  </w:r>
                  <w:r>
                    <w:rPr>
                      <w:rFonts w:asciiTheme="majorHAnsi" w:hAnsiTheme="majorHAnsi" w:cs="Georgia"/>
                      <w:color w:val="000000"/>
                      <w:spacing w:val="-3"/>
                      <w:sz w:val="22"/>
                      <w:szCs w:val="22"/>
                    </w:rPr>
                    <w:t>m</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z w:val="22"/>
                      <w:szCs w:val="22"/>
                    </w:rPr>
                    <w:t>.</w:t>
                  </w:r>
                </w:p>
                <w:p>
                  <w:pPr>
                    <w:widowControl w:val="0"/>
                    <w:autoSpaceDE w:val="0"/>
                    <w:autoSpaceDN w:val="0"/>
                    <w:adjustRightInd w:val="0"/>
                    <w:rPr>
                      <w:rFonts w:cs="Georgia"/>
                      <w:color w:val="000000"/>
                    </w:rPr>
                  </w:pPr>
                </w:p>
                <w:p>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both"/>
                    <w:rPr>
                      <w:rFonts w:cs="Georgia"/>
                      <w:color w:val="000000"/>
                    </w:rPr>
                  </w:pPr>
                  <w:r>
                    <w:rPr>
                      <w:rFonts w:cs="Georgia"/>
                      <w:b/>
                      <w:bCs/>
                      <w:color w:val="000000"/>
                      <w:spacing w:val="-1"/>
                      <w:u w:val="single"/>
                    </w:rPr>
                    <w:t>R</w:t>
                  </w:r>
                  <w:r>
                    <w:rPr>
                      <w:rFonts w:cs="Georgia"/>
                      <w:b/>
                      <w:bCs/>
                      <w:color w:val="000000"/>
                      <w:spacing w:val="1"/>
                      <w:u w:val="single"/>
                    </w:rPr>
                    <w:t>e</w:t>
                  </w:r>
                  <w:r>
                    <w:rPr>
                      <w:rFonts w:cs="Georgia"/>
                      <w:b/>
                      <w:bCs/>
                      <w:color w:val="000000"/>
                      <w:spacing w:val="-1"/>
                      <w:u w:val="single"/>
                    </w:rPr>
                    <w:t>m</w:t>
                  </w:r>
                  <w:r>
                    <w:rPr>
                      <w:rFonts w:cs="Georgia"/>
                      <w:b/>
                      <w:bCs/>
                      <w:color w:val="000000"/>
                      <w:u w:val="single"/>
                    </w:rPr>
                    <w:t>a</w:t>
                  </w:r>
                  <w:r>
                    <w:rPr>
                      <w:rFonts w:cs="Georgia"/>
                      <w:b/>
                      <w:bCs/>
                      <w:color w:val="000000"/>
                      <w:spacing w:val="-2"/>
                      <w:u w:val="single"/>
                    </w:rPr>
                    <w:t>r</w:t>
                  </w:r>
                  <w:r>
                    <w:rPr>
                      <w:rFonts w:cs="Georgia"/>
                      <w:b/>
                      <w:bCs/>
                      <w:color w:val="000000"/>
                      <w:spacing w:val="1"/>
                      <w:u w:val="single"/>
                    </w:rPr>
                    <w:t>q</w:t>
                  </w:r>
                  <w:r>
                    <w:rPr>
                      <w:rFonts w:cs="Georgia"/>
                      <w:b/>
                      <w:bCs/>
                      <w:color w:val="000000"/>
                      <w:spacing w:val="-1"/>
                      <w:u w:val="single"/>
                    </w:rPr>
                    <w:t>u</w:t>
                  </w:r>
                  <w:r>
                    <w:rPr>
                      <w:rFonts w:cs="Georgia"/>
                      <w:b/>
                      <w:bCs/>
                      <w:color w:val="000000"/>
                      <w:u w:val="single"/>
                    </w:rPr>
                    <w:t>e :</w:t>
                  </w:r>
                  <w:r>
                    <w:rPr>
                      <w:rFonts w:cs="Georgia"/>
                      <w:b/>
                      <w:bCs/>
                      <w:color w:val="000000"/>
                      <w:spacing w:val="31"/>
                    </w:rPr>
                    <w:t xml:space="preserve"> </w:t>
                  </w:r>
                  <w:r>
                    <w:rPr>
                      <w:rFonts w:cs="Georgia"/>
                      <w:bCs/>
                      <w:color w:val="000000"/>
                      <w:spacing w:val="1"/>
                    </w:rPr>
                    <w:t>e</w:t>
                  </w:r>
                  <w:r>
                    <w:rPr>
                      <w:rFonts w:cs="Georgia"/>
                      <w:bCs/>
                      <w:color w:val="000000"/>
                    </w:rPr>
                    <w:t>n</w:t>
                  </w:r>
                  <w:r>
                    <w:rPr>
                      <w:rFonts w:cs="Georgia"/>
                      <w:bCs/>
                      <w:color w:val="000000"/>
                      <w:spacing w:val="29"/>
                    </w:rPr>
                    <w:t xml:space="preserve"> </w:t>
                  </w:r>
                  <w:r>
                    <w:rPr>
                      <w:rFonts w:cs="Georgia"/>
                      <w:bCs/>
                      <w:color w:val="000000"/>
                    </w:rPr>
                    <w:t>r</w:t>
                  </w:r>
                  <w:r>
                    <w:rPr>
                      <w:rFonts w:cs="Georgia"/>
                      <w:bCs/>
                      <w:color w:val="000000"/>
                      <w:spacing w:val="-2"/>
                    </w:rPr>
                    <w:t>è</w:t>
                  </w:r>
                  <w:r>
                    <w:rPr>
                      <w:rFonts w:cs="Georgia"/>
                      <w:bCs/>
                      <w:color w:val="000000"/>
                    </w:rPr>
                    <w:t>g</w:t>
                  </w:r>
                  <w:r>
                    <w:rPr>
                      <w:rFonts w:cs="Georgia"/>
                      <w:bCs/>
                      <w:color w:val="000000"/>
                      <w:spacing w:val="-2"/>
                    </w:rPr>
                    <w:t>l</w:t>
                  </w:r>
                  <w:r>
                    <w:rPr>
                      <w:rFonts w:cs="Georgia"/>
                      <w:bCs/>
                      <w:color w:val="000000"/>
                    </w:rPr>
                    <w:t>e</w:t>
                  </w:r>
                  <w:r>
                    <w:rPr>
                      <w:rFonts w:cs="Georgia"/>
                      <w:bCs/>
                      <w:color w:val="000000"/>
                      <w:spacing w:val="32"/>
                    </w:rPr>
                    <w:t xml:space="preserve"> </w:t>
                  </w:r>
                  <w:r>
                    <w:rPr>
                      <w:rFonts w:cs="Georgia"/>
                      <w:bCs/>
                      <w:color w:val="000000"/>
                    </w:rPr>
                    <w:t>g</w:t>
                  </w:r>
                  <w:r>
                    <w:rPr>
                      <w:rFonts w:cs="Georgia"/>
                      <w:bCs/>
                      <w:color w:val="000000"/>
                      <w:spacing w:val="1"/>
                    </w:rPr>
                    <w:t>é</w:t>
                  </w:r>
                  <w:r>
                    <w:rPr>
                      <w:rFonts w:cs="Georgia"/>
                      <w:bCs/>
                      <w:color w:val="000000"/>
                      <w:spacing w:val="-1"/>
                    </w:rPr>
                    <w:t>n</w:t>
                  </w:r>
                  <w:r>
                    <w:rPr>
                      <w:rFonts w:cs="Georgia"/>
                      <w:bCs/>
                      <w:color w:val="000000"/>
                      <w:spacing w:val="1"/>
                    </w:rPr>
                    <w:t>é</w:t>
                  </w:r>
                  <w:r>
                    <w:rPr>
                      <w:rFonts w:cs="Georgia"/>
                      <w:bCs/>
                      <w:color w:val="000000"/>
                      <w:spacing w:val="-2"/>
                    </w:rPr>
                    <w:t>r</w:t>
                  </w:r>
                  <w:r>
                    <w:rPr>
                      <w:rFonts w:cs="Georgia"/>
                      <w:bCs/>
                      <w:color w:val="000000"/>
                    </w:rPr>
                    <w:t>a</w:t>
                  </w:r>
                  <w:r>
                    <w:rPr>
                      <w:rFonts w:cs="Georgia"/>
                      <w:bCs/>
                      <w:color w:val="000000"/>
                      <w:spacing w:val="-2"/>
                    </w:rPr>
                    <w:t>l</w:t>
                  </w:r>
                  <w:r>
                    <w:rPr>
                      <w:rFonts w:cs="Georgia"/>
                      <w:bCs/>
                      <w:color w:val="000000"/>
                      <w:spacing w:val="1"/>
                    </w:rPr>
                    <w:t>e</w:t>
                  </w:r>
                  <w:r>
                    <w:rPr>
                      <w:rFonts w:cs="Georgia"/>
                      <w:bCs/>
                      <w:color w:val="000000"/>
                    </w:rPr>
                    <w:t>,</w:t>
                  </w:r>
                  <w:r>
                    <w:rPr>
                      <w:rFonts w:cs="Georgia"/>
                      <w:bCs/>
                      <w:color w:val="000000"/>
                      <w:spacing w:val="30"/>
                    </w:rPr>
                    <w:t xml:space="preserve"> </w:t>
                  </w:r>
                  <w:r>
                    <w:rPr>
                      <w:rFonts w:cs="Georgia"/>
                      <w:bCs/>
                      <w:color w:val="000000"/>
                      <w:spacing w:val="1"/>
                    </w:rPr>
                    <w:t>p</w:t>
                  </w:r>
                  <w:r>
                    <w:rPr>
                      <w:rFonts w:cs="Georgia"/>
                      <w:bCs/>
                      <w:color w:val="000000"/>
                      <w:spacing w:val="-1"/>
                    </w:rPr>
                    <w:t>ou</w:t>
                  </w:r>
                  <w:r>
                    <w:rPr>
                      <w:rFonts w:cs="Georgia"/>
                      <w:bCs/>
                      <w:color w:val="000000"/>
                    </w:rPr>
                    <w:t>r</w:t>
                  </w:r>
                  <w:r>
                    <w:rPr>
                      <w:rFonts w:cs="Georgia"/>
                      <w:bCs/>
                      <w:color w:val="000000"/>
                      <w:spacing w:val="31"/>
                    </w:rPr>
                    <w:t xml:space="preserve"> </w:t>
                  </w:r>
                  <w:r>
                    <w:rPr>
                      <w:rFonts w:cs="Georgia"/>
                      <w:bCs/>
                      <w:color w:val="000000"/>
                      <w:spacing w:val="1"/>
                    </w:rPr>
                    <w:t>t</w:t>
                  </w:r>
                  <w:r>
                    <w:rPr>
                      <w:rFonts w:cs="Georgia"/>
                      <w:bCs/>
                      <w:color w:val="000000"/>
                      <w:spacing w:val="-1"/>
                    </w:rPr>
                    <w:t>ou</w:t>
                  </w:r>
                  <w:r>
                    <w:rPr>
                      <w:rFonts w:cs="Georgia"/>
                      <w:bCs/>
                      <w:color w:val="000000"/>
                    </w:rPr>
                    <w:t>s</w:t>
                  </w:r>
                  <w:r>
                    <w:rPr>
                      <w:rFonts w:cs="Georgia"/>
                      <w:bCs/>
                      <w:color w:val="000000"/>
                      <w:spacing w:val="30"/>
                    </w:rPr>
                    <w:t xml:space="preserve"> </w:t>
                  </w:r>
                  <w:r>
                    <w:rPr>
                      <w:rFonts w:cs="Georgia"/>
                      <w:bCs/>
                      <w:color w:val="000000"/>
                      <w:spacing w:val="-2"/>
                    </w:rPr>
                    <w:t>l</w:t>
                  </w:r>
                  <w:r>
                    <w:rPr>
                      <w:rFonts w:cs="Georgia"/>
                      <w:bCs/>
                      <w:color w:val="000000"/>
                      <w:spacing w:val="1"/>
                    </w:rPr>
                    <w:t>e</w:t>
                  </w:r>
                  <w:r>
                    <w:rPr>
                      <w:rFonts w:cs="Georgia"/>
                      <w:bCs/>
                      <w:color w:val="000000"/>
                    </w:rPr>
                    <w:t>s</w:t>
                  </w:r>
                  <w:r>
                    <w:rPr>
                      <w:rFonts w:cs="Georgia"/>
                      <w:bCs/>
                      <w:color w:val="000000"/>
                      <w:spacing w:val="33"/>
                    </w:rPr>
                    <w:t xml:space="preserve"> </w:t>
                  </w:r>
                  <w:r>
                    <w:rPr>
                      <w:rFonts w:cs="Georgia"/>
                      <w:bCs/>
                      <w:color w:val="000000"/>
                      <w:spacing w:val="-2"/>
                    </w:rPr>
                    <w:t>r</w:t>
                  </w:r>
                  <w:r>
                    <w:rPr>
                      <w:rFonts w:cs="Georgia"/>
                      <w:bCs/>
                      <w:color w:val="000000"/>
                      <w:spacing w:val="1"/>
                    </w:rPr>
                    <w:t>é</w:t>
                  </w:r>
                  <w:r>
                    <w:rPr>
                      <w:rFonts w:cs="Georgia"/>
                      <w:bCs/>
                      <w:color w:val="000000"/>
                      <w:spacing w:val="-3"/>
                    </w:rPr>
                    <w:t>s</w:t>
                  </w:r>
                  <w:r>
                    <w:rPr>
                      <w:rFonts w:cs="Georgia"/>
                      <w:bCs/>
                      <w:color w:val="000000"/>
                      <w:spacing w:val="1"/>
                    </w:rPr>
                    <w:t>e</w:t>
                  </w:r>
                  <w:r>
                    <w:rPr>
                      <w:rFonts w:cs="Georgia"/>
                      <w:bCs/>
                      <w:color w:val="000000"/>
                    </w:rPr>
                    <w:t>a</w:t>
                  </w:r>
                  <w:r>
                    <w:rPr>
                      <w:rFonts w:cs="Georgia"/>
                      <w:bCs/>
                      <w:color w:val="000000"/>
                      <w:spacing w:val="-1"/>
                    </w:rPr>
                    <w:t>u</w:t>
                  </w:r>
                  <w:r>
                    <w:rPr>
                      <w:rFonts w:cs="Georgia"/>
                      <w:bCs/>
                      <w:color w:val="000000"/>
                    </w:rPr>
                    <w:t>x,</w:t>
                  </w:r>
                  <w:r>
                    <w:rPr>
                      <w:rFonts w:cs="Georgia"/>
                      <w:bCs/>
                      <w:color w:val="000000"/>
                      <w:spacing w:val="33"/>
                    </w:rPr>
                    <w:t xml:space="preserve"> </w:t>
                  </w:r>
                  <w:r>
                    <w:rPr>
                      <w:rFonts w:cs="Georgia"/>
                      <w:bCs/>
                      <w:color w:val="000000"/>
                      <w:spacing w:val="-1"/>
                    </w:rPr>
                    <w:t>u</w:t>
                  </w:r>
                  <w:r>
                    <w:rPr>
                      <w:rFonts w:cs="Georgia"/>
                      <w:bCs/>
                      <w:color w:val="000000"/>
                      <w:spacing w:val="-4"/>
                    </w:rPr>
                    <w:t>n</w:t>
                  </w:r>
                  <w:r>
                    <w:rPr>
                      <w:rFonts w:cs="Georgia"/>
                      <w:bCs/>
                      <w:color w:val="000000"/>
                    </w:rPr>
                    <w:t>e</w:t>
                  </w:r>
                  <w:r>
                    <w:rPr>
                      <w:rFonts w:cs="Georgia"/>
                      <w:bCs/>
                      <w:color w:val="000000"/>
                      <w:spacing w:val="34"/>
                    </w:rPr>
                    <w:t xml:space="preserve"> </w:t>
                  </w:r>
                  <w:r>
                    <w:rPr>
                      <w:rFonts w:cs="Georgia"/>
                      <w:bCs/>
                      <w:color w:val="000000"/>
                      <w:spacing w:val="-1"/>
                    </w:rPr>
                    <w:t>mo</w:t>
                  </w:r>
                  <w:r>
                    <w:rPr>
                      <w:rFonts w:cs="Georgia"/>
                      <w:bCs/>
                      <w:color w:val="000000"/>
                      <w:spacing w:val="-2"/>
                    </w:rPr>
                    <w:t>d</w:t>
                  </w:r>
                  <w:r>
                    <w:rPr>
                      <w:rFonts w:cs="Georgia"/>
                      <w:bCs/>
                      <w:color w:val="000000"/>
                      <w:spacing w:val="1"/>
                    </w:rPr>
                    <w:t>i</w:t>
                  </w:r>
                  <w:r>
                    <w:rPr>
                      <w:rFonts w:cs="Georgia"/>
                      <w:bCs/>
                      <w:color w:val="000000"/>
                    </w:rPr>
                    <w:t>f</w:t>
                  </w:r>
                  <w:r>
                    <w:rPr>
                      <w:rFonts w:cs="Georgia"/>
                      <w:bCs/>
                      <w:color w:val="000000"/>
                      <w:spacing w:val="1"/>
                    </w:rPr>
                    <w:t>i</w:t>
                  </w:r>
                  <w:r>
                    <w:rPr>
                      <w:rFonts w:cs="Georgia"/>
                      <w:bCs/>
                      <w:color w:val="000000"/>
                      <w:spacing w:val="-2"/>
                    </w:rPr>
                    <w:t>c</w:t>
                  </w:r>
                  <w:r>
                    <w:rPr>
                      <w:rFonts w:cs="Georgia"/>
                      <w:bCs/>
                      <w:color w:val="000000"/>
                    </w:rPr>
                    <w:t>a</w:t>
                  </w:r>
                  <w:r>
                    <w:rPr>
                      <w:rFonts w:cs="Georgia"/>
                      <w:bCs/>
                      <w:color w:val="000000"/>
                      <w:spacing w:val="-1"/>
                    </w:rPr>
                    <w:t>t</w:t>
                  </w:r>
                  <w:r>
                    <w:rPr>
                      <w:rFonts w:cs="Georgia"/>
                      <w:bCs/>
                      <w:color w:val="000000"/>
                      <w:spacing w:val="1"/>
                    </w:rPr>
                    <w:t>i</w:t>
                  </w:r>
                  <w:r>
                    <w:rPr>
                      <w:rFonts w:cs="Georgia"/>
                      <w:bCs/>
                      <w:color w:val="000000"/>
                      <w:spacing w:val="-1"/>
                    </w:rPr>
                    <w:t>o</w:t>
                  </w:r>
                  <w:r>
                    <w:rPr>
                      <w:rFonts w:cs="Georgia"/>
                      <w:bCs/>
                      <w:color w:val="000000"/>
                    </w:rPr>
                    <w:t>n</w:t>
                  </w:r>
                  <w:r>
                    <w:rPr>
                      <w:rFonts w:cs="Georgia"/>
                      <w:bCs/>
                      <w:color w:val="000000"/>
                      <w:spacing w:val="32"/>
                    </w:rPr>
                    <w:t xml:space="preserve"> </w:t>
                  </w:r>
                  <w:r>
                    <w:rPr>
                      <w:rFonts w:cs="Georgia"/>
                      <w:bCs/>
                      <w:color w:val="000000"/>
                      <w:spacing w:val="-2"/>
                    </w:rPr>
                    <w:t>d</w:t>
                  </w:r>
                  <w:r>
                    <w:rPr>
                      <w:rFonts w:cs="Georgia"/>
                      <w:bCs/>
                      <w:color w:val="000000"/>
                    </w:rPr>
                    <w:t>e</w:t>
                  </w:r>
                  <w:r>
                    <w:rPr>
                      <w:rFonts w:cs="Georgia"/>
                      <w:bCs/>
                      <w:color w:val="000000"/>
                      <w:spacing w:val="32"/>
                    </w:rPr>
                    <w:t xml:space="preserve"> </w:t>
                  </w:r>
                  <w:r>
                    <w:rPr>
                      <w:rFonts w:cs="Georgia"/>
                      <w:bCs/>
                      <w:color w:val="000000"/>
                      <w:spacing w:val="1"/>
                    </w:rPr>
                    <w:t>l</w:t>
                  </w:r>
                  <w:r>
                    <w:rPr>
                      <w:rFonts w:cs="Georgia"/>
                      <w:bCs/>
                      <w:color w:val="000000"/>
                    </w:rPr>
                    <w:t>a</w:t>
                  </w:r>
                  <w:r>
                    <w:rPr>
                      <w:rFonts w:cs="Georgia"/>
                      <w:bCs/>
                      <w:color w:val="000000"/>
                      <w:spacing w:val="31"/>
                    </w:rPr>
                    <w:t xml:space="preserve"> </w:t>
                  </w:r>
                  <w:r>
                    <w:rPr>
                      <w:rFonts w:cs="Georgia"/>
                      <w:bCs/>
                      <w:color w:val="000000"/>
                    </w:rPr>
                    <w:t>g</w:t>
                  </w:r>
                  <w:r>
                    <w:rPr>
                      <w:rFonts w:cs="Georgia"/>
                      <w:bCs/>
                      <w:color w:val="000000"/>
                      <w:spacing w:val="-2"/>
                    </w:rPr>
                    <w:t>r</w:t>
                  </w:r>
                  <w:r>
                    <w:rPr>
                      <w:rFonts w:cs="Georgia"/>
                      <w:bCs/>
                      <w:color w:val="000000"/>
                      <w:spacing w:val="1"/>
                    </w:rPr>
                    <w:t>il</w:t>
                  </w:r>
                  <w:r>
                    <w:rPr>
                      <w:rFonts w:cs="Georgia"/>
                      <w:bCs/>
                      <w:color w:val="000000"/>
                      <w:spacing w:val="-2"/>
                    </w:rPr>
                    <w:t>l</w:t>
                  </w:r>
                  <w:r>
                    <w:rPr>
                      <w:rFonts w:cs="Georgia"/>
                      <w:bCs/>
                      <w:color w:val="000000"/>
                    </w:rPr>
                    <w:t>e-</w:t>
                  </w:r>
                  <w:r>
                    <w:rPr>
                      <w:rFonts w:cs="Georgia"/>
                      <w:bCs/>
                      <w:color w:val="000000"/>
                      <w:spacing w:val="1"/>
                    </w:rPr>
                    <w:t>h</w:t>
                  </w:r>
                  <w:r>
                    <w:rPr>
                      <w:rFonts w:cs="Georgia"/>
                      <w:bCs/>
                      <w:color w:val="000000"/>
                      <w:spacing w:val="-1"/>
                    </w:rPr>
                    <w:t>o</w:t>
                  </w:r>
                  <w:r>
                    <w:rPr>
                      <w:rFonts w:cs="Georgia"/>
                      <w:bCs/>
                      <w:color w:val="000000"/>
                    </w:rPr>
                    <w:t>r</w:t>
                  </w:r>
                  <w:r>
                    <w:rPr>
                      <w:rFonts w:cs="Georgia"/>
                      <w:bCs/>
                      <w:color w:val="000000"/>
                      <w:spacing w:val="-2"/>
                    </w:rPr>
                    <w:t>a</w:t>
                  </w:r>
                  <w:r>
                    <w:rPr>
                      <w:rFonts w:cs="Georgia"/>
                      <w:bCs/>
                      <w:color w:val="000000"/>
                      <w:spacing w:val="1"/>
                    </w:rPr>
                    <w:t>i</w:t>
                  </w:r>
                  <w:r>
                    <w:rPr>
                      <w:rFonts w:cs="Georgia"/>
                      <w:bCs/>
                      <w:color w:val="000000"/>
                      <w:spacing w:val="-2"/>
                    </w:rPr>
                    <w:t>r</w:t>
                  </w:r>
                  <w:r>
                    <w:rPr>
                      <w:rFonts w:cs="Georgia"/>
                      <w:bCs/>
                      <w:color w:val="000000"/>
                    </w:rPr>
                    <w:t>e</w:t>
                  </w:r>
                  <w:r>
                    <w:rPr>
                      <w:rFonts w:cs="Georgia"/>
                      <w:bCs/>
                      <w:color w:val="000000"/>
                      <w:spacing w:val="1"/>
                    </w:rPr>
                    <w:t xml:space="preserve"> p</w:t>
                  </w:r>
                  <w:r>
                    <w:rPr>
                      <w:rFonts w:cs="Georgia"/>
                      <w:bCs/>
                      <w:color w:val="000000"/>
                    </w:rPr>
                    <w:t>ar</w:t>
                  </w:r>
                  <w:r>
                    <w:rPr>
                      <w:rFonts w:cs="Georgia"/>
                      <w:bCs/>
                      <w:color w:val="000000"/>
                      <w:spacing w:val="1"/>
                    </w:rPr>
                    <w:t xml:space="preserve"> </w:t>
                  </w:r>
                  <w:r>
                    <w:rPr>
                      <w:rFonts w:cs="Georgia"/>
                      <w:bCs/>
                      <w:color w:val="000000"/>
                      <w:spacing w:val="-2"/>
                    </w:rPr>
                    <w:t>l</w:t>
                  </w:r>
                  <w:r>
                    <w:rPr>
                      <w:rFonts w:cs="Georgia"/>
                      <w:bCs/>
                      <w:color w:val="000000"/>
                    </w:rPr>
                    <w:t>e</w:t>
                  </w:r>
                  <w:r>
                    <w:rPr>
                      <w:rFonts w:cs="Georgia"/>
                      <w:bCs/>
                      <w:color w:val="000000"/>
                      <w:spacing w:val="1"/>
                    </w:rPr>
                    <w:t xml:space="preserve"> P</w:t>
                  </w:r>
                  <w:r>
                    <w:rPr>
                      <w:rFonts w:cs="Georgia"/>
                      <w:bCs/>
                      <w:color w:val="000000"/>
                    </w:rPr>
                    <w:t>O</w:t>
                  </w:r>
                  <w:r>
                    <w:rPr>
                      <w:rFonts w:cs="Georgia"/>
                      <w:bCs/>
                      <w:color w:val="000000"/>
                      <w:spacing w:val="2"/>
                    </w:rPr>
                    <w:t xml:space="preserve"> </w:t>
                  </w:r>
                  <w:r>
                    <w:rPr>
                      <w:rFonts w:cs="Georgia"/>
                      <w:bCs/>
                      <w:color w:val="000000"/>
                      <w:spacing w:val="-1"/>
                    </w:rPr>
                    <w:t>n</w:t>
                  </w:r>
                  <w:r>
                    <w:rPr>
                      <w:rFonts w:cs="Georgia"/>
                      <w:bCs/>
                      <w:color w:val="000000"/>
                    </w:rPr>
                    <w:t>e</w:t>
                  </w:r>
                  <w:r>
                    <w:rPr>
                      <w:rFonts w:cs="Georgia"/>
                      <w:bCs/>
                      <w:color w:val="000000"/>
                      <w:spacing w:val="1"/>
                    </w:rPr>
                    <w:t xml:space="preserve"> </w:t>
                  </w:r>
                  <w:r>
                    <w:rPr>
                      <w:rFonts w:cs="Georgia"/>
                      <w:bCs/>
                      <w:color w:val="000000"/>
                      <w:spacing w:val="-1"/>
                    </w:rPr>
                    <w:t>p</w:t>
                  </w:r>
                  <w:r>
                    <w:rPr>
                      <w:rFonts w:cs="Georgia"/>
                      <w:bCs/>
                      <w:color w:val="000000"/>
                      <w:spacing w:val="1"/>
                    </w:rPr>
                    <w:t>e</w:t>
                  </w:r>
                  <w:r>
                    <w:rPr>
                      <w:rFonts w:cs="Georgia"/>
                      <w:bCs/>
                      <w:color w:val="000000"/>
                      <w:spacing w:val="-1"/>
                    </w:rPr>
                    <w:t>u</w:t>
                  </w:r>
                  <w:r>
                    <w:rPr>
                      <w:rFonts w:cs="Georgia"/>
                      <w:bCs/>
                      <w:color w:val="000000"/>
                    </w:rPr>
                    <w:t>t</w:t>
                  </w:r>
                  <w:r>
                    <w:rPr>
                      <w:rFonts w:cs="Georgia"/>
                      <w:bCs/>
                      <w:color w:val="000000"/>
                      <w:spacing w:val="1"/>
                    </w:rPr>
                    <w:t xml:space="preserve"> </w:t>
                  </w:r>
                  <w:r>
                    <w:rPr>
                      <w:rFonts w:cs="Georgia"/>
                      <w:bCs/>
                      <w:color w:val="000000"/>
                    </w:rPr>
                    <w:t>av</w:t>
                  </w:r>
                  <w:r>
                    <w:rPr>
                      <w:rFonts w:cs="Georgia"/>
                      <w:bCs/>
                      <w:color w:val="000000"/>
                      <w:spacing w:val="-1"/>
                    </w:rPr>
                    <w:t>o</w:t>
                  </w:r>
                  <w:r>
                    <w:rPr>
                      <w:rFonts w:cs="Georgia"/>
                      <w:bCs/>
                      <w:color w:val="000000"/>
                      <w:spacing w:val="1"/>
                    </w:rPr>
                    <w:t>i</w:t>
                  </w:r>
                  <w:r>
                    <w:rPr>
                      <w:rFonts w:cs="Georgia"/>
                      <w:bCs/>
                      <w:color w:val="000000"/>
                    </w:rPr>
                    <w:t>r</w:t>
                  </w:r>
                  <w:r>
                    <w:rPr>
                      <w:rFonts w:cs="Georgia"/>
                      <w:bCs/>
                      <w:color w:val="000000"/>
                      <w:spacing w:val="1"/>
                    </w:rPr>
                    <w:t xml:space="preserve"> p</w:t>
                  </w:r>
                  <w:r>
                    <w:rPr>
                      <w:rFonts w:cs="Georgia"/>
                      <w:bCs/>
                      <w:color w:val="000000"/>
                      <w:spacing w:val="-1"/>
                    </w:rPr>
                    <w:t>ou</w:t>
                  </w:r>
                  <w:r>
                    <w:rPr>
                      <w:rFonts w:cs="Georgia"/>
                      <w:bCs/>
                      <w:color w:val="000000"/>
                    </w:rPr>
                    <w:t>r</w:t>
                  </w:r>
                  <w:r>
                    <w:rPr>
                      <w:rFonts w:cs="Georgia"/>
                      <w:bCs/>
                      <w:color w:val="000000"/>
                      <w:spacing w:val="1"/>
                    </w:rPr>
                    <w:t xml:space="preserve"> </w:t>
                  </w:r>
                  <w:r>
                    <w:rPr>
                      <w:rFonts w:cs="Georgia"/>
                      <w:bCs/>
                      <w:color w:val="000000"/>
                    </w:rPr>
                    <w:t>c</w:t>
                  </w:r>
                  <w:r>
                    <w:rPr>
                      <w:rFonts w:cs="Georgia"/>
                      <w:bCs/>
                      <w:color w:val="000000"/>
                      <w:spacing w:val="-1"/>
                    </w:rPr>
                    <w:t>on</w:t>
                  </w:r>
                  <w:r>
                    <w:rPr>
                      <w:rFonts w:cs="Georgia"/>
                      <w:bCs/>
                      <w:color w:val="000000"/>
                    </w:rPr>
                    <w:t>s</w:t>
                  </w:r>
                  <w:r>
                    <w:rPr>
                      <w:rFonts w:cs="Georgia"/>
                      <w:bCs/>
                      <w:color w:val="000000"/>
                      <w:spacing w:val="1"/>
                    </w:rPr>
                    <w:t>éq</w:t>
                  </w:r>
                  <w:r>
                    <w:rPr>
                      <w:rFonts w:cs="Georgia"/>
                      <w:bCs/>
                      <w:color w:val="000000"/>
                      <w:spacing w:val="-3"/>
                    </w:rPr>
                    <w:t>u</w:t>
                  </w:r>
                  <w:r>
                    <w:rPr>
                      <w:rFonts w:cs="Georgia"/>
                      <w:bCs/>
                      <w:color w:val="000000"/>
                      <w:spacing w:val="1"/>
                    </w:rPr>
                    <w:t>e</w:t>
                  </w:r>
                  <w:r>
                    <w:rPr>
                      <w:rFonts w:cs="Georgia"/>
                      <w:bCs/>
                      <w:color w:val="000000"/>
                      <w:spacing w:val="-1"/>
                    </w:rPr>
                    <w:t>n</w:t>
                  </w:r>
                  <w:r>
                    <w:rPr>
                      <w:rFonts w:cs="Georgia"/>
                      <w:bCs/>
                      <w:color w:val="000000"/>
                    </w:rPr>
                    <w:t>c</w:t>
                  </w:r>
                  <w:r>
                    <w:rPr>
                      <w:rFonts w:cs="Georgia"/>
                      <w:bCs/>
                      <w:color w:val="000000"/>
                      <w:spacing w:val="1"/>
                    </w:rPr>
                    <w:t>e</w:t>
                  </w:r>
                  <w:r>
                    <w:rPr>
                      <w:rFonts w:cs="Georgia"/>
                      <w:bCs/>
                      <w:color w:val="000000"/>
                    </w:rPr>
                    <w:t xml:space="preserve">, </w:t>
                  </w:r>
                  <w:r>
                    <w:rPr>
                      <w:rFonts w:cs="Georgia"/>
                      <w:bCs/>
                      <w:color w:val="000000"/>
                      <w:spacing w:val="1"/>
                    </w:rPr>
                    <w:t>l</w:t>
                  </w:r>
                  <w:r>
                    <w:rPr>
                      <w:rFonts w:cs="Georgia"/>
                      <w:bCs/>
                      <w:color w:val="000000"/>
                    </w:rPr>
                    <w:t>a</w:t>
                  </w:r>
                  <w:r>
                    <w:rPr>
                      <w:rFonts w:cs="Georgia"/>
                      <w:bCs/>
                      <w:color w:val="000000"/>
                      <w:spacing w:val="1"/>
                    </w:rPr>
                    <w:t xml:space="preserve"> </w:t>
                  </w:r>
                  <w:r>
                    <w:rPr>
                      <w:rFonts w:cs="Georgia"/>
                      <w:bCs/>
                      <w:color w:val="000000"/>
                      <w:spacing w:val="-1"/>
                    </w:rPr>
                    <w:t>m</w:t>
                  </w:r>
                  <w:r>
                    <w:rPr>
                      <w:rFonts w:cs="Georgia"/>
                      <w:bCs/>
                      <w:color w:val="000000"/>
                      <w:spacing w:val="1"/>
                    </w:rPr>
                    <w:t>i</w:t>
                  </w:r>
                  <w:r>
                    <w:rPr>
                      <w:rFonts w:cs="Georgia"/>
                      <w:bCs/>
                      <w:color w:val="000000"/>
                      <w:spacing w:val="-3"/>
                    </w:rPr>
                    <w:t>s</w:t>
                  </w:r>
                  <w:r>
                    <w:rPr>
                      <w:rFonts w:cs="Georgia"/>
                      <w:bCs/>
                      <w:color w:val="000000"/>
                    </w:rPr>
                    <w:t>e</w:t>
                  </w:r>
                  <w:r>
                    <w:rPr>
                      <w:rFonts w:cs="Georgia"/>
                      <w:bCs/>
                      <w:color w:val="000000"/>
                      <w:spacing w:val="1"/>
                    </w:rPr>
                    <w:t xml:space="preserve"> e</w:t>
                  </w:r>
                  <w:r>
                    <w:rPr>
                      <w:rFonts w:cs="Georgia"/>
                      <w:bCs/>
                      <w:color w:val="000000"/>
                    </w:rPr>
                    <w:t>n</w:t>
                  </w:r>
                  <w:r>
                    <w:rPr>
                      <w:rFonts w:cs="Georgia"/>
                      <w:bCs/>
                      <w:color w:val="000000"/>
                      <w:spacing w:val="2"/>
                    </w:rPr>
                    <w:t xml:space="preserve"> </w:t>
                  </w:r>
                  <w:r>
                    <w:rPr>
                      <w:rFonts w:cs="Georgia"/>
                      <w:bCs/>
                      <w:color w:val="000000"/>
                    </w:rPr>
                    <w:t>d</w:t>
                  </w:r>
                  <w:r>
                    <w:rPr>
                      <w:rFonts w:cs="Georgia"/>
                      <w:bCs/>
                      <w:color w:val="000000"/>
                      <w:spacing w:val="1"/>
                    </w:rPr>
                    <w:t>i</w:t>
                  </w:r>
                  <w:r>
                    <w:rPr>
                      <w:rFonts w:cs="Georgia"/>
                      <w:bCs/>
                      <w:color w:val="000000"/>
                      <w:spacing w:val="-3"/>
                    </w:rPr>
                    <w:t>s</w:t>
                  </w:r>
                  <w:r>
                    <w:rPr>
                      <w:rFonts w:cs="Georgia"/>
                      <w:bCs/>
                      <w:color w:val="000000"/>
                      <w:spacing w:val="1"/>
                    </w:rPr>
                    <w:t>p</w:t>
                  </w:r>
                  <w:r>
                    <w:rPr>
                      <w:rFonts w:cs="Georgia"/>
                      <w:bCs/>
                      <w:color w:val="000000"/>
                      <w:spacing w:val="-1"/>
                    </w:rPr>
                    <w:t>on</w:t>
                  </w:r>
                  <w:r>
                    <w:rPr>
                      <w:rFonts w:cs="Georgia"/>
                      <w:bCs/>
                      <w:color w:val="000000"/>
                      <w:spacing w:val="1"/>
                    </w:rPr>
                    <w:t>i</w:t>
                  </w:r>
                  <w:r>
                    <w:rPr>
                      <w:rFonts w:cs="Georgia"/>
                      <w:bCs/>
                      <w:color w:val="000000"/>
                      <w:spacing w:val="-1"/>
                    </w:rPr>
                    <w:t>bi</w:t>
                  </w:r>
                  <w:r>
                    <w:rPr>
                      <w:rFonts w:cs="Georgia"/>
                      <w:bCs/>
                      <w:color w:val="000000"/>
                      <w:spacing w:val="1"/>
                    </w:rPr>
                    <w:t>l</w:t>
                  </w:r>
                  <w:r>
                    <w:rPr>
                      <w:rFonts w:cs="Georgia"/>
                      <w:bCs/>
                      <w:color w:val="000000"/>
                      <w:spacing w:val="-1"/>
                    </w:rPr>
                    <w:t>i</w:t>
                  </w:r>
                  <w:r>
                    <w:rPr>
                      <w:rFonts w:cs="Georgia"/>
                      <w:bCs/>
                      <w:color w:val="000000"/>
                      <w:spacing w:val="1"/>
                    </w:rPr>
                    <w:t>t</w:t>
                  </w:r>
                  <w:r>
                    <w:rPr>
                      <w:rFonts w:cs="Georgia"/>
                      <w:bCs/>
                      <w:color w:val="000000"/>
                    </w:rPr>
                    <w:t>é</w:t>
                  </w:r>
                  <w:r>
                    <w:rPr>
                      <w:rFonts w:cs="Georgia"/>
                      <w:bCs/>
                      <w:color w:val="000000"/>
                      <w:spacing w:val="1"/>
                    </w:rPr>
                    <w:t xml:space="preserve"> </w:t>
                  </w:r>
                  <w:r>
                    <w:rPr>
                      <w:rFonts w:cs="Georgia"/>
                      <w:bCs/>
                      <w:color w:val="000000"/>
                      <w:spacing w:val="-1"/>
                    </w:rPr>
                    <w:t>o</w:t>
                  </w:r>
                  <w:r>
                    <w:rPr>
                      <w:rFonts w:cs="Georgia"/>
                      <w:bCs/>
                      <w:color w:val="000000"/>
                    </w:rPr>
                    <w:t>u</w:t>
                  </w:r>
                  <w:r>
                    <w:rPr>
                      <w:rFonts w:cs="Georgia"/>
                      <w:bCs/>
                      <w:color w:val="000000"/>
                      <w:spacing w:val="2"/>
                    </w:rPr>
                    <w:t xml:space="preserve"> </w:t>
                  </w:r>
                  <w:r>
                    <w:rPr>
                      <w:rFonts w:cs="Georgia"/>
                      <w:bCs/>
                      <w:color w:val="000000"/>
                      <w:spacing w:val="-1"/>
                    </w:rPr>
                    <w:t>u</w:t>
                  </w:r>
                  <w:r>
                    <w:rPr>
                      <w:rFonts w:cs="Georgia"/>
                      <w:bCs/>
                      <w:color w:val="000000"/>
                      <w:spacing w:val="-4"/>
                    </w:rPr>
                    <w:t>n</w:t>
                  </w:r>
                  <w:r>
                    <w:rPr>
                      <w:rFonts w:cs="Georgia"/>
                      <w:bCs/>
                      <w:color w:val="000000"/>
                    </w:rPr>
                    <w:t>e d</w:t>
                  </w:r>
                  <w:r>
                    <w:rPr>
                      <w:rFonts w:cs="Georgia"/>
                      <w:bCs/>
                      <w:color w:val="000000"/>
                      <w:spacing w:val="1"/>
                    </w:rPr>
                    <w:t>i</w:t>
                  </w:r>
                  <w:r>
                    <w:rPr>
                      <w:rFonts w:cs="Georgia"/>
                      <w:bCs/>
                      <w:color w:val="000000"/>
                      <w:spacing w:val="-1"/>
                    </w:rPr>
                    <w:t>m</w:t>
                  </w:r>
                  <w:r>
                    <w:rPr>
                      <w:rFonts w:cs="Georgia"/>
                      <w:bCs/>
                      <w:color w:val="000000"/>
                      <w:spacing w:val="1"/>
                    </w:rPr>
                    <w:t>i</w:t>
                  </w:r>
                  <w:r>
                    <w:rPr>
                      <w:rFonts w:cs="Georgia"/>
                      <w:bCs/>
                      <w:color w:val="000000"/>
                      <w:spacing w:val="-1"/>
                    </w:rPr>
                    <w:t>n</w:t>
                  </w:r>
                  <w:r>
                    <w:rPr>
                      <w:rFonts w:cs="Georgia"/>
                      <w:bCs/>
                      <w:color w:val="000000"/>
                      <w:spacing w:val="-3"/>
                    </w:rPr>
                    <w:t>u</w:t>
                  </w:r>
                  <w:r>
                    <w:rPr>
                      <w:rFonts w:cs="Georgia"/>
                      <w:bCs/>
                      <w:color w:val="000000"/>
                      <w:spacing w:val="1"/>
                    </w:rPr>
                    <w:t>ti</w:t>
                  </w:r>
                  <w:r>
                    <w:rPr>
                      <w:rFonts w:cs="Georgia"/>
                      <w:bCs/>
                      <w:color w:val="000000"/>
                      <w:spacing w:val="-1"/>
                    </w:rPr>
                    <w:t>o</w:t>
                  </w:r>
                  <w:r>
                    <w:rPr>
                      <w:rFonts w:cs="Georgia"/>
                      <w:bCs/>
                      <w:color w:val="000000"/>
                    </w:rPr>
                    <w:t xml:space="preserve">n de </w:t>
                  </w:r>
                  <w:r>
                    <w:rPr>
                      <w:rFonts w:cs="Georgia"/>
                      <w:bCs/>
                      <w:color w:val="000000"/>
                      <w:spacing w:val="-2"/>
                    </w:rPr>
                    <w:t>c</w:t>
                  </w:r>
                  <w:r>
                    <w:rPr>
                      <w:rFonts w:cs="Georgia"/>
                      <w:bCs/>
                      <w:color w:val="000000"/>
                      <w:spacing w:val="1"/>
                    </w:rPr>
                    <w:t>h</w:t>
                  </w:r>
                  <w:r>
                    <w:rPr>
                      <w:rFonts w:cs="Georgia"/>
                      <w:bCs/>
                      <w:color w:val="000000"/>
                    </w:rPr>
                    <w:t>a</w:t>
                  </w:r>
                  <w:r>
                    <w:rPr>
                      <w:rFonts w:cs="Georgia"/>
                      <w:bCs/>
                      <w:color w:val="000000"/>
                      <w:spacing w:val="-2"/>
                    </w:rPr>
                    <w:t>r</w:t>
                  </w:r>
                  <w:r>
                    <w:rPr>
                      <w:rFonts w:cs="Georgia"/>
                      <w:bCs/>
                      <w:color w:val="000000"/>
                    </w:rPr>
                    <w:t>ge d</w:t>
                  </w:r>
                  <w:r>
                    <w:rPr>
                      <w:rFonts w:cs="Georgia"/>
                      <w:bCs/>
                      <w:color w:val="000000"/>
                      <w:spacing w:val="1"/>
                    </w:rPr>
                    <w:t>’</w:t>
                  </w:r>
                  <w:r>
                    <w:rPr>
                      <w:rFonts w:cs="Georgia"/>
                      <w:bCs/>
                      <w:color w:val="000000"/>
                      <w:spacing w:val="-1"/>
                    </w:rPr>
                    <w:t>u</w:t>
                  </w:r>
                  <w:r>
                    <w:rPr>
                      <w:rFonts w:cs="Georgia"/>
                      <w:bCs/>
                      <w:color w:val="000000"/>
                    </w:rPr>
                    <w:t xml:space="preserve">n </w:t>
                  </w:r>
                  <w:r>
                    <w:rPr>
                      <w:rFonts w:cs="Georgia"/>
                      <w:bCs/>
                      <w:color w:val="000000"/>
                      <w:spacing w:val="1"/>
                    </w:rPr>
                    <w:t>t</w:t>
                  </w:r>
                  <w:r>
                    <w:rPr>
                      <w:rFonts w:cs="Georgia"/>
                      <w:bCs/>
                      <w:color w:val="000000"/>
                      <w:spacing w:val="-1"/>
                    </w:rPr>
                    <w:t>i</w:t>
                  </w:r>
                  <w:r>
                    <w:rPr>
                      <w:rFonts w:cs="Georgia"/>
                      <w:bCs/>
                      <w:color w:val="000000"/>
                      <w:spacing w:val="1"/>
                    </w:rPr>
                    <w:t>t</w:t>
                  </w:r>
                  <w:r>
                    <w:rPr>
                      <w:rFonts w:cs="Georgia"/>
                      <w:bCs/>
                      <w:color w:val="000000"/>
                      <w:spacing w:val="-1"/>
                    </w:rPr>
                    <w:t>u</w:t>
                  </w:r>
                  <w:r>
                    <w:rPr>
                      <w:rFonts w:cs="Georgia"/>
                      <w:bCs/>
                      <w:color w:val="000000"/>
                      <w:spacing w:val="-2"/>
                    </w:rPr>
                    <w:t>l</w:t>
                  </w:r>
                  <w:r>
                    <w:rPr>
                      <w:rFonts w:cs="Georgia"/>
                      <w:bCs/>
                      <w:color w:val="000000"/>
                    </w:rPr>
                    <w:t>a</w:t>
                  </w:r>
                  <w:r>
                    <w:rPr>
                      <w:rFonts w:cs="Georgia"/>
                      <w:bCs/>
                      <w:color w:val="000000"/>
                      <w:spacing w:val="-1"/>
                    </w:rPr>
                    <w:t>i</w:t>
                  </w:r>
                  <w:r>
                    <w:rPr>
                      <w:rFonts w:cs="Georgia"/>
                      <w:bCs/>
                      <w:color w:val="000000"/>
                    </w:rPr>
                    <w:t xml:space="preserve">re </w:t>
                  </w:r>
                  <w:r>
                    <w:rPr>
                      <w:rFonts w:cs="Georgia"/>
                      <w:bCs/>
                      <w:color w:val="000000"/>
                      <w:spacing w:val="-2"/>
                    </w:rPr>
                    <w:t>d</w:t>
                  </w:r>
                  <w:r>
                    <w:rPr>
                      <w:rFonts w:cs="Georgia"/>
                      <w:bCs/>
                      <w:color w:val="000000"/>
                    </w:rPr>
                    <w:t>e c</w:t>
                  </w:r>
                  <w:r>
                    <w:rPr>
                      <w:rFonts w:cs="Georgia"/>
                      <w:bCs/>
                      <w:color w:val="000000"/>
                      <w:spacing w:val="1"/>
                    </w:rPr>
                    <w:t>l</w:t>
                  </w:r>
                  <w:r>
                    <w:rPr>
                      <w:rFonts w:cs="Georgia"/>
                      <w:bCs/>
                      <w:color w:val="000000"/>
                    </w:rPr>
                    <w:t>as</w:t>
                  </w:r>
                  <w:r>
                    <w:rPr>
                      <w:rFonts w:cs="Georgia"/>
                      <w:bCs/>
                      <w:color w:val="000000"/>
                      <w:spacing w:val="-3"/>
                    </w:rPr>
                    <w:t>s</w:t>
                  </w:r>
                  <w:r>
                    <w:rPr>
                      <w:rFonts w:cs="Georgia"/>
                      <w:bCs/>
                      <w:color w:val="000000"/>
                    </w:rPr>
                    <w:t>e d</w:t>
                  </w:r>
                  <w:r>
                    <w:rPr>
                      <w:rFonts w:cs="Georgia"/>
                      <w:bCs/>
                      <w:color w:val="000000"/>
                      <w:spacing w:val="1"/>
                    </w:rPr>
                    <w:t>é</w:t>
                  </w:r>
                  <w:r>
                    <w:rPr>
                      <w:rFonts w:cs="Georgia"/>
                      <w:bCs/>
                      <w:color w:val="000000"/>
                      <w:spacing w:val="-3"/>
                    </w:rPr>
                    <w:t>f</w:t>
                  </w:r>
                  <w:r>
                    <w:rPr>
                      <w:rFonts w:cs="Georgia"/>
                      <w:bCs/>
                      <w:color w:val="000000"/>
                      <w:spacing w:val="1"/>
                    </w:rPr>
                    <w:t>i</w:t>
                  </w:r>
                  <w:r>
                    <w:rPr>
                      <w:rFonts w:cs="Georgia"/>
                      <w:bCs/>
                      <w:color w:val="000000"/>
                      <w:spacing w:val="-1"/>
                    </w:rPr>
                    <w:t>ni</w:t>
                  </w:r>
                  <w:r>
                    <w:rPr>
                      <w:rFonts w:cs="Georgia"/>
                      <w:bCs/>
                      <w:color w:val="000000"/>
                      <w:spacing w:val="1"/>
                    </w:rPr>
                    <w:t>ti</w:t>
                  </w:r>
                  <w:r>
                    <w:rPr>
                      <w:rFonts w:cs="Georgia"/>
                      <w:bCs/>
                      <w:color w:val="000000"/>
                    </w:rPr>
                    <w:t xml:space="preserve">f </w:t>
                  </w:r>
                  <w:r>
                    <w:rPr>
                      <w:rFonts w:cs="Georgia"/>
                      <w:bCs/>
                      <w:color w:val="000000"/>
                      <w:spacing w:val="-3"/>
                    </w:rPr>
                    <w:t>s</w:t>
                  </w:r>
                  <w:r>
                    <w:rPr>
                      <w:rFonts w:cs="Georgia"/>
                      <w:bCs/>
                      <w:color w:val="000000"/>
                    </w:rPr>
                    <w:t xml:space="preserve">i </w:t>
                  </w:r>
                  <w:r>
                    <w:rPr>
                      <w:rFonts w:cs="Georgia"/>
                      <w:bCs/>
                      <w:color w:val="000000"/>
                      <w:spacing w:val="1"/>
                    </w:rPr>
                    <w:t>l</w:t>
                  </w:r>
                  <w:r>
                    <w:rPr>
                      <w:rFonts w:cs="Georgia"/>
                      <w:bCs/>
                      <w:color w:val="000000"/>
                    </w:rPr>
                    <w:t xml:space="preserve">e </w:t>
                  </w:r>
                  <w:r>
                    <w:rPr>
                      <w:rFonts w:cs="Georgia"/>
                      <w:bCs/>
                      <w:color w:val="000000"/>
                      <w:spacing w:val="-1"/>
                    </w:rPr>
                    <w:t>m</w:t>
                  </w:r>
                  <w:r>
                    <w:rPr>
                      <w:rFonts w:cs="Georgia"/>
                      <w:bCs/>
                      <w:color w:val="000000"/>
                    </w:rPr>
                    <w:t>a</w:t>
                  </w:r>
                  <w:r>
                    <w:rPr>
                      <w:rFonts w:cs="Georgia"/>
                      <w:bCs/>
                      <w:color w:val="000000"/>
                      <w:spacing w:val="-1"/>
                    </w:rPr>
                    <w:t>î</w:t>
                  </w:r>
                  <w:r>
                    <w:rPr>
                      <w:rFonts w:cs="Georgia"/>
                      <w:bCs/>
                      <w:color w:val="000000"/>
                      <w:spacing w:val="1"/>
                    </w:rPr>
                    <w:t>t</w:t>
                  </w:r>
                  <w:r>
                    <w:rPr>
                      <w:rFonts w:cs="Georgia"/>
                      <w:bCs/>
                      <w:color w:val="000000"/>
                      <w:spacing w:val="-2"/>
                    </w:rPr>
                    <w:t>r</w:t>
                  </w:r>
                  <w:r>
                    <w:rPr>
                      <w:rFonts w:cs="Georgia"/>
                      <w:bCs/>
                      <w:color w:val="000000"/>
                    </w:rPr>
                    <w:t>e s</w:t>
                  </w:r>
                  <w:r>
                    <w:rPr>
                      <w:rFonts w:cs="Georgia"/>
                      <w:bCs/>
                      <w:color w:val="000000"/>
                      <w:spacing w:val="-1"/>
                    </w:rPr>
                    <w:t>p</w:t>
                  </w:r>
                  <w:r>
                    <w:rPr>
                      <w:rFonts w:cs="Georgia"/>
                      <w:bCs/>
                      <w:color w:val="000000"/>
                      <w:spacing w:val="1"/>
                    </w:rPr>
                    <w:t>é</w:t>
                  </w:r>
                  <w:r>
                    <w:rPr>
                      <w:rFonts w:cs="Georgia"/>
                      <w:bCs/>
                      <w:color w:val="000000"/>
                      <w:spacing w:val="-2"/>
                    </w:rPr>
                    <w:t>c</w:t>
                  </w:r>
                  <w:r>
                    <w:rPr>
                      <w:rFonts w:cs="Georgia"/>
                      <w:bCs/>
                      <w:color w:val="000000"/>
                      <w:spacing w:val="1"/>
                    </w:rPr>
                    <w:t>i</w:t>
                  </w:r>
                  <w:r>
                    <w:rPr>
                      <w:rFonts w:cs="Georgia"/>
                      <w:bCs/>
                      <w:color w:val="000000"/>
                      <w:spacing w:val="-2"/>
                    </w:rPr>
                    <w:t>a</w:t>
                  </w:r>
                  <w:r>
                    <w:rPr>
                      <w:rFonts w:cs="Georgia"/>
                      <w:bCs/>
                      <w:color w:val="000000"/>
                    </w:rPr>
                    <w:t xml:space="preserve">l </w:t>
                  </w:r>
                  <w:r>
                    <w:rPr>
                      <w:rFonts w:cs="Georgia"/>
                      <w:bCs/>
                      <w:color w:val="000000"/>
                      <w:spacing w:val="-1"/>
                    </w:rPr>
                    <w:t>b</w:t>
                  </w:r>
                  <w:r>
                    <w:rPr>
                      <w:rFonts w:cs="Georgia"/>
                      <w:bCs/>
                      <w:color w:val="000000"/>
                      <w:spacing w:val="1"/>
                    </w:rPr>
                    <w:t>é</w:t>
                  </w:r>
                  <w:r>
                    <w:rPr>
                      <w:rFonts w:cs="Georgia"/>
                      <w:bCs/>
                      <w:color w:val="000000"/>
                      <w:spacing w:val="-1"/>
                    </w:rPr>
                    <w:t>n</w:t>
                  </w:r>
                  <w:r>
                    <w:rPr>
                      <w:rFonts w:cs="Georgia"/>
                      <w:bCs/>
                      <w:color w:val="000000"/>
                      <w:spacing w:val="1"/>
                    </w:rPr>
                    <w:t>é</w:t>
                  </w:r>
                  <w:r>
                    <w:rPr>
                      <w:rFonts w:cs="Georgia"/>
                      <w:bCs/>
                      <w:color w:val="000000"/>
                    </w:rPr>
                    <w:t>f</w:t>
                  </w:r>
                  <w:r>
                    <w:rPr>
                      <w:rFonts w:cs="Georgia"/>
                      <w:bCs/>
                      <w:color w:val="000000"/>
                      <w:spacing w:val="-1"/>
                    </w:rPr>
                    <w:t>i</w:t>
                  </w:r>
                  <w:r>
                    <w:rPr>
                      <w:rFonts w:cs="Georgia"/>
                      <w:bCs/>
                      <w:color w:val="000000"/>
                    </w:rPr>
                    <w:t>c</w:t>
                  </w:r>
                  <w:r>
                    <w:rPr>
                      <w:rFonts w:cs="Georgia"/>
                      <w:bCs/>
                      <w:color w:val="000000"/>
                      <w:spacing w:val="-1"/>
                    </w:rPr>
                    <w:t>i</w:t>
                  </w:r>
                  <w:r>
                    <w:rPr>
                      <w:rFonts w:cs="Georgia"/>
                      <w:bCs/>
                      <w:color w:val="000000"/>
                    </w:rPr>
                    <w:t>a</w:t>
                  </w:r>
                  <w:r>
                    <w:rPr>
                      <w:rFonts w:cs="Georgia"/>
                      <w:bCs/>
                      <w:color w:val="000000"/>
                      <w:spacing w:val="1"/>
                    </w:rPr>
                    <w:t>i</w:t>
                  </w:r>
                  <w:r>
                    <w:rPr>
                      <w:rFonts w:cs="Georgia"/>
                      <w:bCs/>
                      <w:color w:val="000000"/>
                      <w:spacing w:val="-2"/>
                    </w:rPr>
                    <w:t>r</w:t>
                  </w:r>
                  <w:r>
                    <w:rPr>
                      <w:rFonts w:cs="Georgia"/>
                      <w:bCs/>
                      <w:color w:val="000000"/>
                    </w:rPr>
                    <w:t xml:space="preserve">e </w:t>
                  </w:r>
                  <w:r>
                    <w:rPr>
                      <w:rFonts w:cs="Georgia"/>
                      <w:bCs/>
                      <w:color w:val="000000"/>
                      <w:spacing w:val="1"/>
                    </w:rPr>
                    <w:t>e</w:t>
                  </w:r>
                  <w:r>
                    <w:rPr>
                      <w:rFonts w:cs="Georgia"/>
                      <w:bCs/>
                      <w:color w:val="000000"/>
                      <w:spacing w:val="-3"/>
                    </w:rPr>
                    <w:t>s</w:t>
                  </w:r>
                  <w:r>
                    <w:rPr>
                      <w:rFonts w:cs="Georgia"/>
                      <w:bCs/>
                      <w:color w:val="000000"/>
                    </w:rPr>
                    <w:t xml:space="preserve">t </w:t>
                  </w:r>
                  <w:r>
                    <w:rPr>
                      <w:rFonts w:cs="Georgia"/>
                      <w:bCs/>
                      <w:color w:val="000000"/>
                      <w:spacing w:val="-1"/>
                    </w:rPr>
                    <w:t>t</w:t>
                  </w:r>
                  <w:r>
                    <w:rPr>
                      <w:rFonts w:cs="Georgia"/>
                      <w:bCs/>
                      <w:color w:val="000000"/>
                      <w:spacing w:val="1"/>
                    </w:rPr>
                    <w:t>e</w:t>
                  </w:r>
                  <w:r>
                    <w:rPr>
                      <w:rFonts w:cs="Georgia"/>
                      <w:bCs/>
                      <w:color w:val="000000"/>
                      <w:spacing w:val="-1"/>
                    </w:rPr>
                    <w:t>mpo</w:t>
                  </w:r>
                  <w:r>
                    <w:rPr>
                      <w:rFonts w:cs="Georgia"/>
                      <w:bCs/>
                      <w:color w:val="000000"/>
                    </w:rPr>
                    <w:t>ra</w:t>
                  </w:r>
                  <w:r>
                    <w:rPr>
                      <w:rFonts w:cs="Georgia"/>
                      <w:bCs/>
                      <w:color w:val="000000"/>
                      <w:spacing w:val="1"/>
                    </w:rPr>
                    <w:t>i</w:t>
                  </w:r>
                  <w:r>
                    <w:rPr>
                      <w:rFonts w:cs="Georgia"/>
                      <w:bCs/>
                      <w:color w:val="000000"/>
                      <w:spacing w:val="-2"/>
                    </w:rPr>
                    <w:t>r</w:t>
                  </w:r>
                  <w:r>
                    <w:rPr>
                      <w:rFonts w:cs="Georgia"/>
                      <w:bCs/>
                      <w:color w:val="000000"/>
                      <w:spacing w:val="1"/>
                    </w:rPr>
                    <w:t>e.</w:t>
                  </w:r>
                  <w:r>
                    <w:rPr>
                      <w:rFonts w:cs="Georgia"/>
                      <w:color w:val="000000"/>
                    </w:rPr>
                    <w:t xml:space="preserve"> </w:t>
                  </w:r>
                  <w:r>
                    <w:rPr>
                      <w:rFonts w:cs="Georgia"/>
                      <w:bCs/>
                      <w:color w:val="000000"/>
                      <w:spacing w:val="1"/>
                    </w:rPr>
                    <w:t>D</w:t>
                  </w:r>
                  <w:r>
                    <w:rPr>
                      <w:rFonts w:cs="Georgia"/>
                      <w:bCs/>
                      <w:color w:val="000000"/>
                    </w:rPr>
                    <w:t>a</w:t>
                  </w:r>
                  <w:r>
                    <w:rPr>
                      <w:rFonts w:cs="Georgia"/>
                      <w:bCs/>
                      <w:color w:val="000000"/>
                      <w:spacing w:val="-1"/>
                    </w:rPr>
                    <w:t>n</w:t>
                  </w:r>
                  <w:r>
                    <w:rPr>
                      <w:rFonts w:cs="Georgia"/>
                      <w:bCs/>
                      <w:color w:val="000000"/>
                    </w:rPr>
                    <w:t>s</w:t>
                  </w:r>
                  <w:r>
                    <w:rPr>
                      <w:rFonts w:cs="Georgia"/>
                      <w:bCs/>
                      <w:color w:val="000000"/>
                      <w:spacing w:val="3"/>
                    </w:rPr>
                    <w:t xml:space="preserve"> </w:t>
                  </w:r>
                  <w:r>
                    <w:rPr>
                      <w:rFonts w:cs="Georgia"/>
                      <w:bCs/>
                      <w:color w:val="000000"/>
                      <w:spacing w:val="1"/>
                    </w:rPr>
                    <w:t>t</w:t>
                  </w:r>
                  <w:r>
                    <w:rPr>
                      <w:rFonts w:cs="Georgia"/>
                      <w:bCs/>
                      <w:color w:val="000000"/>
                      <w:spacing w:val="-1"/>
                    </w:rPr>
                    <w:t>ou</w:t>
                  </w:r>
                  <w:r>
                    <w:rPr>
                      <w:rFonts w:cs="Georgia"/>
                      <w:bCs/>
                      <w:color w:val="000000"/>
                    </w:rPr>
                    <w:t xml:space="preserve">s </w:t>
                  </w:r>
                  <w:r>
                    <w:rPr>
                      <w:rFonts w:cs="Georgia"/>
                      <w:bCs/>
                      <w:color w:val="000000"/>
                      <w:spacing w:val="1"/>
                    </w:rPr>
                    <w:t>le</w:t>
                  </w:r>
                  <w:r>
                    <w:rPr>
                      <w:rFonts w:cs="Georgia"/>
                      <w:bCs/>
                      <w:color w:val="000000"/>
                    </w:rPr>
                    <w:t>s</w:t>
                  </w:r>
                  <w:r>
                    <w:rPr>
                      <w:rFonts w:cs="Georgia"/>
                      <w:bCs/>
                      <w:color w:val="000000"/>
                      <w:spacing w:val="3"/>
                    </w:rPr>
                    <w:t xml:space="preserve"> </w:t>
                  </w:r>
                  <w:r>
                    <w:rPr>
                      <w:rFonts w:cs="Georgia"/>
                      <w:bCs/>
                      <w:color w:val="000000"/>
                      <w:spacing w:val="-2"/>
                    </w:rPr>
                    <w:t>c</w:t>
                  </w:r>
                  <w:r>
                    <w:rPr>
                      <w:rFonts w:cs="Georgia"/>
                      <w:bCs/>
                      <w:color w:val="000000"/>
                    </w:rPr>
                    <w:t>as,</w:t>
                  </w:r>
                  <w:r>
                    <w:rPr>
                      <w:rFonts w:cs="Georgia"/>
                      <w:bCs/>
                      <w:color w:val="000000"/>
                      <w:spacing w:val="3"/>
                    </w:rPr>
                    <w:t xml:space="preserve"> </w:t>
                  </w:r>
                  <w:r>
                    <w:rPr>
                      <w:rFonts w:cs="Georgia"/>
                      <w:bCs/>
                      <w:color w:val="000000"/>
                      <w:spacing w:val="-2"/>
                    </w:rPr>
                    <w:t>c</w:t>
                  </w:r>
                  <w:r>
                    <w:rPr>
                      <w:rFonts w:cs="Georgia"/>
                      <w:bCs/>
                      <w:color w:val="000000"/>
                    </w:rPr>
                    <w:t>e</w:t>
                  </w:r>
                  <w:r>
                    <w:rPr>
                      <w:rFonts w:cs="Georgia"/>
                      <w:bCs/>
                      <w:color w:val="000000"/>
                      <w:spacing w:val="2"/>
                    </w:rPr>
                    <w:t xml:space="preserve"> </w:t>
                  </w:r>
                  <w:r>
                    <w:rPr>
                      <w:rFonts w:cs="Georgia"/>
                      <w:bCs/>
                      <w:color w:val="000000"/>
                    </w:rPr>
                    <w:t>s</w:t>
                  </w:r>
                  <w:r>
                    <w:rPr>
                      <w:rFonts w:cs="Georgia"/>
                      <w:bCs/>
                      <w:color w:val="000000"/>
                      <w:spacing w:val="-1"/>
                    </w:rPr>
                    <w:t>on</w:t>
                  </w:r>
                  <w:r>
                    <w:rPr>
                      <w:rFonts w:cs="Georgia"/>
                      <w:bCs/>
                      <w:color w:val="000000"/>
                    </w:rPr>
                    <w:t>t</w:t>
                  </w:r>
                  <w:r>
                    <w:rPr>
                      <w:rFonts w:cs="Georgia"/>
                      <w:bCs/>
                      <w:color w:val="000000"/>
                      <w:spacing w:val="4"/>
                    </w:rPr>
                    <w:t xml:space="preserve"> </w:t>
                  </w:r>
                  <w:r>
                    <w:rPr>
                      <w:rFonts w:cs="Georgia"/>
                      <w:bCs/>
                      <w:color w:val="000000"/>
                      <w:spacing w:val="1"/>
                    </w:rPr>
                    <w:t>le</w:t>
                  </w:r>
                  <w:r>
                    <w:rPr>
                      <w:rFonts w:cs="Georgia"/>
                      <w:bCs/>
                      <w:color w:val="000000"/>
                    </w:rPr>
                    <w:t>s</w:t>
                  </w:r>
                  <w:r>
                    <w:rPr>
                      <w:rFonts w:cs="Georgia"/>
                      <w:bCs/>
                      <w:color w:val="000000"/>
                      <w:spacing w:val="3"/>
                    </w:rPr>
                    <w:t xml:space="preserve"> </w:t>
                  </w:r>
                  <w:r>
                    <w:rPr>
                      <w:rFonts w:cs="Georgia"/>
                      <w:bCs/>
                      <w:color w:val="000000"/>
                      <w:spacing w:val="-2"/>
                    </w:rPr>
                    <w:t>d</w:t>
                  </w:r>
                  <w:r>
                    <w:rPr>
                      <w:rFonts w:cs="Georgia"/>
                      <w:bCs/>
                      <w:color w:val="000000"/>
                      <w:spacing w:val="1"/>
                    </w:rPr>
                    <w:t>i</w:t>
                  </w:r>
                  <w:r>
                    <w:rPr>
                      <w:rFonts w:cs="Georgia"/>
                      <w:bCs/>
                      <w:color w:val="000000"/>
                    </w:rPr>
                    <w:t>f</w:t>
                  </w:r>
                  <w:r>
                    <w:rPr>
                      <w:rFonts w:cs="Georgia"/>
                      <w:bCs/>
                      <w:color w:val="000000"/>
                      <w:spacing w:val="-3"/>
                    </w:rPr>
                    <w:t>f</w:t>
                  </w:r>
                  <w:r>
                    <w:rPr>
                      <w:rFonts w:cs="Georgia"/>
                      <w:bCs/>
                      <w:color w:val="000000"/>
                      <w:spacing w:val="1"/>
                    </w:rPr>
                    <w:t>é</w:t>
                  </w:r>
                  <w:r>
                    <w:rPr>
                      <w:rFonts w:cs="Georgia"/>
                      <w:bCs/>
                      <w:color w:val="000000"/>
                    </w:rPr>
                    <w:t>r</w:t>
                  </w:r>
                  <w:r>
                    <w:rPr>
                      <w:rFonts w:cs="Georgia"/>
                      <w:bCs/>
                      <w:color w:val="000000"/>
                      <w:spacing w:val="1"/>
                    </w:rPr>
                    <w:t>e</w:t>
                  </w:r>
                  <w:r>
                    <w:rPr>
                      <w:rFonts w:cs="Georgia"/>
                      <w:bCs/>
                      <w:color w:val="000000"/>
                      <w:spacing w:val="-4"/>
                    </w:rPr>
                    <w:t>n</w:t>
                  </w:r>
                  <w:r>
                    <w:rPr>
                      <w:rFonts w:cs="Georgia"/>
                      <w:bCs/>
                      <w:color w:val="000000"/>
                      <w:spacing w:val="1"/>
                    </w:rPr>
                    <w:t>te</w:t>
                  </w:r>
                  <w:r>
                    <w:rPr>
                      <w:rFonts w:cs="Georgia"/>
                      <w:bCs/>
                      <w:color w:val="000000"/>
                    </w:rPr>
                    <w:t xml:space="preserve">s </w:t>
                  </w:r>
                  <w:r>
                    <w:rPr>
                      <w:rFonts w:cs="Georgia"/>
                      <w:bCs/>
                      <w:color w:val="000000"/>
                      <w:spacing w:val="-2"/>
                    </w:rPr>
                    <w:t>r</w:t>
                  </w:r>
                  <w:r>
                    <w:rPr>
                      <w:rFonts w:cs="Georgia"/>
                      <w:bCs/>
                      <w:color w:val="000000"/>
                      <w:spacing w:val="1"/>
                    </w:rPr>
                    <w:t>è</w:t>
                  </w:r>
                  <w:r>
                    <w:rPr>
                      <w:rFonts w:cs="Georgia"/>
                      <w:bCs/>
                      <w:color w:val="000000"/>
                    </w:rPr>
                    <w:t>g</w:t>
                  </w:r>
                  <w:r>
                    <w:rPr>
                      <w:rFonts w:cs="Georgia"/>
                      <w:bCs/>
                      <w:color w:val="000000"/>
                      <w:spacing w:val="-2"/>
                    </w:rPr>
                    <w:t>l</w:t>
                  </w:r>
                  <w:r>
                    <w:rPr>
                      <w:rFonts w:cs="Georgia"/>
                      <w:bCs/>
                      <w:color w:val="000000"/>
                      <w:spacing w:val="1"/>
                    </w:rPr>
                    <w:t>e</w:t>
                  </w:r>
                  <w:r>
                    <w:rPr>
                      <w:rFonts w:cs="Georgia"/>
                      <w:bCs/>
                      <w:color w:val="000000"/>
                    </w:rPr>
                    <w:t>s</w:t>
                  </w:r>
                  <w:r>
                    <w:rPr>
                      <w:rFonts w:cs="Georgia"/>
                      <w:bCs/>
                      <w:color w:val="000000"/>
                      <w:spacing w:val="3"/>
                    </w:rPr>
                    <w:t xml:space="preserve"> </w:t>
                  </w:r>
                  <w:r>
                    <w:rPr>
                      <w:rFonts w:cs="Georgia"/>
                      <w:bCs/>
                      <w:color w:val="000000"/>
                    </w:rPr>
                    <w:t>d</w:t>
                  </w:r>
                  <w:r>
                    <w:rPr>
                      <w:rFonts w:cs="Georgia"/>
                      <w:bCs/>
                      <w:color w:val="000000"/>
                      <w:spacing w:val="-2"/>
                    </w:rPr>
                    <w:t>’</w:t>
                  </w:r>
                  <w:r>
                    <w:rPr>
                      <w:rFonts w:cs="Georgia"/>
                      <w:bCs/>
                      <w:color w:val="000000"/>
                    </w:rPr>
                    <w:t>a</w:t>
                  </w:r>
                  <w:r>
                    <w:rPr>
                      <w:rFonts w:cs="Georgia"/>
                      <w:bCs/>
                      <w:color w:val="000000"/>
                      <w:spacing w:val="-1"/>
                    </w:rPr>
                    <w:t>n</w:t>
                  </w:r>
                  <w:r>
                    <w:rPr>
                      <w:rFonts w:cs="Georgia"/>
                      <w:bCs/>
                      <w:color w:val="000000"/>
                    </w:rPr>
                    <w:t>c</w:t>
                  </w:r>
                  <w:r>
                    <w:rPr>
                      <w:rFonts w:cs="Georgia"/>
                      <w:bCs/>
                      <w:color w:val="000000"/>
                      <w:spacing w:val="-1"/>
                    </w:rPr>
                    <w:t>i</w:t>
                  </w:r>
                  <w:r>
                    <w:rPr>
                      <w:rFonts w:cs="Georgia"/>
                      <w:bCs/>
                      <w:color w:val="000000"/>
                      <w:spacing w:val="1"/>
                    </w:rPr>
                    <w:t>e</w:t>
                  </w:r>
                  <w:r>
                    <w:rPr>
                      <w:rFonts w:cs="Georgia"/>
                      <w:bCs/>
                      <w:color w:val="000000"/>
                      <w:spacing w:val="-1"/>
                    </w:rPr>
                    <w:t>nn</w:t>
                  </w:r>
                  <w:r>
                    <w:rPr>
                      <w:rFonts w:cs="Georgia"/>
                      <w:bCs/>
                      <w:color w:val="000000"/>
                      <w:spacing w:val="-2"/>
                    </w:rPr>
                    <w:t>e</w:t>
                  </w:r>
                  <w:r>
                    <w:rPr>
                      <w:rFonts w:cs="Georgia"/>
                      <w:bCs/>
                      <w:color w:val="000000"/>
                      <w:spacing w:val="1"/>
                    </w:rPr>
                    <w:t>t</w:t>
                  </w:r>
                  <w:r>
                    <w:rPr>
                      <w:rFonts w:cs="Georgia"/>
                      <w:bCs/>
                      <w:color w:val="000000"/>
                    </w:rPr>
                    <w:t>é</w:t>
                  </w:r>
                  <w:r>
                    <w:rPr>
                      <w:rFonts w:cs="Georgia"/>
                      <w:bCs/>
                      <w:color w:val="000000"/>
                      <w:spacing w:val="2"/>
                    </w:rPr>
                    <w:t xml:space="preserve"> </w:t>
                  </w:r>
                  <w:r>
                    <w:rPr>
                      <w:rFonts w:cs="Georgia"/>
                      <w:bCs/>
                      <w:color w:val="000000"/>
                      <w:spacing w:val="1"/>
                    </w:rPr>
                    <w:t>p</w:t>
                  </w:r>
                  <w:r>
                    <w:rPr>
                      <w:rFonts w:cs="Georgia"/>
                      <w:bCs/>
                      <w:color w:val="000000"/>
                      <w:spacing w:val="-2"/>
                    </w:rPr>
                    <w:t>r</w:t>
                  </w:r>
                  <w:r>
                    <w:rPr>
                      <w:rFonts w:cs="Georgia"/>
                      <w:bCs/>
                      <w:color w:val="000000"/>
                      <w:spacing w:val="1"/>
                    </w:rPr>
                    <w:t>é</w:t>
                  </w:r>
                  <w:r>
                    <w:rPr>
                      <w:rFonts w:cs="Georgia"/>
                      <w:bCs/>
                      <w:color w:val="000000"/>
                    </w:rPr>
                    <w:t>v</w:t>
                  </w:r>
                  <w:r>
                    <w:rPr>
                      <w:rFonts w:cs="Georgia"/>
                      <w:bCs/>
                      <w:color w:val="000000"/>
                      <w:spacing w:val="-1"/>
                    </w:rPr>
                    <w:t>u</w:t>
                  </w:r>
                  <w:r>
                    <w:rPr>
                      <w:rFonts w:cs="Georgia"/>
                      <w:bCs/>
                      <w:color w:val="000000"/>
                      <w:spacing w:val="1"/>
                    </w:rPr>
                    <w:t>e</w:t>
                  </w:r>
                  <w:r>
                    <w:rPr>
                      <w:rFonts w:cs="Georgia"/>
                      <w:bCs/>
                      <w:color w:val="000000"/>
                    </w:rPr>
                    <w:t xml:space="preserve">s </w:t>
                  </w:r>
                  <w:r>
                    <w:rPr>
                      <w:rFonts w:cs="Georgia"/>
                      <w:bCs/>
                      <w:color w:val="000000"/>
                      <w:spacing w:val="1"/>
                    </w:rPr>
                    <w:t>p</w:t>
                  </w:r>
                  <w:r>
                    <w:rPr>
                      <w:rFonts w:cs="Georgia"/>
                      <w:bCs/>
                      <w:color w:val="000000"/>
                      <w:spacing w:val="-2"/>
                    </w:rPr>
                    <w:t>a</w:t>
                  </w:r>
                  <w:r>
                    <w:rPr>
                      <w:rFonts w:cs="Georgia"/>
                      <w:bCs/>
                      <w:color w:val="000000"/>
                    </w:rPr>
                    <w:t>r</w:t>
                  </w:r>
                  <w:r>
                    <w:rPr>
                      <w:rFonts w:cs="Georgia"/>
                      <w:bCs/>
                      <w:color w:val="000000"/>
                      <w:spacing w:val="3"/>
                    </w:rPr>
                    <w:t xml:space="preserve"> </w:t>
                  </w:r>
                  <w:r>
                    <w:rPr>
                      <w:rFonts w:cs="Georgia"/>
                      <w:bCs/>
                      <w:color w:val="000000"/>
                      <w:spacing w:val="-2"/>
                    </w:rPr>
                    <w:t>l</w:t>
                  </w:r>
                  <w:r>
                    <w:rPr>
                      <w:rFonts w:cs="Georgia"/>
                      <w:bCs/>
                      <w:color w:val="000000"/>
                      <w:spacing w:val="1"/>
                    </w:rPr>
                    <w:t>e</w:t>
                  </w:r>
                  <w:r>
                    <w:rPr>
                      <w:rFonts w:cs="Georgia"/>
                      <w:bCs/>
                      <w:color w:val="000000"/>
                    </w:rPr>
                    <w:t>s</w:t>
                  </w:r>
                  <w:r>
                    <w:rPr>
                      <w:rFonts w:cs="Georgia"/>
                      <w:bCs/>
                      <w:color w:val="000000"/>
                      <w:spacing w:val="3"/>
                    </w:rPr>
                    <w:t xml:space="preserve"> </w:t>
                  </w:r>
                  <w:r>
                    <w:rPr>
                      <w:rFonts w:cs="Georgia"/>
                      <w:bCs/>
                      <w:color w:val="000000"/>
                    </w:rPr>
                    <w:t>s</w:t>
                  </w:r>
                  <w:r>
                    <w:rPr>
                      <w:rFonts w:cs="Georgia"/>
                      <w:bCs/>
                      <w:color w:val="000000"/>
                      <w:spacing w:val="-1"/>
                    </w:rPr>
                    <w:t>t</w:t>
                  </w:r>
                  <w:r>
                    <w:rPr>
                      <w:rFonts w:cs="Georgia"/>
                      <w:bCs/>
                      <w:color w:val="000000"/>
                    </w:rPr>
                    <w:t>a</w:t>
                  </w:r>
                  <w:r>
                    <w:rPr>
                      <w:rFonts w:cs="Georgia"/>
                      <w:bCs/>
                      <w:color w:val="000000"/>
                      <w:spacing w:val="1"/>
                    </w:rPr>
                    <w:t>t</w:t>
                  </w:r>
                  <w:r>
                    <w:rPr>
                      <w:rFonts w:cs="Georgia"/>
                      <w:bCs/>
                      <w:color w:val="000000"/>
                      <w:spacing w:val="-3"/>
                    </w:rPr>
                    <w:t>u</w:t>
                  </w:r>
                  <w:r>
                    <w:rPr>
                      <w:rFonts w:cs="Georgia"/>
                      <w:bCs/>
                      <w:color w:val="000000"/>
                      <w:spacing w:val="1"/>
                    </w:rPr>
                    <w:t>t</w:t>
                  </w:r>
                  <w:r>
                    <w:rPr>
                      <w:rFonts w:cs="Georgia"/>
                      <w:bCs/>
                      <w:color w:val="000000"/>
                    </w:rPr>
                    <w:t xml:space="preserve">s </w:t>
                  </w:r>
                  <w:r>
                    <w:rPr>
                      <w:rFonts w:cs="Georgia"/>
                      <w:bCs/>
                      <w:color w:val="000000"/>
                      <w:spacing w:val="1"/>
                    </w:rPr>
                    <w:t>q</w:t>
                  </w:r>
                  <w:r>
                    <w:rPr>
                      <w:rFonts w:cs="Georgia"/>
                      <w:bCs/>
                      <w:color w:val="000000"/>
                      <w:spacing w:val="-1"/>
                    </w:rPr>
                    <w:t>u</w:t>
                  </w:r>
                  <w:r>
                    <w:rPr>
                      <w:rFonts w:cs="Georgia"/>
                      <w:bCs/>
                      <w:color w:val="000000"/>
                    </w:rPr>
                    <w:t>i s</w:t>
                  </w:r>
                  <w:r>
                    <w:rPr>
                      <w:rFonts w:cs="Georgia"/>
                      <w:bCs/>
                      <w:color w:val="000000"/>
                      <w:spacing w:val="-1"/>
                    </w:rPr>
                    <w:t>on</w:t>
                  </w:r>
                  <w:r>
                    <w:rPr>
                      <w:rFonts w:cs="Georgia"/>
                      <w:bCs/>
                      <w:color w:val="000000"/>
                    </w:rPr>
                    <w:t>t d</w:t>
                  </w:r>
                  <w:r>
                    <w:rPr>
                      <w:rFonts w:cs="Georgia"/>
                      <w:bCs/>
                      <w:color w:val="000000"/>
                      <w:spacing w:val="-2"/>
                    </w:rPr>
                    <w:t>’</w:t>
                  </w:r>
                  <w:r>
                    <w:rPr>
                      <w:rFonts w:cs="Georgia"/>
                      <w:bCs/>
                      <w:color w:val="000000"/>
                    </w:rPr>
                    <w:t>a</w:t>
                  </w:r>
                  <w:r>
                    <w:rPr>
                      <w:rFonts w:cs="Georgia"/>
                      <w:bCs/>
                      <w:color w:val="000000"/>
                      <w:spacing w:val="-1"/>
                    </w:rPr>
                    <w:t>p</w:t>
                  </w:r>
                  <w:r>
                    <w:rPr>
                      <w:rFonts w:cs="Georgia"/>
                      <w:bCs/>
                      <w:color w:val="000000"/>
                      <w:spacing w:val="1"/>
                    </w:rPr>
                    <w:t>p</w:t>
                  </w:r>
                  <w:r>
                    <w:rPr>
                      <w:rFonts w:cs="Georgia"/>
                      <w:bCs/>
                      <w:color w:val="000000"/>
                      <w:spacing w:val="-2"/>
                    </w:rPr>
                    <w:t>l</w:t>
                  </w:r>
                  <w:r>
                    <w:rPr>
                      <w:rFonts w:cs="Georgia"/>
                      <w:bCs/>
                      <w:color w:val="000000"/>
                      <w:spacing w:val="1"/>
                    </w:rPr>
                    <w:t>i</w:t>
                  </w:r>
                  <w:r>
                    <w:rPr>
                      <w:rFonts w:cs="Georgia"/>
                      <w:bCs/>
                      <w:color w:val="000000"/>
                      <w:spacing w:val="-2"/>
                    </w:rPr>
                    <w:t>c</w:t>
                  </w:r>
                  <w:r>
                    <w:rPr>
                      <w:rFonts w:cs="Georgia"/>
                      <w:bCs/>
                      <w:color w:val="000000"/>
                    </w:rPr>
                    <w:t>a</w:t>
                  </w:r>
                  <w:r>
                    <w:rPr>
                      <w:rFonts w:cs="Georgia"/>
                      <w:bCs/>
                      <w:color w:val="000000"/>
                      <w:spacing w:val="-1"/>
                    </w:rPr>
                    <w:t>t</w:t>
                  </w:r>
                  <w:r>
                    <w:rPr>
                      <w:rFonts w:cs="Georgia"/>
                      <w:bCs/>
                      <w:color w:val="000000"/>
                      <w:spacing w:val="1"/>
                    </w:rPr>
                    <w:t>i</w:t>
                  </w:r>
                  <w:r>
                    <w:rPr>
                      <w:rFonts w:cs="Georgia"/>
                      <w:bCs/>
                      <w:color w:val="000000"/>
                      <w:spacing w:val="-4"/>
                    </w:rPr>
                    <w:t>o</w:t>
                  </w:r>
                  <w:r>
                    <w:rPr>
                      <w:rFonts w:cs="Georgia"/>
                      <w:bCs/>
                      <w:color w:val="000000"/>
                      <w:spacing w:val="-1"/>
                    </w:rPr>
                    <w:t>n</w:t>
                  </w:r>
                  <w:r>
                    <w:rPr>
                      <w:rFonts w:cs="Georgia"/>
                      <w:bCs/>
                      <w:color w:val="000000"/>
                    </w:rPr>
                    <w:t>.</w:t>
                  </w:r>
                </w:p>
                <w:p>
                  <w:pPr>
                    <w:widowControl w:val="0"/>
                    <w:autoSpaceDE w:val="0"/>
                    <w:autoSpaceDN w:val="0"/>
                    <w:adjustRightInd w:val="0"/>
                    <w:spacing w:before="10" w:line="240" w:lineRule="exact"/>
                    <w:rPr>
                      <w:rFonts w:cs="Georgia"/>
                      <w:color w:val="000000"/>
                    </w:rPr>
                  </w:pPr>
                </w:p>
                <w:p>
                  <w:pPr>
                    <w:pStyle w:val="Titre4"/>
                  </w:pPr>
                  <w:bookmarkStart w:id="1764" w:name="_2.5._Fonction_de"/>
                  <w:bookmarkEnd w:id="1764"/>
                  <w:r>
                    <w:t>2.5. Fonction de sélection et de promotion à l’exception des directeurs</w:t>
                  </w:r>
                </w:p>
                <w:p>
                  <w:pPr>
                    <w:pBdr>
                      <w:right w:val="single" w:sz="4" w:space="4" w:color="auto"/>
                    </w:pBdr>
                    <w:jc w:val="both"/>
                  </w:pPr>
                </w:p>
                <w:p>
                  <w:pPr>
                    <w:pBdr>
                      <w:right w:val="single" w:sz="4" w:space="4" w:color="auto"/>
                    </w:pBdr>
                    <w:jc w:val="both"/>
                  </w:pPr>
                  <w:r>
                    <w:t xml:space="preserve">Les membres du personnel exerçant une fonction de sélection et de promotion à prestation complète, à l’exception des directeurs, sont tenus d’accomplir au moins 60 périodes de travail collaboratif par année scolaire. </w:t>
                  </w:r>
                </w:p>
                <w:p>
                  <w:pPr>
                    <w:jc w:val="both"/>
                  </w:pPr>
                </w:p>
                <w:p>
                  <w:pPr>
                    <w:pStyle w:val="Titre4"/>
                  </w:pPr>
                  <w:r>
                    <w:t>2.6. Fonction de promotion des directeurs</w:t>
                  </w:r>
                </w:p>
                <w:p>
                  <w:pPr>
                    <w:widowControl w:val="0"/>
                    <w:autoSpaceDE w:val="0"/>
                    <w:autoSpaceDN w:val="0"/>
                    <w:adjustRightInd w:val="0"/>
                    <w:spacing w:before="12" w:line="240" w:lineRule="exact"/>
                    <w:jc w:val="both"/>
                    <w:rPr>
                      <w:rFonts w:cs="Georgia"/>
                      <w:color w:val="000000"/>
                    </w:rPr>
                  </w:pPr>
                </w:p>
                <w:p>
                  <w:pPr>
                    <w:widowControl w:val="0"/>
                    <w:autoSpaceDE w:val="0"/>
                    <w:autoSpaceDN w:val="0"/>
                    <w:adjustRightInd w:val="0"/>
                    <w:spacing w:line="250" w:lineRule="exact"/>
                    <w:jc w:val="both"/>
                    <w:rPr>
                      <w:rFonts w:cs="Georgia"/>
                      <w:color w:val="000000"/>
                      <w:spacing w:val="1"/>
                    </w:rPr>
                  </w:pPr>
                  <w:r>
                    <w:rPr>
                      <w:rFonts w:cs="Georgia"/>
                      <w:color w:val="000000"/>
                      <w:spacing w:val="1"/>
                    </w:rPr>
                    <w:t>U</w:t>
                  </w:r>
                  <w:r>
                    <w:rPr>
                      <w:rFonts w:cs="Georgia"/>
                      <w:color w:val="000000"/>
                      <w:spacing w:val="-1"/>
                    </w:rPr>
                    <w:t>n</w:t>
                  </w:r>
                  <w:r>
                    <w:rPr>
                      <w:rFonts w:cs="Georgia"/>
                      <w:color w:val="000000"/>
                    </w:rPr>
                    <w:t>e f</w:t>
                  </w:r>
                  <w:r>
                    <w:rPr>
                      <w:rFonts w:cs="Georgia"/>
                      <w:color w:val="000000"/>
                      <w:spacing w:val="1"/>
                    </w:rPr>
                    <w:t>o</w:t>
                  </w:r>
                  <w:r>
                    <w:rPr>
                      <w:rFonts w:cs="Georgia"/>
                      <w:color w:val="000000"/>
                      <w:spacing w:val="-1"/>
                    </w:rPr>
                    <w:t>n</w:t>
                  </w:r>
                  <w:r>
                    <w:rPr>
                      <w:rFonts w:cs="Georgia"/>
                      <w:color w:val="000000"/>
                      <w:spacing w:val="1"/>
                    </w:rPr>
                    <w:t>ct</w:t>
                  </w:r>
                  <w:r>
                    <w:rPr>
                      <w:rFonts w:cs="Georgia"/>
                      <w:color w:val="000000"/>
                      <w:spacing w:val="-2"/>
                    </w:rPr>
                    <w:t>i</w:t>
                  </w:r>
                  <w:r>
                    <w:rPr>
                      <w:rFonts w:cs="Georgia"/>
                      <w:color w:val="000000"/>
                      <w:spacing w:val="1"/>
                    </w:rPr>
                    <w:t>o</w:t>
                  </w:r>
                  <w:r>
                    <w:rPr>
                      <w:rFonts w:cs="Georgia"/>
                      <w:color w:val="000000"/>
                    </w:rPr>
                    <w:t xml:space="preserve">n de </w:t>
                  </w:r>
                  <w:r>
                    <w:rPr>
                      <w:rFonts w:cs="Georgia"/>
                      <w:color w:val="000000"/>
                      <w:spacing w:val="1"/>
                    </w:rPr>
                    <w:t>p</w:t>
                  </w:r>
                  <w:r>
                    <w:rPr>
                      <w:rFonts w:cs="Georgia"/>
                      <w:color w:val="000000"/>
                      <w:spacing w:val="-2"/>
                    </w:rPr>
                    <w:t>r</w:t>
                  </w:r>
                  <w:r>
                    <w:rPr>
                      <w:rFonts w:cs="Georgia"/>
                      <w:color w:val="000000"/>
                      <w:spacing w:val="1"/>
                    </w:rPr>
                    <w:t>o</w:t>
                  </w:r>
                  <w:r>
                    <w:rPr>
                      <w:rFonts w:cs="Georgia"/>
                      <w:color w:val="000000"/>
                      <w:spacing w:val="-2"/>
                    </w:rPr>
                    <w:t>m</w:t>
                  </w:r>
                  <w:r>
                    <w:rPr>
                      <w:rFonts w:cs="Georgia"/>
                      <w:color w:val="000000"/>
                      <w:spacing w:val="-1"/>
                    </w:rPr>
                    <w:t>o</w:t>
                  </w:r>
                  <w:r>
                    <w:rPr>
                      <w:rFonts w:cs="Georgia"/>
                      <w:color w:val="000000"/>
                      <w:spacing w:val="1"/>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e</w:t>
                  </w:r>
                  <w:r>
                    <w:rPr>
                      <w:rFonts w:cs="Georgia"/>
                      <w:color w:val="000000"/>
                      <w:spacing w:val="1"/>
                    </w:rPr>
                    <w:t>s</w:t>
                  </w:r>
                  <w:r>
                    <w:rPr>
                      <w:rFonts w:cs="Georgia"/>
                      <w:color w:val="000000"/>
                    </w:rPr>
                    <w:t>t</w:t>
                  </w:r>
                  <w:r>
                    <w:rPr>
                      <w:rFonts w:cs="Georgia"/>
                      <w:color w:val="000000"/>
                      <w:spacing w:val="1"/>
                    </w:rPr>
                    <w:t xml:space="preserve"> </w:t>
                  </w:r>
                  <w:r>
                    <w:rPr>
                      <w:rFonts w:cs="Georgia"/>
                      <w:color w:val="000000"/>
                      <w:spacing w:val="-1"/>
                    </w:rPr>
                    <w:t>o</w:t>
                  </w:r>
                  <w:r>
                    <w:rPr>
                      <w:rFonts w:cs="Georgia"/>
                      <w:color w:val="000000"/>
                      <w:spacing w:val="1"/>
                    </w:rPr>
                    <w:t>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1"/>
                    </w:rPr>
                    <w:t>é</w:t>
                  </w:r>
                  <w:r>
                    <w:rPr>
                      <w:rFonts w:cs="Georgia"/>
                      <w:color w:val="000000"/>
                    </w:rPr>
                    <w:t xml:space="preserve">e </w:t>
                  </w:r>
                  <w:r>
                    <w:rPr>
                      <w:rFonts w:cs="Georgia"/>
                      <w:color w:val="000000"/>
                      <w:spacing w:val="1"/>
                    </w:rPr>
                    <w:t>o</w:t>
                  </w:r>
                  <w:r>
                    <w:rPr>
                      <w:rFonts w:cs="Georgia"/>
                      <w:color w:val="000000"/>
                    </w:rPr>
                    <w:t>u</w:t>
                  </w:r>
                  <w:r>
                    <w:rPr>
                      <w:rFonts w:cs="Georgia"/>
                      <w:color w:val="000000"/>
                      <w:spacing w:val="1"/>
                    </w:rPr>
                    <w:t xml:space="preserve"> </w:t>
                  </w:r>
                  <w:r>
                    <w:rPr>
                      <w:rFonts w:cs="Georgia"/>
                      <w:color w:val="000000"/>
                      <w:spacing w:val="-2"/>
                    </w:rPr>
                    <w:t>s</w:t>
                  </w:r>
                  <w:r>
                    <w:rPr>
                      <w:rFonts w:cs="Georgia"/>
                      <w:color w:val="000000"/>
                    </w:rPr>
                    <w:t>u</w:t>
                  </w:r>
                  <w:r>
                    <w:rPr>
                      <w:rFonts w:cs="Georgia"/>
                      <w:color w:val="000000"/>
                      <w:spacing w:val="1"/>
                    </w:rPr>
                    <w:t>bv</w:t>
                  </w:r>
                  <w:r>
                    <w:rPr>
                      <w:rFonts w:cs="Georgia"/>
                      <w:color w:val="000000"/>
                      <w:spacing w:val="-1"/>
                    </w:rPr>
                    <w:t>en</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nné</w:t>
                  </w:r>
                  <w:r>
                    <w:rPr>
                      <w:rFonts w:cs="Georgia"/>
                      <w:color w:val="000000"/>
                    </w:rPr>
                    <w:t>e d</w:t>
                  </w:r>
                  <w:r>
                    <w:rPr>
                      <w:rFonts w:cs="Georgia"/>
                      <w:color w:val="000000"/>
                      <w:spacing w:val="-1"/>
                    </w:rPr>
                    <w:t>an</w:t>
                  </w:r>
                  <w:r>
                    <w:rPr>
                      <w:rFonts w:cs="Georgia"/>
                      <w:color w:val="000000"/>
                    </w:rPr>
                    <w:t>s</w:t>
                  </w:r>
                  <w:r>
                    <w:rPr>
                      <w:rFonts w:cs="Georgia"/>
                      <w:color w:val="000000"/>
                      <w:spacing w:val="1"/>
                    </w:rPr>
                    <w:t xml:space="preserve"> </w:t>
                  </w:r>
                  <w:r>
                    <w:rPr>
                      <w:rFonts w:cs="Georgia"/>
                      <w:color w:val="000000"/>
                      <w:spacing w:val="-1"/>
                    </w:rPr>
                    <w:t>l</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1"/>
                    </w:rPr>
                    <w:t xml:space="preserve"> </w:t>
                  </w:r>
                  <w:r>
                    <w:rPr>
                      <w:rFonts w:cs="Georgia"/>
                      <w:color w:val="000000"/>
                    </w:rPr>
                    <w:t>f</w:t>
                  </w:r>
                  <w:r>
                    <w:rPr>
                      <w:rFonts w:cs="Georgia"/>
                      <w:color w:val="000000"/>
                      <w:spacing w:val="1"/>
                    </w:rPr>
                    <w:t>o</w:t>
                  </w:r>
                  <w:r>
                    <w:rPr>
                      <w:rFonts w:cs="Georgia"/>
                      <w:color w:val="000000"/>
                      <w:spacing w:val="-1"/>
                    </w:rPr>
                    <w:t>n</w:t>
                  </w:r>
                  <w:r>
                    <w:rPr>
                      <w:rFonts w:cs="Georgia"/>
                      <w:color w:val="000000"/>
                    </w:rPr>
                    <w:t>d</w:t>
                  </w:r>
                  <w:r>
                    <w:rPr>
                      <w:rFonts w:cs="Georgia"/>
                      <w:color w:val="000000"/>
                      <w:spacing w:val="-1"/>
                    </w:rPr>
                    <w:t>a</w:t>
                  </w:r>
                  <w:r>
                    <w:rPr>
                      <w:rFonts w:cs="Georgia"/>
                      <w:color w:val="000000"/>
                    </w:rPr>
                    <w:t>m</w:t>
                  </w:r>
                  <w:r>
                    <w:rPr>
                      <w:rFonts w:cs="Georgia"/>
                      <w:color w:val="000000"/>
                      <w:spacing w:val="-1"/>
                    </w:rPr>
                    <w:t>en</w:t>
                  </w:r>
                  <w:r>
                    <w:rPr>
                      <w:rFonts w:cs="Georgia"/>
                      <w:color w:val="000000"/>
                      <w:spacing w:val="1"/>
                    </w:rPr>
                    <w:t>t</w:t>
                  </w:r>
                  <w:r>
                    <w:rPr>
                      <w:rFonts w:cs="Georgia"/>
                      <w:color w:val="000000"/>
                      <w:spacing w:val="-1"/>
                    </w:rPr>
                    <w:t xml:space="preserve">al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rPr>
                    <w:t>é</w:t>
                  </w:r>
                  <w:r>
                    <w:rPr>
                      <w:rFonts w:cs="Georgia"/>
                      <w:color w:val="000000"/>
                      <w:spacing w:val="-1"/>
                    </w:rPr>
                    <w:t xml:space="preserve"> </w:t>
                  </w:r>
                  <w:r>
                    <w:rPr>
                      <w:rFonts w:cs="Georgia"/>
                      <w:color w:val="000000"/>
                    </w:rPr>
                    <w:t xml:space="preserve">: </w:t>
                  </w:r>
                  <w:r>
                    <w:rPr>
                      <w:rFonts w:cs="Georgia"/>
                      <w:color w:val="000000"/>
                      <w:spacing w:val="-1"/>
                    </w:rPr>
                    <w:t>l</w:t>
                  </w:r>
                  <w:r>
                    <w:rPr>
                      <w:rFonts w:cs="Georgia"/>
                      <w:color w:val="000000"/>
                    </w:rPr>
                    <w:t>a</w:t>
                  </w:r>
                  <w:r>
                    <w:rPr>
                      <w:rFonts w:cs="Georgia"/>
                      <w:color w:val="000000"/>
                      <w:spacing w:val="-1"/>
                    </w:rPr>
                    <w:t xml:space="preserve"> </w:t>
                  </w:r>
                  <w:r>
                    <w:rPr>
                      <w:rFonts w:cs="Georgia"/>
                      <w:color w:val="000000"/>
                    </w:rPr>
                    <w:t>f</w:t>
                  </w:r>
                  <w:r>
                    <w:rPr>
                      <w:rFonts w:cs="Georgia"/>
                      <w:color w:val="000000"/>
                      <w:spacing w:val="1"/>
                    </w:rPr>
                    <w:t>o</w:t>
                  </w:r>
                  <w:r>
                    <w:rPr>
                      <w:rFonts w:cs="Georgia"/>
                      <w:color w:val="000000"/>
                      <w:spacing w:val="-3"/>
                    </w:rPr>
                    <w:t>n</w:t>
                  </w:r>
                  <w:r>
                    <w:rPr>
                      <w:rFonts w:cs="Georgia"/>
                      <w:color w:val="000000"/>
                      <w:spacing w:val="1"/>
                    </w:rPr>
                    <w:t>ct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rPr>
                    <w:t>directeur</w:t>
                  </w:r>
                  <w:r>
                    <w:rPr>
                      <w:rFonts w:cs="Georgia"/>
                      <w:color w:val="000000"/>
                      <w:spacing w:val="1"/>
                    </w:rPr>
                    <w:t>.</w:t>
                  </w:r>
                </w:p>
                <w:p>
                  <w:pPr>
                    <w:widowControl w:val="0"/>
                    <w:autoSpaceDE w:val="0"/>
                    <w:autoSpaceDN w:val="0"/>
                    <w:adjustRightInd w:val="0"/>
                    <w:spacing w:line="250" w:lineRule="exact"/>
                    <w:jc w:val="both"/>
                    <w:rPr>
                      <w:rFonts w:cs="Georgia"/>
                      <w:color w:val="000000"/>
                    </w:rPr>
                  </w:pPr>
                  <w:r>
                    <w:rPr>
                      <w:rFonts w:cs="Georgia"/>
                      <w:color w:val="000000"/>
                    </w:rPr>
                    <w:t xml:space="preserve">Ce dernier est </w:t>
                  </w:r>
                  <w:r>
                    <w:rPr>
                      <w:rFonts w:cs="Georgia"/>
                      <w:color w:val="000000"/>
                      <w:spacing w:val="1"/>
                    </w:rPr>
                    <w:t>t</w:t>
                  </w:r>
                  <w:r>
                    <w:rPr>
                      <w:rFonts w:cs="Georgia"/>
                      <w:color w:val="000000"/>
                      <w:spacing w:val="-1"/>
                    </w:rPr>
                    <w:t>en</w:t>
                  </w:r>
                  <w:r>
                    <w:rPr>
                      <w:rFonts w:cs="Georgia"/>
                      <w:color w:val="000000"/>
                    </w:rPr>
                    <w:t>u</w:t>
                  </w:r>
                  <w:r>
                    <w:rPr>
                      <w:rFonts w:cs="Georgia"/>
                      <w:color w:val="000000"/>
                      <w:spacing w:val="3"/>
                    </w:rPr>
                    <w:t xml:space="preserve"> </w:t>
                  </w:r>
                  <w:r>
                    <w:rPr>
                      <w:rFonts w:cs="Georgia"/>
                      <w:color w:val="000000"/>
                      <w:spacing w:val="-2"/>
                    </w:rPr>
                    <w:t>d'</w:t>
                  </w:r>
                  <w:r>
                    <w:rPr>
                      <w:rFonts w:cs="Georgia"/>
                      <w:color w:val="000000"/>
                      <w:spacing w:val="-1"/>
                    </w:rPr>
                    <w:t>exe</w:t>
                  </w:r>
                  <w:r>
                    <w:rPr>
                      <w:rFonts w:cs="Georgia"/>
                      <w:color w:val="000000"/>
                      <w:spacing w:val="1"/>
                    </w:rPr>
                    <w:t>rc</w:t>
                  </w:r>
                  <w:r>
                    <w:rPr>
                      <w:rFonts w:cs="Georgia"/>
                      <w:color w:val="000000"/>
                      <w:spacing w:val="-1"/>
                    </w:rPr>
                    <w:t>e</w:t>
                  </w:r>
                  <w:r>
                    <w:rPr>
                      <w:rFonts w:cs="Georgia"/>
                      <w:color w:val="000000"/>
                    </w:rPr>
                    <w:t>r</w:t>
                  </w:r>
                  <w:r>
                    <w:rPr>
                      <w:rFonts w:cs="Georgia"/>
                      <w:color w:val="000000"/>
                      <w:spacing w:val="3"/>
                    </w:rPr>
                    <w:t xml:space="preserve"> </w:t>
                  </w:r>
                  <w:r>
                    <w:rPr>
                      <w:rFonts w:cs="Georgia"/>
                      <w:color w:val="000000"/>
                    </w:rPr>
                    <w:t>u</w:t>
                  </w:r>
                  <w:r>
                    <w:rPr>
                      <w:rFonts w:cs="Georgia"/>
                      <w:color w:val="000000"/>
                      <w:spacing w:val="-1"/>
                    </w:rPr>
                    <w:t>n</w:t>
                  </w:r>
                  <w:r>
                    <w:rPr>
                      <w:rFonts w:cs="Georgia"/>
                      <w:color w:val="000000"/>
                    </w:rPr>
                    <w:t>e</w:t>
                  </w:r>
                  <w:r>
                    <w:rPr>
                      <w:rFonts w:cs="Georgia"/>
                      <w:color w:val="000000"/>
                      <w:spacing w:val="1"/>
                    </w:rPr>
                    <w:t xml:space="preserve"> </w:t>
                  </w:r>
                  <w:r>
                    <w:rPr>
                      <w:rFonts w:cs="Georgia"/>
                      <w:color w:val="000000"/>
                      <w:spacing w:val="-2"/>
                    </w:rPr>
                    <w:t>c</w:t>
                  </w:r>
                  <w:r>
                    <w:rPr>
                      <w:rFonts w:cs="Georgia"/>
                      <w:color w:val="000000"/>
                      <w:spacing w:val="1"/>
                    </w:rPr>
                    <w:t>h</w:t>
                  </w:r>
                  <w:r>
                    <w:rPr>
                      <w:rFonts w:cs="Georgia"/>
                      <w:color w:val="000000"/>
                      <w:spacing w:val="-1"/>
                    </w:rPr>
                    <w:t>a</w:t>
                  </w:r>
                  <w:r>
                    <w:rPr>
                      <w:rFonts w:cs="Georgia"/>
                      <w:color w:val="000000"/>
                      <w:spacing w:val="1"/>
                    </w:rPr>
                    <w:t>r</w:t>
                  </w:r>
                  <w:r>
                    <w:rPr>
                      <w:rFonts w:cs="Georgia"/>
                      <w:color w:val="000000"/>
                    </w:rPr>
                    <w:t>ge</w:t>
                  </w:r>
                  <w:r>
                    <w:rPr>
                      <w:rFonts w:cs="Georgia"/>
                      <w:color w:val="000000"/>
                      <w:spacing w:val="1"/>
                    </w:rPr>
                    <w:t xml:space="preserve"> </w:t>
                  </w:r>
                  <w:r>
                    <w:rPr>
                      <w:rFonts w:cs="Georgia"/>
                      <w:color w:val="000000"/>
                      <w:spacing w:val="-2"/>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s</w:t>
                  </w:r>
                  <w:r>
                    <w:rPr>
                      <w:rFonts w:cs="Georgia"/>
                      <w:color w:val="000000"/>
                    </w:rPr>
                    <w:t xml:space="preserve">i, </w:t>
                  </w:r>
                  <w:r>
                    <w:rPr>
                      <w:rFonts w:cs="Georgia"/>
                      <w:color w:val="000000"/>
                      <w:spacing w:val="-1"/>
                    </w:rPr>
                    <w:t>a</w:t>
                  </w:r>
                  <w:r>
                    <w:rPr>
                      <w:rFonts w:cs="Georgia"/>
                      <w:color w:val="000000"/>
                    </w:rPr>
                    <w:t xml:space="preserve">u </w:t>
                  </w:r>
                  <w:r>
                    <w:rPr>
                      <w:rFonts w:cs="Georgia"/>
                      <w:color w:val="000000"/>
                      <w:spacing w:val="1"/>
                    </w:rPr>
                    <w:t>1</w:t>
                  </w:r>
                  <w:r>
                    <w:rPr>
                      <w:rFonts w:cs="Georgia"/>
                      <w:color w:val="000000"/>
                    </w:rPr>
                    <w:t>5</w:t>
                  </w:r>
                  <w:r>
                    <w:rPr>
                      <w:rFonts w:cs="Georgia"/>
                      <w:color w:val="000000"/>
                      <w:spacing w:val="1"/>
                    </w:rPr>
                    <w:t xml:space="preserve"> </w:t>
                  </w:r>
                  <w:r>
                    <w:rPr>
                      <w:rFonts w:cs="Georgia"/>
                      <w:color w:val="000000"/>
                    </w:rPr>
                    <w:t>j</w:t>
                  </w:r>
                  <w:r>
                    <w:rPr>
                      <w:rFonts w:cs="Georgia"/>
                      <w:color w:val="000000"/>
                      <w:spacing w:val="-3"/>
                    </w:rPr>
                    <w:t>a</w:t>
                  </w:r>
                  <w:r>
                    <w:rPr>
                      <w:rFonts w:cs="Georgia"/>
                      <w:color w:val="000000"/>
                      <w:spacing w:val="-1"/>
                    </w:rPr>
                    <w:t>n</w:t>
                  </w:r>
                  <w:r>
                    <w:rPr>
                      <w:rFonts w:cs="Georgia"/>
                      <w:color w:val="000000"/>
                      <w:spacing w:val="1"/>
                    </w:rPr>
                    <w:t>v</w:t>
                  </w:r>
                  <w:r>
                    <w:rPr>
                      <w:rFonts w:cs="Georgia"/>
                      <w:color w:val="000000"/>
                    </w:rPr>
                    <w:t>i</w:t>
                  </w:r>
                  <w:r>
                    <w:rPr>
                      <w:rFonts w:cs="Georgia"/>
                      <w:color w:val="000000"/>
                      <w:spacing w:val="-1"/>
                    </w:rPr>
                    <w:t>e</w:t>
                  </w:r>
                  <w:r>
                    <w:rPr>
                      <w:rFonts w:cs="Georgia"/>
                      <w:color w:val="000000"/>
                    </w:rPr>
                    <w:t>r</w:t>
                  </w:r>
                  <w:r>
                    <w:rPr>
                      <w:rFonts w:cs="Georgia"/>
                      <w:color w:val="000000"/>
                      <w:spacing w:val="1"/>
                    </w:rPr>
                    <w:t xml:space="preserve"> pr</w:t>
                  </w:r>
                  <w:r>
                    <w:rPr>
                      <w:rFonts w:cs="Georgia"/>
                      <w:color w:val="000000"/>
                      <w:spacing w:val="-1"/>
                    </w:rPr>
                    <w:t>é</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l</w:t>
                  </w:r>
                  <w:r>
                    <w:rPr>
                      <w:rFonts w:cs="Georgia"/>
                      <w:color w:val="000000"/>
                    </w:rPr>
                    <w:t>’</w:t>
                  </w:r>
                  <w:r>
                    <w:rPr>
                      <w:rFonts w:cs="Georgia"/>
                      <w:color w:val="000000"/>
                      <w:spacing w:val="-1"/>
                    </w:rPr>
                    <w:t xml:space="preserve">année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 xml:space="preserve">e </w:t>
                  </w:r>
                  <w:r>
                    <w:rPr>
                      <w:rFonts w:cs="Georgia"/>
                      <w:color w:val="000000"/>
                      <w:spacing w:val="-1"/>
                    </w:rPr>
                    <w:t>e</w:t>
                  </w:r>
                  <w:r>
                    <w:rPr>
                      <w:rFonts w:cs="Georgia"/>
                      <w:color w:val="000000"/>
                    </w:rPr>
                    <w:t>n</w:t>
                  </w:r>
                  <w:r>
                    <w:rPr>
                      <w:rFonts w:cs="Georgia"/>
                      <w:color w:val="000000"/>
                      <w:spacing w:val="1"/>
                    </w:rPr>
                    <w:t xml:space="preserve"> </w:t>
                  </w:r>
                  <w:r>
                    <w:rPr>
                      <w:rFonts w:cs="Georgia"/>
                      <w:color w:val="000000"/>
                      <w:spacing w:val="-1"/>
                    </w:rPr>
                    <w:t>q</w:t>
                  </w:r>
                  <w:r>
                    <w:rPr>
                      <w:rFonts w:cs="Georgia"/>
                      <w:color w:val="000000"/>
                    </w:rPr>
                    <w:t>u</w:t>
                  </w:r>
                  <w:r>
                    <w:rPr>
                      <w:rFonts w:cs="Georgia"/>
                      <w:color w:val="000000"/>
                      <w:spacing w:val="-1"/>
                    </w:rPr>
                    <w:t>e</w:t>
                  </w:r>
                  <w:r>
                    <w:rPr>
                      <w:rFonts w:cs="Georgia"/>
                      <w:color w:val="000000"/>
                      <w:spacing w:val="-2"/>
                    </w:rPr>
                    <w:t>s</w:t>
                  </w:r>
                  <w:r>
                    <w:rPr>
                      <w:rFonts w:cs="Georgia"/>
                      <w:color w:val="000000"/>
                      <w:spacing w:val="1"/>
                    </w:rPr>
                    <w:t>t</w:t>
                  </w:r>
                  <w:r>
                    <w:rPr>
                      <w:rFonts w:cs="Georgia"/>
                      <w:color w:val="000000"/>
                    </w:rPr>
                    <w:t>i</w:t>
                  </w:r>
                  <w:r>
                    <w:rPr>
                      <w:rFonts w:cs="Georgia"/>
                      <w:color w:val="000000"/>
                      <w:spacing w:val="1"/>
                    </w:rPr>
                    <w:t>o</w:t>
                  </w:r>
                  <w:r>
                    <w:rPr>
                      <w:rFonts w:cs="Georgia"/>
                      <w:color w:val="000000"/>
                      <w:spacing w:val="-3"/>
                    </w:rPr>
                    <w:t>n</w:t>
                  </w:r>
                  <w:r>
                    <w:rPr>
                      <w:rFonts w:cs="Georgia"/>
                      <w:color w:val="000000"/>
                    </w:rPr>
                    <w:t>,</w:t>
                  </w:r>
                  <w:r>
                    <w:rPr>
                      <w:rFonts w:cs="Georgia"/>
                      <w:color w:val="000000"/>
                      <w:spacing w:val="2"/>
                    </w:rPr>
                    <w:t xml:space="preserve"> </w:t>
                  </w:r>
                  <w:r>
                    <w:rPr>
                      <w:rFonts w:cs="Georgia"/>
                      <w:color w:val="000000"/>
                      <w:spacing w:val="-1"/>
                    </w:rPr>
                    <w:t>l</w:t>
                  </w:r>
                  <w:r>
                    <w:rPr>
                      <w:rFonts w:cs="Georgia"/>
                      <w:color w:val="000000"/>
                    </w:rPr>
                    <w:t>a</w:t>
                  </w:r>
                  <w:r>
                    <w:rPr>
                      <w:rFonts w:cs="Georgia"/>
                      <w:color w:val="000000"/>
                      <w:spacing w:val="1"/>
                    </w:rPr>
                    <w:t xml:space="preserve"> s</w:t>
                  </w:r>
                  <w:r>
                    <w:rPr>
                      <w:rFonts w:cs="Georgia"/>
                      <w:color w:val="000000"/>
                      <w:spacing w:val="-1"/>
                    </w:rPr>
                    <w:t>o</w:t>
                  </w:r>
                  <w:r>
                    <w:rPr>
                      <w:rFonts w:cs="Georgia"/>
                      <w:color w:val="000000"/>
                    </w:rPr>
                    <w:t>mme d</w:t>
                  </w:r>
                  <w:r>
                    <w:rPr>
                      <w:rFonts w:cs="Georgia"/>
                      <w:color w:val="000000"/>
                      <w:spacing w:val="-1"/>
                    </w:rPr>
                    <w:t>e</w:t>
                  </w:r>
                  <w:r>
                    <w:rPr>
                      <w:rFonts w:cs="Georgia"/>
                      <w:color w:val="000000"/>
                    </w:rPr>
                    <w:t xml:space="preserve">s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r</w:t>
                  </w:r>
                  <w:r>
                    <w:rPr>
                      <w:rFonts w:cs="Georgia"/>
                      <w:color w:val="000000"/>
                      <w:spacing w:val="-1"/>
                    </w:rPr>
                    <w:t>é</w:t>
                  </w:r>
                  <w:r>
                    <w:rPr>
                      <w:rFonts w:cs="Georgia"/>
                      <w:color w:val="000000"/>
                      <w:spacing w:val="-2"/>
                    </w:rPr>
                    <w:t>g</w:t>
                  </w:r>
                  <w:r>
                    <w:rPr>
                      <w:rFonts w:cs="Georgia"/>
                      <w:color w:val="000000"/>
                    </w:rPr>
                    <w:t>u</w:t>
                  </w:r>
                  <w:r>
                    <w:rPr>
                      <w:rFonts w:cs="Georgia"/>
                      <w:color w:val="000000"/>
                      <w:spacing w:val="-1"/>
                    </w:rPr>
                    <w:t>l</w:t>
                  </w:r>
                  <w:r>
                    <w:rPr>
                      <w:rFonts w:cs="Georgia"/>
                      <w:color w:val="000000"/>
                    </w:rPr>
                    <w:t>i</w:t>
                  </w:r>
                  <w:r>
                    <w:rPr>
                      <w:rFonts w:cs="Georgia"/>
                      <w:color w:val="000000"/>
                      <w:spacing w:val="-1"/>
                    </w:rPr>
                    <w:t>è</w:t>
                  </w:r>
                  <w:r>
                    <w:rPr>
                      <w:rFonts w:cs="Georgia"/>
                      <w:color w:val="000000"/>
                      <w:spacing w:val="1"/>
                    </w:rPr>
                    <w:t>r</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rPr>
                    <w:t>i</w:t>
                  </w:r>
                  <w:r>
                    <w:rPr>
                      <w:rFonts w:cs="Georgia"/>
                      <w:color w:val="000000"/>
                      <w:spacing w:val="-1"/>
                    </w:rPr>
                    <w:t>n</w:t>
                  </w:r>
                  <w:r>
                    <w:rPr>
                      <w:rFonts w:cs="Georgia"/>
                      <w:color w:val="000000"/>
                      <w:spacing w:val="1"/>
                    </w:rPr>
                    <w:t>s</w:t>
                  </w:r>
                  <w:r>
                    <w:rPr>
                      <w:rFonts w:cs="Georgia"/>
                      <w:color w:val="000000"/>
                      <w:spacing w:val="-2"/>
                    </w:rPr>
                    <w:t>c</w:t>
                  </w:r>
                  <w:r>
                    <w:rPr>
                      <w:rFonts w:cs="Georgia"/>
                      <w:color w:val="000000"/>
                      <w:spacing w:val="1"/>
                    </w:rPr>
                    <w:t>r</w:t>
                  </w:r>
                  <w:r>
                    <w:rPr>
                      <w:rFonts w:cs="Georgia"/>
                      <w:color w:val="000000"/>
                    </w:rPr>
                    <w:t>i</w:t>
                  </w:r>
                  <w:r>
                    <w:rPr>
                      <w:rFonts w:cs="Georgia"/>
                      <w:color w:val="000000"/>
                      <w:spacing w:val="1"/>
                    </w:rPr>
                    <w:t>t</w:t>
                  </w:r>
                  <w:r>
                    <w:rPr>
                      <w:rFonts w:cs="Georgia"/>
                      <w:color w:val="000000"/>
                    </w:rPr>
                    <w:t xml:space="preserve">s </w:t>
                  </w:r>
                  <w:r>
                    <w:rPr>
                      <w:rFonts w:cs="Georgia"/>
                      <w:color w:val="000000"/>
                      <w:spacing w:val="-1"/>
                    </w:rPr>
                    <w:t>e</w:t>
                  </w:r>
                  <w:r>
                    <w:rPr>
                      <w:rFonts w:cs="Georgia"/>
                      <w:color w:val="000000"/>
                    </w:rPr>
                    <w:t xml:space="preserve">t </w:t>
                  </w:r>
                  <w:r>
                    <w:rPr>
                      <w:rFonts w:cs="Georgia"/>
                      <w:color w:val="000000"/>
                      <w:spacing w:val="-2"/>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e</w:t>
                  </w:r>
                  <w:r>
                    <w:rPr>
                      <w:rFonts w:cs="Georgia"/>
                      <w:color w:val="000000"/>
                    </w:rPr>
                    <w:t>n</w:t>
                  </w:r>
                  <w:r>
                    <w:rPr>
                      <w:rFonts w:cs="Georgia"/>
                      <w:color w:val="000000"/>
                      <w:spacing w:val="1"/>
                    </w:rPr>
                    <w:t xml:space="preserve"> </w:t>
                  </w:r>
                  <w:r>
                    <w:rPr>
                      <w:rFonts w:cs="Georgia"/>
                      <w:color w:val="000000"/>
                    </w:rPr>
                    <w:t>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 xml:space="preserve">n </w:t>
                  </w:r>
                  <w:r>
                    <w:rPr>
                      <w:rFonts w:cs="Georgia"/>
                      <w:color w:val="000000"/>
                      <w:spacing w:val="1"/>
                    </w:rPr>
                    <w:t>p</w:t>
                  </w:r>
                  <w:r>
                    <w:rPr>
                      <w:rFonts w:cs="Georgia"/>
                      <w:color w:val="000000"/>
                      <w:spacing w:val="-1"/>
                    </w:rPr>
                    <w:t>e</w:t>
                  </w:r>
                  <w:r>
                    <w:rPr>
                      <w:rFonts w:cs="Georgia"/>
                      <w:color w:val="000000"/>
                      <w:spacing w:val="1"/>
                    </w:rPr>
                    <w:t>r</w:t>
                  </w:r>
                  <w:r>
                    <w:rPr>
                      <w:rFonts w:cs="Georgia"/>
                      <w:color w:val="000000"/>
                    </w:rPr>
                    <w:t>m</w:t>
                  </w:r>
                  <w:r>
                    <w:rPr>
                      <w:rFonts w:cs="Georgia"/>
                      <w:color w:val="000000"/>
                      <w:spacing w:val="-1"/>
                    </w:rPr>
                    <w:t>anen</w:t>
                  </w:r>
                  <w:r>
                    <w:rPr>
                      <w:rFonts w:cs="Georgia"/>
                      <w:color w:val="000000"/>
                      <w:spacing w:val="1"/>
                    </w:rPr>
                    <w:t>t</w:t>
                  </w:r>
                  <w:r>
                    <w:rPr>
                      <w:rFonts w:cs="Georgia"/>
                      <w:color w:val="000000"/>
                    </w:rPr>
                    <w:t>e</w:t>
                  </w:r>
                  <w:r>
                    <w:rPr>
                      <w:rFonts w:cs="Georgia"/>
                      <w:color w:val="000000"/>
                      <w:spacing w:val="44"/>
                    </w:rPr>
                    <w:t xml:space="preserve"> </w:t>
                  </w:r>
                  <w:r>
                    <w:rPr>
                      <w:rFonts w:cs="Georgia"/>
                      <w:color w:val="000000"/>
                      <w:spacing w:val="1"/>
                    </w:rPr>
                    <w:t>tot</w:t>
                  </w:r>
                  <w:r>
                    <w:rPr>
                      <w:rFonts w:cs="Georgia"/>
                      <w:color w:val="000000"/>
                      <w:spacing w:val="-1"/>
                    </w:rPr>
                    <w:t>al</w:t>
                  </w:r>
                  <w:r>
                    <w:rPr>
                      <w:rFonts w:cs="Georgia"/>
                      <w:color w:val="000000"/>
                    </w:rPr>
                    <w:t>e</w:t>
                  </w:r>
                  <w:r>
                    <w:rPr>
                      <w:rFonts w:cs="Georgia"/>
                      <w:color w:val="000000"/>
                      <w:spacing w:val="44"/>
                    </w:rPr>
                    <w:t xml:space="preserve"> </w:t>
                  </w:r>
                  <w:r>
                    <w:rPr>
                      <w:rFonts w:cs="Georgia"/>
                      <w:color w:val="000000"/>
                      <w:spacing w:val="-1"/>
                    </w:rPr>
                    <w:t>e</w:t>
                  </w:r>
                  <w:r>
                    <w:rPr>
                      <w:rFonts w:cs="Georgia"/>
                      <w:color w:val="000000"/>
                      <w:spacing w:val="1"/>
                    </w:rPr>
                    <w:t>s</w:t>
                  </w:r>
                  <w:r>
                    <w:rPr>
                      <w:rFonts w:cs="Georgia"/>
                      <w:color w:val="000000"/>
                    </w:rPr>
                    <w:t>t</w:t>
                  </w:r>
                  <w:r>
                    <w:rPr>
                      <w:rFonts w:cs="Georgia"/>
                      <w:color w:val="000000"/>
                      <w:spacing w:val="46"/>
                    </w:rPr>
                    <w:t xml:space="preserve"> </w:t>
                  </w:r>
                  <w:r>
                    <w:rPr>
                      <w:rFonts w:cs="Georgia"/>
                      <w:color w:val="000000"/>
                    </w:rPr>
                    <w:t>i</w:t>
                  </w:r>
                  <w:r>
                    <w:rPr>
                      <w:rFonts w:cs="Georgia"/>
                      <w:color w:val="000000"/>
                      <w:spacing w:val="-1"/>
                    </w:rPr>
                    <w:t>n</w:t>
                  </w:r>
                  <w:r>
                    <w:rPr>
                      <w:rFonts w:cs="Georgia"/>
                      <w:color w:val="000000"/>
                    </w:rPr>
                    <w:t>f</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e</w:t>
                  </w:r>
                  <w:r>
                    <w:rPr>
                      <w:rFonts w:cs="Georgia"/>
                      <w:color w:val="000000"/>
                    </w:rPr>
                    <w:t>u</w:t>
                  </w:r>
                  <w:r>
                    <w:rPr>
                      <w:rFonts w:cs="Georgia"/>
                      <w:color w:val="000000"/>
                      <w:spacing w:val="1"/>
                    </w:rPr>
                    <w:t>r</w:t>
                  </w:r>
                  <w:r>
                    <w:rPr>
                      <w:rFonts w:cs="Georgia"/>
                      <w:color w:val="000000"/>
                    </w:rPr>
                    <w:t>e</w:t>
                  </w:r>
                  <w:r>
                    <w:rPr>
                      <w:rFonts w:cs="Georgia"/>
                      <w:color w:val="000000"/>
                      <w:spacing w:val="44"/>
                    </w:rPr>
                    <w:t xml:space="preserve"> </w:t>
                  </w:r>
                  <w:r>
                    <w:rPr>
                      <w:rFonts w:cs="Georgia"/>
                      <w:color w:val="000000"/>
                    </w:rPr>
                    <w:t>à</w:t>
                  </w:r>
                  <w:r>
                    <w:rPr>
                      <w:rFonts w:cs="Georgia"/>
                      <w:color w:val="000000"/>
                      <w:spacing w:val="44"/>
                    </w:rPr>
                    <w:t xml:space="preserve"> </w:t>
                  </w:r>
                  <w:r>
                    <w:rPr>
                      <w:rFonts w:cs="Georgia"/>
                      <w:color w:val="000000"/>
                    </w:rPr>
                    <w:t>6</w:t>
                  </w:r>
                  <w:r>
                    <w:rPr>
                      <w:rFonts w:cs="Georgia"/>
                      <w:color w:val="000000"/>
                      <w:spacing w:val="-1"/>
                    </w:rPr>
                    <w:t>0</w:t>
                  </w:r>
                  <w:r>
                    <w:rPr>
                      <w:rFonts w:cs="Georgia"/>
                      <w:color w:val="000000"/>
                    </w:rPr>
                    <w:t>.</w:t>
                  </w:r>
                  <w:r>
                    <w:rPr>
                      <w:rFonts w:cs="Georgia"/>
                      <w:color w:val="000000"/>
                      <w:spacing w:val="1"/>
                    </w:rPr>
                    <w:t xml:space="preserve"> L</w:t>
                  </w:r>
                  <w:r>
                    <w:rPr>
                      <w:rFonts w:cs="Georgia"/>
                      <w:color w:val="000000"/>
                    </w:rPr>
                    <w:t>a</w:t>
                  </w:r>
                  <w:r>
                    <w:rPr>
                      <w:rFonts w:cs="Georgia"/>
                      <w:color w:val="000000"/>
                      <w:spacing w:val="28"/>
                    </w:rPr>
                    <w:t xml:space="preserve"> </w:t>
                  </w:r>
                  <w:r>
                    <w:rPr>
                      <w:rFonts w:cs="Georgia"/>
                      <w:color w:val="000000"/>
                      <w:spacing w:val="-2"/>
                    </w:rPr>
                    <w:t>c</w:t>
                  </w:r>
                  <w:r>
                    <w:rPr>
                      <w:rFonts w:cs="Georgia"/>
                      <w:color w:val="000000"/>
                      <w:spacing w:val="1"/>
                    </w:rPr>
                    <w:t>h</w:t>
                  </w:r>
                  <w:r>
                    <w:rPr>
                      <w:rFonts w:cs="Georgia"/>
                      <w:color w:val="000000"/>
                      <w:spacing w:val="-1"/>
                    </w:rPr>
                    <w:t>a</w:t>
                  </w:r>
                  <w:r>
                    <w:rPr>
                      <w:rFonts w:cs="Georgia"/>
                      <w:color w:val="000000"/>
                      <w:spacing w:val="1"/>
                    </w:rPr>
                    <w:t>r</w:t>
                  </w:r>
                  <w:r>
                    <w:rPr>
                      <w:rFonts w:cs="Georgia"/>
                      <w:color w:val="000000"/>
                    </w:rPr>
                    <w:t>ge</w:t>
                  </w:r>
                  <w:r>
                    <w:rPr>
                      <w:rFonts w:cs="Georgia"/>
                      <w:color w:val="000000"/>
                      <w:spacing w:val="25"/>
                    </w:rPr>
                    <w:t xml:space="preserve"> </w:t>
                  </w:r>
                  <w:r>
                    <w:rPr>
                      <w:rFonts w:cs="Georgia"/>
                      <w:color w:val="000000"/>
                    </w:rPr>
                    <w:t>d'</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29"/>
                    </w:rPr>
                    <w:t xml:space="preserve"> </w:t>
                  </w:r>
                  <w:r>
                    <w:rPr>
                      <w:rFonts w:cs="Georgia"/>
                      <w:color w:val="000000"/>
                    </w:rPr>
                    <w:t>du directeur</w:t>
                  </w:r>
                  <w:r>
                    <w:rPr>
                      <w:rFonts w:cs="Georgia"/>
                      <w:color w:val="000000"/>
                      <w:spacing w:val="27"/>
                    </w:rPr>
                    <w:t xml:space="preserve"> </w:t>
                  </w:r>
                  <w:r>
                    <w:rPr>
                      <w:rFonts w:cs="Georgia"/>
                      <w:color w:val="000000"/>
                      <w:spacing w:val="1"/>
                    </w:rPr>
                    <w:t>v</w:t>
                  </w:r>
                  <w:r>
                    <w:rPr>
                      <w:rFonts w:cs="Georgia"/>
                      <w:color w:val="000000"/>
                      <w:spacing w:val="-1"/>
                    </w:rPr>
                    <w:t>a</w:t>
                  </w:r>
                  <w:r>
                    <w:rPr>
                      <w:rFonts w:cs="Georgia"/>
                      <w:color w:val="000000"/>
                      <w:spacing w:val="1"/>
                    </w:rPr>
                    <w:t>r</w:t>
                  </w:r>
                  <w:r>
                    <w:rPr>
                      <w:rFonts w:cs="Georgia"/>
                      <w:color w:val="000000"/>
                    </w:rPr>
                    <w:t>ie donc</w:t>
                  </w:r>
                  <w:r>
                    <w:rPr>
                      <w:rFonts w:cs="Georgia"/>
                      <w:color w:val="000000"/>
                      <w:spacing w:val="27"/>
                    </w:rPr>
                    <w:t xml:space="preserve"> </w:t>
                  </w:r>
                  <w:r>
                    <w:rPr>
                      <w:rFonts w:cs="Georgia"/>
                      <w:color w:val="000000"/>
                      <w:spacing w:val="-1"/>
                    </w:rPr>
                    <w:t>e</w:t>
                  </w:r>
                  <w:r>
                    <w:rPr>
                      <w:rFonts w:cs="Georgia"/>
                      <w:color w:val="000000"/>
                    </w:rPr>
                    <w:t>n</w:t>
                  </w:r>
                  <w:r>
                    <w:rPr>
                      <w:rFonts w:cs="Georgia"/>
                      <w:color w:val="000000"/>
                      <w:spacing w:val="25"/>
                    </w:rPr>
                    <w:t xml:space="preserve"> </w:t>
                  </w:r>
                  <w:r>
                    <w:rPr>
                      <w:rFonts w:cs="Georgia"/>
                      <w:color w:val="000000"/>
                    </w:rPr>
                    <w:t>f</w:t>
                  </w:r>
                  <w:r>
                    <w:rPr>
                      <w:rFonts w:cs="Georgia"/>
                      <w:color w:val="000000"/>
                      <w:spacing w:val="1"/>
                    </w:rPr>
                    <w:t>o</w:t>
                  </w:r>
                  <w:r>
                    <w:rPr>
                      <w:rFonts w:cs="Georgia"/>
                      <w:color w:val="000000"/>
                      <w:spacing w:val="-1"/>
                    </w:rPr>
                    <w:t>n</w:t>
                  </w:r>
                  <w:r>
                    <w:rPr>
                      <w:rFonts w:cs="Georgia"/>
                      <w:color w:val="000000"/>
                      <w:spacing w:val="-2"/>
                    </w:rPr>
                    <w:t>c</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25"/>
                    </w:rPr>
                    <w:t xml:space="preserve"> </w:t>
                  </w:r>
                  <w:r>
                    <w:rPr>
                      <w:rFonts w:cs="Georgia"/>
                      <w:color w:val="000000"/>
                    </w:rPr>
                    <w:t>de</w:t>
                  </w:r>
                  <w:r>
                    <w:rPr>
                      <w:rFonts w:cs="Georgia"/>
                      <w:color w:val="000000"/>
                      <w:spacing w:val="27"/>
                    </w:rPr>
                    <w:t xml:space="preserve"> </w:t>
                  </w:r>
                  <w:r>
                    <w:rPr>
                      <w:rFonts w:cs="Georgia"/>
                      <w:color w:val="000000"/>
                      <w:spacing w:val="-1"/>
                    </w:rPr>
                    <w:t>l</w:t>
                  </w:r>
                  <w:r>
                    <w:rPr>
                      <w:rFonts w:cs="Georgia"/>
                      <w:color w:val="000000"/>
                    </w:rPr>
                    <w:t>a</w:t>
                  </w:r>
                  <w:r>
                    <w:rPr>
                      <w:rFonts w:cs="Georgia"/>
                      <w:color w:val="000000"/>
                      <w:spacing w:val="28"/>
                    </w:rPr>
                    <w:t xml:space="preserve"> </w:t>
                  </w:r>
                  <w:r>
                    <w:rPr>
                      <w:rFonts w:cs="Georgia"/>
                      <w:color w:val="000000"/>
                      <w:spacing w:val="1"/>
                    </w:rPr>
                    <w:t>s</w:t>
                  </w:r>
                  <w:r>
                    <w:rPr>
                      <w:rFonts w:cs="Georgia"/>
                      <w:color w:val="000000"/>
                      <w:spacing w:val="-1"/>
                    </w:rPr>
                    <w:t>o</w:t>
                  </w:r>
                  <w:r>
                    <w:rPr>
                      <w:rFonts w:cs="Georgia"/>
                      <w:color w:val="000000"/>
                    </w:rPr>
                    <w:t>mme</w:t>
                  </w:r>
                  <w:r>
                    <w:rPr>
                      <w:rFonts w:cs="Georgia"/>
                      <w:color w:val="000000"/>
                      <w:spacing w:val="27"/>
                    </w:rPr>
                    <w:t xml:space="preserve"> </w:t>
                  </w:r>
                  <w:r>
                    <w:rPr>
                      <w:rFonts w:cs="Georgia"/>
                      <w:color w:val="000000"/>
                      <w:spacing w:val="-2"/>
                    </w:rPr>
                    <w:t>d</w:t>
                  </w:r>
                  <w:r>
                    <w:rPr>
                      <w:rFonts w:cs="Georgia"/>
                      <w:color w:val="000000"/>
                      <w:spacing w:val="-1"/>
                    </w:rPr>
                    <w:t>e</w:t>
                  </w:r>
                  <w:r>
                    <w:rPr>
                      <w:rFonts w:cs="Georgia"/>
                      <w:color w:val="000000"/>
                    </w:rPr>
                    <w:t>s</w:t>
                  </w:r>
                  <w:r>
                    <w:rPr>
                      <w:rFonts w:cs="Georgia"/>
                      <w:color w:val="000000"/>
                      <w:spacing w:val="29"/>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9"/>
                    </w:rPr>
                    <w:t xml:space="preserve"> </w:t>
                  </w:r>
                  <w:r>
                    <w:rPr>
                      <w:rFonts w:cs="Georgia"/>
                      <w:color w:val="000000"/>
                      <w:spacing w:val="1"/>
                    </w:rPr>
                    <w:t>r</w:t>
                  </w:r>
                  <w:r>
                    <w:rPr>
                      <w:rFonts w:cs="Georgia"/>
                      <w:color w:val="000000"/>
                      <w:spacing w:val="-1"/>
                    </w:rPr>
                    <w:t>é</w:t>
                  </w:r>
                  <w:r>
                    <w:rPr>
                      <w:rFonts w:cs="Georgia"/>
                      <w:color w:val="000000"/>
                    </w:rPr>
                    <w:t>gu</w:t>
                  </w:r>
                  <w:r>
                    <w:rPr>
                      <w:rFonts w:cs="Georgia"/>
                      <w:color w:val="000000"/>
                      <w:spacing w:val="-1"/>
                    </w:rPr>
                    <w:t>l</w:t>
                  </w:r>
                  <w:r>
                    <w:rPr>
                      <w:rFonts w:cs="Georgia"/>
                      <w:color w:val="000000"/>
                    </w:rPr>
                    <w:t>i</w:t>
                  </w:r>
                  <w:r>
                    <w:rPr>
                      <w:rFonts w:cs="Georgia"/>
                      <w:color w:val="000000"/>
                      <w:spacing w:val="-1"/>
                    </w:rPr>
                    <w:t>è</w:t>
                  </w:r>
                  <w:r>
                    <w:rPr>
                      <w:rFonts w:cs="Georgia"/>
                      <w:color w:val="000000"/>
                      <w:spacing w:val="1"/>
                    </w:rPr>
                    <w:t>r</w:t>
                  </w:r>
                  <w:r>
                    <w:rPr>
                      <w:rFonts w:cs="Georgia"/>
                      <w:color w:val="000000"/>
                      <w:spacing w:val="-1"/>
                    </w:rPr>
                    <w:t>e</w:t>
                  </w:r>
                  <w:r>
                    <w:rPr>
                      <w:rFonts w:cs="Georgia"/>
                      <w:color w:val="000000"/>
                    </w:rPr>
                    <w:t>m</w:t>
                  </w:r>
                  <w:r>
                    <w:rPr>
                      <w:rFonts w:cs="Georgia"/>
                      <w:color w:val="000000"/>
                      <w:spacing w:val="-1"/>
                    </w:rPr>
                    <w:t>en</w:t>
                  </w:r>
                  <w:r>
                    <w:rPr>
                      <w:rFonts w:cs="Georgia"/>
                      <w:color w:val="000000"/>
                    </w:rPr>
                    <w:t>t i</w:t>
                  </w:r>
                  <w:r>
                    <w:rPr>
                      <w:rFonts w:cs="Georgia"/>
                      <w:color w:val="000000"/>
                      <w:spacing w:val="-1"/>
                    </w:rPr>
                    <w:t>n</w:t>
                  </w:r>
                  <w:r>
                    <w:rPr>
                      <w:rFonts w:cs="Georgia"/>
                      <w:color w:val="000000"/>
                      <w:spacing w:val="1"/>
                    </w:rPr>
                    <w:t>scr</w:t>
                  </w:r>
                  <w:r>
                    <w:rPr>
                      <w:rFonts w:cs="Georgia"/>
                      <w:color w:val="000000"/>
                      <w:spacing w:val="-2"/>
                    </w:rPr>
                    <w:t>i</w:t>
                  </w:r>
                  <w:r>
                    <w:rPr>
                      <w:rFonts w:cs="Georgia"/>
                      <w:color w:val="000000"/>
                      <w:spacing w:val="1"/>
                    </w:rPr>
                    <w:t>t</w:t>
                  </w:r>
                  <w:r>
                    <w:rPr>
                      <w:rFonts w:cs="Georgia"/>
                      <w:color w:val="000000"/>
                    </w:rPr>
                    <w:t xml:space="preserve">s </w:t>
                  </w:r>
                  <w:r>
                    <w:rPr>
                      <w:rFonts w:cs="Georgia"/>
                      <w:color w:val="000000"/>
                      <w:spacing w:val="-1"/>
                    </w:rPr>
                    <w:t>e</w:t>
                  </w:r>
                  <w:r>
                    <w:rPr>
                      <w:rFonts w:cs="Georgia"/>
                      <w:color w:val="000000"/>
                    </w:rPr>
                    <w:t>t d</w:t>
                  </w:r>
                  <w:r>
                    <w:rPr>
                      <w:rFonts w:cs="Georgia"/>
                      <w:color w:val="000000"/>
                      <w:spacing w:val="-1"/>
                    </w:rPr>
                    <w:t>e</w:t>
                  </w:r>
                  <w:r>
                    <w:rPr>
                      <w:rFonts w:cs="Georgia"/>
                      <w:color w:val="000000"/>
                    </w:rPr>
                    <w:t xml:space="preserve">s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 xml:space="preserve">s </w:t>
                  </w:r>
                  <w:r>
                    <w:rPr>
                      <w:rFonts w:cs="Georgia"/>
                      <w:color w:val="000000"/>
                      <w:spacing w:val="-1"/>
                    </w:rPr>
                    <w:t>e</w:t>
                  </w:r>
                  <w:r>
                    <w:rPr>
                      <w:rFonts w:cs="Georgia"/>
                      <w:color w:val="000000"/>
                    </w:rPr>
                    <w:t>n</w:t>
                  </w:r>
                  <w:r>
                    <w:rPr>
                      <w:rFonts w:cs="Georgia"/>
                      <w:color w:val="000000"/>
                      <w:spacing w:val="-1"/>
                    </w:rPr>
                    <w:t xml:space="preserve"> </w:t>
                  </w:r>
                  <w:r>
                    <w:rPr>
                      <w:rFonts w:cs="Georgia"/>
                      <w:color w:val="000000"/>
                    </w:rPr>
                    <w:t>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1"/>
                    </w:rPr>
                    <w:t>p</w:t>
                  </w:r>
                  <w:r>
                    <w:rPr>
                      <w:rFonts w:cs="Georgia"/>
                      <w:color w:val="000000"/>
                      <w:spacing w:val="-1"/>
                    </w:rPr>
                    <w:t>e</w:t>
                  </w:r>
                  <w:r>
                    <w:rPr>
                      <w:rFonts w:cs="Georgia"/>
                      <w:color w:val="000000"/>
                      <w:spacing w:val="1"/>
                    </w:rPr>
                    <w:t>r</w:t>
                  </w:r>
                  <w:r>
                    <w:rPr>
                      <w:rFonts w:cs="Georgia"/>
                      <w:color w:val="000000"/>
                    </w:rPr>
                    <w:t>m</w:t>
                  </w:r>
                  <w:r>
                    <w:rPr>
                      <w:rFonts w:cs="Georgia"/>
                      <w:color w:val="000000"/>
                      <w:spacing w:val="-1"/>
                    </w:rPr>
                    <w:t>anen</w:t>
                  </w:r>
                  <w:r>
                    <w:rPr>
                      <w:rFonts w:cs="Georgia"/>
                      <w:color w:val="000000"/>
                      <w:spacing w:val="1"/>
                    </w:rPr>
                    <w:t>t</w:t>
                  </w:r>
                  <w:r>
                    <w:rPr>
                      <w:rFonts w:cs="Georgia"/>
                      <w:color w:val="000000"/>
                    </w:rPr>
                    <w:t>e</w:t>
                  </w:r>
                  <w:r>
                    <w:rPr>
                      <w:rFonts w:cs="Georgia"/>
                      <w:color w:val="000000"/>
                      <w:spacing w:val="-1"/>
                    </w:rPr>
                    <w:t xml:space="preserve"> </w:t>
                  </w:r>
                  <w:r>
                    <w:rPr>
                      <w:rFonts w:cs="Georgia"/>
                      <w:color w:val="000000"/>
                      <w:spacing w:val="-2"/>
                    </w:rPr>
                    <w:t>t</w:t>
                  </w:r>
                  <w:r>
                    <w:rPr>
                      <w:rFonts w:cs="Georgia"/>
                      <w:color w:val="000000"/>
                      <w:spacing w:val="1"/>
                    </w:rPr>
                    <w:t>ot</w:t>
                  </w:r>
                  <w:r>
                    <w:rPr>
                      <w:rFonts w:cs="Georgia"/>
                      <w:color w:val="000000"/>
                      <w:spacing w:val="-1"/>
                    </w:rPr>
                    <w:t>al</w:t>
                  </w:r>
                  <w:r>
                    <w:rPr>
                      <w:rFonts w:cs="Georgia"/>
                      <w:color w:val="000000"/>
                    </w:rPr>
                    <w:t>e</w:t>
                  </w:r>
                  <w:r>
                    <w:rPr>
                      <w:rFonts w:cs="Georgia"/>
                      <w:color w:val="000000"/>
                      <w:spacing w:val="-1"/>
                    </w:rPr>
                    <w:t>.</w:t>
                  </w:r>
                </w:p>
                <w:p>
                  <w:pPr>
                    <w:widowControl w:val="0"/>
                    <w:autoSpaceDE w:val="0"/>
                    <w:autoSpaceDN w:val="0"/>
                    <w:adjustRightInd w:val="0"/>
                    <w:spacing w:line="250" w:lineRule="exact"/>
                    <w:jc w:val="both"/>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rPr>
                    <w:t>Le directeur est dispensé de la charge d’enseignement</w:t>
                  </w:r>
                  <w:r>
                    <w:rPr>
                      <w:rFonts w:cs="Georgia"/>
                      <w:color w:val="000000"/>
                      <w:spacing w:val="46"/>
                    </w:rPr>
                    <w:t xml:space="preserve"> </w:t>
                  </w:r>
                  <w:r>
                    <w:rPr>
                      <w:rFonts w:cs="Georgia"/>
                      <w:color w:val="000000"/>
                      <w:spacing w:val="1"/>
                    </w:rPr>
                    <w:t>s</w:t>
                  </w:r>
                  <w:r>
                    <w:rPr>
                      <w:rFonts w:cs="Georgia"/>
                      <w:color w:val="000000"/>
                    </w:rPr>
                    <w:t>i</w:t>
                  </w:r>
                  <w:r>
                    <w:rPr>
                      <w:rFonts w:cs="Georgia"/>
                      <w:color w:val="000000"/>
                      <w:spacing w:val="45"/>
                    </w:rPr>
                    <w:t xml:space="preserve"> </w:t>
                  </w:r>
                  <w:r>
                    <w:rPr>
                      <w:rFonts w:cs="Georgia"/>
                      <w:color w:val="000000"/>
                      <w:spacing w:val="-1"/>
                    </w:rPr>
                    <w:t>l</w:t>
                  </w:r>
                  <w:r>
                    <w:rPr>
                      <w:rFonts w:cs="Georgia"/>
                      <w:color w:val="000000"/>
                    </w:rPr>
                    <w:t>e</w:t>
                  </w:r>
                  <w:r>
                    <w:rPr>
                      <w:rFonts w:cs="Georgia"/>
                      <w:color w:val="000000"/>
                      <w:spacing w:val="44"/>
                    </w:rPr>
                    <w:t xml:space="preserve"> </w:t>
                  </w:r>
                  <w:r>
                    <w:rPr>
                      <w:rFonts w:cs="Georgia"/>
                      <w:color w:val="000000"/>
                      <w:spacing w:val="-1"/>
                    </w:rPr>
                    <w:t>n</w:t>
                  </w:r>
                  <w:r>
                    <w:rPr>
                      <w:rFonts w:cs="Georgia"/>
                      <w:color w:val="000000"/>
                      <w:spacing w:val="1"/>
                    </w:rPr>
                    <w:t>o</w:t>
                  </w:r>
                  <w:r>
                    <w:rPr>
                      <w:rFonts w:cs="Georgia"/>
                      <w:color w:val="000000"/>
                    </w:rPr>
                    <w:t>m</w:t>
                  </w:r>
                  <w:r>
                    <w:rPr>
                      <w:rFonts w:cs="Georgia"/>
                      <w:color w:val="000000"/>
                      <w:spacing w:val="1"/>
                    </w:rPr>
                    <w:t>br</w:t>
                  </w:r>
                  <w:r>
                    <w:rPr>
                      <w:rFonts w:cs="Georgia"/>
                      <w:color w:val="000000"/>
                    </w:rPr>
                    <w:t>e</w:t>
                  </w:r>
                  <w:r>
                    <w:rPr>
                      <w:rFonts w:cs="Georgia"/>
                      <w:color w:val="000000"/>
                      <w:spacing w:val="44"/>
                    </w:rPr>
                    <w:t xml:space="preserve"> </w:t>
                  </w:r>
                  <w:r>
                    <w:rPr>
                      <w:rFonts w:cs="Georgia"/>
                      <w:color w:val="000000"/>
                    </w:rPr>
                    <w:t>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46"/>
                    </w:rPr>
                    <w:t xml:space="preserve"> </w:t>
                  </w:r>
                  <w:r>
                    <w:rPr>
                      <w:rFonts w:cs="Georgia"/>
                      <w:color w:val="000000"/>
                      <w:spacing w:val="-1"/>
                    </w:rPr>
                    <w:t>q</w:t>
                  </w:r>
                  <w:r>
                    <w:rPr>
                      <w:rFonts w:cs="Georgia"/>
                      <w:color w:val="000000"/>
                    </w:rPr>
                    <w:t>ui</w:t>
                  </w:r>
                  <w:r>
                    <w:rPr>
                      <w:rFonts w:cs="Georgia"/>
                      <w:color w:val="000000"/>
                      <w:spacing w:val="45"/>
                    </w:rPr>
                    <w:t xml:space="preserve"> </w:t>
                  </w:r>
                  <w:r>
                    <w:rPr>
                      <w:rFonts w:cs="Georgia"/>
                      <w:color w:val="000000"/>
                      <w:spacing w:val="-1"/>
                    </w:rPr>
                    <w:t>a</w:t>
                  </w:r>
                  <w:r>
                    <w:rPr>
                      <w:rFonts w:cs="Georgia"/>
                      <w:color w:val="000000"/>
                      <w:spacing w:val="1"/>
                    </w:rPr>
                    <w:t>v</w:t>
                  </w:r>
                  <w:r>
                    <w:rPr>
                      <w:rFonts w:cs="Georgia"/>
                      <w:color w:val="000000"/>
                      <w:spacing w:val="-1"/>
                    </w:rPr>
                    <w:t>a</w:t>
                  </w:r>
                  <w:r>
                    <w:rPr>
                      <w:rFonts w:cs="Georgia"/>
                      <w:color w:val="000000"/>
                    </w:rPr>
                    <w:t>it</w:t>
                  </w:r>
                  <w:r>
                    <w:rPr>
                      <w:rFonts w:cs="Georgia"/>
                      <w:color w:val="000000"/>
                      <w:spacing w:val="46"/>
                    </w:rPr>
                    <w:t xml:space="preserve"> </w:t>
                  </w:r>
                  <w:r>
                    <w:rPr>
                      <w:rFonts w:cs="Georgia"/>
                      <w:color w:val="000000"/>
                      <w:spacing w:val="1"/>
                    </w:rPr>
                    <w:t>s</w:t>
                  </w:r>
                  <w:r>
                    <w:rPr>
                      <w:rFonts w:cs="Georgia"/>
                      <w:color w:val="000000"/>
                      <w:spacing w:val="-1"/>
                    </w:rPr>
                    <w:t>e</w:t>
                  </w:r>
                  <w:r>
                    <w:rPr>
                      <w:rFonts w:cs="Georgia"/>
                      <w:color w:val="000000"/>
                      <w:spacing w:val="1"/>
                    </w:rPr>
                    <w:t>r</w:t>
                  </w:r>
                  <w:r>
                    <w:rPr>
                      <w:rFonts w:cs="Georgia"/>
                      <w:color w:val="000000"/>
                      <w:spacing w:val="-2"/>
                    </w:rPr>
                    <w:t>v</w:t>
                  </w:r>
                  <w:r>
                    <w:rPr>
                      <w:rFonts w:cs="Georgia"/>
                      <w:color w:val="000000"/>
                    </w:rPr>
                    <w:t>i,</w:t>
                  </w:r>
                  <w:r>
                    <w:rPr>
                      <w:rFonts w:cs="Georgia"/>
                      <w:color w:val="000000"/>
                      <w:spacing w:val="46"/>
                    </w:rPr>
                    <w:t xml:space="preserve"> </w:t>
                  </w:r>
                  <w:r>
                    <w:rPr>
                      <w:rFonts w:cs="Georgia"/>
                      <w:color w:val="000000"/>
                      <w:spacing w:val="-1"/>
                    </w:rPr>
                    <w:t>a</w:t>
                  </w:r>
                  <w:r>
                    <w:rPr>
                      <w:rFonts w:cs="Georgia"/>
                      <w:color w:val="000000"/>
                    </w:rPr>
                    <w:t>u</w:t>
                  </w:r>
                  <w:r>
                    <w:rPr>
                      <w:rFonts w:cs="Georgia"/>
                      <w:color w:val="000000"/>
                      <w:spacing w:val="46"/>
                    </w:rPr>
                    <w:t xml:space="preserve"> </w:t>
                  </w:r>
                  <w:r>
                    <w:rPr>
                      <w:rFonts w:cs="Georgia"/>
                      <w:color w:val="000000"/>
                      <w:spacing w:val="1"/>
                    </w:rPr>
                    <w:t>c</w:t>
                  </w:r>
                  <w:r>
                    <w:rPr>
                      <w:rFonts w:cs="Georgia"/>
                      <w:color w:val="000000"/>
                      <w:spacing w:val="-1"/>
                    </w:rPr>
                    <w:t>o</w:t>
                  </w:r>
                  <w:r>
                    <w:rPr>
                      <w:rFonts w:cs="Georgia"/>
                      <w:color w:val="000000"/>
                    </w:rPr>
                    <w:t>u</w:t>
                  </w:r>
                  <w:r>
                    <w:rPr>
                      <w:rFonts w:cs="Georgia"/>
                      <w:color w:val="000000"/>
                      <w:spacing w:val="1"/>
                    </w:rPr>
                    <w:t>r</w:t>
                  </w:r>
                  <w:r>
                    <w:rPr>
                      <w:rFonts w:cs="Georgia"/>
                      <w:color w:val="000000"/>
                    </w:rPr>
                    <w:t>s</w:t>
                  </w:r>
                  <w:r>
                    <w:rPr>
                      <w:rFonts w:cs="Georgia"/>
                      <w:color w:val="000000"/>
                      <w:spacing w:val="44"/>
                    </w:rPr>
                    <w:t xml:space="preserve"> </w:t>
                  </w:r>
                  <w:r>
                    <w:rPr>
                      <w:rFonts w:cs="Georgia"/>
                      <w:color w:val="000000"/>
                    </w:rPr>
                    <w:t xml:space="preserve">de </w:t>
                  </w:r>
                  <w:r>
                    <w:rPr>
                      <w:rFonts w:cs="Georgia"/>
                      <w:color w:val="000000"/>
                      <w:spacing w:val="-1"/>
                    </w:rPr>
                    <w:t>l</w:t>
                  </w:r>
                  <w:r>
                    <w:rPr>
                      <w:rFonts w:cs="Georgia"/>
                      <w:color w:val="000000"/>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w:t>
                  </w:r>
                  <w:r>
                    <w:rPr>
                      <w:rFonts w:cs="Georgia"/>
                      <w:color w:val="000000"/>
                    </w:rPr>
                    <w:t>c</w:t>
                  </w:r>
                  <w:r>
                    <w:rPr>
                      <w:rFonts w:cs="Georgia"/>
                      <w:color w:val="000000"/>
                      <w:spacing w:val="1"/>
                    </w:rPr>
                    <w:t>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1"/>
                    </w:rPr>
                    <w:t>pr</w:t>
                  </w:r>
                  <w:r>
                    <w:rPr>
                      <w:rFonts w:cs="Georgia"/>
                      <w:color w:val="000000"/>
                      <w:spacing w:val="-1"/>
                    </w:rPr>
                    <w:t>é</w:t>
                  </w:r>
                  <w:r>
                    <w:rPr>
                      <w:rFonts w:cs="Georgia"/>
                      <w:color w:val="000000"/>
                    </w:rPr>
                    <w:t>c</w:t>
                  </w:r>
                  <w:r>
                    <w:rPr>
                      <w:rFonts w:cs="Georgia"/>
                      <w:color w:val="000000"/>
                      <w:spacing w:val="-1"/>
                    </w:rPr>
                    <w:t>é</w:t>
                  </w:r>
                  <w:r>
                    <w:rPr>
                      <w:rFonts w:cs="Georgia"/>
                      <w:color w:val="000000"/>
                    </w:rPr>
                    <w:t>d</w:t>
                  </w:r>
                  <w:r>
                    <w:rPr>
                      <w:rFonts w:cs="Georgia"/>
                      <w:color w:val="000000"/>
                      <w:spacing w:val="-1"/>
                    </w:rPr>
                    <w:t>e</w:t>
                  </w:r>
                  <w:r>
                    <w:rPr>
                      <w:rFonts w:cs="Georgia"/>
                      <w:color w:val="000000"/>
                      <w:spacing w:val="-3"/>
                    </w:rPr>
                    <w:t>n</w:t>
                  </w:r>
                  <w:r>
                    <w:rPr>
                      <w:rFonts w:cs="Georgia"/>
                      <w:color w:val="000000"/>
                      <w:spacing w:val="1"/>
                    </w:rPr>
                    <w:t>t</w:t>
                  </w:r>
                  <w:r>
                    <w:rPr>
                      <w:rFonts w:cs="Georgia"/>
                      <w:color w:val="000000"/>
                      <w:spacing w:val="-1"/>
                    </w:rPr>
                    <w:t>e</w:t>
                  </w:r>
                  <w:r>
                    <w:rPr>
                      <w:rFonts w:cs="Georgia"/>
                      <w:color w:val="000000"/>
                    </w:rPr>
                    <w:t xml:space="preserve">, </w:t>
                  </w:r>
                  <w:r>
                    <w:rPr>
                      <w:rFonts w:cs="Georgia"/>
                      <w:color w:val="000000"/>
                      <w:spacing w:val="-1"/>
                    </w:rPr>
                    <w:t>a</w:t>
                  </w:r>
                  <w:r>
                    <w:rPr>
                      <w:rFonts w:cs="Georgia"/>
                      <w:color w:val="000000"/>
                    </w:rPr>
                    <w:t>u c</w:t>
                  </w:r>
                  <w:r>
                    <w:rPr>
                      <w:rFonts w:cs="Georgia"/>
                      <w:color w:val="000000"/>
                      <w:spacing w:val="-1"/>
                    </w:rPr>
                    <w:t>al</w:t>
                  </w:r>
                  <w:r>
                    <w:rPr>
                      <w:rFonts w:cs="Georgia"/>
                      <w:color w:val="000000"/>
                    </w:rPr>
                    <w:t>cul</w:t>
                  </w:r>
                  <w:r>
                    <w:rPr>
                      <w:rFonts w:cs="Georgia"/>
                      <w:color w:val="000000"/>
                      <w:spacing w:val="-1"/>
                    </w:rPr>
                    <w:t xml:space="preserve"> </w:t>
                  </w:r>
                  <w:r>
                    <w:rPr>
                      <w:rFonts w:cs="Georgia"/>
                      <w:color w:val="000000"/>
                    </w:rPr>
                    <w:t>du c</w:t>
                  </w:r>
                  <w:r>
                    <w:rPr>
                      <w:rFonts w:cs="Georgia"/>
                      <w:color w:val="000000"/>
                      <w:spacing w:val="-3"/>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w:t>
                  </w:r>
                  <w:r>
                    <w:rPr>
                      <w:rFonts w:cs="Georgia"/>
                      <w:color w:val="000000"/>
                    </w:rPr>
                    <w:t>l</w:t>
                  </w:r>
                  <w:r>
                    <w:rPr>
                      <w:rFonts w:cs="Georgia"/>
                      <w:color w:val="000000"/>
                      <w:spacing w:val="-1"/>
                    </w:rPr>
                    <w:t>-pé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2"/>
                    </w:rPr>
                    <w:t>i</w:t>
                  </w:r>
                  <w:r>
                    <w:rPr>
                      <w:rFonts w:cs="Georgia"/>
                      <w:color w:val="000000"/>
                    </w:rPr>
                    <w:t xml:space="preserve">t </w:t>
                  </w:r>
                  <w:r>
                    <w:rPr>
                      <w:rFonts w:cs="Georgia"/>
                      <w:color w:val="000000"/>
                      <w:spacing w:val="-1"/>
                    </w:rPr>
                    <w:t>é</w:t>
                  </w:r>
                  <w:r>
                    <w:rPr>
                      <w:rFonts w:cs="Georgia"/>
                      <w:color w:val="000000"/>
                    </w:rPr>
                    <w:t>g</w:t>
                  </w:r>
                  <w:r>
                    <w:rPr>
                      <w:rFonts w:cs="Georgia"/>
                      <w:color w:val="000000"/>
                      <w:spacing w:val="-1"/>
                    </w:rPr>
                    <w:t>a</w:t>
                  </w:r>
                  <w:r>
                    <w:rPr>
                      <w:rFonts w:cs="Georgia"/>
                      <w:color w:val="000000"/>
                    </w:rPr>
                    <w:t>l</w:t>
                  </w:r>
                  <w:r>
                    <w:rPr>
                      <w:rFonts w:cs="Georgia"/>
                      <w:color w:val="000000"/>
                      <w:spacing w:val="-1"/>
                    </w:rPr>
                    <w:t xml:space="preserve"> </w:t>
                  </w:r>
                  <w:r>
                    <w:rPr>
                      <w:rFonts w:cs="Georgia"/>
                      <w:color w:val="000000"/>
                      <w:spacing w:val="1"/>
                    </w:rPr>
                    <w:t>o</w:t>
                  </w:r>
                  <w:r>
                    <w:rPr>
                      <w:rFonts w:cs="Georgia"/>
                      <w:color w:val="000000"/>
                    </w:rPr>
                    <w:t xml:space="preserve">u </w:t>
                  </w:r>
                  <w:r>
                    <w:rPr>
                      <w:rFonts w:cs="Georgia"/>
                      <w:color w:val="000000"/>
                      <w:spacing w:val="1"/>
                    </w:rPr>
                    <w:t>s</w:t>
                  </w:r>
                  <w:r>
                    <w:rPr>
                      <w:rFonts w:cs="Georgia"/>
                      <w:color w:val="000000"/>
                      <w:spacing w:val="-2"/>
                    </w:rPr>
                    <w:t>u</w:t>
                  </w:r>
                  <w:r>
                    <w:rPr>
                      <w:rFonts w:cs="Georgia"/>
                      <w:color w:val="000000"/>
                      <w:spacing w:val="1"/>
                    </w:rPr>
                    <w:t>p</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e</w:t>
                  </w:r>
                  <w:r>
                    <w:rPr>
                      <w:rFonts w:cs="Georgia"/>
                      <w:color w:val="000000"/>
                    </w:rPr>
                    <w:t>ur à</w:t>
                  </w:r>
                  <w:r>
                    <w:rPr>
                      <w:rFonts w:cs="Georgia"/>
                      <w:color w:val="000000"/>
                      <w:spacing w:val="-1"/>
                    </w:rPr>
                    <w:t xml:space="preserve"> </w:t>
                  </w:r>
                  <w:r>
                    <w:rPr>
                      <w:rFonts w:cs="Georgia"/>
                      <w:color w:val="000000"/>
                    </w:rPr>
                    <w:t>6</w:t>
                  </w:r>
                  <w:r>
                    <w:rPr>
                      <w:rFonts w:cs="Georgia"/>
                      <w:color w:val="000000"/>
                      <w:spacing w:val="-1"/>
                    </w:rPr>
                    <w:t>0</w:t>
                  </w:r>
                  <w:r>
                    <w:rPr>
                      <w:rFonts w:cs="Georgia"/>
                      <w:color w:val="000000"/>
                    </w:rPr>
                    <w:t>.</w:t>
                  </w:r>
                </w:p>
                <w:p>
                  <w:pPr>
                    <w:widowControl w:val="0"/>
                    <w:autoSpaceDE w:val="0"/>
                    <w:autoSpaceDN w:val="0"/>
                    <w:adjustRightInd w:val="0"/>
                    <w:spacing w:line="250" w:lineRule="exact"/>
                    <w:jc w:val="both"/>
                    <w:rPr>
                      <w:rFonts w:cs="Georgia"/>
                      <w:color w:val="000000"/>
                    </w:rPr>
                  </w:pPr>
                </w:p>
                <w:p>
                  <w:pPr>
                    <w:widowControl w:val="0"/>
                    <w:autoSpaceDE w:val="0"/>
                    <w:autoSpaceDN w:val="0"/>
                    <w:adjustRightInd w:val="0"/>
                    <w:spacing w:before="38" w:line="250" w:lineRule="exact"/>
                    <w:jc w:val="both"/>
                    <w:rPr>
                      <w:rFonts w:cs="Georgia"/>
                      <w:color w:val="000000"/>
                    </w:rPr>
                  </w:pPr>
                  <w:r>
                    <w:rPr>
                      <w:rFonts w:cs="Georgia"/>
                    </w:rPr>
                    <w:t>C</w:t>
                  </w:r>
                  <w:r>
                    <w:rPr>
                      <w:rFonts w:cs="Georgia"/>
                      <w:spacing w:val="-1"/>
                    </w:rPr>
                    <w:t>e</w:t>
                  </w:r>
                  <w:r>
                    <w:rPr>
                      <w:rFonts w:cs="Georgia"/>
                    </w:rPr>
                    <w:t>s</w:t>
                  </w:r>
                  <w:r>
                    <w:rPr>
                      <w:rFonts w:cs="Georgia"/>
                      <w:spacing w:val="46"/>
                    </w:rPr>
                    <w:t xml:space="preserve"> </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46"/>
                    </w:rPr>
                    <w:t xml:space="preserve"> </w:t>
                  </w:r>
                  <w:r>
                    <w:rPr>
                      <w:rFonts w:cs="Georgia"/>
                      <w:spacing w:val="1"/>
                    </w:rPr>
                    <w:t>so</w:t>
                  </w:r>
                  <w:r>
                    <w:rPr>
                      <w:rFonts w:cs="Georgia"/>
                      <w:spacing w:val="-1"/>
                    </w:rPr>
                    <w:t>n</w:t>
                  </w:r>
                  <w:r>
                    <w:rPr>
                      <w:rFonts w:cs="Georgia"/>
                    </w:rPr>
                    <w:t>t</w:t>
                  </w:r>
                  <w:r>
                    <w:rPr>
                      <w:rFonts w:cs="Georgia"/>
                      <w:spacing w:val="46"/>
                    </w:rPr>
                    <w:t xml:space="preserve"> </w:t>
                  </w:r>
                  <w:r>
                    <w:rPr>
                      <w:rFonts w:cs="Georgia"/>
                    </w:rPr>
                    <w:t>i</w:t>
                  </w:r>
                  <w:r>
                    <w:rPr>
                      <w:rFonts w:cs="Georgia"/>
                      <w:spacing w:val="-3"/>
                    </w:rPr>
                    <w:t>m</w:t>
                  </w:r>
                  <w:r>
                    <w:rPr>
                      <w:rFonts w:cs="Georgia"/>
                      <w:spacing w:val="1"/>
                    </w:rPr>
                    <w:t>p</w:t>
                  </w:r>
                  <w:r>
                    <w:rPr>
                      <w:rFonts w:cs="Georgia"/>
                      <w:spacing w:val="-2"/>
                    </w:rPr>
                    <w:t>u</w:t>
                  </w:r>
                  <w:r>
                    <w:rPr>
                      <w:rFonts w:cs="Georgia"/>
                      <w:spacing w:val="1"/>
                    </w:rPr>
                    <w:t>t</w:t>
                  </w:r>
                  <w:r>
                    <w:rPr>
                      <w:rFonts w:cs="Georgia"/>
                      <w:spacing w:val="-1"/>
                    </w:rPr>
                    <w:t>ée</w:t>
                  </w:r>
                  <w:r>
                    <w:rPr>
                      <w:rFonts w:cs="Georgia"/>
                    </w:rPr>
                    <w:t>s</w:t>
                  </w:r>
                  <w:r>
                    <w:rPr>
                      <w:rFonts w:cs="Georgia"/>
                      <w:spacing w:val="46"/>
                    </w:rPr>
                    <w:t xml:space="preserve"> </w:t>
                  </w:r>
                  <w:r>
                    <w:rPr>
                      <w:rFonts w:cs="Georgia"/>
                      <w:spacing w:val="-1"/>
                    </w:rPr>
                    <w:t>a</w:t>
                  </w:r>
                  <w:r>
                    <w:rPr>
                      <w:rFonts w:cs="Georgia"/>
                    </w:rPr>
                    <w:t>u</w:t>
                  </w:r>
                  <w:r>
                    <w:rPr>
                      <w:rFonts w:cs="Georgia"/>
                      <w:spacing w:val="46"/>
                    </w:rPr>
                    <w:t xml:space="preserv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44"/>
                    </w:rPr>
                    <w:t xml:space="preserve"> </w:t>
                  </w:r>
                  <w:r>
                    <w:rPr>
                      <w:rFonts w:cs="Georgia"/>
                      <w:spacing w:val="1"/>
                    </w:rPr>
                    <w:t>(</w:t>
                  </w:r>
                  <w:hyperlink w:anchor="_2.1._Capital-périodes" w:history="1">
                    <w:r>
                      <w:rPr>
                        <w:rStyle w:val="Lienhypertexte"/>
                        <w:rFonts w:cs="Georgia"/>
                        <w:spacing w:val="-1"/>
                      </w:rPr>
                      <w:t>v</w:t>
                    </w:r>
                    <w:r>
                      <w:rPr>
                        <w:rStyle w:val="Lienhypertexte"/>
                        <w:rFonts w:cs="Georgia"/>
                        <w:spacing w:val="1"/>
                      </w:rPr>
                      <w:t>o</w:t>
                    </w:r>
                    <w:r>
                      <w:rPr>
                        <w:rStyle w:val="Lienhypertexte"/>
                        <w:rFonts w:cs="Georgia"/>
                      </w:rPr>
                      <w:t>ir</w:t>
                    </w:r>
                    <w:r>
                      <w:rPr>
                        <w:rStyle w:val="Lienhypertexte"/>
                        <w:rFonts w:cs="Georgia"/>
                        <w:spacing w:val="46"/>
                      </w:rPr>
                      <w:t xml:space="preserve"> </w:t>
                    </w:r>
                    <w:r>
                      <w:rPr>
                        <w:rStyle w:val="Lienhypertexte"/>
                        <w:rFonts w:cs="Georgia"/>
                        <w:spacing w:val="-1"/>
                      </w:rPr>
                      <w:t>p</w:t>
                    </w:r>
                    <w:r>
                      <w:rPr>
                        <w:rStyle w:val="Lienhypertexte"/>
                        <w:rFonts w:cs="Georgia"/>
                        <w:spacing w:val="1"/>
                      </w:rPr>
                      <w:t>o</w:t>
                    </w:r>
                    <w:r>
                      <w:rPr>
                        <w:rStyle w:val="Lienhypertexte"/>
                        <w:rFonts w:cs="Georgia"/>
                      </w:rPr>
                      <w:t>i</w:t>
                    </w:r>
                    <w:r>
                      <w:rPr>
                        <w:rStyle w:val="Lienhypertexte"/>
                        <w:rFonts w:cs="Georgia"/>
                        <w:spacing w:val="-1"/>
                      </w:rPr>
                      <w:t>nt</w:t>
                    </w:r>
                    <w:r>
                      <w:rPr>
                        <w:rStyle w:val="Lienhypertexte"/>
                        <w:rFonts w:cs="Georgia"/>
                        <w:spacing w:val="47"/>
                      </w:rPr>
                      <w:t xml:space="preserve"> </w:t>
                    </w:r>
                    <w:r>
                      <w:rPr>
                        <w:rStyle w:val="Lienhypertexte"/>
                        <w:rFonts w:cs="Georgia"/>
                        <w:spacing w:val="-1"/>
                      </w:rPr>
                      <w:t>2</w:t>
                    </w:r>
                    <w:r>
                      <w:rPr>
                        <w:rStyle w:val="Lienhypertexte"/>
                        <w:rFonts w:cs="Georgia"/>
                        <w:spacing w:val="-2"/>
                      </w:rPr>
                      <w:t>.</w:t>
                    </w:r>
                    <w:r>
                      <w:rPr>
                        <w:rStyle w:val="Lienhypertexte"/>
                        <w:rFonts w:cs="Georgia"/>
                        <w:spacing w:val="1"/>
                      </w:rPr>
                      <w:t>1</w:t>
                    </w:r>
                  </w:hyperlink>
                  <w:r>
                    <w:rPr>
                      <w:rFonts w:cs="Georgia"/>
                      <w:color w:val="000000"/>
                    </w:rPr>
                    <w:t>.</w:t>
                  </w:r>
                  <w:r>
                    <w:rPr>
                      <w:rFonts w:cs="Georgia"/>
                      <w:color w:val="000000"/>
                      <w:spacing w:val="-1"/>
                    </w:rPr>
                    <w:t>)</w:t>
                  </w:r>
                  <w:r>
                    <w:rPr>
                      <w:rFonts w:cs="Georgia"/>
                      <w:color w:val="000000"/>
                    </w:rPr>
                    <w:t>,</w:t>
                  </w:r>
                  <w:r>
                    <w:rPr>
                      <w:rFonts w:cs="Georgia"/>
                      <w:color w:val="000000"/>
                      <w:spacing w:val="46"/>
                    </w:rPr>
                    <w:t xml:space="preserve"> </w:t>
                  </w:r>
                  <w:r>
                    <w:rPr>
                      <w:rFonts w:cs="Georgia"/>
                      <w:color w:val="000000"/>
                      <w:spacing w:val="1"/>
                    </w:rPr>
                    <w:t>s</w:t>
                  </w:r>
                  <w:r>
                    <w:rPr>
                      <w:rFonts w:cs="Georgia"/>
                      <w:color w:val="000000"/>
                      <w:spacing w:val="-1"/>
                    </w:rPr>
                    <w:t>a</w:t>
                  </w:r>
                  <w:r>
                    <w:rPr>
                      <w:rFonts w:cs="Georgia"/>
                      <w:color w:val="000000"/>
                    </w:rPr>
                    <w:t>uf</w:t>
                  </w:r>
                  <w:r>
                    <w:rPr>
                      <w:rFonts w:cs="Georgia"/>
                      <w:color w:val="000000"/>
                      <w:spacing w:val="43"/>
                    </w:rPr>
                    <w:t xml:space="preserve"> </w:t>
                  </w:r>
                  <w:r>
                    <w:rPr>
                      <w:rFonts w:cs="Georgia"/>
                      <w:color w:val="000000"/>
                      <w:spacing w:val="-1"/>
                    </w:rPr>
                    <w:t>l</w:t>
                  </w:r>
                  <w:r>
                    <w:rPr>
                      <w:rFonts w:cs="Georgia"/>
                      <w:color w:val="000000"/>
                      <w:spacing w:val="1"/>
                    </w:rPr>
                    <w:t>ors</w:t>
                  </w:r>
                  <w:r>
                    <w:rPr>
                      <w:rFonts w:cs="Georgia"/>
                      <w:color w:val="000000"/>
                      <w:spacing w:val="-1"/>
                    </w:rPr>
                    <w:t>q</w:t>
                  </w:r>
                  <w:r>
                    <w:rPr>
                      <w:rFonts w:cs="Georgia"/>
                      <w:color w:val="000000"/>
                    </w:rPr>
                    <w:t>ue</w:t>
                  </w:r>
                  <w:r>
                    <w:rPr>
                      <w:rFonts w:cs="Georgia"/>
                      <w:color w:val="000000"/>
                      <w:spacing w:val="44"/>
                    </w:rPr>
                    <w:t xml:space="preserve"> </w:t>
                  </w:r>
                  <w:r>
                    <w:rPr>
                      <w:rFonts w:cs="Georgia"/>
                      <w:color w:val="000000"/>
                      <w:spacing w:val="-1"/>
                    </w:rPr>
                    <w:t>l</w:t>
                  </w:r>
                  <w:r>
                    <w:rPr>
                      <w:rFonts w:cs="Georgia"/>
                      <w:color w:val="000000"/>
                    </w:rPr>
                    <w:t>e</w:t>
                  </w:r>
                  <w:r>
                    <w:rPr>
                      <w:rFonts w:cs="Georgia"/>
                      <w:color w:val="000000"/>
                      <w:spacing w:val="44"/>
                    </w:rPr>
                    <w:t xml:space="preserve"> </w:t>
                  </w:r>
                  <w:r>
                    <w:rPr>
                      <w:rFonts w:cs="Georgia"/>
                      <w:color w:val="000000"/>
                    </w:rPr>
                    <w:t>directeur</w:t>
                  </w:r>
                  <w:r>
                    <w:rPr>
                      <w:rFonts w:cs="Georgia"/>
                      <w:color w:val="000000"/>
                      <w:spacing w:val="46"/>
                    </w:rPr>
                    <w:t xml:space="preserve"> </w:t>
                  </w:r>
                  <w:r>
                    <w:rPr>
                      <w:rFonts w:cs="Georgia"/>
                      <w:color w:val="000000"/>
                      <w:spacing w:val="-1"/>
                    </w:rPr>
                    <w:t>e</w:t>
                  </w:r>
                  <w:r>
                    <w:rPr>
                      <w:rFonts w:cs="Georgia"/>
                      <w:color w:val="000000"/>
                      <w:spacing w:val="1"/>
                    </w:rPr>
                    <w:t>s</w:t>
                  </w:r>
                  <w:r>
                    <w:rPr>
                      <w:rFonts w:cs="Georgia"/>
                      <w:color w:val="000000"/>
                    </w:rPr>
                    <w:t xml:space="preserve">t </w:t>
                  </w:r>
                  <w:r>
                    <w:rPr>
                      <w:rFonts w:cs="Georgia"/>
                      <w:color w:val="000000"/>
                      <w:spacing w:val="1"/>
                    </w:rPr>
                    <w:t>ch</w:t>
                  </w:r>
                  <w:r>
                    <w:rPr>
                      <w:rFonts w:cs="Georgia"/>
                      <w:color w:val="000000"/>
                      <w:spacing w:val="-1"/>
                    </w:rPr>
                    <w:t>a</w:t>
                  </w:r>
                  <w:r>
                    <w:rPr>
                      <w:rFonts w:cs="Georgia"/>
                      <w:color w:val="000000"/>
                      <w:spacing w:val="-2"/>
                    </w:rPr>
                    <w:t>r</w:t>
                  </w:r>
                  <w:r>
                    <w:rPr>
                      <w:rFonts w:cs="Georgia"/>
                      <w:color w:val="000000"/>
                    </w:rPr>
                    <w:t>gé</w:t>
                  </w:r>
                  <w:r>
                    <w:rPr>
                      <w:rFonts w:cs="Georgia"/>
                      <w:color w:val="000000"/>
                      <w:spacing w:val="-1"/>
                    </w:rPr>
                    <w:t xml:space="preserve"> </w:t>
                  </w:r>
                  <w:r>
                    <w:rPr>
                      <w:rFonts w:cs="Georgia"/>
                      <w:color w:val="000000"/>
                    </w:rPr>
                    <w:t>d</w:t>
                  </w:r>
                  <w:r>
                    <w:rPr>
                      <w:rFonts w:cs="Georgia"/>
                      <w:color w:val="000000"/>
                      <w:spacing w:val="1"/>
                    </w:rPr>
                    <w:t>'</w:t>
                  </w:r>
                  <w:r>
                    <w:rPr>
                      <w:rFonts w:cs="Georgia"/>
                      <w:color w:val="000000"/>
                    </w:rPr>
                    <w:t>un</w:t>
                  </w:r>
                  <w:r>
                    <w:rPr>
                      <w:rFonts w:cs="Georgia"/>
                      <w:color w:val="000000"/>
                      <w:spacing w:val="-1"/>
                    </w:rPr>
                    <w:t xml:space="preserve"> </w:t>
                  </w:r>
                  <w:r>
                    <w:rPr>
                      <w:rFonts w:cs="Georgia"/>
                      <w:color w:val="000000"/>
                      <w:spacing w:val="-2"/>
                    </w:rPr>
                    <w:t>c</w:t>
                  </w:r>
                  <w:r>
                    <w:rPr>
                      <w:rFonts w:cs="Georgia"/>
                      <w:color w:val="000000"/>
                      <w:spacing w:val="1"/>
                    </w:rPr>
                    <w:t>o</w:t>
                  </w:r>
                  <w:r>
                    <w:rPr>
                      <w:rFonts w:cs="Georgia"/>
                      <w:color w:val="000000"/>
                    </w:rPr>
                    <w:t>u</w:t>
                  </w:r>
                  <w:r>
                    <w:rPr>
                      <w:rFonts w:cs="Georgia"/>
                      <w:color w:val="000000"/>
                      <w:spacing w:val="-2"/>
                    </w:rPr>
                    <w:t>r</w:t>
                  </w:r>
                  <w:r>
                    <w:rPr>
                      <w:rFonts w:cs="Georgia"/>
                      <w:color w:val="000000"/>
                    </w:rPr>
                    <w:t>s de</w:t>
                  </w:r>
                  <w:r>
                    <w:rPr>
                      <w:rFonts w:cs="Georgia"/>
                      <w:color w:val="000000"/>
                      <w:spacing w:val="-1"/>
                    </w:rPr>
                    <w:t xml:space="preserve"> </w:t>
                  </w:r>
                  <w:r>
                    <w:rPr>
                      <w:rFonts w:cs="Georgia"/>
                      <w:color w:val="000000"/>
                      <w:spacing w:val="1"/>
                    </w:rPr>
                    <w:t>r</w:t>
                  </w:r>
                  <w:r>
                    <w:rPr>
                      <w:rFonts w:cs="Georgia"/>
                      <w:color w:val="000000"/>
                      <w:spacing w:val="-1"/>
                    </w:rPr>
                    <w:t>el</w:t>
                  </w:r>
                  <w:r>
                    <w:rPr>
                      <w:rFonts w:cs="Georgia"/>
                      <w:color w:val="000000"/>
                      <w:spacing w:val="-2"/>
                    </w:rPr>
                    <w:t>i</w:t>
                  </w:r>
                  <w:r>
                    <w:rPr>
                      <w:rFonts w:cs="Georgia"/>
                      <w:color w:val="000000"/>
                    </w:rPr>
                    <w:t>gi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w:t>
                  </w:r>
                  <w:r>
                    <w:rPr>
                      <w:rFonts w:cs="Georgia"/>
                    </w:rPr>
                    <w:t>m</w:t>
                  </w:r>
                  <w:r>
                    <w:rPr>
                      <w:rFonts w:cs="Georgia"/>
                      <w:spacing w:val="-1"/>
                    </w:rPr>
                    <w:t>o</w:t>
                  </w:r>
                  <w:r>
                    <w:rPr>
                      <w:rFonts w:cs="Georgia"/>
                      <w:spacing w:val="1"/>
                    </w:rPr>
                    <w:t>r</w:t>
                  </w:r>
                  <w:r>
                    <w:rPr>
                      <w:rFonts w:cs="Georgia"/>
                      <w:spacing w:val="-1"/>
                    </w:rPr>
                    <w:t>al</w:t>
                  </w:r>
                  <w:r>
                    <w:rPr>
                      <w:rFonts w:cs="Georgia"/>
                    </w:rPr>
                    <w:t xml:space="preserve">e non confessionnelle </w:t>
                  </w:r>
                  <w:r>
                    <w:rPr>
                      <w:rFonts w:cs="Georgia"/>
                      <w:spacing w:val="-1"/>
                    </w:rPr>
                    <w:t>a</w:t>
                  </w:r>
                  <w:r>
                    <w:rPr>
                      <w:rFonts w:cs="Georgia"/>
                    </w:rPr>
                    <w:t>u</w:t>
                  </w:r>
                  <w:r>
                    <w:rPr>
                      <w:rFonts w:cs="Georgia"/>
                      <w:spacing w:val="1"/>
                    </w:rPr>
                    <w:t>tr</w:t>
                  </w:r>
                  <w:r>
                    <w:rPr>
                      <w:rFonts w:cs="Georgia"/>
                    </w:rPr>
                    <w:t>e</w:t>
                  </w:r>
                  <w:r>
                    <w:rPr>
                      <w:rFonts w:cs="Georgia"/>
                      <w:color w:val="000000"/>
                      <w:spacing w:val="-1"/>
                    </w:rPr>
                    <w:t xml:space="preserve"> q</w:t>
                  </w:r>
                  <w:r>
                    <w:rPr>
                      <w:rFonts w:cs="Georgia"/>
                      <w:color w:val="000000"/>
                    </w:rPr>
                    <w:t>ue</w:t>
                  </w:r>
                  <w:r>
                    <w:rPr>
                      <w:rFonts w:cs="Georgia"/>
                      <w:color w:val="000000"/>
                      <w:spacing w:val="-1"/>
                    </w:rPr>
                    <w:t xml:space="preserve"> </w:t>
                  </w:r>
                  <w:r>
                    <w:rPr>
                      <w:rFonts w:cs="Georgia"/>
                      <w:color w:val="000000"/>
                    </w:rPr>
                    <w:t>"</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co</w:t>
                  </w:r>
                  <w:r>
                    <w:rPr>
                      <w:rFonts w:cs="Georgia"/>
                      <w:color w:val="000000"/>
                    </w:rPr>
                    <w:t>u</w:t>
                  </w:r>
                  <w:r>
                    <w:rPr>
                      <w:rFonts w:cs="Georgia"/>
                      <w:color w:val="000000"/>
                      <w:spacing w:val="1"/>
                    </w:rPr>
                    <w:t>r</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h</w:t>
                  </w:r>
                  <w:r>
                    <w:rPr>
                      <w:rFonts w:cs="Georgia"/>
                      <w:color w:val="000000"/>
                    </w:rPr>
                    <w:t>i</w:t>
                  </w:r>
                  <w:r>
                    <w:rPr>
                      <w:rFonts w:cs="Georgia"/>
                      <w:color w:val="000000"/>
                      <w:spacing w:val="-1"/>
                    </w:rPr>
                    <w:t>l</w:t>
                  </w:r>
                  <w:r>
                    <w:rPr>
                      <w:rFonts w:cs="Georgia"/>
                      <w:color w:val="000000"/>
                      <w:spacing w:val="1"/>
                    </w:rPr>
                    <w:t>o</w:t>
                  </w:r>
                  <w:r>
                    <w:rPr>
                      <w:rFonts w:cs="Georgia"/>
                      <w:color w:val="000000"/>
                      <w:spacing w:val="-2"/>
                    </w:rPr>
                    <w:t>s</w:t>
                  </w:r>
                  <w:r>
                    <w:rPr>
                      <w:rFonts w:cs="Georgia"/>
                      <w:color w:val="000000"/>
                      <w:spacing w:val="1"/>
                    </w:rPr>
                    <w:t>o</w:t>
                  </w:r>
                  <w:r>
                    <w:rPr>
                      <w:rFonts w:cs="Georgia"/>
                      <w:color w:val="000000"/>
                      <w:spacing w:val="-1"/>
                    </w:rPr>
                    <w:t>p</w:t>
                  </w:r>
                  <w:r>
                    <w:rPr>
                      <w:rFonts w:cs="Georgia"/>
                      <w:color w:val="000000"/>
                      <w:spacing w:val="1"/>
                    </w:rPr>
                    <w:t>h</w:t>
                  </w:r>
                  <w:r>
                    <w:rPr>
                      <w:rFonts w:cs="Georgia"/>
                      <w:color w:val="000000"/>
                      <w:spacing w:val="-2"/>
                    </w:rPr>
                    <w:t>i</w:t>
                  </w:r>
                  <w:r>
                    <w:rPr>
                      <w:rFonts w:cs="Georgia"/>
                      <w:color w:val="000000"/>
                      <w:spacing w:val="-1"/>
                    </w:rPr>
                    <w:t>q</w:t>
                  </w:r>
                  <w:r>
                    <w:rPr>
                      <w:rFonts w:cs="Georgia"/>
                      <w:color w:val="000000"/>
                    </w:rPr>
                    <w:t>ue</w:t>
                  </w:r>
                  <w:r>
                    <w:rPr>
                      <w:rFonts w:cs="Georgia"/>
                      <w:color w:val="000000"/>
                      <w:spacing w:val="-1"/>
                    </w:rPr>
                    <w:t xml:space="preserve"> l</w:t>
                  </w:r>
                  <w:r>
                    <w:rPr>
                      <w:rFonts w:cs="Georgia"/>
                      <w:color w:val="000000"/>
                    </w:rPr>
                    <w:t>e</w:t>
                  </w:r>
                  <w:r>
                    <w:rPr>
                      <w:rFonts w:cs="Georgia"/>
                      <w:color w:val="000000"/>
                      <w:spacing w:val="-1"/>
                    </w:rPr>
                    <w:t xml:space="preserve"> </w:t>
                  </w:r>
                  <w:r>
                    <w:rPr>
                      <w:rFonts w:cs="Georgia"/>
                      <w:color w:val="000000"/>
                      <w:spacing w:val="1"/>
                    </w:rPr>
                    <w:t>p</w:t>
                  </w:r>
                  <w:r>
                    <w:rPr>
                      <w:rFonts w:cs="Georgia"/>
                      <w:color w:val="000000"/>
                      <w:spacing w:val="-1"/>
                    </w:rPr>
                    <w:t>l</w:t>
                  </w:r>
                  <w:r>
                    <w:rPr>
                      <w:rFonts w:cs="Georgia"/>
                      <w:color w:val="000000"/>
                    </w:rPr>
                    <w:t xml:space="preserve">us </w:t>
                  </w:r>
                  <w:r>
                    <w:rPr>
                      <w:rFonts w:cs="Georgia"/>
                      <w:color w:val="000000"/>
                      <w:spacing w:val="1"/>
                    </w:rPr>
                    <w:t>s</w:t>
                  </w:r>
                  <w:r>
                    <w:rPr>
                      <w:rFonts w:cs="Georgia"/>
                      <w:color w:val="000000"/>
                    </w:rPr>
                    <w:t>ui</w:t>
                  </w:r>
                  <w:r>
                    <w:rPr>
                      <w:rFonts w:cs="Georgia"/>
                      <w:color w:val="000000"/>
                      <w:spacing w:val="1"/>
                    </w:rPr>
                    <w:t>v</w:t>
                  </w:r>
                  <w:r>
                    <w:rPr>
                      <w:rFonts w:cs="Georgia"/>
                      <w:color w:val="000000"/>
                      <w:spacing w:val="-2"/>
                    </w:rPr>
                    <w:t>i</w:t>
                  </w:r>
                  <w:r>
                    <w:rPr>
                      <w:rFonts w:cs="Georgia"/>
                      <w:color w:val="000000"/>
                    </w:rPr>
                    <w:t>",</w:t>
                  </w:r>
                  <w:r>
                    <w:rPr>
                      <w:rFonts w:cs="Georgia"/>
                    </w:rPr>
                    <w:t xml:space="preserve"> ou de philosophie et de citoyenneté</w:t>
                  </w:r>
                  <w:r>
                    <w:rPr>
                      <w:rFonts w:cs="Georgia"/>
                      <w:spacing w:val="-1"/>
                    </w:rPr>
                    <w:t>.</w:t>
                  </w:r>
                </w:p>
                <w:p>
                  <w:pPr>
                    <w:widowControl w:val="0"/>
                    <w:autoSpaceDE w:val="0"/>
                    <w:autoSpaceDN w:val="0"/>
                    <w:adjustRightInd w:val="0"/>
                    <w:spacing w:before="11" w:line="240" w:lineRule="exact"/>
                    <w:jc w:val="both"/>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rPr>
                    <w:t>P</w:t>
                  </w:r>
                  <w:r>
                    <w:rPr>
                      <w:rFonts w:cs="Georgia"/>
                      <w:color w:val="000000"/>
                      <w:spacing w:val="-1"/>
                    </w:rPr>
                    <w:t>en</w:t>
                  </w:r>
                  <w:r>
                    <w:rPr>
                      <w:rFonts w:cs="Georgia"/>
                      <w:color w:val="000000"/>
                    </w:rPr>
                    <w:t>d</w:t>
                  </w:r>
                  <w:r>
                    <w:rPr>
                      <w:rFonts w:cs="Georgia"/>
                      <w:color w:val="000000"/>
                      <w:spacing w:val="-1"/>
                    </w:rPr>
                    <w:t>an</w:t>
                  </w:r>
                  <w:r>
                    <w:rPr>
                      <w:rFonts w:cs="Georgia"/>
                      <w:color w:val="000000"/>
                    </w:rPr>
                    <w:t>t d</w:t>
                  </w:r>
                  <w:r>
                    <w:rPr>
                      <w:rFonts w:cs="Georgia"/>
                      <w:color w:val="000000"/>
                      <w:spacing w:val="-1"/>
                    </w:rPr>
                    <w:t>e</w:t>
                  </w:r>
                  <w:r>
                    <w:rPr>
                      <w:rFonts w:cs="Georgia"/>
                      <w:color w:val="000000"/>
                    </w:rPr>
                    <w:t xml:space="preserve">ux </w:t>
                  </w:r>
                  <w:r>
                    <w:rPr>
                      <w:rFonts w:cs="Georgia"/>
                      <w:color w:val="000000"/>
                      <w:spacing w:val="-1"/>
                    </w:rPr>
                    <w:t>an</w:t>
                  </w:r>
                  <w:r>
                    <w:rPr>
                      <w:rFonts w:cs="Georgia"/>
                      <w:color w:val="000000"/>
                      <w:spacing w:val="2"/>
                    </w:rPr>
                    <w:t>n</w:t>
                  </w:r>
                  <w:r>
                    <w:rPr>
                      <w:rFonts w:cs="Georgia"/>
                      <w:color w:val="000000"/>
                      <w:spacing w:val="-1"/>
                    </w:rPr>
                    <w:t>ée</w:t>
                  </w:r>
                  <w:r>
                    <w:rPr>
                      <w:rFonts w:cs="Georgia"/>
                      <w:color w:val="000000"/>
                      <w:spacing w:val="1"/>
                    </w:rPr>
                    <w:t>s</w:t>
                  </w:r>
                  <w:r>
                    <w:rPr>
                      <w:rFonts w:cs="Georgia"/>
                      <w:color w:val="000000"/>
                    </w:rPr>
                    <w:t xml:space="preserve">, à </w:t>
                  </w:r>
                  <w:r>
                    <w:rPr>
                      <w:rFonts w:cs="Georgia"/>
                      <w:color w:val="000000"/>
                      <w:spacing w:val="1"/>
                    </w:rPr>
                    <w:t>co</w:t>
                  </w:r>
                  <w:r>
                    <w:rPr>
                      <w:rFonts w:cs="Georgia"/>
                      <w:color w:val="000000"/>
                    </w:rPr>
                    <w:t>m</w:t>
                  </w:r>
                  <w:r>
                    <w:rPr>
                      <w:rFonts w:cs="Georgia"/>
                      <w:color w:val="000000"/>
                      <w:spacing w:val="-1"/>
                    </w:rPr>
                    <w:t>p</w:t>
                  </w:r>
                  <w:r>
                    <w:rPr>
                      <w:rFonts w:cs="Georgia"/>
                      <w:color w:val="000000"/>
                      <w:spacing w:val="1"/>
                    </w:rPr>
                    <w:t>t</w:t>
                  </w:r>
                  <w:r>
                    <w:rPr>
                      <w:rFonts w:cs="Georgia"/>
                      <w:color w:val="000000"/>
                      <w:spacing w:val="-1"/>
                    </w:rPr>
                    <w:t>e</w:t>
                  </w:r>
                  <w:r>
                    <w:rPr>
                      <w:rFonts w:cs="Georgia"/>
                      <w:color w:val="000000"/>
                    </w:rPr>
                    <w:t xml:space="preserve">r de </w:t>
                  </w:r>
                  <w:r>
                    <w:rPr>
                      <w:rFonts w:cs="Georgia"/>
                      <w:color w:val="000000"/>
                      <w:spacing w:val="-1"/>
                    </w:rPr>
                    <w:t>l</w:t>
                  </w:r>
                  <w:r>
                    <w:rPr>
                      <w:rFonts w:cs="Georgia"/>
                      <w:color w:val="000000"/>
                      <w:spacing w:val="1"/>
                    </w:rPr>
                    <w:t>'o</w:t>
                  </w:r>
                  <w:r>
                    <w:rPr>
                      <w:rFonts w:cs="Georgia"/>
                      <w:color w:val="000000"/>
                    </w:rPr>
                    <w:t>u</w:t>
                  </w:r>
                  <w:r>
                    <w:rPr>
                      <w:rFonts w:cs="Georgia"/>
                      <w:color w:val="000000"/>
                      <w:spacing w:val="1"/>
                    </w:rPr>
                    <w:t>v</w:t>
                  </w:r>
                  <w:r>
                    <w:rPr>
                      <w:rFonts w:cs="Georgia"/>
                      <w:color w:val="000000"/>
                      <w:spacing w:val="-1"/>
                    </w:rPr>
                    <w:t>e</w:t>
                  </w:r>
                  <w:r>
                    <w:rPr>
                      <w:rFonts w:cs="Georgia"/>
                      <w:color w:val="000000"/>
                      <w:spacing w:val="-2"/>
                    </w:rPr>
                    <w:t>r</w:t>
                  </w:r>
                  <w:r>
                    <w:rPr>
                      <w:rFonts w:cs="Georgia"/>
                      <w:color w:val="000000"/>
                      <w:spacing w:val="1"/>
                    </w:rPr>
                    <w:t>t</w:t>
                  </w:r>
                  <w:r>
                    <w:rPr>
                      <w:rFonts w:cs="Georgia"/>
                      <w:color w:val="000000"/>
                      <w:spacing w:val="-2"/>
                    </w:rPr>
                    <w:t>u</w:t>
                  </w:r>
                  <w:r>
                    <w:rPr>
                      <w:rFonts w:cs="Georgia"/>
                      <w:color w:val="000000"/>
                      <w:spacing w:val="1"/>
                    </w:rPr>
                    <w:t>r</w:t>
                  </w:r>
                  <w:r>
                    <w:rPr>
                      <w:rFonts w:cs="Georgia"/>
                      <w:color w:val="000000"/>
                    </w:rPr>
                    <w:t>e</w:t>
                  </w:r>
                  <w:r>
                    <w:rPr>
                      <w:rFonts w:cs="Georgia"/>
                      <w:color w:val="000000"/>
                      <w:spacing w:val="15"/>
                    </w:rPr>
                    <w:t xml:space="preserve"> </w:t>
                  </w:r>
                  <w:r>
                    <w:rPr>
                      <w:rFonts w:cs="Georgia"/>
                      <w:color w:val="000000"/>
                    </w:rPr>
                    <w:t>d</w:t>
                  </w:r>
                  <w:r>
                    <w:rPr>
                      <w:rFonts w:cs="Georgia"/>
                      <w:color w:val="000000"/>
                      <w:spacing w:val="1"/>
                    </w:rPr>
                    <w:t>'</w:t>
                  </w:r>
                  <w:r>
                    <w:rPr>
                      <w:rFonts w:cs="Georgia"/>
                      <w:color w:val="000000"/>
                    </w:rPr>
                    <w:t>un</w:t>
                  </w:r>
                  <w:r>
                    <w:rPr>
                      <w:rFonts w:cs="Georgia"/>
                      <w:color w:val="000000"/>
                      <w:spacing w:val="15"/>
                    </w:rPr>
                    <w:t xml:space="preserve"> </w:t>
                  </w:r>
                  <w:r>
                    <w:rPr>
                      <w:rFonts w:cs="Georgia"/>
                      <w:color w:val="000000"/>
                      <w:spacing w:val="-1"/>
                    </w:rPr>
                    <w:t>n</w:t>
                  </w:r>
                  <w:r>
                    <w:rPr>
                      <w:rFonts w:cs="Georgia"/>
                      <w:color w:val="000000"/>
                      <w:spacing w:val="1"/>
                    </w:rPr>
                    <w:t>o</w:t>
                  </w:r>
                  <w:r>
                    <w:rPr>
                      <w:rFonts w:cs="Georgia"/>
                      <w:color w:val="000000"/>
                    </w:rPr>
                    <w:t>u</w:t>
                  </w:r>
                  <w:r>
                    <w:rPr>
                      <w:rFonts w:cs="Georgia"/>
                      <w:color w:val="000000"/>
                      <w:spacing w:val="1"/>
                    </w:rPr>
                    <w:t>v</w:t>
                  </w:r>
                  <w:r>
                    <w:rPr>
                      <w:rFonts w:cs="Georgia"/>
                      <w:color w:val="000000"/>
                      <w:spacing w:val="-1"/>
                    </w:rPr>
                    <w:t>e</w:t>
                  </w:r>
                  <w:r>
                    <w:rPr>
                      <w:rFonts w:cs="Georgia"/>
                      <w:color w:val="000000"/>
                    </w:rPr>
                    <w:t>l</w:t>
                  </w:r>
                  <w:r>
                    <w:rPr>
                      <w:rFonts w:cs="Georgia"/>
                      <w:color w:val="000000"/>
                      <w:spacing w:val="16"/>
                    </w:rPr>
                    <w:t xml:space="preserve"> </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w:t>
                  </w:r>
                  <w:r>
                    <w:rPr>
                      <w:rFonts w:cs="Georgia"/>
                      <w:color w:val="000000"/>
                      <w:spacing w:val="-2"/>
                    </w:rPr>
                    <w:t>s</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w:t>
                  </w:r>
                  <w:r>
                    <w:rPr>
                      <w:rFonts w:cs="Georgia"/>
                      <w:color w:val="000000"/>
                    </w:rPr>
                    <w:t xml:space="preserve">, </w:t>
                  </w:r>
                  <w:r>
                    <w:rPr>
                      <w:rFonts w:cs="Georgia"/>
                      <w:color w:val="000000"/>
                      <w:spacing w:val="-1"/>
                    </w:rPr>
                    <w:t>l</w:t>
                  </w:r>
                  <w:r>
                    <w:rPr>
                      <w:rFonts w:cs="Georgia"/>
                      <w:color w:val="000000"/>
                    </w:rPr>
                    <w:t xml:space="preserve">e directeur </w:t>
                  </w:r>
                  <w:r>
                    <w:rPr>
                      <w:rFonts w:cs="Georgia"/>
                      <w:color w:val="000000"/>
                      <w:spacing w:val="-1"/>
                    </w:rPr>
                    <w:t>e</w:t>
                  </w:r>
                  <w:r>
                    <w:rPr>
                      <w:rFonts w:cs="Georgia"/>
                      <w:color w:val="000000"/>
                      <w:spacing w:val="1"/>
                    </w:rPr>
                    <w:t>s</w:t>
                  </w:r>
                  <w:r>
                    <w:rPr>
                      <w:rFonts w:cs="Georgia"/>
                      <w:color w:val="000000"/>
                    </w:rPr>
                    <w:t>t di</w:t>
                  </w:r>
                  <w:r>
                    <w:rPr>
                      <w:rFonts w:cs="Georgia"/>
                      <w:color w:val="000000"/>
                      <w:spacing w:val="-2"/>
                    </w:rPr>
                    <w:t>s</w:t>
                  </w:r>
                  <w:r>
                    <w:rPr>
                      <w:rFonts w:cs="Georgia"/>
                      <w:color w:val="000000"/>
                      <w:spacing w:val="1"/>
                    </w:rPr>
                    <w:t>p</w:t>
                  </w:r>
                  <w:r>
                    <w:rPr>
                      <w:rFonts w:cs="Georgia"/>
                      <w:color w:val="000000"/>
                      <w:spacing w:val="-1"/>
                    </w:rPr>
                    <w:t>en</w:t>
                  </w:r>
                  <w:r>
                    <w:rPr>
                      <w:rFonts w:cs="Georgia"/>
                      <w:color w:val="000000"/>
                      <w:spacing w:val="1"/>
                    </w:rPr>
                    <w:t>s</w:t>
                  </w:r>
                  <w:r>
                    <w:rPr>
                      <w:rFonts w:cs="Georgia"/>
                      <w:color w:val="000000"/>
                    </w:rPr>
                    <w:t>é</w:t>
                  </w:r>
                  <w:r>
                    <w:rPr>
                      <w:rFonts w:cs="Georgia"/>
                      <w:color w:val="000000"/>
                      <w:spacing w:val="-1"/>
                    </w:rPr>
                    <w:t xml:space="preserve"> </w:t>
                  </w:r>
                  <w:r>
                    <w:rPr>
                      <w:rFonts w:cs="Georgia"/>
                      <w:color w:val="000000"/>
                    </w:rPr>
                    <w:t>d</w:t>
                  </w:r>
                  <w:r>
                    <w:rPr>
                      <w:rFonts w:cs="Georgia"/>
                      <w:color w:val="000000"/>
                      <w:spacing w:val="1"/>
                    </w:rPr>
                    <w:t>'</w:t>
                  </w:r>
                  <w:r>
                    <w:rPr>
                      <w:rFonts w:cs="Georgia"/>
                      <w:color w:val="000000"/>
                    </w:rPr>
                    <w:t>u</w:t>
                  </w:r>
                  <w:r>
                    <w:rPr>
                      <w:rFonts w:cs="Georgia"/>
                      <w:color w:val="000000"/>
                      <w:spacing w:val="-1"/>
                    </w:rPr>
                    <w:t>n</w:t>
                  </w:r>
                  <w:r>
                    <w:rPr>
                      <w:rFonts w:cs="Georgia"/>
                      <w:color w:val="000000"/>
                    </w:rPr>
                    <w:t>e</w:t>
                  </w:r>
                  <w:r>
                    <w:rPr>
                      <w:rFonts w:cs="Georgia"/>
                      <w:color w:val="000000"/>
                      <w:spacing w:val="-1"/>
                    </w:rPr>
                    <w:t xml:space="preserve"> </w:t>
                  </w:r>
                  <w:r>
                    <w:rPr>
                      <w:rFonts w:cs="Georgia"/>
                      <w:color w:val="000000"/>
                      <w:spacing w:val="1"/>
                    </w:rPr>
                    <w:t>ch</w:t>
                  </w:r>
                  <w:r>
                    <w:rPr>
                      <w:rFonts w:cs="Georgia"/>
                      <w:color w:val="000000"/>
                      <w:spacing w:val="-3"/>
                    </w:rPr>
                    <w:t>a</w:t>
                  </w:r>
                  <w:r>
                    <w:rPr>
                      <w:rFonts w:cs="Georgia"/>
                      <w:color w:val="000000"/>
                      <w:spacing w:val="1"/>
                    </w:rPr>
                    <w:t>r</w:t>
                  </w:r>
                  <w:r>
                    <w:rPr>
                      <w:rFonts w:cs="Georgia"/>
                      <w:color w:val="000000"/>
                    </w:rPr>
                    <w:t>ge</w:t>
                  </w:r>
                  <w:r>
                    <w:rPr>
                      <w:rFonts w:cs="Georgia"/>
                      <w:color w:val="000000"/>
                      <w:spacing w:val="-1"/>
                    </w:rPr>
                    <w:t xml:space="preserve"> </w:t>
                  </w:r>
                  <w:r>
                    <w:rPr>
                      <w:rFonts w:cs="Georgia"/>
                      <w:color w:val="000000"/>
                    </w:rPr>
                    <w:t>d</w:t>
                  </w:r>
                  <w:r>
                    <w:rPr>
                      <w:rFonts w:cs="Georgia"/>
                      <w:color w:val="000000"/>
                      <w:spacing w:val="-2"/>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spacing w:val="1"/>
                    </w:rPr>
                    <w:t>t</w:t>
                  </w:r>
                  <w:r>
                    <w:rPr>
                      <w:rFonts w:cs="Georgia"/>
                      <w:color w:val="000000"/>
                    </w:rPr>
                    <w:t>.</w:t>
                  </w:r>
                </w:p>
                <w:p>
                  <w:pPr>
                    <w:widowControl w:val="0"/>
                    <w:autoSpaceDE w:val="0"/>
                    <w:autoSpaceDN w:val="0"/>
                    <w:adjustRightInd w:val="0"/>
                    <w:spacing w:before="7" w:line="240" w:lineRule="exact"/>
                    <w:jc w:val="both"/>
                    <w:rPr>
                      <w:rFonts w:cs="Georgia"/>
                      <w:color w:val="000000"/>
                    </w:rPr>
                  </w:pPr>
                </w:p>
                <w:p>
                  <w:pPr>
                    <w:widowControl w:val="0"/>
                    <w:autoSpaceDE w:val="0"/>
                    <w:autoSpaceDN w:val="0"/>
                    <w:adjustRightInd w:val="0"/>
                    <w:jc w:val="both"/>
                    <w:rPr>
                      <w:rFonts w:cs="Georgia"/>
                      <w:color w:val="000000"/>
                      <w:spacing w:val="-1"/>
                    </w:rPr>
                  </w:pPr>
                  <w:r>
                    <w:rPr>
                      <w:rFonts w:cs="Georgia"/>
                      <w:color w:val="000000"/>
                      <w:spacing w:val="1"/>
                    </w:rPr>
                    <w:t>L</w:t>
                  </w:r>
                  <w:r>
                    <w:rPr>
                      <w:rFonts w:cs="Georgia"/>
                      <w:color w:val="000000"/>
                    </w:rPr>
                    <w:t>a</w:t>
                  </w:r>
                  <w:r>
                    <w:rPr>
                      <w:rFonts w:cs="Georgia"/>
                      <w:color w:val="000000"/>
                      <w:spacing w:val="-1"/>
                    </w:rPr>
                    <w:t xml:space="preserve"> </w:t>
                  </w:r>
                  <w:r>
                    <w:rPr>
                      <w:rFonts w:cs="Georgia"/>
                      <w:color w:val="000000"/>
                    </w:rPr>
                    <w:t>c</w:t>
                  </w:r>
                  <w:r>
                    <w:rPr>
                      <w:rFonts w:cs="Georgia"/>
                      <w:color w:val="000000"/>
                      <w:spacing w:val="1"/>
                    </w:rPr>
                    <w:t>h</w:t>
                  </w:r>
                  <w:r>
                    <w:rPr>
                      <w:rFonts w:cs="Georgia"/>
                      <w:color w:val="000000"/>
                      <w:spacing w:val="-3"/>
                    </w:rPr>
                    <w:t>a</w:t>
                  </w:r>
                  <w:r>
                    <w:rPr>
                      <w:rFonts w:cs="Georgia"/>
                      <w:color w:val="000000"/>
                      <w:spacing w:val="1"/>
                    </w:rPr>
                    <w:t>r</w:t>
                  </w:r>
                  <w:r>
                    <w:rPr>
                      <w:rFonts w:cs="Georgia"/>
                      <w:color w:val="000000"/>
                    </w:rPr>
                    <w:t>ge</w:t>
                  </w:r>
                  <w:r>
                    <w:rPr>
                      <w:rFonts w:cs="Georgia"/>
                      <w:color w:val="000000"/>
                      <w:spacing w:val="-1"/>
                    </w:rPr>
                    <w:t xml:space="preserve"> </w:t>
                  </w:r>
                  <w:r>
                    <w:rPr>
                      <w:rFonts w:cs="Georgia"/>
                      <w:color w:val="000000"/>
                    </w:rPr>
                    <w:t xml:space="preserve">du </w:t>
                  </w:r>
                  <w:r>
                    <w:rPr>
                      <w:rFonts w:cs="Georgia"/>
                      <w:color w:val="000000"/>
                      <w:spacing w:val="-2"/>
                    </w:rPr>
                    <w:t>directeur</w:t>
                  </w:r>
                  <w:r>
                    <w:rPr>
                      <w:rFonts w:cs="Georgia"/>
                      <w:color w:val="000000"/>
                    </w:rPr>
                    <w:t xml:space="preserve"> </w:t>
                  </w:r>
                  <w:r>
                    <w:rPr>
                      <w:rFonts w:cs="Georgia"/>
                      <w:color w:val="000000"/>
                      <w:spacing w:val="-1"/>
                    </w:rPr>
                    <w:t>pe</w:t>
                  </w:r>
                  <w:r>
                    <w:rPr>
                      <w:rFonts w:cs="Georgia"/>
                      <w:color w:val="000000"/>
                    </w:rPr>
                    <w:t xml:space="preserve">ut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w:t>
                  </w:r>
                  <w:r>
                    <w:rPr>
                      <w:rFonts w:cs="Georgia"/>
                      <w:color w:val="000000"/>
                    </w:rPr>
                    <w:t>m</w:t>
                  </w:r>
                  <w:r>
                    <w:rPr>
                      <w:rFonts w:cs="Georgia"/>
                      <w:color w:val="000000"/>
                      <w:spacing w:val="1"/>
                    </w:rPr>
                    <w:t>o</w:t>
                  </w:r>
                  <w:r>
                    <w:rPr>
                      <w:rFonts w:cs="Georgia"/>
                      <w:color w:val="000000"/>
                      <w:spacing w:val="-2"/>
                    </w:rPr>
                    <w:t>d</w:t>
                  </w:r>
                  <w:r>
                    <w:rPr>
                      <w:rFonts w:cs="Georgia"/>
                      <w:color w:val="000000"/>
                    </w:rPr>
                    <w:t>ifi</w:t>
                  </w:r>
                  <w:r>
                    <w:rPr>
                      <w:rFonts w:cs="Georgia"/>
                      <w:color w:val="000000"/>
                      <w:spacing w:val="-1"/>
                    </w:rPr>
                    <w:t>é</w:t>
                  </w:r>
                  <w:r>
                    <w:rPr>
                      <w:rFonts w:cs="Georgia"/>
                      <w:color w:val="000000"/>
                    </w:rPr>
                    <w:t>e</w:t>
                  </w:r>
                  <w:r>
                    <w:rPr>
                      <w:rFonts w:cs="Georgia"/>
                      <w:color w:val="000000"/>
                      <w:spacing w:val="-1"/>
                    </w:rPr>
                    <w:t xml:space="preserve"> </w:t>
                  </w:r>
                  <w:r>
                    <w:rPr>
                      <w:rFonts w:cs="Georgia"/>
                      <w:color w:val="000000"/>
                      <w:spacing w:val="1"/>
                    </w:rPr>
                    <w:t>ch</w:t>
                  </w:r>
                  <w:r>
                    <w:rPr>
                      <w:rFonts w:cs="Georgia"/>
                      <w:color w:val="000000"/>
                      <w:spacing w:val="-1"/>
                    </w:rPr>
                    <w:t>aq</w:t>
                  </w:r>
                  <w:r>
                    <w:rPr>
                      <w:rFonts w:cs="Georgia"/>
                      <w:color w:val="000000"/>
                    </w:rPr>
                    <w:t>ue</w:t>
                  </w:r>
                  <w:r>
                    <w:rPr>
                      <w:rFonts w:cs="Georgia"/>
                      <w:color w:val="000000"/>
                      <w:spacing w:val="-4"/>
                    </w:rPr>
                    <w:t xml:space="preserve"> </w:t>
                  </w:r>
                  <w:r>
                    <w:rPr>
                      <w:rFonts w:cs="Georgia"/>
                      <w:color w:val="000000"/>
                    </w:rPr>
                    <w:t>f</w:t>
                  </w:r>
                  <w:r>
                    <w:rPr>
                      <w:rFonts w:cs="Georgia"/>
                      <w:color w:val="000000"/>
                      <w:spacing w:val="1"/>
                    </w:rPr>
                    <w:t>o</w:t>
                  </w:r>
                  <w:r>
                    <w:rPr>
                      <w:rFonts w:cs="Georgia"/>
                      <w:color w:val="000000"/>
                    </w:rPr>
                    <w:t xml:space="preserve">is </w:t>
                  </w:r>
                  <w:r>
                    <w:rPr>
                      <w:rFonts w:cs="Georgia"/>
                      <w:color w:val="000000"/>
                      <w:spacing w:val="-1"/>
                    </w:rPr>
                    <w:t>q</w:t>
                  </w:r>
                  <w:r>
                    <w:rPr>
                      <w:rFonts w:cs="Georgia"/>
                      <w:color w:val="000000"/>
                    </w:rPr>
                    <w:t>ue</w:t>
                  </w:r>
                  <w:r>
                    <w:rPr>
                      <w:rFonts w:cs="Georgia"/>
                      <w:color w:val="000000"/>
                      <w:spacing w:val="-1"/>
                    </w:rPr>
                    <w:t xml:space="preserve"> l</w:t>
                  </w:r>
                  <w:r>
                    <w:rPr>
                      <w:rFonts w:cs="Georgia"/>
                      <w:color w:val="000000"/>
                    </w:rPr>
                    <w:t>e</w:t>
                  </w:r>
                  <w:r>
                    <w:rPr>
                      <w:rFonts w:cs="Georgia"/>
                      <w:color w:val="000000"/>
                      <w:spacing w:val="-1"/>
                    </w:rPr>
                    <w:t xml:space="preserve"> </w:t>
                  </w:r>
                  <w:r>
                    <w:rPr>
                      <w:rFonts w:cs="Georgia"/>
                      <w:color w:val="000000"/>
                      <w:spacing w:val="1"/>
                    </w:rPr>
                    <w:t>c</w:t>
                  </w:r>
                  <w:r>
                    <w:rPr>
                      <w:rFonts w:cs="Georgia"/>
                      <w:color w:val="000000"/>
                      <w:spacing w:val="-1"/>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w:t>
                  </w:r>
                  <w:r>
                    <w:rPr>
                      <w:rFonts w:cs="Georgia"/>
                      <w:color w:val="000000"/>
                    </w:rPr>
                    <w:t>l</w:t>
                  </w:r>
                  <w:r>
                    <w:rPr>
                      <w:rFonts w:cs="Georgia"/>
                      <w:color w:val="000000"/>
                      <w:spacing w:val="-1"/>
                    </w:rPr>
                    <w:t>-</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spacing w:val="-2"/>
                    </w:rPr>
                    <w:t>d</w:t>
                  </w:r>
                  <w:r>
                    <w:rPr>
                      <w:rFonts w:cs="Georgia"/>
                      <w:color w:val="000000"/>
                      <w:spacing w:val="-1"/>
                    </w:rPr>
                    <w:t>e</w:t>
                  </w:r>
                  <w:r>
                    <w:rPr>
                      <w:rFonts w:cs="Georgia"/>
                      <w:color w:val="000000"/>
                    </w:rPr>
                    <w:t xml:space="preserve">s </w:t>
                  </w:r>
                  <w:r>
                    <w:rPr>
                      <w:rFonts w:cs="Georgia"/>
                      <w:color w:val="000000"/>
                      <w:spacing w:val="-1"/>
                    </w:rPr>
                    <w:t>e</w:t>
                  </w:r>
                  <w:r>
                    <w:rPr>
                      <w:rFonts w:cs="Georgia"/>
                      <w:color w:val="000000"/>
                      <w:spacing w:val="1"/>
                    </w:rPr>
                    <w:t>s</w:t>
                  </w:r>
                  <w:r>
                    <w:rPr>
                      <w:rFonts w:cs="Georgia"/>
                      <w:color w:val="000000"/>
                    </w:rPr>
                    <w:t xml:space="preserve">t </w:t>
                  </w:r>
                  <w:r>
                    <w:rPr>
                      <w:rFonts w:cs="Georgia"/>
                      <w:color w:val="000000"/>
                      <w:spacing w:val="1"/>
                    </w:rPr>
                    <w:t>r</w:t>
                  </w:r>
                  <w:r>
                    <w:rPr>
                      <w:rFonts w:cs="Georgia"/>
                      <w:color w:val="000000"/>
                      <w:spacing w:val="-1"/>
                    </w:rPr>
                    <w:t>e</w:t>
                  </w:r>
                  <w:r>
                    <w:rPr>
                      <w:rFonts w:cs="Georgia"/>
                      <w:color w:val="000000"/>
                      <w:spacing w:val="1"/>
                    </w:rPr>
                    <w:t>c</w:t>
                  </w:r>
                  <w:r>
                    <w:rPr>
                      <w:rFonts w:cs="Georgia"/>
                      <w:color w:val="000000"/>
                      <w:spacing w:val="-1"/>
                    </w:rPr>
                    <w:t>al</w:t>
                  </w:r>
                  <w:r>
                    <w:rPr>
                      <w:rFonts w:cs="Georgia"/>
                      <w:color w:val="000000"/>
                      <w:spacing w:val="1"/>
                    </w:rPr>
                    <w:t>c</w:t>
                  </w:r>
                  <w:r>
                    <w:rPr>
                      <w:rFonts w:cs="Georgia"/>
                      <w:color w:val="000000"/>
                    </w:rPr>
                    <w:t>u</w:t>
                  </w:r>
                  <w:r>
                    <w:rPr>
                      <w:rFonts w:cs="Georgia"/>
                      <w:color w:val="000000"/>
                      <w:spacing w:val="-1"/>
                    </w:rPr>
                    <w:t>lé.</w:t>
                  </w:r>
                </w:p>
                <w:p>
                  <w:pPr>
                    <w:jc w:val="both"/>
                  </w:pPr>
                </w:p>
                <w:p>
                  <w:pPr>
                    <w:widowControl w:val="0"/>
                    <w:autoSpaceDE w:val="0"/>
                    <w:autoSpaceDN w:val="0"/>
                    <w:adjustRightInd w:val="0"/>
                    <w:spacing w:line="250" w:lineRule="exact"/>
                    <w:jc w:val="both"/>
                    <w:rPr>
                      <w:rFonts w:cs="Georgia"/>
                      <w:color w:val="000000"/>
                      <w:u w:val="single"/>
                    </w:rPr>
                  </w:pPr>
                  <w:r>
                    <w:rPr>
                      <w:rFonts w:cs="Georgia"/>
                      <w:color w:val="000000"/>
                      <w:u w:val="single"/>
                    </w:rPr>
                    <w:t>En résumé :</w:t>
                  </w:r>
                </w:p>
                <w:p>
                  <w:pPr>
                    <w:widowControl w:val="0"/>
                    <w:autoSpaceDE w:val="0"/>
                    <w:autoSpaceDN w:val="0"/>
                    <w:adjustRightInd w:val="0"/>
                    <w:spacing w:line="250" w:lineRule="exact"/>
                    <w:jc w:val="both"/>
                    <w:rPr>
                      <w:rFonts w:cs="Georgia"/>
                      <w:color w:val="000000"/>
                    </w:rPr>
                  </w:pPr>
                </w:p>
                <w:tbl>
                  <w:tblPr>
                    <w:tblW w:w="0" w:type="auto"/>
                    <w:tblInd w:w="217" w:type="dxa"/>
                    <w:tblLayout w:type="fixed"/>
                    <w:tblCellMar>
                      <w:left w:w="0" w:type="dxa"/>
                      <w:right w:w="0" w:type="dxa"/>
                    </w:tblCellMar>
                    <w:tblLook w:val="0000" w:firstRow="0" w:lastRow="0" w:firstColumn="0" w:lastColumn="0" w:noHBand="0" w:noVBand="0"/>
                  </w:tblPr>
                  <w:tblGrid>
                    <w:gridCol w:w="6347"/>
                    <w:gridCol w:w="2641"/>
                  </w:tblGrid>
                  <w:tr>
                    <w:trPr>
                      <w:trHeight w:hRule="exact" w:val="672"/>
                    </w:trPr>
                    <w:tc>
                      <w:tcPr>
                        <w:tcW w:w="6347" w:type="dxa"/>
                        <w:tcBorders>
                          <w:top w:val="nil"/>
                          <w:left w:val="nil"/>
                          <w:bottom w:val="nil"/>
                          <w:right w:val="single" w:sz="2" w:space="0" w:color="000000"/>
                        </w:tcBorders>
                      </w:tcPr>
                      <w:p>
                        <w:pPr>
                          <w:widowControl w:val="0"/>
                          <w:autoSpaceDE w:val="0"/>
                          <w:autoSpaceDN w:val="0"/>
                          <w:adjustRightInd w:val="0"/>
                          <w:spacing w:before="76"/>
                        </w:pPr>
                        <w:r>
                          <w:rPr>
                            <w:rFonts w:cs="Georgia"/>
                            <w:spacing w:val="1"/>
                          </w:rPr>
                          <w:t xml:space="preserve">  </w:t>
                        </w:r>
                        <w:r>
                          <w:rPr>
                            <w:rFonts w:cs="Georgia"/>
                            <w:spacing w:val="1"/>
                            <w:u w:val="single"/>
                          </w:rPr>
                          <w:t>N</w:t>
                        </w:r>
                        <w:r>
                          <w:rPr>
                            <w:rFonts w:cs="Georgia"/>
                            <w:spacing w:val="-1"/>
                            <w:u w:val="single"/>
                          </w:rPr>
                          <w:t>o</w:t>
                        </w:r>
                        <w:r>
                          <w:rPr>
                            <w:rFonts w:cs="Georgia"/>
                            <w:u w:val="single"/>
                          </w:rPr>
                          <w:t>m</w:t>
                        </w:r>
                        <w:r>
                          <w:rPr>
                            <w:rFonts w:cs="Georgia"/>
                            <w:spacing w:val="-1"/>
                            <w:u w:val="single"/>
                          </w:rPr>
                          <w:t>b</w:t>
                        </w:r>
                        <w:r>
                          <w:rPr>
                            <w:rFonts w:cs="Georgia"/>
                            <w:spacing w:val="1"/>
                            <w:u w:val="single"/>
                          </w:rPr>
                          <w:t>r</w:t>
                        </w:r>
                        <w:r>
                          <w:rPr>
                            <w:rFonts w:cs="Georgia"/>
                            <w:u w:val="single"/>
                          </w:rPr>
                          <w:t>e</w:t>
                        </w:r>
                        <w:r>
                          <w:rPr>
                            <w:rFonts w:cs="Georgia"/>
                            <w:spacing w:val="-2"/>
                            <w:u w:val="single"/>
                          </w:rPr>
                          <w:t xml:space="preserve"> </w:t>
                        </w:r>
                        <w:r>
                          <w:rPr>
                            <w:rFonts w:cs="Georgia"/>
                            <w:u w:val="single"/>
                          </w:rPr>
                          <w:t>d’</w:t>
                        </w:r>
                        <w:r>
                          <w:rPr>
                            <w:rFonts w:cs="Georgia"/>
                            <w:spacing w:val="-1"/>
                            <w:u w:val="single"/>
                          </w:rPr>
                          <w:t>élè</w:t>
                        </w:r>
                        <w:r>
                          <w:rPr>
                            <w:rFonts w:cs="Georgia"/>
                            <w:spacing w:val="1"/>
                            <w:u w:val="single"/>
                          </w:rPr>
                          <w:t>v</w:t>
                        </w:r>
                        <w:r>
                          <w:rPr>
                            <w:rFonts w:cs="Georgia"/>
                            <w:spacing w:val="-1"/>
                            <w:u w:val="single"/>
                          </w:rPr>
                          <w:t>es</w:t>
                        </w:r>
                        <w:r>
                          <w:rPr>
                            <w:rFonts w:cs="Georgia"/>
                            <w:spacing w:val="1"/>
                            <w:u w:val="single"/>
                          </w:rPr>
                          <w:t xml:space="preserve"> r</w:t>
                        </w:r>
                        <w:r>
                          <w:rPr>
                            <w:rFonts w:cs="Georgia"/>
                            <w:spacing w:val="-1"/>
                            <w:u w:val="single"/>
                          </w:rPr>
                          <w:t>é</w:t>
                        </w:r>
                        <w:r>
                          <w:rPr>
                            <w:rFonts w:cs="Georgia"/>
                            <w:u w:val="single"/>
                          </w:rPr>
                          <w:t>gu</w:t>
                        </w:r>
                        <w:r>
                          <w:rPr>
                            <w:rFonts w:cs="Georgia"/>
                            <w:spacing w:val="-1"/>
                            <w:u w:val="single"/>
                          </w:rPr>
                          <w:t>l</w:t>
                        </w:r>
                        <w:r>
                          <w:rPr>
                            <w:rFonts w:cs="Georgia"/>
                            <w:u w:val="single"/>
                          </w:rPr>
                          <w:t>i</w:t>
                        </w:r>
                        <w:r>
                          <w:rPr>
                            <w:rFonts w:cs="Georgia"/>
                            <w:spacing w:val="-1"/>
                            <w:u w:val="single"/>
                          </w:rPr>
                          <w:t>e</w:t>
                        </w:r>
                        <w:r>
                          <w:rPr>
                            <w:rFonts w:cs="Georgia"/>
                            <w:spacing w:val="-2"/>
                            <w:u w:val="single"/>
                          </w:rPr>
                          <w:t>r</w:t>
                        </w:r>
                        <w:r>
                          <w:rPr>
                            <w:rFonts w:cs="Georgia"/>
                            <w:u w:val="single"/>
                          </w:rPr>
                          <w:t xml:space="preserve">s </w:t>
                        </w:r>
                        <w:r>
                          <w:rPr>
                            <w:rFonts w:cs="Georgia"/>
                            <w:spacing w:val="-1"/>
                            <w:u w:val="single"/>
                          </w:rPr>
                          <w:t>et</w:t>
                        </w:r>
                        <w:r>
                          <w:rPr>
                            <w:rFonts w:cs="Georgia"/>
                            <w:spacing w:val="1"/>
                            <w:u w:val="single"/>
                          </w:rPr>
                          <w:t xml:space="preserve"> </w:t>
                        </w:r>
                        <w:r>
                          <w:rPr>
                            <w:rFonts w:cs="Georgia"/>
                            <w:spacing w:val="-1"/>
                            <w:u w:val="single"/>
                          </w:rPr>
                          <w:t>en</w:t>
                        </w:r>
                        <w:r>
                          <w:rPr>
                            <w:rFonts w:cs="Georgia"/>
                            <w:u w:val="single"/>
                          </w:rPr>
                          <w:t xml:space="preserve"> i</w:t>
                        </w:r>
                        <w:r>
                          <w:rPr>
                            <w:rFonts w:cs="Georgia"/>
                            <w:spacing w:val="-1"/>
                            <w:u w:val="single"/>
                          </w:rPr>
                          <w:t>n</w:t>
                        </w:r>
                        <w:r>
                          <w:rPr>
                            <w:rFonts w:cs="Georgia"/>
                            <w:spacing w:val="1"/>
                            <w:u w:val="single"/>
                          </w:rPr>
                          <w:t>t</w:t>
                        </w:r>
                        <w:r>
                          <w:rPr>
                            <w:rFonts w:cs="Georgia"/>
                            <w:spacing w:val="-1"/>
                            <w:u w:val="single"/>
                          </w:rPr>
                          <w:t>é</w:t>
                        </w:r>
                        <w:r>
                          <w:rPr>
                            <w:rFonts w:cs="Georgia"/>
                            <w:u w:val="single"/>
                          </w:rPr>
                          <w:t>g</w:t>
                        </w:r>
                        <w:r>
                          <w:rPr>
                            <w:rFonts w:cs="Georgia"/>
                            <w:spacing w:val="1"/>
                            <w:u w:val="single"/>
                          </w:rPr>
                          <w:t>r</w:t>
                        </w:r>
                        <w:r>
                          <w:rPr>
                            <w:rFonts w:cs="Georgia"/>
                            <w:spacing w:val="-1"/>
                            <w:u w:val="single"/>
                          </w:rPr>
                          <w:t>a</w:t>
                        </w:r>
                        <w:r>
                          <w:rPr>
                            <w:rFonts w:cs="Georgia"/>
                            <w:spacing w:val="1"/>
                            <w:u w:val="single"/>
                          </w:rPr>
                          <w:t>t</w:t>
                        </w:r>
                        <w:r>
                          <w:rPr>
                            <w:rFonts w:cs="Georgia"/>
                            <w:u w:val="single"/>
                          </w:rPr>
                          <w:t>i</w:t>
                        </w:r>
                        <w:r>
                          <w:rPr>
                            <w:rFonts w:cs="Georgia"/>
                            <w:spacing w:val="1"/>
                            <w:u w:val="single"/>
                          </w:rPr>
                          <w:t>o</w:t>
                        </w:r>
                        <w:r>
                          <w:rPr>
                            <w:rFonts w:cs="Georgia"/>
                            <w:u w:val="single"/>
                          </w:rPr>
                          <w:t>n</w:t>
                        </w:r>
                        <w:r>
                          <w:rPr>
                            <w:rFonts w:cs="Georgia"/>
                            <w:spacing w:val="-4"/>
                            <w:u w:val="single"/>
                          </w:rPr>
                          <w:t xml:space="preserve"> </w:t>
                        </w:r>
                        <w:r>
                          <w:rPr>
                            <w:rFonts w:cs="Georgia"/>
                            <w:spacing w:val="1"/>
                            <w:u w:val="single"/>
                          </w:rPr>
                          <w:t>p</w:t>
                        </w:r>
                        <w:r>
                          <w:rPr>
                            <w:rFonts w:cs="Georgia"/>
                            <w:spacing w:val="-1"/>
                            <w:u w:val="single"/>
                          </w:rPr>
                          <w:t>e</w:t>
                        </w:r>
                        <w:r>
                          <w:rPr>
                            <w:rFonts w:cs="Georgia"/>
                            <w:spacing w:val="1"/>
                            <w:u w:val="single"/>
                          </w:rPr>
                          <w:t>r</w:t>
                        </w:r>
                        <w:r>
                          <w:rPr>
                            <w:rFonts w:cs="Georgia"/>
                            <w:u w:val="single"/>
                          </w:rPr>
                          <w:t>m</w:t>
                        </w:r>
                        <w:r>
                          <w:rPr>
                            <w:rFonts w:cs="Georgia"/>
                            <w:spacing w:val="-3"/>
                            <w:u w:val="single"/>
                          </w:rPr>
                          <w:t>a</w:t>
                        </w:r>
                        <w:r>
                          <w:rPr>
                            <w:rFonts w:cs="Georgia"/>
                            <w:spacing w:val="-1"/>
                            <w:u w:val="single"/>
                          </w:rPr>
                          <w:t>nen</w:t>
                        </w:r>
                        <w:r>
                          <w:rPr>
                            <w:rFonts w:cs="Georgia"/>
                            <w:spacing w:val="1"/>
                            <w:u w:val="single"/>
                          </w:rPr>
                          <w:t>t</w:t>
                        </w:r>
                        <w:r>
                          <w:rPr>
                            <w:rFonts w:cs="Georgia"/>
                            <w:u w:val="single"/>
                          </w:rPr>
                          <w:t>e</w:t>
                        </w:r>
                        <w:r>
                          <w:rPr>
                            <w:rFonts w:cs="Georgia"/>
                            <w:spacing w:val="-2"/>
                            <w:u w:val="single"/>
                          </w:rPr>
                          <w:t xml:space="preserve"> </w:t>
                        </w:r>
                        <w:r>
                          <w:rPr>
                            <w:rFonts w:cs="Georgia"/>
                            <w:spacing w:val="1"/>
                            <w:u w:val="single"/>
                          </w:rPr>
                          <w:t>tot</w:t>
                        </w:r>
                        <w:r>
                          <w:rPr>
                            <w:rFonts w:cs="Georgia"/>
                            <w:spacing w:val="-1"/>
                            <w:u w:val="single"/>
                          </w:rPr>
                          <w:t>al</w:t>
                        </w:r>
                        <w:r>
                          <w:rPr>
                            <w:rFonts w:cs="Georgia"/>
                            <w:u w:val="single"/>
                          </w:rPr>
                          <w:t xml:space="preserve">e </w:t>
                        </w:r>
                      </w:p>
                    </w:tc>
                    <w:tc>
                      <w:tcPr>
                        <w:tcW w:w="2641" w:type="dxa"/>
                        <w:tcBorders>
                          <w:top w:val="nil"/>
                          <w:left w:val="single" w:sz="2" w:space="0" w:color="000000"/>
                          <w:bottom w:val="nil"/>
                          <w:right w:val="nil"/>
                        </w:tcBorders>
                      </w:tcPr>
                      <w:p>
                        <w:pPr>
                          <w:widowControl w:val="0"/>
                          <w:autoSpaceDE w:val="0"/>
                          <w:autoSpaceDN w:val="0"/>
                          <w:adjustRightInd w:val="0"/>
                          <w:spacing w:before="76"/>
                        </w:pPr>
                        <w:r>
                          <w:rPr>
                            <w:rFonts w:cs="Georgia"/>
                            <w:spacing w:val="1"/>
                          </w:rPr>
                          <w:t xml:space="preserve">  </w:t>
                        </w:r>
                        <w:r>
                          <w:rPr>
                            <w:rFonts w:cs="Georgia"/>
                            <w:spacing w:val="1"/>
                            <w:u w:val="single"/>
                          </w:rPr>
                          <w:t>N</w:t>
                        </w:r>
                        <w:r>
                          <w:rPr>
                            <w:rFonts w:cs="Georgia"/>
                            <w:spacing w:val="-1"/>
                            <w:u w:val="single"/>
                          </w:rPr>
                          <w:t>o</w:t>
                        </w:r>
                        <w:r>
                          <w:rPr>
                            <w:rFonts w:cs="Georgia"/>
                            <w:u w:val="single"/>
                          </w:rPr>
                          <w:t>m</w:t>
                        </w:r>
                        <w:r>
                          <w:rPr>
                            <w:rFonts w:cs="Georgia"/>
                            <w:spacing w:val="-1"/>
                            <w:u w:val="single"/>
                          </w:rPr>
                          <w:t>b</w:t>
                        </w:r>
                        <w:r>
                          <w:rPr>
                            <w:rFonts w:cs="Georgia"/>
                            <w:spacing w:val="1"/>
                            <w:u w:val="single"/>
                          </w:rPr>
                          <w:t>r</w:t>
                        </w:r>
                        <w:r>
                          <w:rPr>
                            <w:rFonts w:cs="Georgia"/>
                            <w:u w:val="single"/>
                          </w:rPr>
                          <w:t>e</w:t>
                        </w:r>
                        <w:r>
                          <w:rPr>
                            <w:rFonts w:cs="Georgia"/>
                            <w:spacing w:val="-2"/>
                            <w:u w:val="single"/>
                          </w:rPr>
                          <w:t xml:space="preserve"> </w:t>
                        </w:r>
                        <w:r>
                          <w:rPr>
                            <w:rFonts w:cs="Georgia"/>
                            <w:u w:val="single"/>
                          </w:rPr>
                          <w:t>de</w:t>
                        </w:r>
                        <w:r>
                          <w:rPr>
                            <w:rFonts w:cs="Georgia"/>
                            <w:spacing w:val="-2"/>
                            <w:u w:val="single"/>
                          </w:rPr>
                          <w:t xml:space="preserve"> </w:t>
                        </w:r>
                        <w:r>
                          <w:rPr>
                            <w:rFonts w:cs="Georgia"/>
                            <w:spacing w:val="1"/>
                            <w:u w:val="single"/>
                          </w:rPr>
                          <w:t>p</w:t>
                        </w:r>
                        <w:r>
                          <w:rPr>
                            <w:rFonts w:cs="Georgia"/>
                            <w:spacing w:val="-1"/>
                            <w:u w:val="single"/>
                          </w:rPr>
                          <w:t>é</w:t>
                        </w:r>
                        <w:r>
                          <w:rPr>
                            <w:rFonts w:cs="Georgia"/>
                            <w:spacing w:val="1"/>
                            <w:u w:val="single"/>
                          </w:rPr>
                          <w:t>r</w:t>
                        </w:r>
                        <w:r>
                          <w:rPr>
                            <w:rFonts w:cs="Georgia"/>
                            <w:spacing w:val="-2"/>
                            <w:u w:val="single"/>
                          </w:rPr>
                          <w:t>i</w:t>
                        </w:r>
                        <w:r>
                          <w:rPr>
                            <w:rFonts w:cs="Georgia"/>
                            <w:spacing w:val="1"/>
                            <w:u w:val="single"/>
                          </w:rPr>
                          <w:t>o</w:t>
                        </w:r>
                        <w:r>
                          <w:rPr>
                            <w:rFonts w:cs="Georgia"/>
                            <w:u w:val="single"/>
                          </w:rPr>
                          <w:t>d</w:t>
                        </w:r>
                        <w:r>
                          <w:rPr>
                            <w:rFonts w:cs="Georgia"/>
                            <w:spacing w:val="-1"/>
                            <w:u w:val="single"/>
                          </w:rPr>
                          <w:t>e</w:t>
                        </w:r>
                        <w:r>
                          <w:rPr>
                            <w:rFonts w:cs="Georgia"/>
                            <w:u w:val="single"/>
                          </w:rPr>
                          <w:t>s</w:t>
                        </w:r>
                        <w:r>
                          <w:rPr>
                            <w:rFonts w:cs="Georgia"/>
                            <w:spacing w:val="2"/>
                          </w:rPr>
                          <w:t xml:space="preserve"> </w:t>
                        </w:r>
                      </w:p>
                    </w:tc>
                  </w:tr>
                  <w:tr>
                    <w:trPr>
                      <w:trHeight w:hRule="exact" w:val="374"/>
                    </w:trPr>
                    <w:tc>
                      <w:tcPr>
                        <w:tcW w:w="6347" w:type="dxa"/>
                        <w:tcBorders>
                          <w:top w:val="nil"/>
                          <w:left w:val="nil"/>
                          <w:bottom w:val="nil"/>
                          <w:right w:val="single" w:sz="2" w:space="0" w:color="000000"/>
                        </w:tcBorders>
                      </w:tcPr>
                      <w:p>
                        <w:pPr>
                          <w:widowControl w:val="0"/>
                          <w:autoSpaceDE w:val="0"/>
                          <w:autoSpaceDN w:val="0"/>
                          <w:adjustRightInd w:val="0"/>
                          <w:spacing w:before="6" w:line="110" w:lineRule="exact"/>
                        </w:pPr>
                      </w:p>
                      <w:p>
                        <w:pPr>
                          <w:widowControl w:val="0"/>
                          <w:autoSpaceDE w:val="0"/>
                          <w:autoSpaceDN w:val="0"/>
                          <w:adjustRightInd w:val="0"/>
                          <w:jc w:val="center"/>
                        </w:pPr>
                        <w:r>
                          <w:rPr>
                            <w:rFonts w:cs="Georgia"/>
                            <w:spacing w:val="-1"/>
                          </w:rPr>
                          <w:t>M</w:t>
                        </w:r>
                        <w:r>
                          <w:rPr>
                            <w:rFonts w:cs="Georgia"/>
                            <w:spacing w:val="1"/>
                          </w:rPr>
                          <w:t>o</w:t>
                        </w:r>
                        <w:r>
                          <w:rPr>
                            <w:rFonts w:cs="Georgia"/>
                          </w:rPr>
                          <w:t>i</w:t>
                        </w:r>
                        <w:r>
                          <w:rPr>
                            <w:rFonts w:cs="Georgia"/>
                            <w:spacing w:val="-1"/>
                          </w:rPr>
                          <w:t>n</w:t>
                        </w:r>
                        <w:r>
                          <w:rPr>
                            <w:rFonts w:cs="Georgia"/>
                          </w:rPr>
                          <w:t>s de</w:t>
                        </w:r>
                        <w:r>
                          <w:rPr>
                            <w:rFonts w:cs="Georgia"/>
                            <w:spacing w:val="-1"/>
                          </w:rPr>
                          <w:t xml:space="preserve"> 2</w:t>
                        </w:r>
                        <w:r>
                          <w:rPr>
                            <w:rFonts w:cs="Georgia"/>
                          </w:rPr>
                          <w:t>0</w:t>
                        </w:r>
                      </w:p>
                    </w:tc>
                    <w:tc>
                      <w:tcPr>
                        <w:tcW w:w="2641" w:type="dxa"/>
                        <w:tcBorders>
                          <w:top w:val="nil"/>
                          <w:left w:val="single" w:sz="2" w:space="0" w:color="000000"/>
                          <w:bottom w:val="nil"/>
                          <w:right w:val="nil"/>
                        </w:tcBorders>
                      </w:tcPr>
                      <w:p>
                        <w:pPr>
                          <w:widowControl w:val="0"/>
                          <w:autoSpaceDE w:val="0"/>
                          <w:autoSpaceDN w:val="0"/>
                          <w:adjustRightInd w:val="0"/>
                          <w:spacing w:before="6" w:line="110" w:lineRule="exact"/>
                        </w:pPr>
                      </w:p>
                      <w:p>
                        <w:pPr>
                          <w:widowControl w:val="0"/>
                          <w:autoSpaceDE w:val="0"/>
                          <w:autoSpaceDN w:val="0"/>
                          <w:adjustRightInd w:val="0"/>
                          <w:jc w:val="center"/>
                        </w:pPr>
                        <w:r>
                          <w:rPr>
                            <w:rFonts w:cs="Georgia"/>
                            <w:spacing w:val="1"/>
                          </w:rPr>
                          <w:t>16</w:t>
                        </w:r>
                      </w:p>
                    </w:tc>
                  </w:tr>
                  <w:tr>
                    <w:trPr>
                      <w:trHeight w:hRule="exact" w:val="250"/>
                    </w:trPr>
                    <w:tc>
                      <w:tcPr>
                        <w:tcW w:w="6347" w:type="dxa"/>
                        <w:tcBorders>
                          <w:top w:val="nil"/>
                          <w:left w:val="nil"/>
                          <w:bottom w:val="nil"/>
                          <w:right w:val="single" w:sz="2" w:space="0" w:color="000000"/>
                        </w:tcBorders>
                      </w:tcPr>
                      <w:p>
                        <w:pPr>
                          <w:widowControl w:val="0"/>
                          <w:autoSpaceDE w:val="0"/>
                          <w:autoSpaceDN w:val="0"/>
                          <w:adjustRightInd w:val="0"/>
                          <w:spacing w:line="241" w:lineRule="exact"/>
                          <w:jc w:val="center"/>
                        </w:pPr>
                        <w:r>
                          <w:rPr>
                            <w:rFonts w:cs="Georgia"/>
                          </w:rPr>
                          <w:t>de</w:t>
                        </w:r>
                        <w:r>
                          <w:rPr>
                            <w:rFonts w:cs="Georgia"/>
                            <w:spacing w:val="-1"/>
                          </w:rPr>
                          <w:t xml:space="preserve"> 2</w:t>
                        </w:r>
                        <w:r>
                          <w:rPr>
                            <w:rFonts w:cs="Georgia"/>
                          </w:rPr>
                          <w:t>0</w:t>
                        </w:r>
                        <w:r>
                          <w:rPr>
                            <w:rFonts w:cs="Georgia"/>
                            <w:spacing w:val="-1"/>
                          </w:rPr>
                          <w:t xml:space="preserve"> </w:t>
                        </w:r>
                        <w:r>
                          <w:rPr>
                            <w:rFonts w:cs="Georgia"/>
                          </w:rPr>
                          <w:t>à</w:t>
                        </w:r>
                        <w:r>
                          <w:rPr>
                            <w:rFonts w:cs="Georgia"/>
                            <w:spacing w:val="-1"/>
                          </w:rPr>
                          <w:t xml:space="preserve"> </w:t>
                        </w:r>
                        <w:r>
                          <w:rPr>
                            <w:rFonts w:cs="Georgia"/>
                            <w:spacing w:val="1"/>
                          </w:rPr>
                          <w:t>3</w:t>
                        </w:r>
                        <w:r>
                          <w:rPr>
                            <w:rFonts w:cs="Georgia"/>
                          </w:rPr>
                          <w:t>9</w:t>
                        </w:r>
                      </w:p>
                    </w:tc>
                    <w:tc>
                      <w:tcPr>
                        <w:tcW w:w="2641" w:type="dxa"/>
                        <w:tcBorders>
                          <w:top w:val="nil"/>
                          <w:left w:val="single" w:sz="2" w:space="0" w:color="000000"/>
                          <w:bottom w:val="nil"/>
                          <w:right w:val="nil"/>
                        </w:tcBorders>
                      </w:tcPr>
                      <w:p>
                        <w:pPr>
                          <w:widowControl w:val="0"/>
                          <w:autoSpaceDE w:val="0"/>
                          <w:autoSpaceDN w:val="0"/>
                          <w:adjustRightInd w:val="0"/>
                          <w:spacing w:line="241" w:lineRule="exact"/>
                          <w:jc w:val="center"/>
                        </w:pPr>
                        <w:r>
                          <w:rPr>
                            <w:rFonts w:cs="Georgia"/>
                            <w:spacing w:val="1"/>
                          </w:rPr>
                          <w:t>10</w:t>
                        </w:r>
                      </w:p>
                    </w:tc>
                  </w:tr>
                  <w:tr>
                    <w:trPr>
                      <w:trHeight w:hRule="exact" w:val="250"/>
                    </w:trPr>
                    <w:tc>
                      <w:tcPr>
                        <w:tcW w:w="6347" w:type="dxa"/>
                        <w:tcBorders>
                          <w:top w:val="nil"/>
                          <w:left w:val="nil"/>
                          <w:bottom w:val="nil"/>
                          <w:right w:val="single" w:sz="2" w:space="0" w:color="000000"/>
                        </w:tcBorders>
                      </w:tcPr>
                      <w:p>
                        <w:pPr>
                          <w:widowControl w:val="0"/>
                          <w:autoSpaceDE w:val="0"/>
                          <w:autoSpaceDN w:val="0"/>
                          <w:adjustRightInd w:val="0"/>
                          <w:spacing w:line="241" w:lineRule="exact"/>
                          <w:jc w:val="center"/>
                        </w:pPr>
                        <w:r>
                          <w:rPr>
                            <w:rFonts w:cs="Georgia"/>
                          </w:rPr>
                          <w:t>de</w:t>
                        </w:r>
                        <w:r>
                          <w:rPr>
                            <w:rFonts w:cs="Georgia"/>
                            <w:spacing w:val="-1"/>
                          </w:rPr>
                          <w:t xml:space="preserve"> </w:t>
                        </w:r>
                        <w:r>
                          <w:rPr>
                            <w:rFonts w:cs="Georgia"/>
                          </w:rPr>
                          <w:t>40</w:t>
                        </w:r>
                        <w:r>
                          <w:rPr>
                            <w:rFonts w:cs="Georgia"/>
                            <w:spacing w:val="-1"/>
                          </w:rPr>
                          <w:t xml:space="preserve"> </w:t>
                        </w:r>
                        <w:r>
                          <w:rPr>
                            <w:rFonts w:cs="Georgia"/>
                          </w:rPr>
                          <w:t>à</w:t>
                        </w:r>
                        <w:r>
                          <w:rPr>
                            <w:rFonts w:cs="Georgia"/>
                            <w:spacing w:val="-1"/>
                          </w:rPr>
                          <w:t xml:space="preserve"> </w:t>
                        </w:r>
                        <w:r>
                          <w:rPr>
                            <w:rFonts w:cs="Georgia"/>
                            <w:spacing w:val="1"/>
                          </w:rPr>
                          <w:t>5</w:t>
                        </w:r>
                        <w:r>
                          <w:rPr>
                            <w:rFonts w:cs="Georgia"/>
                          </w:rPr>
                          <w:t>9</w:t>
                        </w:r>
                      </w:p>
                    </w:tc>
                    <w:tc>
                      <w:tcPr>
                        <w:tcW w:w="2641" w:type="dxa"/>
                        <w:tcBorders>
                          <w:top w:val="nil"/>
                          <w:left w:val="single" w:sz="2" w:space="0" w:color="000000"/>
                          <w:bottom w:val="nil"/>
                          <w:right w:val="nil"/>
                        </w:tcBorders>
                      </w:tcPr>
                      <w:p>
                        <w:pPr>
                          <w:widowControl w:val="0"/>
                          <w:autoSpaceDE w:val="0"/>
                          <w:autoSpaceDN w:val="0"/>
                          <w:adjustRightInd w:val="0"/>
                          <w:spacing w:line="241" w:lineRule="exact"/>
                          <w:jc w:val="center"/>
                        </w:pPr>
                        <w:r>
                          <w:rPr>
                            <w:rFonts w:cs="Georgia"/>
                          </w:rPr>
                          <w:t>2</w:t>
                        </w:r>
                      </w:p>
                    </w:tc>
                  </w:tr>
                  <w:tr>
                    <w:trPr>
                      <w:trHeight w:hRule="exact" w:val="335"/>
                    </w:trPr>
                    <w:tc>
                      <w:tcPr>
                        <w:tcW w:w="6347" w:type="dxa"/>
                        <w:tcBorders>
                          <w:top w:val="nil"/>
                          <w:left w:val="nil"/>
                          <w:bottom w:val="nil"/>
                          <w:right w:val="single" w:sz="4" w:space="0" w:color="auto"/>
                        </w:tcBorders>
                      </w:tcPr>
                      <w:p>
                        <w:pPr>
                          <w:widowControl w:val="0"/>
                          <w:autoSpaceDE w:val="0"/>
                          <w:autoSpaceDN w:val="0"/>
                          <w:adjustRightInd w:val="0"/>
                          <w:spacing w:line="241" w:lineRule="exact"/>
                          <w:jc w:val="center"/>
                        </w:pPr>
                        <w:r>
                          <w:rPr>
                            <w:rFonts w:cs="Georgia"/>
                          </w:rPr>
                          <w:t>60</w:t>
                        </w:r>
                        <w:r>
                          <w:rPr>
                            <w:rFonts w:cs="Georgia"/>
                            <w:spacing w:val="-1"/>
                          </w:rPr>
                          <w:t xml:space="preserve"> e</w:t>
                        </w:r>
                        <w:r>
                          <w:rPr>
                            <w:rFonts w:cs="Georgia"/>
                          </w:rPr>
                          <w:t>t +</w:t>
                        </w:r>
                      </w:p>
                    </w:tc>
                    <w:tc>
                      <w:tcPr>
                        <w:tcW w:w="2641" w:type="dxa"/>
                        <w:tcBorders>
                          <w:top w:val="nil"/>
                          <w:left w:val="single" w:sz="4" w:space="0" w:color="auto"/>
                          <w:bottom w:val="nil"/>
                          <w:right w:val="nil"/>
                        </w:tcBorders>
                      </w:tcPr>
                      <w:p>
                        <w:pPr>
                          <w:widowControl w:val="0"/>
                          <w:autoSpaceDE w:val="0"/>
                          <w:autoSpaceDN w:val="0"/>
                          <w:adjustRightInd w:val="0"/>
                          <w:spacing w:line="241" w:lineRule="exact"/>
                          <w:jc w:val="center"/>
                        </w:pPr>
                        <w:r>
                          <w:rPr>
                            <w:rFonts w:cs="Georgia"/>
                          </w:rPr>
                          <w:t>0</w:t>
                        </w:r>
                      </w:p>
                    </w:tc>
                  </w:tr>
                </w:tbl>
                <w:p>
                  <w:pPr>
                    <w:widowControl w:val="0"/>
                    <w:autoSpaceDE w:val="0"/>
                    <w:autoSpaceDN w:val="0"/>
                    <w:adjustRightInd w:val="0"/>
                    <w:spacing w:before="10" w:line="240" w:lineRule="exact"/>
                    <w:rPr>
                      <w:rFonts w:cs="Georgia"/>
                      <w:color w:val="000000"/>
                    </w:rPr>
                  </w:pPr>
                </w:p>
                <w:p>
                  <w:pPr>
                    <w:widowControl w:val="0"/>
                    <w:autoSpaceDE w:val="0"/>
                    <w:autoSpaceDN w:val="0"/>
                    <w:adjustRightInd w:val="0"/>
                  </w:pPr>
                </w:p>
                <w:p/>
                <w:p>
                  <w:pPr>
                    <w:pStyle w:val="Titre3"/>
                  </w:pPr>
                  <w:bookmarkStart w:id="1765" w:name="_4._Modification_du"/>
                  <w:bookmarkStart w:id="1766" w:name="_Toc18914435"/>
                  <w:bookmarkEnd w:id="1765"/>
                  <w:r>
                    <w:t xml:space="preserve">3. </w:t>
                  </w:r>
                  <w:bookmarkStart w:id="1767" w:name="_Toc453314330"/>
                  <w:bookmarkStart w:id="1768" w:name="_Toc454980365"/>
                  <w:r>
                    <w:t>Modification du numéro de compte bancaire de l’établissement.</w:t>
                  </w:r>
                  <w:bookmarkEnd w:id="1767"/>
                  <w:bookmarkEnd w:id="1768"/>
                  <w:bookmarkEnd w:id="1766"/>
                </w:p>
                <w:p/>
                <w:p>
                  <w:pPr>
                    <w:pStyle w:val="Corpsdetexte"/>
                  </w:pPr>
                  <w:r>
                    <w:t>Lors d’une modification du numéro de compte bancaire de l’établissement, le représentant du Pouvoir organisateur doit envoyer un courrier à l’adresse suivante :</w:t>
                  </w:r>
                </w:p>
                <w:p>
                  <w:pPr>
                    <w:pBdr>
                      <w:top w:val="single" w:sz="4" w:space="1" w:color="auto"/>
                      <w:left w:val="single" w:sz="4" w:space="4" w:color="auto"/>
                      <w:bottom w:val="single" w:sz="4" w:space="1" w:color="auto"/>
                      <w:right w:val="single" w:sz="4" w:space="4" w:color="auto"/>
                    </w:pBdr>
                    <w:jc w:val="center"/>
                  </w:pPr>
                  <w:r>
                    <w:t>Direction générale de l’Enseignement obligatoire</w:t>
                  </w:r>
                </w:p>
                <w:p>
                  <w:pPr>
                    <w:pBdr>
                      <w:top w:val="single" w:sz="4" w:space="1" w:color="auto"/>
                      <w:left w:val="single" w:sz="4" w:space="4" w:color="auto"/>
                      <w:bottom w:val="single" w:sz="4" w:space="1" w:color="auto"/>
                      <w:right w:val="single" w:sz="4" w:space="4" w:color="auto"/>
                    </w:pBdr>
                    <w:jc w:val="center"/>
                  </w:pPr>
                  <w:r>
                    <w:t>Service de l’Enseignement spécialisé</w:t>
                  </w:r>
                </w:p>
                <w:p>
                  <w:pPr>
                    <w:pBdr>
                      <w:top w:val="single" w:sz="4" w:space="1" w:color="auto"/>
                      <w:left w:val="single" w:sz="4" w:space="4" w:color="auto"/>
                      <w:bottom w:val="single" w:sz="4" w:space="1" w:color="auto"/>
                      <w:right w:val="single" w:sz="4" w:space="4" w:color="auto"/>
                    </w:pBdr>
                    <w:jc w:val="center"/>
                  </w:pPr>
                  <w:r>
                    <w:t>Madame Véronique ROMBAUT</w:t>
                  </w:r>
                </w:p>
                <w:p>
                  <w:pPr>
                    <w:pBdr>
                      <w:top w:val="single" w:sz="4" w:space="1" w:color="auto"/>
                      <w:left w:val="single" w:sz="4" w:space="4" w:color="auto"/>
                      <w:bottom w:val="single" w:sz="4" w:space="1" w:color="auto"/>
                      <w:right w:val="single" w:sz="4" w:space="4" w:color="auto"/>
                    </w:pBdr>
                    <w:jc w:val="center"/>
                  </w:pPr>
                  <w:r>
                    <w:t>Bureau 2F245</w:t>
                  </w:r>
                </w:p>
                <w:p>
                  <w:pPr>
                    <w:pBdr>
                      <w:top w:val="single" w:sz="4" w:space="1" w:color="auto"/>
                      <w:left w:val="single" w:sz="4" w:space="4" w:color="auto"/>
                      <w:bottom w:val="single" w:sz="4" w:space="1" w:color="auto"/>
                      <w:right w:val="single" w:sz="4" w:space="4" w:color="auto"/>
                    </w:pBdr>
                    <w:jc w:val="center"/>
                  </w:pPr>
                  <w:r>
                    <w:t>Rue Adolphe Lavallée, 1</w:t>
                  </w:r>
                </w:p>
                <w:p>
                  <w:pPr>
                    <w:pBdr>
                      <w:top w:val="single" w:sz="4" w:space="1" w:color="auto"/>
                      <w:left w:val="single" w:sz="4" w:space="4" w:color="auto"/>
                      <w:bottom w:val="single" w:sz="4" w:space="1" w:color="auto"/>
                      <w:right w:val="single" w:sz="4" w:space="4" w:color="auto"/>
                    </w:pBdr>
                    <w:jc w:val="center"/>
                  </w:pPr>
                  <w:r>
                    <w:t>1080   BRUXELLES</w:t>
                  </w:r>
                </w:p>
                <w:p>
                  <w:pPr>
                    <w:pBdr>
                      <w:top w:val="single" w:sz="4" w:space="1" w:color="auto"/>
                      <w:left w:val="single" w:sz="4" w:space="4" w:color="auto"/>
                      <w:bottom w:val="single" w:sz="4" w:space="1" w:color="auto"/>
                      <w:right w:val="single" w:sz="4" w:space="4" w:color="auto"/>
                    </w:pBdr>
                    <w:jc w:val="center"/>
                  </w:pPr>
                  <w:r>
                    <w:sym w:font="Wingdings" w:char="F028"/>
                  </w:r>
                  <w:r>
                    <w:t xml:space="preserve"> 02/690.83.99 - </w:t>
                  </w:r>
                  <w:r>
                    <w:rPr>
                      <w:bCs/>
                    </w:rPr>
                    <w:sym w:font="Wingdings" w:char="F03A"/>
                  </w:r>
                  <w:r>
                    <w:rPr>
                      <w:bCs/>
                    </w:rPr>
                    <w:t xml:space="preserve"> : </w:t>
                  </w:r>
                  <w:hyperlink r:id="rId145" w:history="1">
                    <w:r>
                      <w:rPr>
                        <w:rStyle w:val="Lienhypertexte"/>
                      </w:rPr>
                      <w:t>veronique.rombaut@cfwb.be</w:t>
                    </w:r>
                  </w:hyperlink>
                </w:p>
                <w:p>
                  <w:pPr>
                    <w:tabs>
                      <w:tab w:val="left" w:pos="-1440"/>
                      <w:tab w:val="left" w:pos="-720"/>
                    </w:tabs>
                    <w:jc w:val="both"/>
                  </w:pPr>
                </w:p>
                <w:p>
                  <w:pPr>
                    <w:jc w:val="both"/>
                  </w:pPr>
                  <w:r>
                    <w:t>Le courrier doit absolument comprendre le numéro Fase de l’établissement, l’ancien numéro de compte, le nouveau numéro de compte et la dénomination du compte.  Une attestation d’ouverture du compte au nom du Pouvoir organisateur délivrée par l’établissement bancaire est jointe au courrier.</w:t>
                  </w:r>
                </w:p>
                <w:p>
                  <w:pPr>
                    <w:jc w:val="both"/>
                  </w:pPr>
                </w:p>
                <w:p>
                  <w:pPr>
                    <w:jc w:val="both"/>
                  </w:pPr>
                  <w:r>
                    <w:t>Attention, cette procédure n’est pas valable pour les établissements d’enseignement officiel subventionné (Communes et Provinces) où les subventions sont versées sur le compte de la Commune ou de la Province.</w:t>
                  </w:r>
                </w:p>
                <w:p/>
                <w:p>
                  <w:pPr>
                    <w:pStyle w:val="Titre3"/>
                  </w:pPr>
                  <w:bookmarkStart w:id="1769" w:name="_5._Annexe"/>
                  <w:bookmarkStart w:id="1770" w:name="_Toc453314331"/>
                  <w:bookmarkStart w:id="1771" w:name="_Toc454980366"/>
                  <w:bookmarkStart w:id="1772" w:name="_Toc18914436"/>
                  <w:bookmarkEnd w:id="1769"/>
                  <w:r>
                    <w:t>4. Annexe</w:t>
                  </w:r>
                  <w:bookmarkEnd w:id="1770"/>
                  <w:bookmarkEnd w:id="1771"/>
                  <w:bookmarkEnd w:id="1772"/>
                </w:p>
                <w:p>
                  <w:pPr>
                    <w:pStyle w:val="Titre4"/>
                  </w:pPr>
                  <w:bookmarkStart w:id="1773" w:name="_Annexe_1_:"/>
                  <w:bookmarkStart w:id="1774" w:name="_Annexe_1_:_7"/>
                  <w:bookmarkEnd w:id="1773"/>
                  <w:bookmarkEnd w:id="1774"/>
                  <w:r>
                    <w:br w:type="page"/>
                  </w:r>
                  <w:bookmarkStart w:id="1775" w:name="_Toc453314332"/>
                  <w:bookmarkStart w:id="1776" w:name="_Toc454980367"/>
                  <w:r>
                    <w:t xml:space="preserve">Annexe 1 : Prise en charge d’élèves de l’enseignement spécialisé de type 4 ou d’une pédagogie adaptée </w:t>
                  </w:r>
                  <w:r>
                    <w:rPr>
                      <w:rStyle w:val="Appelnotedebasdep"/>
                      <w:b w:val="0"/>
                      <w:sz w:val="18"/>
                      <w:u w:val="none"/>
                    </w:rPr>
                    <w:footnoteReference w:id="111"/>
                  </w:r>
                  <w:bookmarkEnd w:id="1775"/>
                  <w:bookmarkEnd w:id="1776"/>
                </w:p>
                <w:p/>
                <w:p>
                  <w:pPr>
                    <w:autoSpaceDE w:val="0"/>
                    <w:autoSpaceDN w:val="0"/>
                    <w:adjustRightInd w:val="0"/>
                    <w:rPr>
                      <w:color w:val="000000"/>
                      <w:lang w:eastAsia="fr-FR"/>
                    </w:rPr>
                  </w:pPr>
                </w:p>
                <w:p>
                  <w:pPr>
                    <w:autoSpaceDE w:val="0"/>
                    <w:autoSpaceDN w:val="0"/>
                    <w:adjustRightInd w:val="0"/>
                    <w:ind w:left="5103"/>
                    <w:rPr>
                      <w:color w:val="000000"/>
                      <w:lang w:val="fr-FR" w:eastAsia="fr-FR"/>
                    </w:rPr>
                  </w:pPr>
                  <w:r>
                    <w:rPr>
                      <w:color w:val="000000"/>
                      <w:lang w:val="fr-FR" w:eastAsia="fr-FR"/>
                    </w:rPr>
                    <w:t>Direction générale de l’Enseignement obligatoire</w:t>
                  </w:r>
                </w:p>
                <w:p>
                  <w:pPr>
                    <w:autoSpaceDE w:val="0"/>
                    <w:autoSpaceDN w:val="0"/>
                    <w:adjustRightInd w:val="0"/>
                    <w:ind w:left="5103"/>
                    <w:rPr>
                      <w:color w:val="000000"/>
                      <w:lang w:val="fr-FR" w:eastAsia="fr-FR"/>
                    </w:rPr>
                  </w:pPr>
                  <w:r>
                    <w:rPr>
                      <w:color w:val="000000"/>
                      <w:lang w:val="fr-FR" w:eastAsia="fr-FR"/>
                    </w:rPr>
                    <w:t>Service de l’enseignement spécialisé</w:t>
                  </w:r>
                </w:p>
                <w:p>
                  <w:pPr>
                    <w:autoSpaceDE w:val="0"/>
                    <w:autoSpaceDN w:val="0"/>
                    <w:adjustRightInd w:val="0"/>
                    <w:ind w:left="5103"/>
                    <w:rPr>
                      <w:color w:val="000000"/>
                      <w:lang w:val="fr-FR" w:eastAsia="fr-FR"/>
                    </w:rPr>
                  </w:pPr>
                  <w:r>
                    <w:rPr>
                      <w:b/>
                      <w:bCs/>
                      <w:color w:val="000000"/>
                      <w:lang w:val="fr-FR" w:eastAsia="fr-FR"/>
                    </w:rPr>
                    <w:t>Monsieur William FUCHS</w:t>
                  </w:r>
                </w:p>
                <w:p>
                  <w:pPr>
                    <w:autoSpaceDE w:val="0"/>
                    <w:autoSpaceDN w:val="0"/>
                    <w:adjustRightInd w:val="0"/>
                    <w:ind w:left="5103"/>
                    <w:rPr>
                      <w:color w:val="000000"/>
                      <w:lang w:val="fr-FR" w:eastAsia="fr-FR"/>
                    </w:rPr>
                  </w:pPr>
                  <w:r>
                    <w:rPr>
                      <w:color w:val="000000"/>
                      <w:lang w:val="fr-FR" w:eastAsia="fr-FR"/>
                    </w:rPr>
                    <w:t>Bureau 2F255</w:t>
                  </w:r>
                </w:p>
                <w:p>
                  <w:pPr>
                    <w:autoSpaceDE w:val="0"/>
                    <w:autoSpaceDN w:val="0"/>
                    <w:adjustRightInd w:val="0"/>
                    <w:ind w:left="5103"/>
                    <w:rPr>
                      <w:color w:val="000000"/>
                      <w:lang w:val="fr-FR" w:eastAsia="fr-FR"/>
                    </w:rPr>
                  </w:pPr>
                  <w:r>
                    <w:rPr>
                      <w:color w:val="000000"/>
                      <w:lang w:val="fr-FR" w:eastAsia="fr-FR"/>
                    </w:rPr>
                    <w:t>Rue Adolphe Lavallée, 1</w:t>
                  </w:r>
                </w:p>
                <w:p>
                  <w:pPr>
                    <w:autoSpaceDE w:val="0"/>
                    <w:autoSpaceDN w:val="0"/>
                    <w:adjustRightInd w:val="0"/>
                    <w:ind w:left="5103"/>
                    <w:rPr>
                      <w:color w:val="000000"/>
                      <w:lang w:val="fr-FR" w:eastAsia="fr-FR"/>
                    </w:rPr>
                  </w:pPr>
                  <w:r>
                    <w:rPr>
                      <w:color w:val="000000"/>
                      <w:lang w:val="fr-FR" w:eastAsia="fr-FR"/>
                    </w:rPr>
                    <w:t>1080   BRUXELLES</w:t>
                  </w:r>
                </w:p>
                <w:p/>
                <w:p>
                  <w:pPr>
                    <w:jc w:val="both"/>
                  </w:pPr>
                </w:p>
                <w:p>
                  <w:pPr>
                    <w:jc w:val="both"/>
                    <w:rPr>
                      <w:b/>
                    </w:rPr>
                  </w:pPr>
                  <w:r>
                    <w:rPr>
                      <w:b/>
                      <w:u w:val="single"/>
                    </w:rPr>
                    <w:t>Objet :</w:t>
                  </w:r>
                  <w:r>
                    <w:rPr>
                      <w:b/>
                    </w:rPr>
                    <w:t xml:space="preserve"> prise en charge d’élèves d’enseignement spécialisé durant les deux périodes hebdomadaires d’activités physiques et sportives par du personnel paramédical</w:t>
                  </w:r>
                </w:p>
                <w:p>
                  <w:pPr>
                    <w:jc w:val="both"/>
                  </w:pPr>
                </w:p>
                <w:p>
                  <w:pPr>
                    <w:jc w:val="both"/>
                  </w:pPr>
                  <w:r>
                    <w:rPr>
                      <w:b/>
                    </w:rPr>
                    <w:t xml:space="preserve">Année scolaire : </w:t>
                  </w:r>
                </w:p>
                <w:p>
                  <w:pPr>
                    <w:jc w:val="both"/>
                  </w:pPr>
                </w:p>
                <w:p>
                  <w:pPr>
                    <w:jc w:val="both"/>
                    <w:rPr>
                      <w:b/>
                    </w:rPr>
                  </w:pPr>
                  <w:r>
                    <w:rPr>
                      <w:b/>
                    </w:rPr>
                    <w:t>Etablissement scolaire :</w:t>
                  </w:r>
                </w:p>
                <w:p>
                  <w:pPr>
                    <w:rPr>
                      <w:b/>
                    </w:rPr>
                  </w:pPr>
                </w:p>
                <w:p>
                  <w:pPr>
                    <w:rPr>
                      <w:b/>
                    </w:rPr>
                  </w:pPr>
                </w:p>
                <w:p>
                  <w:pPr>
                    <w:pBdr>
                      <w:top w:val="single" w:sz="4" w:space="1" w:color="auto"/>
                      <w:left w:val="single" w:sz="4" w:space="4" w:color="auto"/>
                      <w:bottom w:val="single" w:sz="4" w:space="1" w:color="auto"/>
                      <w:right w:val="single" w:sz="4" w:space="4" w:color="auto"/>
                    </w:pBdr>
                  </w:pPr>
                  <w:r>
                    <w:t>Concerne l’élève :</w:t>
                  </w:r>
                </w:p>
                <w:p>
                  <w:pPr>
                    <w:pBdr>
                      <w:top w:val="single" w:sz="4" w:space="1" w:color="auto"/>
                      <w:left w:val="single" w:sz="4" w:space="4" w:color="auto"/>
                      <w:bottom w:val="single" w:sz="4" w:space="1" w:color="auto"/>
                      <w:right w:val="single" w:sz="4" w:space="4" w:color="auto"/>
                    </w:pBdr>
                  </w:pPr>
                  <w:r>
                    <w:t>NOM:</w:t>
                  </w:r>
                </w:p>
                <w:p>
                  <w:pPr>
                    <w:pBdr>
                      <w:top w:val="single" w:sz="4" w:space="1" w:color="auto"/>
                      <w:left w:val="single" w:sz="4" w:space="4" w:color="auto"/>
                      <w:bottom w:val="single" w:sz="4" w:space="1" w:color="auto"/>
                      <w:right w:val="single" w:sz="4" w:space="4" w:color="auto"/>
                    </w:pBdr>
                  </w:pPr>
                  <w:r>
                    <w:t xml:space="preserve">Prénom : </w:t>
                  </w:r>
                </w:p>
                <w:p>
                  <w:pPr>
                    <w:pBdr>
                      <w:top w:val="single" w:sz="4" w:space="1" w:color="auto"/>
                      <w:left w:val="single" w:sz="4" w:space="4" w:color="auto"/>
                      <w:bottom w:val="single" w:sz="4" w:space="1" w:color="auto"/>
                      <w:right w:val="single" w:sz="4" w:space="4" w:color="auto"/>
                    </w:pBdr>
                  </w:pPr>
                  <w:r>
                    <w:t>Date de naissance :</w:t>
                  </w:r>
                </w:p>
                <w:p/>
                <w:p/>
                <w:p>
                  <w:pPr>
                    <w:pBdr>
                      <w:top w:val="single" w:sz="4" w:space="1" w:color="auto"/>
                      <w:left w:val="single" w:sz="4" w:space="4" w:color="auto"/>
                      <w:bottom w:val="single" w:sz="4" w:space="1" w:color="auto"/>
                      <w:right w:val="single" w:sz="4" w:space="4" w:color="auto"/>
                    </w:pBdr>
                    <w:rPr>
                      <w:b/>
                    </w:rPr>
                  </w:pPr>
                  <w:r>
                    <w:rPr>
                      <w:b/>
                    </w:rPr>
                    <w:t>Motivation de la demande de dérogation (exemples en page suivante)</w:t>
                  </w: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r>
                    <w:t>Nature du handicap :</w:t>
                  </w: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r>
                    <w:t>Conséquences :</w:t>
                  </w: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tabs>
                      <w:tab w:val="left" w:pos="6390"/>
                    </w:tabs>
                  </w:pPr>
                  <w:r>
                    <w:t>Solution proposée :</w:t>
                  </w:r>
                  <w:r>
                    <w:tab/>
                  </w: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r>
                    <w:t>Situation dans le groupe ou la classe :</w:t>
                  </w: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p>
                <w:p/>
                <w:p>
                  <w:r>
                    <w:t>Date :</w:t>
                  </w:r>
                  <w:r>
                    <w:tab/>
                  </w:r>
                  <w:r>
                    <w:tab/>
                  </w:r>
                  <w:r>
                    <w:tab/>
                  </w:r>
                  <w:r>
                    <w:tab/>
                  </w:r>
                  <w:r>
                    <w:tab/>
                  </w:r>
                  <w:r>
                    <w:tab/>
                  </w:r>
                  <w:r>
                    <w:tab/>
                  </w:r>
                  <w:r>
                    <w:tab/>
                    <w:t>Signature de la Direction</w:t>
                  </w:r>
                  <w:r>
                    <w:br w:type="page"/>
                  </w:r>
                </w:p>
                <w:p>
                  <w:pPr>
                    <w:pBdr>
                      <w:top w:val="single" w:sz="4" w:space="1" w:color="auto"/>
                      <w:left w:val="single" w:sz="4" w:space="4" w:color="auto"/>
                      <w:bottom w:val="single" w:sz="4" w:space="1" w:color="auto"/>
                      <w:right w:val="single" w:sz="4" w:space="4" w:color="auto"/>
                    </w:pBdr>
                    <w:jc w:val="center"/>
                    <w:rPr>
                      <w:b/>
                    </w:rPr>
                  </w:pPr>
                  <w:r>
                    <w:rPr>
                      <w:b/>
                    </w:rPr>
                    <w:t>Exemples de motivation</w:t>
                  </w:r>
                </w:p>
                <w:p>
                  <w:pPr>
                    <w:rPr>
                      <w:b/>
                    </w:rPr>
                  </w:pPr>
                </w:p>
                <w:p>
                  <w:pPr>
                    <w:rPr>
                      <w:b/>
                    </w:rPr>
                  </w:pPr>
                </w:p>
                <w:p>
                  <w:pPr>
                    <w:jc w:val="both"/>
                  </w:pPr>
                  <w:r>
                    <w:rPr>
                      <w:b/>
                    </w:rPr>
                    <w:t xml:space="preserve">Nature du handicap : </w:t>
                  </w:r>
                  <w:r>
                    <w:t>l’élève …. souffre du syndrome de ……….. caractérisé par des spasmes, d’un important retard neuromoteur et d’épilepsie, …</w:t>
                  </w:r>
                </w:p>
                <w:p>
                  <w:pPr>
                    <w:jc w:val="both"/>
                  </w:pPr>
                </w:p>
                <w:p>
                  <w:pPr>
                    <w:jc w:val="both"/>
                  </w:pPr>
                  <w:r>
                    <w:rPr>
                      <w:b/>
                    </w:rPr>
                    <w:t xml:space="preserve">Conséquences : </w:t>
                  </w:r>
                  <w:r>
                    <w:t>l’élève ….. se trouve dans l’impossibilité de pratiquer une activité physique quelconque, le rendant totalement dépendant de l’adulte et dans l’incapacité de marcher ; couché sur un tapis, il peut se retourner sur le dos, sur le ventre. Il ne peut maintenir la position assise, le contrôle de la tête est fluctuant, son tonus général est bas.</w:t>
                  </w:r>
                </w:p>
                <w:p>
                  <w:pPr>
                    <w:jc w:val="both"/>
                    <w:rPr>
                      <w:b/>
                    </w:rPr>
                  </w:pPr>
                </w:p>
                <w:p>
                  <w:pPr>
                    <w:jc w:val="both"/>
                  </w:pPr>
                  <w:r>
                    <w:rPr>
                      <w:b/>
                    </w:rPr>
                    <w:t xml:space="preserve">Solution proposée : </w:t>
                  </w:r>
                  <w:r>
                    <w:t>les deux périodes d’éducation physique seront remplacées par deux périodes de stimulations sensorielles réalisées avec l’apport du Snoezelen par un kiné et/ou une puéricultrice.</w:t>
                  </w:r>
                </w:p>
                <w:p>
                  <w:pPr>
                    <w:jc w:val="both"/>
                    <w:rPr>
                      <w:b/>
                    </w:rPr>
                  </w:pPr>
                </w:p>
                <w:p>
                  <w:pPr>
                    <w:jc w:val="both"/>
                  </w:pPr>
                  <w:r>
                    <w:rPr>
                      <w:b/>
                    </w:rPr>
                    <w:t xml:space="preserve">Situation dans le groupe ou la classe : </w:t>
                  </w:r>
                  <w:r>
                    <w:t>l’élève…….. fait partie d’une classe d’enfants IMC ou polyhandicapés ; lors des périodes d’éducation physique, le maître spécial n’est pas capable de s’occuper de tous les élèves individuellement, la prise en charge de cet élève par une personne du personnel paramédical serait beaucoup plus appropriée pour l’enfant qui ne peut pas participer de façon autonome à une activité psychomotrice.</w:t>
                  </w:r>
                </w:p>
                <w:p>
                  <w:pPr>
                    <w:jc w:val="both"/>
                    <w:rPr>
                      <w:b/>
                    </w:rPr>
                  </w:pPr>
                </w:p>
                <w:p>
                  <w:pPr>
                    <w:jc w:val="both"/>
                  </w:pPr>
                  <w:r>
                    <w:rPr>
                      <w:b/>
                    </w:rPr>
                    <w:t xml:space="preserve">Nature du handicap : </w:t>
                  </w:r>
                  <w:r>
                    <w:t>l’élève …. souffre d’infirmité motrice cérébrale prédominant au niveau des membres inférieurs, associée à une microcéphalie et une malvoyance, …</w:t>
                  </w:r>
                </w:p>
                <w:p>
                  <w:pPr>
                    <w:jc w:val="both"/>
                  </w:pPr>
                </w:p>
                <w:p>
                  <w:pPr>
                    <w:jc w:val="both"/>
                  </w:pPr>
                  <w:r>
                    <w:rPr>
                      <w:b/>
                    </w:rPr>
                    <w:t xml:space="preserve">Conséquences : </w:t>
                  </w:r>
                  <w:r>
                    <w:t>l’élève ….. est totalement dépendant de l’adulte pour les différentes activités de la vie journalière. Il est dans l’incapacité de marcher ; les différents déplacements se font dans une chaise roulante.</w:t>
                  </w:r>
                </w:p>
                <w:p>
                  <w:pPr>
                    <w:jc w:val="both"/>
                  </w:pPr>
                  <w:r>
                    <w:t>Il est dans l’impossibilité de pratiquer une activité sportive.</w:t>
                  </w:r>
                </w:p>
                <w:p>
                  <w:pPr>
                    <w:jc w:val="both"/>
                    <w:rPr>
                      <w:b/>
                    </w:rPr>
                  </w:pPr>
                </w:p>
                <w:p>
                  <w:pPr>
                    <w:jc w:val="both"/>
                  </w:pPr>
                  <w:r>
                    <w:rPr>
                      <w:b/>
                    </w:rPr>
                    <w:t xml:space="preserve">Solution proposée : </w:t>
                  </w:r>
                  <w:r>
                    <w:t>les deux périodes d’éducation physique seraient remplacées par deux périodes de stimulations sensorielles réalisées soit en classe, soit avec l’apport du Snoezelen et dispensées par un kiné et/ou une puéricultrice.</w:t>
                  </w:r>
                </w:p>
                <w:p>
                  <w:pPr>
                    <w:jc w:val="both"/>
                    <w:rPr>
                      <w:b/>
                    </w:rPr>
                  </w:pPr>
                </w:p>
                <w:p>
                  <w:pPr>
                    <w:jc w:val="both"/>
                  </w:pPr>
                  <w:r>
                    <w:rPr>
                      <w:b/>
                    </w:rPr>
                    <w:t xml:space="preserve">Situation dans le groupe ou la classe : </w:t>
                  </w:r>
                  <w:r>
                    <w:t>l’élève…….. est très inquiet lors de tout changement et supporte mal le bruit ; lors des périodes d’éducation physique, il n’est pas possible d’isoler cet élève et le maître spécial ne peut s’en occuper individuellement en permanence ; c’est pourquoi la prise en charge de cet élève par une personne du personnel paramédical serait beaucoup plus appropriée.</w:t>
                  </w:r>
                </w:p>
                <w:p>
                  <w:pPr>
                    <w:jc w:val="both"/>
                  </w:pPr>
                </w:p>
                <w:p/>
                <w:p/>
                <w:p>
                  <w:r>
                    <w:br w:type="page"/>
                  </w:r>
                </w:p>
                <w:sdt>
                  <w:sdtPr>
                    <w:rPr>
                      <w:rFonts w:asciiTheme="majorHAnsi" w:eastAsiaTheme="minorHAnsi" w:hAnsiTheme="majorHAnsi"/>
                      <w:sz w:val="24"/>
                      <w:lang w:eastAsia="en-US"/>
                    </w:rPr>
                    <w:id w:val="-402442016"/>
                    <w:docPartObj>
                      <w:docPartGallery w:val="Cover Pages"/>
                      <w:docPartUnique/>
                    </w:docPartObj>
                  </w:sdtPr>
                  <w:sdtEndPr>
                    <w:rPr>
                      <w:sz w:val="22"/>
                    </w:rPr>
                  </w:sdtEndPr>
                  <w:sdtContent>
                    <w:p>
                      <w:pPr>
                        <w:pStyle w:val="Sansinterligne"/>
                        <w:rPr>
                          <w:rFonts w:asciiTheme="majorHAnsi" w:hAnsiTheme="majorHAnsi"/>
                        </w:rPr>
                      </w:pPr>
                    </w:p>
                    <w:p>
                      <w:pPr>
                        <w:pStyle w:val="Titre2"/>
                      </w:pPr>
                      <w:bookmarkStart w:id="1777" w:name="_chapitre_6_:"/>
                      <w:bookmarkStart w:id="1778" w:name="_Toc477623695"/>
                      <w:bookmarkStart w:id="1779" w:name="_Toc477767489"/>
                      <w:bookmarkStart w:id="1780" w:name="_Toc18914437"/>
                      <w:bookmarkEnd w:id="1777"/>
                      <w:r>
                        <w:t>Chapitre</w:t>
                      </w:r>
                      <w:bookmarkStart w:id="1781" w:name="_Toc477623696"/>
                      <w:bookmarkStart w:id="1782" w:name="_Toc477767490"/>
                      <w:bookmarkEnd w:id="1778"/>
                      <w:bookmarkEnd w:id="1779"/>
                      <w:r>
                        <w:t xml:space="preserve"> 6 : Personnels administratif et auxiliaire d’éducation</w:t>
                      </w:r>
                      <w:bookmarkEnd w:id="1781"/>
                      <w:bookmarkEnd w:id="1782"/>
                      <w:bookmarkEnd w:id="1780"/>
                    </w:p>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sdtContent>
                </w:sdt>
                <w:p>
                  <w:pPr>
                    <w:jc w:val="both"/>
                    <w:rPr>
                      <w:b/>
                      <w:u w:val="single"/>
                    </w:rPr>
                  </w:pPr>
                  <w:r>
                    <w:rPr>
                      <w:b/>
                      <w:u w:val="single"/>
                    </w:rPr>
                    <w:t>Bases légales :</w:t>
                  </w:r>
                </w:p>
                <w:p>
                  <w:pPr>
                    <w:jc w:val="both"/>
                    <w:rPr>
                      <w:b/>
                      <w:u w:val="single"/>
                    </w:rPr>
                  </w:pPr>
                </w:p>
                <w:p>
                  <w:pPr>
                    <w:numPr>
                      <w:ilvl w:val="0"/>
                      <w:numId w:val="41"/>
                    </w:numPr>
                    <w:suppressAutoHyphens/>
                    <w:jc w:val="both"/>
                  </w:pPr>
                  <w:hyperlink r:id="rId146" w:history="1">
                    <w:r>
                      <w:rPr>
                        <w:rStyle w:val="Lienhypertexte"/>
                        <w:rFonts w:cs="Arial"/>
                      </w:rPr>
                      <w:t>Décret du 3 mars 2004 organisant l'enseignement spécialisé</w:t>
                    </w:r>
                  </w:hyperlink>
                  <w:r>
                    <w:t>.</w:t>
                  </w:r>
                </w:p>
                <w:p>
                  <w:pPr>
                    <w:numPr>
                      <w:ilvl w:val="0"/>
                      <w:numId w:val="41"/>
                    </w:numPr>
                    <w:pBdr>
                      <w:right w:val="single" w:sz="4" w:space="4" w:color="auto"/>
                    </w:pBdr>
                    <w:suppressAutoHyphens/>
                    <w:autoSpaceDE w:val="0"/>
                    <w:jc w:val="both"/>
                    <w:rPr>
                      <w:rFonts w:cs="Arial"/>
                      <w:color w:val="0000FF"/>
                      <w:lang w:val="fr-FR"/>
                    </w:rPr>
                  </w:pPr>
                  <w:hyperlink r:id="rId147" w:history="1">
                    <w:r>
                      <w:rPr>
                        <w:rStyle w:val="Lienhypertexte"/>
                        <w:rFonts w:cstheme="minorBidi"/>
                      </w:rPr>
                      <w:t>Décret 14 mars 2019 portant diverses dispositions relatives à l’organisation du travail  des membres du personnel de l’enseignement et octroyant plus de souplesse organisationnelle aux Pouvoirs organisateurs.</w:t>
                    </w:r>
                  </w:hyperlink>
                  <w:r>
                    <w:t xml:space="preserve"> </w:t>
                  </w:r>
                </w:p>
                <w:p>
                  <w:pPr>
                    <w:numPr>
                      <w:ilvl w:val="0"/>
                      <w:numId w:val="41"/>
                    </w:numPr>
                    <w:suppressAutoHyphens/>
                    <w:autoSpaceDE w:val="0"/>
                    <w:jc w:val="both"/>
                    <w:rPr>
                      <w:rFonts w:cs="Arial"/>
                      <w:color w:val="0000FF"/>
                      <w:lang w:val="fr-FR"/>
                    </w:rPr>
                  </w:pPr>
                  <w:hyperlink r:id="rId148" w:history="1">
                    <w:r>
                      <w:rPr>
                        <w:rStyle w:val="Lienhypertexte"/>
                        <w:rFonts w:cs="Arial"/>
                        <w:lang w:val="fr-FR"/>
                      </w:rPr>
                      <w:t xml:space="preserve">Circulaire 7167 concernant la </w:t>
                    </w:r>
                    <w:r>
                      <w:rPr>
                        <w:rStyle w:val="Lienhypertexte"/>
                        <w:rFonts w:cs="Arial"/>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pPr>
                    <w:numPr>
                      <w:ilvl w:val="0"/>
                      <w:numId w:val="41"/>
                    </w:numPr>
                    <w:suppressAutoHyphens/>
                    <w:jc w:val="both"/>
                  </w:pPr>
                  <w:hyperlink r:id="rId149" w:history="1">
                    <w:r>
                      <w:rPr>
                        <w:rStyle w:val="Lienhypertexte"/>
                        <w:rFonts w:cs="Arial"/>
                      </w:rPr>
                      <w:t>Décret du 30 avril 2009 concernant la comptabilité des écoles et l’accès à certaines fonctions de sélection et de promotion</w:t>
                    </w:r>
                  </w:hyperlink>
                  <w:r>
                    <w:t>.</w:t>
                  </w:r>
                </w:p>
                <w:p>
                  <w:pPr>
                    <w:suppressAutoHyphens/>
                    <w:ind w:left="360"/>
                    <w:jc w:val="both"/>
                  </w:pPr>
                </w:p>
                <w:p>
                  <w:pPr>
                    <w:jc w:val="both"/>
                  </w:pPr>
                </w:p>
                <w:p>
                  <w:pPr>
                    <w:pStyle w:val="Titre3"/>
                  </w:pPr>
                  <w:bookmarkStart w:id="1783" w:name="_1._Capital-périodes_–"/>
                  <w:bookmarkStart w:id="1784" w:name="__RefHeading__157_957262308"/>
                  <w:bookmarkStart w:id="1785" w:name="_Toc291075321"/>
                  <w:bookmarkStart w:id="1786" w:name="_Toc291075745"/>
                  <w:bookmarkStart w:id="1787" w:name="_Toc291076169"/>
                  <w:bookmarkStart w:id="1788" w:name="_Toc291076593"/>
                  <w:bookmarkStart w:id="1789" w:name="_Toc291077017"/>
                  <w:bookmarkStart w:id="1790" w:name="_Toc293651860"/>
                  <w:bookmarkStart w:id="1791" w:name="_Toc293653443"/>
                  <w:bookmarkStart w:id="1792" w:name="_Toc293654054"/>
                  <w:bookmarkStart w:id="1793" w:name="_Toc294004632"/>
                  <w:bookmarkStart w:id="1794" w:name="_Toc294185128"/>
                  <w:bookmarkStart w:id="1795" w:name="_Toc324165944"/>
                  <w:bookmarkStart w:id="1796" w:name="_Toc324766981"/>
                  <w:bookmarkStart w:id="1797" w:name="_Toc453314334"/>
                  <w:bookmarkStart w:id="1798" w:name="_Toc454980369"/>
                  <w:bookmarkStart w:id="1799" w:name="_Toc18914438"/>
                  <w:bookmarkEnd w:id="1783"/>
                  <w:bookmarkEnd w:id="1784"/>
                  <w:r>
                    <w:t>1. Capital-périodes – Principes généraux</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r>
                    <w:t xml:space="preserve"> </w:t>
                  </w:r>
                </w:p>
                <w:p/>
                <w:p>
                  <w:pPr>
                    <w:pBdr>
                      <w:top w:val="single" w:sz="4" w:space="1" w:color="auto"/>
                      <w:left w:val="single" w:sz="4" w:space="4" w:color="auto"/>
                      <w:bottom w:val="single" w:sz="4" w:space="1" w:color="auto"/>
                      <w:right w:val="single" w:sz="4" w:space="4" w:color="auto"/>
                    </w:pBdr>
                    <w:jc w:val="both"/>
                    <w:rPr>
                      <w:b/>
                    </w:rPr>
                  </w:pPr>
                  <w:r>
                    <w:rPr>
                      <w:b/>
                      <w:u w:val="single"/>
                    </w:rPr>
                    <w:t>Remarques</w:t>
                  </w:r>
                  <w:r>
                    <w:rPr>
                      <w:b/>
                    </w:rPr>
                    <w:t xml:space="preserve"> : </w:t>
                  </w:r>
                </w:p>
                <w:p>
                  <w:pPr>
                    <w:pBdr>
                      <w:top w:val="single" w:sz="4" w:space="1" w:color="auto"/>
                      <w:left w:val="single" w:sz="4" w:space="4" w:color="auto"/>
                      <w:bottom w:val="single" w:sz="4" w:space="1" w:color="auto"/>
                      <w:right w:val="single" w:sz="4" w:space="4" w:color="auto"/>
                    </w:pBdr>
                    <w:jc w:val="both"/>
                    <w:rPr>
                      <w:b/>
                    </w:rPr>
                  </w:pPr>
                </w:p>
                <w:p>
                  <w:pPr>
                    <w:pBdr>
                      <w:top w:val="single" w:sz="4" w:space="1" w:color="auto"/>
                      <w:left w:val="single" w:sz="4" w:space="4" w:color="auto"/>
                      <w:bottom w:val="single" w:sz="4" w:space="1" w:color="auto"/>
                      <w:right w:val="single" w:sz="4" w:space="4" w:color="auto"/>
                    </w:pBdr>
                    <w:jc w:val="both"/>
                  </w:pPr>
                  <w:r>
                    <w:t xml:space="preserve">1) les titres de correspondant-comptable et éducateur-économe  sont appelés à disparaître dans le réseau Fédération Wallonie-Bruxelles et seront remplacés progressivement par le titre de comptable (Décret du 30 avril 2009 concernant la comptabilité des écoles et l’accès à certaines fonctions de sélection et de promotion)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rPr>
                      <w:color w:val="000000"/>
                    </w:rPr>
                  </w:pPr>
                  <w:r>
                    <w:rPr>
                      <w:color w:val="000000"/>
                    </w:rPr>
                    <w:t>2) le terme période mentionné dans le présent chapitre correspond à 60 minutes.</w:t>
                  </w:r>
                </w:p>
                <w:p/>
                <w:p>
                  <w:pPr>
                    <w:pStyle w:val="Titre4"/>
                  </w:pPr>
                  <w:bookmarkStart w:id="1800" w:name="_Toc291075322"/>
                  <w:bookmarkStart w:id="1801" w:name="_Toc291075746"/>
                  <w:bookmarkStart w:id="1802" w:name="_Toc291076170"/>
                  <w:bookmarkStart w:id="1803" w:name="_Toc291076594"/>
                  <w:bookmarkStart w:id="1804" w:name="_Toc291077018"/>
                  <w:bookmarkStart w:id="1805" w:name="_Toc293651861"/>
                  <w:bookmarkStart w:id="1806" w:name="_Toc293653444"/>
                  <w:bookmarkStart w:id="1807" w:name="_Toc293654055"/>
                  <w:bookmarkStart w:id="1808" w:name="_Toc294004633"/>
                  <w:bookmarkStart w:id="1809" w:name="_Toc294185129"/>
                  <w:bookmarkStart w:id="1810" w:name="_Toc324165945"/>
                  <w:bookmarkStart w:id="1811" w:name="_Toc324766982"/>
                  <w:bookmarkStart w:id="1812" w:name="_Toc324767840"/>
                  <w:bookmarkStart w:id="1813" w:name="_Toc453314335"/>
                  <w:bookmarkStart w:id="1814" w:name="_Toc454980370"/>
                  <w:r>
                    <w:t>1.1. Tous les emplois des membres du personnel administratif et du personnel auxiliaire d'éducation ne sont pas attribués sur la base d'un capital-périodes.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pPr>
                    <w:jc w:val="both"/>
                  </w:pPr>
                </w:p>
                <w:p>
                  <w:pPr>
                    <w:jc w:val="both"/>
                  </w:pPr>
                  <w:r>
                    <w:t>Les emplois de correspondant-comptable ou de comptable</w:t>
                  </w:r>
                  <w:r>
                    <w:rPr>
                      <w:rStyle w:val="Caractresdenotedebasdepage"/>
                      <w:rFonts w:cs="Arial"/>
                    </w:rPr>
                    <w:footnoteReference w:id="112"/>
                  </w:r>
                  <w:r>
                    <w:t xml:space="preserve"> (enseignement organisé par la Fédération Wallonie-Bruxelles) sont conférés hors capital-périodes.</w:t>
                  </w:r>
                </w:p>
                <w:p>
                  <w:pPr>
                    <w:jc w:val="both"/>
                  </w:pPr>
                </w:p>
                <w:p>
                  <w:pPr>
                    <w:pStyle w:val="Titre4"/>
                  </w:pPr>
                  <w:bookmarkStart w:id="1815" w:name="_1.2._Calcul_du"/>
                  <w:bookmarkStart w:id="1816" w:name="_Toc291075323"/>
                  <w:bookmarkStart w:id="1817" w:name="_Toc291075747"/>
                  <w:bookmarkStart w:id="1818" w:name="_Toc291076171"/>
                  <w:bookmarkStart w:id="1819" w:name="_Toc291076595"/>
                  <w:bookmarkStart w:id="1820" w:name="_Toc291077019"/>
                  <w:bookmarkStart w:id="1821" w:name="_Toc293651862"/>
                  <w:bookmarkStart w:id="1822" w:name="_Toc293653445"/>
                  <w:bookmarkStart w:id="1823" w:name="_Toc293654056"/>
                  <w:bookmarkStart w:id="1824" w:name="_Toc294004634"/>
                  <w:bookmarkStart w:id="1825" w:name="_Toc294185130"/>
                  <w:bookmarkStart w:id="1826" w:name="_Toc324165946"/>
                  <w:bookmarkStart w:id="1827" w:name="_Toc324766983"/>
                  <w:bookmarkStart w:id="1828" w:name="_Toc324767841"/>
                  <w:bookmarkStart w:id="1829" w:name="_Toc453314336"/>
                  <w:bookmarkStart w:id="1830" w:name="_Toc454980371"/>
                  <w:bookmarkEnd w:id="1815"/>
                  <w:r>
                    <w:t xml:space="preserve">1.2. Calcul du </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r>
                    <w:t>nombre de charges</w:t>
                  </w:r>
                  <w:bookmarkEnd w:id="1829"/>
                  <w:bookmarkEnd w:id="1830"/>
                  <w:r>
                    <w:t xml:space="preserve"> </w:t>
                  </w:r>
                </w:p>
                <w:p>
                  <w:pPr>
                    <w:jc w:val="both"/>
                    <w:rPr>
                      <w:u w:val="single"/>
                    </w:rPr>
                  </w:pPr>
                </w:p>
                <w:p>
                  <w:pPr>
                    <w:jc w:val="both"/>
                  </w:pPr>
                  <w:r>
                    <w:t>Le calcul du nombre de charges est égal au produit d'un nombre de périodes (38) par un nombre guide.</w:t>
                  </w:r>
                </w:p>
                <w:p>
                  <w:pPr>
                    <w:jc w:val="both"/>
                  </w:pPr>
                  <w:r>
                    <w:t>Ce nombre de charges est fixé d'après le nombre d'élèves que compte l'établissement le 15 janvier précédent l'année scolaire. Si la date du 30 septembre la population scolaire a varié de minimum 5% par rapport à celle du 15 janvier précédent, un nouveau calcul de l'encadrement est établi à partir du 1</w:t>
                  </w:r>
                  <w:r>
                    <w:rPr>
                      <w:vertAlign w:val="superscript"/>
                    </w:rPr>
                    <w:t>er</w:t>
                  </w:r>
                  <w:r>
                    <w:t xml:space="preserve"> octobre. </w:t>
                  </w:r>
                </w:p>
                <w:p>
                  <w:pPr>
                    <w:jc w:val="both"/>
                  </w:pPr>
                  <w:r>
                    <w:t>Les élèves à prendre en considération sont ceux qui doivent être considérés comme réguliers conformément aux dispositions du Chapitre III du Décret du 3 mars 2004 organisant l'Enseignement spécialisé.</w:t>
                  </w:r>
                </w:p>
                <w:p>
                  <w:pPr>
                    <w:jc w:val="both"/>
                  </w:pPr>
                </w:p>
                <w:p>
                  <w:r>
                    <w:t>En cas de programmation le calcul du nombre de charges est modifié (</w:t>
                  </w:r>
                  <w:hyperlink w:anchor="_Chapitre_2_:" w:history="1">
                    <w:r>
                      <w:rPr>
                        <w:rStyle w:val="Lienhypertexte"/>
                        <w:rFonts w:cs="Arial"/>
                      </w:rPr>
                      <w:t>Chapitre 2</w:t>
                    </w:r>
                  </w:hyperlink>
                  <w:r>
                    <w:rPr>
                      <w:rFonts w:cs="Arial"/>
                    </w:rPr>
                    <w:t xml:space="preserve">, </w:t>
                  </w:r>
                  <w:hyperlink w:anchor="_8._Calcul_des" w:history="1">
                    <w:r>
                      <w:rPr>
                        <w:rStyle w:val="Lienhypertexte"/>
                        <w:rFonts w:cs="Arial"/>
                      </w:rPr>
                      <w:t>point 6</w:t>
                    </w:r>
                  </w:hyperlink>
                  <w:r>
                    <w:rPr>
                      <w:rFonts w:cs="Arial"/>
                    </w:rPr>
                    <w:t xml:space="preserve">) </w:t>
                  </w:r>
                </w:p>
                <w:p/>
                <w:p>
                  <w:pPr>
                    <w:pStyle w:val="Titre4"/>
                  </w:pPr>
                  <w:bookmarkStart w:id="1831" w:name="_1.3._Capital-périodes_utilisable_1"/>
                  <w:bookmarkStart w:id="1832" w:name="_Toc291075324"/>
                  <w:bookmarkStart w:id="1833" w:name="_Toc291075748"/>
                  <w:bookmarkStart w:id="1834" w:name="_Toc291076172"/>
                  <w:bookmarkStart w:id="1835" w:name="_Toc291076596"/>
                  <w:bookmarkStart w:id="1836" w:name="_Toc291077020"/>
                  <w:bookmarkStart w:id="1837" w:name="_Toc293651863"/>
                  <w:bookmarkStart w:id="1838" w:name="_Toc293653446"/>
                  <w:bookmarkStart w:id="1839" w:name="_Toc293654057"/>
                  <w:bookmarkStart w:id="1840" w:name="_Toc294004635"/>
                  <w:bookmarkStart w:id="1841" w:name="_Toc294185131"/>
                  <w:bookmarkStart w:id="1842" w:name="_Toc324165947"/>
                  <w:bookmarkStart w:id="1843" w:name="_Toc324766984"/>
                  <w:bookmarkStart w:id="1844" w:name="_Toc324767842"/>
                  <w:bookmarkStart w:id="1845" w:name="_Toc453314337"/>
                  <w:bookmarkStart w:id="1846" w:name="_Toc454980372"/>
                  <w:bookmarkEnd w:id="1831"/>
                  <w:r>
                    <w:t>1.3. Capital-périodes utilisable</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p>
                  <w:pPr>
                    <w:jc w:val="both"/>
                  </w:pPr>
                  <w:r>
                    <w:t>Le pourcentage du capital-périodes qui peut être utilisé est fixé à 100 % pour l'année scolaire en cours.</w:t>
                  </w:r>
                </w:p>
                <w:p>
                  <w:pPr>
                    <w:jc w:val="both"/>
                  </w:pPr>
                  <w:r>
                    <w:t>En aucun cas, le nombre de périodes réellement utilisées ne peut dépasser le capital-périodes utilisable.</w:t>
                  </w:r>
                </w:p>
                <w:p>
                  <w:pPr>
                    <w:jc w:val="both"/>
                  </w:pPr>
                </w:p>
                <w:p>
                  <w:pPr>
                    <w:pStyle w:val="Titre4"/>
                  </w:pPr>
                  <w:bookmarkStart w:id="1847" w:name="_1.4._Augmentation_du"/>
                  <w:bookmarkStart w:id="1848" w:name="_Toc291075325"/>
                  <w:bookmarkStart w:id="1849" w:name="_Toc291075749"/>
                  <w:bookmarkStart w:id="1850" w:name="_Toc291076173"/>
                  <w:bookmarkStart w:id="1851" w:name="_Toc291076597"/>
                  <w:bookmarkStart w:id="1852" w:name="_Toc291077021"/>
                  <w:bookmarkStart w:id="1853" w:name="_Toc293651864"/>
                  <w:bookmarkStart w:id="1854" w:name="_Toc293653447"/>
                  <w:bookmarkStart w:id="1855" w:name="_Toc293654058"/>
                  <w:bookmarkStart w:id="1856" w:name="_Toc294004636"/>
                  <w:bookmarkStart w:id="1857" w:name="_Toc294185132"/>
                  <w:bookmarkStart w:id="1858" w:name="_Toc324165948"/>
                  <w:bookmarkStart w:id="1859" w:name="_Toc324766985"/>
                  <w:bookmarkStart w:id="1860" w:name="_Toc324767843"/>
                  <w:bookmarkStart w:id="1861" w:name="_Toc453314338"/>
                  <w:bookmarkStart w:id="1862" w:name="_Toc454980373"/>
                  <w:bookmarkEnd w:id="1847"/>
                  <w:r>
                    <w:t>1.4. Augmentation du capital-périodes</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pPr>
                    <w:jc w:val="both"/>
                  </w:pPr>
                </w:p>
                <w:p>
                  <w:pPr>
                    <w:jc w:val="both"/>
                  </w:pPr>
                  <w:r>
                    <w:t>Après le 30 septembre, le capital-périodes peut être recalculé chaque fois que la population scolaire augmente d'au moins 10 % pendant 10 jours de classe consécutifs.</w:t>
                  </w:r>
                </w:p>
                <w:p>
                  <w:pPr>
                    <w:jc w:val="both"/>
                  </w:pPr>
                </w:p>
                <w:p>
                  <w:pPr>
                    <w:widowControl w:val="0"/>
                    <w:pBdr>
                      <w:right w:val="single" w:sz="4" w:space="4" w:color="auto"/>
                    </w:pBdr>
                    <w:autoSpaceDE w:val="0"/>
                    <w:autoSpaceDN w:val="0"/>
                    <w:adjustRightInd w:val="0"/>
                    <w:spacing w:line="250" w:lineRule="exact"/>
                    <w:jc w:val="both"/>
                    <w:rPr>
                      <w:rFonts w:cs="Georgia"/>
                      <w:color w:val="000000"/>
                    </w:rPr>
                  </w:pPr>
                  <w:r>
                    <w:rPr>
                      <w:rFonts w:cs="Georgia"/>
                      <w:color w:val="000000"/>
                    </w:rPr>
                    <w:t xml:space="preserve">En outre, 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pPr>
                    <w:jc w:val="both"/>
                  </w:pPr>
                </w:p>
                <w:p>
                  <w:pPr>
                    <w:jc w:val="both"/>
                  </w:pPr>
                  <w:r>
                    <w:t>Toute demande de révision du calcul du capital-périodes doit être sollicitée directement auprès du Vérificateur (éventuellement par téléphone).</w:t>
                  </w:r>
                </w:p>
                <w:p>
                  <w:pPr>
                    <w:jc w:val="both"/>
                  </w:pPr>
                </w:p>
                <w:p>
                  <w:pPr>
                    <w:jc w:val="both"/>
                  </w:pPr>
                  <w:r>
                    <w:t>Aucun engagement de personnel ne peut avoir lieu avant d'obtenir l'accord du Vérificateur sur cette augmentation.</w:t>
                  </w:r>
                </w:p>
                <w:p>
                  <w:pPr>
                    <w:jc w:val="both"/>
                  </w:pPr>
                </w:p>
                <w:p>
                  <w:pPr>
                    <w:jc w:val="both"/>
                  </w:pPr>
                  <w:r>
                    <w:t>Le nouveau capital-périodes est valable jusqu’au 30 juin de l’année scolaire durant laquelle l’augmentation a été constatée.</w:t>
                  </w:r>
                </w:p>
                <w:p/>
                <w:p>
                  <w:pPr>
                    <w:pStyle w:val="Titre4"/>
                  </w:pPr>
                  <w:bookmarkStart w:id="1863" w:name="_1.5._Utilisation_du_"/>
                  <w:bookmarkStart w:id="1864" w:name="_Toc453314339"/>
                  <w:bookmarkStart w:id="1865" w:name="_Toc454980374"/>
                  <w:bookmarkEnd w:id="1863"/>
                  <w:r>
                    <w:t>1.5. Utilisation du capital-périodes</w:t>
                  </w:r>
                  <w:bookmarkEnd w:id="1864"/>
                  <w:bookmarkEnd w:id="1865"/>
                </w:p>
                <w:p>
                  <w:pPr>
                    <w:jc w:val="both"/>
                  </w:pPr>
                </w:p>
                <w:p>
                  <w:pPr>
                    <w:jc w:val="both"/>
                  </w:pPr>
                  <w:r>
                    <w:t>Dans chaque établissement d’enseignement spécialisé, des périodes peuvent être réservées à la coordination des projets d’intégration, et ce, dans les limites du capital-périodes utilisable. Ces tâches peuvent être assurées par un ou plusieurs membres du personnel auxiliaire d’éducation dans le respect des règles statutaires.</w:t>
                  </w:r>
                </w:p>
                <w:p>
                  <w:bookmarkStart w:id="1866" w:name="__RefHeading__159_957262308"/>
                  <w:bookmarkStart w:id="1867" w:name="_2._Enseignement_fondamental"/>
                  <w:bookmarkStart w:id="1868" w:name="_Toc291075326"/>
                  <w:bookmarkStart w:id="1869" w:name="_Toc291075750"/>
                  <w:bookmarkStart w:id="1870" w:name="_Toc291076174"/>
                  <w:bookmarkStart w:id="1871" w:name="_Toc291076598"/>
                  <w:bookmarkStart w:id="1872" w:name="_Toc291077022"/>
                  <w:bookmarkStart w:id="1873" w:name="_Toc293651865"/>
                  <w:bookmarkStart w:id="1874" w:name="_Toc293653448"/>
                  <w:bookmarkStart w:id="1875" w:name="_Toc293654059"/>
                  <w:bookmarkStart w:id="1876" w:name="_Toc294004637"/>
                  <w:bookmarkStart w:id="1877" w:name="_Toc294185133"/>
                  <w:bookmarkStart w:id="1878" w:name="_Toc324165949"/>
                  <w:bookmarkStart w:id="1879" w:name="_Toc324766986"/>
                  <w:bookmarkStart w:id="1880" w:name="_Toc453314340"/>
                  <w:bookmarkStart w:id="1881" w:name="_Toc454980375"/>
                  <w:bookmarkEnd w:id="1866"/>
                  <w:bookmarkEnd w:id="1867"/>
                </w:p>
                <w:p>
                  <w:pPr>
                    <w:pStyle w:val="Titre3"/>
                  </w:pPr>
                  <w:bookmarkStart w:id="1882" w:name="_Toc18914439"/>
                  <w:r>
                    <w:t xml:space="preserve">2. Enseignement fondamental spécialisé organisé par la </w:t>
                  </w:r>
                  <w:bookmarkEnd w:id="1868"/>
                  <w:bookmarkEnd w:id="1869"/>
                  <w:bookmarkEnd w:id="1870"/>
                  <w:bookmarkEnd w:id="1871"/>
                  <w:bookmarkEnd w:id="1872"/>
                  <w:bookmarkEnd w:id="1873"/>
                  <w:bookmarkEnd w:id="1874"/>
                  <w:bookmarkEnd w:id="1875"/>
                  <w:bookmarkEnd w:id="1876"/>
                  <w:bookmarkEnd w:id="1877"/>
                  <w:r>
                    <w:t>Fédération Wallonie-Bruxelles</w:t>
                  </w:r>
                  <w:bookmarkEnd w:id="1878"/>
                  <w:bookmarkEnd w:id="1879"/>
                  <w:bookmarkEnd w:id="1880"/>
                  <w:bookmarkEnd w:id="1881"/>
                  <w:bookmarkEnd w:id="1882"/>
                </w:p>
                <w:p>
                  <w:pPr>
                    <w:tabs>
                      <w:tab w:val="left" w:pos="964"/>
                      <w:tab w:val="left" w:pos="1134"/>
                      <w:tab w:val="left" w:pos="1303"/>
                      <w:tab w:val="left" w:pos="1586"/>
                      <w:tab w:val="left" w:pos="1813"/>
                      <w:tab w:val="left" w:pos="3174"/>
                      <w:tab w:val="left" w:pos="3968"/>
                      <w:tab w:val="left" w:pos="4591"/>
                      <w:tab w:val="left" w:pos="4818"/>
                    </w:tabs>
                    <w:ind w:hanging="964"/>
                    <w:jc w:val="both"/>
                  </w:pPr>
                </w:p>
                <w:p>
                  <w:pPr>
                    <w:jc w:val="both"/>
                  </w:pPr>
                  <w:r>
                    <w:t>Un emploi de correspondant-comptable ou de comptable est organisé dans tout établissement organisé par la Fédération Wallonie-Bruxelles qui dispense un enseignement fondamental spécialisé.</w:t>
                  </w:r>
                </w:p>
                <w:p>
                  <w:pPr>
                    <w:jc w:val="both"/>
                  </w:pPr>
                </w:p>
                <w:p>
                  <w:pPr>
                    <w:jc w:val="both"/>
                  </w:pPr>
                  <w:r>
                    <w:t>Cet emploi comporte des prestations complètes lorsque l'établissement compte le 15 janvier au moins 100 élèves dans les niveaux maternel et primaire.</w:t>
                  </w:r>
                </w:p>
                <w:p>
                  <w:pPr>
                    <w:jc w:val="both"/>
                  </w:pPr>
                </w:p>
                <w:p>
                  <w:pPr>
                    <w:jc w:val="both"/>
                  </w:pPr>
                  <w:r>
                    <w:t>Cet emploi est organisé à raison de 15 périodes lorsque l'établissement compte à cette date moins de 100 élèves dans les niveaux maternel et primaire.</w:t>
                  </w:r>
                </w:p>
                <w:p>
                  <w:pPr>
                    <w:jc w:val="both"/>
                  </w:pPr>
                </w:p>
                <w:p>
                  <w:pPr>
                    <w:jc w:val="both"/>
                  </w:pPr>
                  <w:r>
                    <w:t>Si au cours de l’année scolaire la population scolaire atteint le chiffre 100 pendant 10 jours ouvrables consécutifs, l’emploi est organisé à raison de 38 périodes à partir de cette date.</w:t>
                  </w:r>
                </w:p>
                <w:p>
                  <w:pPr>
                    <w:jc w:val="both"/>
                  </w:pPr>
                </w:p>
                <w:p>
                  <w:pPr>
                    <w:jc w:val="both"/>
                  </w:pPr>
                  <w:r>
                    <w:t>Les périodes attribuées au correspondant-comptable ou au comptable ne font pas partie du capital-périodes.</w:t>
                  </w:r>
                </w:p>
                <w:p>
                  <w:pPr>
                    <w:jc w:val="both"/>
                  </w:pPr>
                </w:p>
                <w:p>
                  <w:pPr>
                    <w:jc w:val="both"/>
                  </w:pPr>
                  <w:r>
                    <w:t>Dans les écoles fondamentales annexées, l’organisation des tâches du correspondant-comptable ou du comptable est décidée en concertation avec la direction du niveau fondamental.</w:t>
                  </w:r>
                </w:p>
                <w:p>
                  <w:pPr>
                    <w:jc w:val="both"/>
                  </w:pPr>
                  <w:r>
                    <w:t>Un équilibre dans le partage des tâches doit être atteint en vue du fonctionnement optimal de tout l’établissement.</w:t>
                  </w:r>
                </w:p>
                <w:p>
                  <w:bookmarkStart w:id="1883" w:name="__RefHeading__161_957262308"/>
                  <w:bookmarkEnd w:id="1883"/>
                </w:p>
                <w:p>
                  <w:pPr>
                    <w:pStyle w:val="Titre3"/>
                  </w:pPr>
                  <w:bookmarkStart w:id="1884" w:name="_4._Enseignement_fondamental"/>
                  <w:bookmarkStart w:id="1885" w:name="__RefHeading__163_957262308"/>
                  <w:bookmarkStart w:id="1886" w:name="_Toc291075331"/>
                  <w:bookmarkStart w:id="1887" w:name="_Toc291075755"/>
                  <w:bookmarkStart w:id="1888" w:name="_Toc291076179"/>
                  <w:bookmarkStart w:id="1889" w:name="_Toc291076603"/>
                  <w:bookmarkStart w:id="1890" w:name="_Toc291077027"/>
                  <w:bookmarkStart w:id="1891" w:name="_Toc293651870"/>
                  <w:bookmarkStart w:id="1892" w:name="_Toc293653453"/>
                  <w:bookmarkStart w:id="1893" w:name="_Toc293654064"/>
                  <w:bookmarkStart w:id="1894" w:name="_Toc294004642"/>
                  <w:bookmarkStart w:id="1895" w:name="_Toc294185138"/>
                  <w:bookmarkStart w:id="1896" w:name="_Toc324165954"/>
                  <w:bookmarkStart w:id="1897" w:name="_Toc324766991"/>
                  <w:bookmarkStart w:id="1898" w:name="_Toc453314344"/>
                  <w:bookmarkStart w:id="1899" w:name="_Toc454980379"/>
                  <w:bookmarkStart w:id="1900" w:name="_Toc18914440"/>
                  <w:bookmarkEnd w:id="1884"/>
                  <w:bookmarkEnd w:id="1885"/>
                  <w:r>
                    <w:rPr>
                      <w:rStyle w:val="Titre3Car2"/>
                      <w:b/>
                    </w:rPr>
                    <w:t>3. Enseignement fondamental spécialisé organisé et subventionné par la Fédération Wallonie-Bruxelles</w:t>
                  </w:r>
                  <w:r>
                    <w:t xml:space="preserve"> (article 116 bis du Décret du 3 mars 2004 organisant l'Enseignement spécialisé)</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pPr>
                    <w:autoSpaceDE w:val="0"/>
                    <w:jc w:val="both"/>
                    <w:rPr>
                      <w:color w:val="000000"/>
                    </w:rPr>
                  </w:pPr>
                </w:p>
                <w:p>
                  <w:pPr>
                    <w:autoSpaceDE w:val="0"/>
                    <w:jc w:val="both"/>
                    <w:rPr>
                      <w:color w:val="000000"/>
                    </w:rPr>
                  </w:pPr>
                  <w:r>
                    <w:rPr>
                      <w:color w:val="000000"/>
                    </w:rPr>
                    <w:t>Sur base du calcul du nombre d’élèves ayant généré le dernier capital-périodes, des heures supplémentaires réservées aux emplois d’éducateurs</w:t>
                  </w:r>
                  <w:r>
                    <w:rPr>
                      <w:rStyle w:val="Caractresdenotedebasdepage"/>
                      <w:rFonts w:cs="Arial"/>
                      <w:color w:val="000000"/>
                    </w:rPr>
                    <w:footnoteReference w:id="113"/>
                  </w:r>
                  <w:r>
                    <w:rPr>
                      <w:color w:val="000000"/>
                    </w:rPr>
                    <w:t xml:space="preserve"> sont attribuées, hors capital-périodes, pour les établissements d'enseignement spécialisé organisant l'enseignement fondamental de type 3. </w:t>
                  </w:r>
                </w:p>
                <w:p>
                  <w:pPr>
                    <w:autoSpaceDE w:val="0"/>
                    <w:jc w:val="both"/>
                    <w:rPr>
                      <w:color w:val="000000"/>
                    </w:rPr>
                  </w:pPr>
                </w:p>
                <w:p>
                  <w:pPr>
                    <w:autoSpaceDE w:val="0"/>
                    <w:jc w:val="both"/>
                    <w:rPr>
                      <w:color w:val="000000"/>
                    </w:rPr>
                  </w:pPr>
                  <w:r>
                    <w:rPr>
                      <w:color w:val="000000"/>
                    </w:rPr>
                    <w:t>Le calcul s’effectue selon le tableau suivant :</w:t>
                  </w:r>
                </w:p>
                <w:p>
                  <w:pPr>
                    <w:autoSpaceDE w:val="0"/>
                    <w:rPr>
                      <w:color w:val="000000"/>
                    </w:rPr>
                  </w:pPr>
                </w:p>
                <w:tbl>
                  <w:tblPr>
                    <w:tblW w:w="9853" w:type="dxa"/>
                    <w:tblInd w:w="-25" w:type="dxa"/>
                    <w:tblLayout w:type="fixed"/>
                    <w:tblLook w:val="0000" w:firstRow="0" w:lastRow="0" w:firstColumn="0" w:lastColumn="0" w:noHBand="0" w:noVBand="0"/>
                  </w:tblPr>
                  <w:tblGrid>
                    <w:gridCol w:w="4993"/>
                    <w:gridCol w:w="4860"/>
                  </w:tblGrid>
                  <w:tr>
                    <w:trPr>
                      <w:trHeight w:val="504"/>
                    </w:trPr>
                    <w:tc>
                      <w:tcPr>
                        <w:tcW w:w="4993" w:type="dxa"/>
                        <w:tcBorders>
                          <w:top w:val="single" w:sz="4" w:space="0" w:color="000000"/>
                          <w:left w:val="single" w:sz="4" w:space="0" w:color="000000"/>
                          <w:bottom w:val="single" w:sz="4" w:space="0" w:color="000000"/>
                        </w:tcBorders>
                        <w:vAlign w:val="center"/>
                      </w:tcPr>
                      <w:p>
                        <w:pPr>
                          <w:autoSpaceDE w:val="0"/>
                          <w:snapToGrid w:val="0"/>
                          <w:rPr>
                            <w:b/>
                            <w:color w:val="000000"/>
                          </w:rPr>
                        </w:pPr>
                        <w:r>
                          <w:rPr>
                            <w:b/>
                            <w:color w:val="000000"/>
                          </w:rPr>
                          <w:t>Pour tous les établissements qui comptabilisent :</w:t>
                        </w:r>
                      </w:p>
                    </w:tc>
                    <w:tc>
                      <w:tcPr>
                        <w:tcW w:w="4860" w:type="dxa"/>
                        <w:tcBorders>
                          <w:top w:val="single" w:sz="4" w:space="0" w:color="000000"/>
                          <w:left w:val="single" w:sz="4" w:space="0" w:color="000000"/>
                          <w:bottom w:val="single" w:sz="4" w:space="0" w:color="000000"/>
                          <w:right w:val="single" w:sz="4" w:space="0" w:color="000000"/>
                        </w:tcBorders>
                        <w:vAlign w:val="center"/>
                      </w:tcPr>
                      <w:p>
                        <w:pPr>
                          <w:autoSpaceDE w:val="0"/>
                          <w:snapToGrid w:val="0"/>
                          <w:rPr>
                            <w:b/>
                            <w:color w:val="000000"/>
                          </w:rPr>
                        </w:pPr>
                        <w:r>
                          <w:rPr>
                            <w:b/>
                            <w:color w:val="000000"/>
                          </w:rPr>
                          <w:t>Attribution de :</w:t>
                        </w:r>
                      </w:p>
                    </w:tc>
                  </w:tr>
                  <w:tr>
                    <w:trPr>
                      <w:trHeight w:val="665"/>
                    </w:trPr>
                    <w:tc>
                      <w:tcPr>
                        <w:tcW w:w="4993" w:type="dxa"/>
                        <w:tcBorders>
                          <w:top w:val="single" w:sz="4" w:space="0" w:color="000000"/>
                          <w:left w:val="single" w:sz="4" w:space="0" w:color="000000"/>
                          <w:bottom w:val="single" w:sz="4" w:space="0" w:color="000000"/>
                        </w:tcBorders>
                        <w:vAlign w:val="center"/>
                      </w:tcPr>
                      <w:p>
                        <w:pPr>
                          <w:autoSpaceDE w:val="0"/>
                          <w:snapToGrid w:val="0"/>
                          <w:rPr>
                            <w:color w:val="000000"/>
                          </w:rPr>
                        </w:pPr>
                        <w:r>
                          <w:rPr>
                            <w:color w:val="000000"/>
                          </w:rPr>
                          <w:t>de 1 à 39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pPr>
                          <w:autoSpaceDE w:val="0"/>
                          <w:snapToGrid w:val="0"/>
                          <w:rPr>
                            <w:color w:val="000000"/>
                          </w:rPr>
                        </w:pPr>
                        <w:r>
                          <w:rPr>
                            <w:color w:val="000000"/>
                          </w:rPr>
                          <w:t xml:space="preserve">9 heures supplémentaires réservées à un emploi d’éducateur </w:t>
                        </w:r>
                      </w:p>
                    </w:tc>
                  </w:tr>
                  <w:tr>
                    <w:trPr>
                      <w:trHeight w:val="703"/>
                    </w:trPr>
                    <w:tc>
                      <w:tcPr>
                        <w:tcW w:w="4993" w:type="dxa"/>
                        <w:tcBorders>
                          <w:top w:val="single" w:sz="4" w:space="0" w:color="000000"/>
                          <w:left w:val="single" w:sz="4" w:space="0" w:color="000000"/>
                          <w:bottom w:val="single" w:sz="4" w:space="0" w:color="000000"/>
                        </w:tcBorders>
                        <w:vAlign w:val="center"/>
                      </w:tcPr>
                      <w:p>
                        <w:pPr>
                          <w:autoSpaceDE w:val="0"/>
                          <w:snapToGrid w:val="0"/>
                          <w:rPr>
                            <w:color w:val="000000"/>
                          </w:rPr>
                        </w:pPr>
                        <w:r>
                          <w:rPr>
                            <w:color w:val="000000"/>
                          </w:rPr>
                          <w:t>de 40 à 59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pPr>
                          <w:autoSpaceDE w:val="0"/>
                          <w:snapToGrid w:val="0"/>
                          <w:rPr>
                            <w:color w:val="000000"/>
                          </w:rPr>
                        </w:pPr>
                        <w:r>
                          <w:rPr>
                            <w:color w:val="000000"/>
                          </w:rPr>
                          <w:t xml:space="preserve">18 heures supplémentaires réservées à un emploi d’éducateur </w:t>
                        </w:r>
                      </w:p>
                    </w:tc>
                  </w:tr>
                  <w:tr>
                    <w:trPr>
                      <w:trHeight w:val="684"/>
                    </w:trPr>
                    <w:tc>
                      <w:tcPr>
                        <w:tcW w:w="4993" w:type="dxa"/>
                        <w:tcBorders>
                          <w:top w:val="single" w:sz="4" w:space="0" w:color="000000"/>
                          <w:left w:val="single" w:sz="4" w:space="0" w:color="000000"/>
                          <w:bottom w:val="single" w:sz="4" w:space="0" w:color="000000"/>
                        </w:tcBorders>
                        <w:vAlign w:val="center"/>
                      </w:tcPr>
                      <w:p>
                        <w:pPr>
                          <w:autoSpaceDE w:val="0"/>
                          <w:snapToGrid w:val="0"/>
                          <w:rPr>
                            <w:color w:val="000000"/>
                          </w:rPr>
                        </w:pPr>
                        <w:r>
                          <w:rPr>
                            <w:color w:val="000000"/>
                          </w:rPr>
                          <w:t>de 60 à 79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pPr>
                          <w:autoSpaceDE w:val="0"/>
                          <w:snapToGrid w:val="0"/>
                          <w:rPr>
                            <w:color w:val="000000"/>
                          </w:rPr>
                        </w:pPr>
                        <w:r>
                          <w:rPr>
                            <w:color w:val="000000"/>
                          </w:rPr>
                          <w:t xml:space="preserve">27 heures supplémentaires réservées à un emploi d’éducateur </w:t>
                        </w:r>
                      </w:p>
                    </w:tc>
                  </w:tr>
                  <w:tr>
                    <w:trPr>
                      <w:trHeight w:val="708"/>
                    </w:trPr>
                    <w:tc>
                      <w:tcPr>
                        <w:tcW w:w="4993" w:type="dxa"/>
                        <w:tcBorders>
                          <w:top w:val="single" w:sz="4" w:space="0" w:color="000000"/>
                          <w:left w:val="single" w:sz="4" w:space="0" w:color="000000"/>
                          <w:bottom w:val="single" w:sz="4" w:space="0" w:color="000000"/>
                        </w:tcBorders>
                        <w:vAlign w:val="center"/>
                      </w:tcPr>
                      <w:p>
                        <w:pPr>
                          <w:autoSpaceDE w:val="0"/>
                          <w:snapToGrid w:val="0"/>
                          <w:rPr>
                            <w:color w:val="000000"/>
                          </w:rPr>
                        </w:pPr>
                        <w:r>
                          <w:rPr>
                            <w:color w:val="000000"/>
                          </w:rPr>
                          <w:t>de 80 à 99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pPr>
                          <w:autoSpaceDE w:val="0"/>
                          <w:snapToGrid w:val="0"/>
                          <w:rPr>
                            <w:color w:val="000000"/>
                          </w:rPr>
                        </w:pPr>
                        <w:r>
                          <w:rPr>
                            <w:color w:val="000000"/>
                          </w:rPr>
                          <w:t xml:space="preserve">36 heures supplémentaires réservées à un emploi d’éducateur </w:t>
                        </w:r>
                      </w:p>
                    </w:tc>
                  </w:tr>
                  <w:tr>
                    <w:trPr>
                      <w:trHeight w:val="974"/>
                    </w:trPr>
                    <w:tc>
                      <w:tcPr>
                        <w:tcW w:w="4993" w:type="dxa"/>
                        <w:tcBorders>
                          <w:top w:val="single" w:sz="4" w:space="0" w:color="000000"/>
                          <w:left w:val="single" w:sz="4" w:space="0" w:color="000000"/>
                          <w:bottom w:val="single" w:sz="4" w:space="0" w:color="000000"/>
                        </w:tcBorders>
                        <w:vAlign w:val="center"/>
                      </w:tcPr>
                      <w:p>
                        <w:pPr>
                          <w:autoSpaceDE w:val="0"/>
                          <w:snapToGrid w:val="0"/>
                          <w:rPr>
                            <w:color w:val="000000"/>
                          </w:rPr>
                        </w:pPr>
                        <w:r>
                          <w:rPr>
                            <w:color w:val="000000"/>
                          </w:rPr>
                          <w:t>Pour chaque tranche supplémentaire entamée de 20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pPr>
                          <w:autoSpaceDE w:val="0"/>
                          <w:snapToGrid w:val="0"/>
                          <w:rPr>
                            <w:color w:val="000000"/>
                          </w:rPr>
                        </w:pPr>
                        <w:r>
                          <w:rPr>
                            <w:color w:val="000000"/>
                          </w:rPr>
                          <w:t>9 heures supplémentaires réservées à un emploi d’éducateur sont attribuées</w:t>
                        </w:r>
                      </w:p>
                    </w:tc>
                  </w:tr>
                </w:tbl>
                <w:p>
                  <w:pPr>
                    <w:autoSpaceDE w:val="0"/>
                    <w:rPr>
                      <w:color w:val="000000"/>
                    </w:rPr>
                  </w:pPr>
                </w:p>
                <w:p>
                  <w:pPr>
                    <w:autoSpaceDE w:val="0"/>
                    <w:jc w:val="both"/>
                    <w:rPr>
                      <w:color w:val="000000"/>
                    </w:rPr>
                  </w:pPr>
                  <w:r>
                    <w:rPr>
                      <w:color w:val="000000"/>
                    </w:rPr>
                    <w:t xml:space="preserve">L’organisation ou le subventionnement des emplois supplémentaires d’éducateurs peut être modifié </w:t>
                  </w:r>
                  <w:r>
                    <w:t xml:space="preserve">chaque fois que le capital-périodes est recalculé globalement. Les membres du personnel peuvent </w:t>
                  </w:r>
                  <w:r>
                    <w:rPr>
                      <w:color w:val="000000"/>
                    </w:rPr>
                    <w:t>être nommés dans les heures attribuées sur cette base.</w:t>
                  </w:r>
                </w:p>
                <w:p>
                  <w:bookmarkStart w:id="1901" w:name="_5._Détermination_d’une"/>
                  <w:bookmarkStart w:id="1902" w:name="_Toc453314345"/>
                  <w:bookmarkStart w:id="1903" w:name="_Toc454980380"/>
                  <w:bookmarkEnd w:id="1901"/>
                </w:p>
                <w:p>
                  <w:pPr>
                    <w:pStyle w:val="Titre3"/>
                  </w:pPr>
                  <w:bookmarkStart w:id="1904" w:name="_4._Détermination_d’une"/>
                  <w:bookmarkStart w:id="1905" w:name="_Toc18914441"/>
                  <w:bookmarkEnd w:id="1904"/>
                  <w:r>
                    <w:t>4. Détermination d’une charge complète</w:t>
                  </w:r>
                  <w:bookmarkEnd w:id="1902"/>
                  <w:bookmarkEnd w:id="1903"/>
                  <w:bookmarkEnd w:id="1905"/>
                </w:p>
                <w:p>
                  <w:pPr>
                    <w:autoSpaceDE w:val="0"/>
                    <w:jc w:val="both"/>
                    <w:rPr>
                      <w:i/>
                      <w:color w:val="000000"/>
                    </w:rPr>
                  </w:pPr>
                </w:p>
                <w:p>
                  <w:pPr>
                    <w:pStyle w:val="Titre4"/>
                  </w:pPr>
                  <w:bookmarkStart w:id="1906" w:name="_4.1._Les_nombres"/>
                  <w:bookmarkEnd w:id="1906"/>
                  <w:r>
                    <w:t>4.1. Les nombres de périodes nécessaires pour constituer une charge sont fixés comme suit </w:t>
                  </w:r>
                </w:p>
                <w:p>
                  <w:pPr>
                    <w:jc w:val="both"/>
                    <w:rPr>
                      <w:color w:val="000000"/>
                    </w:rPr>
                  </w:pPr>
                </w:p>
                <w:tbl>
                  <w:tblPr>
                    <w:tblW w:w="9781" w:type="dxa"/>
                    <w:tblBorders>
                      <w:right w:val="single" w:sz="4" w:space="0" w:color="auto"/>
                    </w:tblBorders>
                    <w:tblCellMar>
                      <w:left w:w="0" w:type="dxa"/>
                      <w:right w:w="0" w:type="dxa"/>
                    </w:tblCellMar>
                    <w:tblLook w:val="0000" w:firstRow="0" w:lastRow="0" w:firstColumn="0" w:lastColumn="0" w:noHBand="0" w:noVBand="0"/>
                  </w:tblPr>
                  <w:tblGrid>
                    <w:gridCol w:w="5550"/>
                    <w:gridCol w:w="4231"/>
                  </w:tblGrid>
                  <w:tr>
                    <w:tc>
                      <w:tcPr>
                        <w:tcW w:w="5550" w:type="dxa"/>
                        <w:tcMar>
                          <w:top w:w="0" w:type="dxa"/>
                          <w:left w:w="108" w:type="dxa"/>
                          <w:bottom w:w="0" w:type="dxa"/>
                          <w:right w:w="108" w:type="dxa"/>
                        </w:tcMar>
                      </w:tcPr>
                      <w:p>
                        <w:pPr>
                          <w:jc w:val="both"/>
                          <w:rPr>
                            <w:color w:val="000000"/>
                            <w:lang w:val="fr-FR" w:eastAsia="fr-FR"/>
                          </w:rPr>
                        </w:pPr>
                        <w:r>
                          <w:rPr>
                            <w:color w:val="000000"/>
                            <w:lang w:val="fr-FR" w:eastAsia="fr-FR"/>
                          </w:rPr>
                          <w:t xml:space="preserve">Educateur </w:t>
                        </w:r>
                      </w:p>
                    </w:tc>
                    <w:tc>
                      <w:tcPr>
                        <w:tcW w:w="4231" w:type="dxa"/>
                        <w:tcMar>
                          <w:top w:w="0" w:type="dxa"/>
                          <w:left w:w="108" w:type="dxa"/>
                          <w:bottom w:w="0" w:type="dxa"/>
                          <w:right w:w="108" w:type="dxa"/>
                        </w:tcMar>
                      </w:tcPr>
                      <w:p>
                        <w:pPr>
                          <w:jc w:val="both"/>
                          <w:rPr>
                            <w:color w:val="000000"/>
                            <w:lang w:val="fr-FR" w:eastAsia="fr-FR"/>
                          </w:rPr>
                        </w:pPr>
                        <w:r>
                          <w:rPr>
                            <w:color w:val="000000"/>
                            <w:lang w:val="fr-FR" w:eastAsia="fr-FR"/>
                          </w:rPr>
                          <w:t>36 périodes de 60 minutes</w:t>
                        </w:r>
                      </w:p>
                    </w:tc>
                  </w:tr>
                  <w:tr>
                    <w:tc>
                      <w:tcPr>
                        <w:tcW w:w="5550" w:type="dxa"/>
                        <w:tcMar>
                          <w:top w:w="0" w:type="dxa"/>
                          <w:left w:w="108" w:type="dxa"/>
                          <w:bottom w:w="0" w:type="dxa"/>
                          <w:right w:w="108" w:type="dxa"/>
                        </w:tcMar>
                      </w:tcPr>
                      <w:p>
                        <w:pPr>
                          <w:jc w:val="both"/>
                          <w:rPr>
                            <w:color w:val="000000"/>
                            <w:lang w:val="fr-FR" w:eastAsia="fr-FR"/>
                          </w:rPr>
                        </w:pPr>
                        <w:r>
                          <w:rPr>
                            <w:color w:val="000000"/>
                            <w:lang w:val="fr-FR" w:eastAsia="fr-FR"/>
                          </w:rPr>
                          <w:t>Secrétaire de direction</w:t>
                        </w:r>
                      </w:p>
                    </w:tc>
                    <w:tc>
                      <w:tcPr>
                        <w:tcW w:w="4231" w:type="dxa"/>
                        <w:tcMar>
                          <w:top w:w="0" w:type="dxa"/>
                          <w:left w:w="108" w:type="dxa"/>
                          <w:bottom w:w="0" w:type="dxa"/>
                          <w:right w:w="108" w:type="dxa"/>
                        </w:tcMar>
                      </w:tcPr>
                      <w:p>
                        <w:pPr>
                          <w:jc w:val="both"/>
                          <w:rPr>
                            <w:color w:val="000000"/>
                            <w:lang w:val="fr-FR" w:eastAsia="fr-FR"/>
                          </w:rPr>
                        </w:pPr>
                        <w:r>
                          <w:rPr>
                            <w:color w:val="000000"/>
                            <w:lang w:val="fr-FR" w:eastAsia="fr-FR"/>
                          </w:rPr>
                          <w:t>36 périodes de 60 minutes</w:t>
                        </w:r>
                      </w:p>
                    </w:tc>
                  </w:tr>
                  <w:tr>
                    <w:tc>
                      <w:tcPr>
                        <w:tcW w:w="5550" w:type="dxa"/>
                        <w:tcMar>
                          <w:top w:w="0" w:type="dxa"/>
                          <w:left w:w="108" w:type="dxa"/>
                          <w:bottom w:w="0" w:type="dxa"/>
                          <w:right w:w="108" w:type="dxa"/>
                        </w:tcMar>
                      </w:tcPr>
                      <w:p>
                        <w:pPr>
                          <w:jc w:val="both"/>
                          <w:rPr>
                            <w:color w:val="000000"/>
                            <w:lang w:val="fr-FR" w:eastAsia="fr-FR"/>
                          </w:rPr>
                        </w:pPr>
                        <w:r>
                          <w:rPr>
                            <w:color w:val="000000"/>
                            <w:lang w:val="fr-FR" w:eastAsia="fr-FR"/>
                          </w:rPr>
                          <w:t>Correspondant-comptable ou comptable (FWB)</w:t>
                        </w:r>
                      </w:p>
                    </w:tc>
                    <w:tc>
                      <w:tcPr>
                        <w:tcW w:w="4231" w:type="dxa"/>
                        <w:tcMar>
                          <w:top w:w="0" w:type="dxa"/>
                          <w:left w:w="108" w:type="dxa"/>
                          <w:bottom w:w="0" w:type="dxa"/>
                          <w:right w:w="108" w:type="dxa"/>
                        </w:tcMar>
                      </w:tcPr>
                      <w:p>
                        <w:pPr>
                          <w:jc w:val="both"/>
                          <w:rPr>
                            <w:color w:val="000000"/>
                            <w:lang w:val="fr-FR" w:eastAsia="fr-FR"/>
                          </w:rPr>
                        </w:pPr>
                        <w:r>
                          <w:rPr>
                            <w:color w:val="000000"/>
                            <w:lang w:val="fr-FR" w:eastAsia="fr-FR"/>
                          </w:rPr>
                          <w:t>38 périodes de 60 minutes</w:t>
                        </w:r>
                      </w:p>
                    </w:tc>
                  </w:tr>
                  <w:tr>
                    <w:tc>
                      <w:tcPr>
                        <w:tcW w:w="5550" w:type="dxa"/>
                        <w:tcMar>
                          <w:top w:w="0" w:type="dxa"/>
                          <w:left w:w="108" w:type="dxa"/>
                          <w:bottom w:w="0" w:type="dxa"/>
                          <w:right w:w="108" w:type="dxa"/>
                        </w:tcMar>
                      </w:tcPr>
                      <w:p>
                        <w:pPr>
                          <w:jc w:val="both"/>
                          <w:rPr>
                            <w:color w:val="000000"/>
                            <w:lang w:val="fr-FR" w:eastAsia="fr-FR"/>
                          </w:rPr>
                        </w:pPr>
                        <w:r>
                          <w:rPr>
                            <w:color w:val="000000"/>
                            <w:lang w:val="fr-FR" w:eastAsia="fr-FR"/>
                          </w:rPr>
                          <w:t xml:space="preserve">Educateur économe (FWB) </w:t>
                        </w:r>
                      </w:p>
                      <w:p>
                        <w:pPr>
                          <w:jc w:val="both"/>
                          <w:rPr>
                            <w:color w:val="000000"/>
                            <w:lang w:val="fr-FR" w:eastAsia="fr-FR"/>
                          </w:rPr>
                        </w:pPr>
                        <w:r>
                          <w:rPr>
                            <w:color w:val="000000"/>
                            <w:lang w:val="fr-FR" w:eastAsia="fr-FR"/>
                          </w:rPr>
                          <w:t>(ligne EDEC/Comptable dans Siges)</w:t>
                        </w:r>
                      </w:p>
                    </w:tc>
                    <w:tc>
                      <w:tcPr>
                        <w:tcW w:w="4231" w:type="dxa"/>
                        <w:tcMar>
                          <w:top w:w="0" w:type="dxa"/>
                          <w:left w:w="108" w:type="dxa"/>
                          <w:bottom w:w="0" w:type="dxa"/>
                          <w:right w:w="108" w:type="dxa"/>
                        </w:tcMar>
                      </w:tcPr>
                      <w:p>
                        <w:pPr>
                          <w:jc w:val="both"/>
                          <w:rPr>
                            <w:color w:val="000000"/>
                            <w:lang w:val="fr-FR" w:eastAsia="fr-FR"/>
                          </w:rPr>
                        </w:pPr>
                        <w:r>
                          <w:rPr>
                            <w:color w:val="000000"/>
                            <w:lang w:val="fr-FR" w:eastAsia="fr-FR"/>
                          </w:rPr>
                          <w:t>36 périodes de 60 minutes</w:t>
                        </w:r>
                      </w:p>
                    </w:tc>
                  </w:tr>
                  <w:tr>
                    <w:tc>
                      <w:tcPr>
                        <w:tcW w:w="5550" w:type="dxa"/>
                        <w:tcMar>
                          <w:top w:w="0" w:type="dxa"/>
                          <w:left w:w="108" w:type="dxa"/>
                          <w:bottom w:w="0" w:type="dxa"/>
                          <w:right w:w="108" w:type="dxa"/>
                        </w:tcMar>
                      </w:tcPr>
                      <w:p>
                        <w:pPr>
                          <w:jc w:val="both"/>
                          <w:rPr>
                            <w:color w:val="000000"/>
                            <w:lang w:val="fr-FR" w:eastAsia="fr-FR"/>
                          </w:rPr>
                        </w:pPr>
                        <w:r>
                          <w:rPr>
                            <w:color w:val="000000"/>
                            <w:lang w:val="fr-FR" w:eastAsia="fr-FR"/>
                          </w:rPr>
                          <w:t>Commis dactylo</w:t>
                        </w:r>
                      </w:p>
                    </w:tc>
                    <w:tc>
                      <w:tcPr>
                        <w:tcW w:w="4231" w:type="dxa"/>
                        <w:tcMar>
                          <w:top w:w="0" w:type="dxa"/>
                          <w:left w:w="108" w:type="dxa"/>
                          <w:bottom w:w="0" w:type="dxa"/>
                          <w:right w:w="108" w:type="dxa"/>
                        </w:tcMar>
                      </w:tcPr>
                      <w:p>
                        <w:pPr>
                          <w:jc w:val="both"/>
                          <w:rPr>
                            <w:color w:val="000000"/>
                            <w:lang w:val="fr-FR" w:eastAsia="fr-FR"/>
                          </w:rPr>
                        </w:pPr>
                        <w:r>
                          <w:rPr>
                            <w:color w:val="000000"/>
                            <w:lang w:val="fr-FR" w:eastAsia="fr-FR"/>
                          </w:rPr>
                          <w:t>38 périodes de 60 minutes</w:t>
                        </w:r>
                      </w:p>
                    </w:tc>
                  </w:tr>
                  <w:tr>
                    <w:tc>
                      <w:tcPr>
                        <w:tcW w:w="5550" w:type="dxa"/>
                        <w:tcMar>
                          <w:top w:w="0" w:type="dxa"/>
                          <w:left w:w="108" w:type="dxa"/>
                          <w:bottom w:w="0" w:type="dxa"/>
                          <w:right w:w="108" w:type="dxa"/>
                        </w:tcMar>
                      </w:tcPr>
                      <w:p>
                        <w:pPr>
                          <w:jc w:val="both"/>
                          <w:rPr>
                            <w:color w:val="000000"/>
                            <w:lang w:val="fr-FR" w:eastAsia="fr-FR"/>
                          </w:rPr>
                        </w:pPr>
                        <w:r>
                          <w:rPr>
                            <w:color w:val="000000"/>
                            <w:lang w:val="fr-FR" w:eastAsia="fr-FR"/>
                          </w:rPr>
                          <w:t>Rédacteur</w:t>
                        </w:r>
                      </w:p>
                    </w:tc>
                    <w:tc>
                      <w:tcPr>
                        <w:tcW w:w="4231" w:type="dxa"/>
                        <w:tcMar>
                          <w:top w:w="0" w:type="dxa"/>
                          <w:left w:w="108" w:type="dxa"/>
                          <w:bottom w:w="0" w:type="dxa"/>
                          <w:right w:w="108" w:type="dxa"/>
                        </w:tcMar>
                      </w:tcPr>
                      <w:p>
                        <w:pPr>
                          <w:jc w:val="both"/>
                          <w:rPr>
                            <w:color w:val="000000"/>
                            <w:lang w:val="fr-FR" w:eastAsia="fr-FR"/>
                          </w:rPr>
                        </w:pPr>
                        <w:r>
                          <w:rPr>
                            <w:color w:val="000000"/>
                            <w:lang w:val="fr-FR" w:eastAsia="fr-FR"/>
                          </w:rPr>
                          <w:t>38 périodes de 60 minutes</w:t>
                        </w:r>
                      </w:p>
                    </w:tc>
                  </w:tr>
                </w:tbl>
                <w:p>
                  <w:pPr>
                    <w:jc w:val="both"/>
                  </w:pPr>
                </w:p>
                <w:p>
                  <w:pPr>
                    <w:pStyle w:val="Titre4"/>
                  </w:pPr>
                  <w:r>
                    <w:t>4.2. Conseil de classe</w:t>
                  </w:r>
                </w:p>
                <w:p>
                  <w:pPr>
                    <w:ind w:left="709"/>
                    <w:jc w:val="both"/>
                    <w:rPr>
                      <w:b/>
                      <w:u w:val="single"/>
                    </w:rPr>
                  </w:pPr>
                </w:p>
                <w:p>
                  <w:pPr>
                    <w:pBdr>
                      <w:right w:val="single" w:sz="4" w:space="4" w:color="auto"/>
                    </w:pBdr>
                    <w:jc w:val="both"/>
                  </w:pPr>
                  <w:r>
                    <w:t>Les périodes consacrées au Conseil de classe sont comprises dans leurs charges hebdomadaires définies au point 4.1.</w:t>
                  </w:r>
                </w:p>
                <w:p>
                  <w:pPr>
                    <w:jc w:val="both"/>
                  </w:pPr>
                </w:p>
                <w:p>
                  <w:pPr>
                    <w:jc w:val="both"/>
                  </w:pPr>
                </w:p>
                <w:p>
                  <w:pPr>
                    <w:jc w:val="both"/>
                  </w:pPr>
                </w:p>
                <w:p>
                  <w:pPr>
                    <w:jc w:val="both"/>
                  </w:pPr>
                </w:p>
                <w:p>
                  <w:pPr>
                    <w:jc w:val="both"/>
                  </w:pPr>
                </w:p>
                <w:p>
                  <w:pPr>
                    <w:pStyle w:val="Titre4"/>
                  </w:pPr>
                  <w:r>
                    <w:t xml:space="preserve">4.3. Travail collaboratif </w:t>
                  </w:r>
                </w:p>
                <w:p>
                  <w:pPr>
                    <w:pBdr>
                      <w:right w:val="single" w:sz="4" w:space="4" w:color="auto"/>
                    </w:pBdr>
                    <w:jc w:val="both"/>
                  </w:pPr>
                </w:p>
                <w:p>
                  <w:pPr>
                    <w:pBdr>
                      <w:right w:val="single" w:sz="4" w:space="4" w:color="auto"/>
                    </w:pBdr>
                    <w:jc w:val="both"/>
                  </w:pPr>
                  <w:r>
                    <w:t>Les éducateurs exerçant une fonction à prestation complète sont tenus d’accomplir 60 périodes de travail collaboratif par année scolaire. Ces périodes consacrées au travail collaboratif sont comprises dans leurs charges hebdomadaires définies au point 4.1.</w:t>
                  </w:r>
                </w:p>
                <w:p/>
                <w:p>
                  <w:r>
                    <w:br w:type="page"/>
                  </w:r>
                </w:p>
                <w:p/>
                <w:sdt>
                  <w:sdtPr>
                    <w:rPr>
                      <w:rFonts w:asciiTheme="majorHAnsi" w:eastAsiaTheme="minorHAnsi" w:hAnsiTheme="majorHAnsi"/>
                      <w:sz w:val="24"/>
                      <w:lang w:eastAsia="en-US"/>
                    </w:rPr>
                    <w:id w:val="508568385"/>
                    <w:docPartObj>
                      <w:docPartGallery w:val="Cover Pages"/>
                      <w:docPartUnique/>
                    </w:docPartObj>
                  </w:sdtPr>
                  <w:sdtEndPr>
                    <w:rPr>
                      <w:sz w:val="22"/>
                    </w:rPr>
                  </w:sdtEndPr>
                  <w:sdtContent>
                    <w:p>
                      <w:pPr>
                        <w:pStyle w:val="Sansinterligne"/>
                        <w:jc w:val="both"/>
                        <w:rPr>
                          <w:rFonts w:asciiTheme="majorHAnsi" w:hAnsiTheme="majorHAnsi"/>
                        </w:rPr>
                      </w:pPr>
                    </w:p>
                    <w:p>
                      <w:pPr>
                        <w:pStyle w:val="Titre2"/>
                      </w:pPr>
                      <w:bookmarkStart w:id="1907" w:name="_chapitre_7_:"/>
                      <w:bookmarkStart w:id="1908" w:name="_Toc477623710"/>
                      <w:bookmarkStart w:id="1909" w:name="_Toc477767507"/>
                      <w:bookmarkStart w:id="1910" w:name="_Toc18914442"/>
                      <w:bookmarkEnd w:id="1907"/>
                      <w:r>
                        <w:t>Chapitre</w:t>
                      </w:r>
                      <w:bookmarkEnd w:id="1908"/>
                      <w:bookmarkEnd w:id="1909"/>
                      <w:r>
                        <w:t xml:space="preserve"> 7 : </w:t>
                      </w:r>
                      <w:bookmarkStart w:id="1911" w:name="_Toc477623711"/>
                      <w:bookmarkStart w:id="1912" w:name="_Toc477767508"/>
                      <w:r>
                        <w:t>Personnel paramédical, social et psychologique fonctionnant pendant la journée scolaire</w:t>
                      </w:r>
                      <w:bookmarkEnd w:id="1911"/>
                      <w:bookmarkEnd w:id="1912"/>
                      <w:bookmarkEnd w:id="1910"/>
                    </w:p>
                    <w:p>
                      <w:pPr>
                        <w:jc w:val="both"/>
                      </w:pPr>
                    </w:p>
                    <w:p>
                      <w:pPr>
                        <w:jc w:val="both"/>
                        <w:rPr>
                          <w:rFonts w:eastAsiaTheme="minorEastAsia"/>
                          <w:lang w:eastAsia="fr-BE"/>
                        </w:rPr>
                      </w:pPr>
                    </w:p>
                  </w:sdtContent>
                </w:sdt>
                <w:p>
                  <w:pPr>
                    <w:jc w:val="both"/>
                  </w:pPr>
                </w:p>
                <w:p>
                  <w:pPr>
                    <w:jc w:val="both"/>
                  </w:pPr>
                </w:p>
                <w:p>
                  <w:pPr>
                    <w:jc w:val="both"/>
                  </w:pPr>
                </w:p>
                <w:p>
                  <w:pPr>
                    <w:jc w:val="both"/>
                  </w:pPr>
                </w:p>
                <w:p>
                  <w:pPr>
                    <w:jc w:val="both"/>
                    <w:rPr>
                      <w:b/>
                      <w:u w:val="single"/>
                    </w:rPr>
                  </w:pPr>
                  <w:r>
                    <w:rPr>
                      <w:b/>
                      <w:u w:val="single"/>
                    </w:rPr>
                    <w:t xml:space="preserve">Base légale : </w:t>
                  </w:r>
                </w:p>
                <w:p>
                  <w:pPr>
                    <w:jc w:val="both"/>
                    <w:rPr>
                      <w:b/>
                      <w:u w:val="single"/>
                    </w:rPr>
                  </w:pPr>
                </w:p>
                <w:p>
                  <w:pPr>
                    <w:numPr>
                      <w:ilvl w:val="0"/>
                      <w:numId w:val="40"/>
                    </w:numPr>
                    <w:suppressAutoHyphens/>
                    <w:autoSpaceDE w:val="0"/>
                    <w:jc w:val="both"/>
                    <w:rPr>
                      <w:rFonts w:cs="Arial"/>
                      <w:color w:val="0000FF"/>
                      <w:lang w:val="fr-FR"/>
                    </w:rPr>
                  </w:pPr>
                  <w:hyperlink r:id="rId150" w:history="1">
                    <w:r>
                      <w:rPr>
                        <w:rStyle w:val="Lienhypertexte"/>
                        <w:rFonts w:cs="Arial"/>
                        <w:lang w:val="fr-FR"/>
                      </w:rPr>
                      <w:t xml:space="preserve">Circulaire 7167 concernant la </w:t>
                    </w:r>
                    <w:r>
                      <w:rPr>
                        <w:rStyle w:val="Lienhypertexte"/>
                        <w:rFonts w:cs="Arial"/>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pPr>
                    <w:numPr>
                      <w:ilvl w:val="0"/>
                      <w:numId w:val="40"/>
                    </w:numPr>
                    <w:suppressAutoHyphens/>
                    <w:autoSpaceDE w:val="0"/>
                    <w:jc w:val="both"/>
                    <w:rPr>
                      <w:rFonts w:cs="Arial"/>
                      <w:color w:val="0000FF"/>
                      <w:lang w:val="fr-FR"/>
                    </w:rPr>
                  </w:pPr>
                  <w:hyperlink r:id="rId151" w:history="1">
                    <w:r>
                      <w:rPr>
                        <w:rStyle w:val="Lienhypertexte"/>
                        <w:rFonts w:cs="Arial"/>
                      </w:rPr>
                      <w:t>Décret du 3 mars 2004 organisant l'enseignement spécialisé</w:t>
                    </w:r>
                  </w:hyperlink>
                  <w:r>
                    <w:t>.</w:t>
                  </w:r>
                </w:p>
                <w:p>
                  <w:pPr>
                    <w:jc w:val="both"/>
                    <w:rPr>
                      <w:lang w:val="fr-FR"/>
                    </w:rPr>
                  </w:pPr>
                </w:p>
                <w:p>
                  <w:pPr>
                    <w:jc w:val="both"/>
                  </w:pPr>
                </w:p>
                <w:p>
                  <w:pPr>
                    <w:pStyle w:val="Titre3"/>
                  </w:pPr>
                  <w:bookmarkStart w:id="1913" w:name="_1._Personnel_concerné"/>
                  <w:bookmarkStart w:id="1914" w:name="__RefHeading__167_957262308"/>
                  <w:bookmarkStart w:id="1915" w:name="_Toc291075333"/>
                  <w:bookmarkStart w:id="1916" w:name="_Toc291075757"/>
                  <w:bookmarkStart w:id="1917" w:name="_Toc291076181"/>
                  <w:bookmarkStart w:id="1918" w:name="_Toc291076605"/>
                  <w:bookmarkStart w:id="1919" w:name="_Toc291077029"/>
                  <w:bookmarkStart w:id="1920" w:name="_Toc293651872"/>
                  <w:bookmarkStart w:id="1921" w:name="_Toc293653455"/>
                  <w:bookmarkStart w:id="1922" w:name="_Toc293654066"/>
                  <w:bookmarkStart w:id="1923" w:name="_Toc294004644"/>
                  <w:bookmarkStart w:id="1924" w:name="_Toc294185140"/>
                  <w:bookmarkStart w:id="1925" w:name="_Toc324165956"/>
                  <w:bookmarkStart w:id="1926" w:name="_Toc324766993"/>
                  <w:bookmarkStart w:id="1927" w:name="_Toc453314347"/>
                  <w:bookmarkStart w:id="1928" w:name="_Toc454980382"/>
                  <w:bookmarkStart w:id="1929" w:name="_Toc18914443"/>
                  <w:bookmarkEnd w:id="1913"/>
                  <w:bookmarkEnd w:id="1914"/>
                  <w:r>
                    <w:t>1. Personnel concerné</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r>
                    <w:t xml:space="preserve"> </w:t>
                  </w:r>
                </w:p>
                <w:p>
                  <w:pPr>
                    <w:tabs>
                      <w:tab w:val="left" w:pos="-1440"/>
                      <w:tab w:val="left" w:pos="-720"/>
                    </w:tabs>
                    <w:jc w:val="both"/>
                  </w:pPr>
                </w:p>
                <w:p>
                  <w:pPr>
                    <w:jc w:val="both"/>
                  </w:pPr>
                  <w:r>
                    <w:t>Le présent chapitre ne concerne que le personnel paramédical, social et psychologique attribuable aux établissements pour leur fonctionnement pendant la journée scolaire.</w:t>
                  </w:r>
                </w:p>
                <w:p>
                  <w:pPr>
                    <w:tabs>
                      <w:tab w:val="left" w:pos="-1440"/>
                      <w:tab w:val="left" w:pos="-720"/>
                    </w:tabs>
                    <w:jc w:val="both"/>
                  </w:pPr>
                </w:p>
                <w:p>
                  <w:pPr>
                    <w:tabs>
                      <w:tab w:val="left" w:pos="-1440"/>
                      <w:tab w:val="left" w:pos="-720"/>
                    </w:tabs>
                    <w:jc w:val="both"/>
                  </w:pPr>
                  <w:r>
                    <w:t>Par journée scolaire, on entend les heures d'ouverture d'un établissement d'enseignement spécialisé non doté d'un internat.</w:t>
                  </w:r>
                </w:p>
                <w:p>
                  <w:pPr>
                    <w:tabs>
                      <w:tab w:val="left" w:pos="-1440"/>
                      <w:tab w:val="left" w:pos="-720"/>
                    </w:tabs>
                    <w:jc w:val="both"/>
                  </w:pPr>
                </w:p>
                <w:p>
                  <w:pPr>
                    <w:tabs>
                      <w:tab w:val="left" w:pos="-1440"/>
                      <w:tab w:val="left" w:pos="-720"/>
                    </w:tabs>
                    <w:jc w:val="both"/>
                  </w:pPr>
                  <w:r>
                    <w:t xml:space="preserve">Le personnel attribué aux instituts d'enseignement spécialisé organisés par la Fédération Wallonie-Bruxelles pour le fonctionnement de leur internat, fait l'objet du </w:t>
                  </w:r>
                  <w:hyperlink w:anchor="_Chapitre_10_:" w:history="1">
                    <w:r>
                      <w:rPr>
                        <w:rStyle w:val="Lienhypertexte"/>
                        <w:rFonts w:cs="Arial"/>
                      </w:rPr>
                      <w:t>chapitre 10</w:t>
                    </w:r>
                  </w:hyperlink>
                  <w:r>
                    <w:t xml:space="preserve"> et du </w:t>
                  </w:r>
                  <w:hyperlink w:anchor="_Chapitre_11_:" w:history="1">
                    <w:r>
                      <w:rPr>
                        <w:rStyle w:val="Lienhypertexte"/>
                        <w:rFonts w:cs="Arial"/>
                      </w:rPr>
                      <w:t>chapitre 11</w:t>
                    </w:r>
                  </w:hyperlink>
                  <w:r>
                    <w:t xml:space="preserve"> de cette circulaire. </w:t>
                  </w:r>
                </w:p>
                <w:p>
                  <w:pPr>
                    <w:tabs>
                      <w:tab w:val="left" w:pos="-1440"/>
                      <w:tab w:val="left" w:pos="-720"/>
                    </w:tabs>
                    <w:jc w:val="both"/>
                  </w:pPr>
                </w:p>
                <w:p>
                  <w:pPr>
                    <w:tabs>
                      <w:tab w:val="left" w:pos="-1440"/>
                      <w:tab w:val="left" w:pos="-720"/>
                    </w:tabs>
                    <w:jc w:val="both"/>
                  </w:pPr>
                  <w:r>
                    <w:t>Le personnel attribué aux instituts d'enseignement spécialisé sur la base du capital-périodes déterminé par le Décret précité, effectue ses prestations dans les mêmes plages-horaire que celles prévues pour les établissements d'enseignement spécialisé organisés par la Fédération Wallonie-Bruxelles.</w:t>
                  </w:r>
                </w:p>
                <w:p>
                  <w:pPr>
                    <w:tabs>
                      <w:tab w:val="left" w:pos="-1440"/>
                      <w:tab w:val="left" w:pos="-720"/>
                    </w:tabs>
                  </w:pPr>
                </w:p>
                <w:p>
                  <w:pPr>
                    <w:numPr>
                      <w:ilvl w:val="0"/>
                      <w:numId w:val="18"/>
                    </w:numPr>
                    <w:suppressAutoHyphens/>
                    <w:jc w:val="both"/>
                    <w:rPr>
                      <w:u w:val="single"/>
                    </w:rPr>
                  </w:pPr>
                  <w:r>
                    <w:rPr>
                      <w:u w:val="single"/>
                    </w:rPr>
                    <w:t>Les fonctions suivantes peuvent être organisées :</w:t>
                  </w:r>
                </w:p>
                <w:p>
                  <w:pPr>
                    <w:suppressAutoHyphens/>
                    <w:jc w:val="both"/>
                    <w:rPr>
                      <w:u w:val="single"/>
                    </w:rPr>
                  </w:pPr>
                </w:p>
                <w:p>
                  <w:pPr>
                    <w:numPr>
                      <w:ilvl w:val="0"/>
                      <w:numId w:val="30"/>
                    </w:numPr>
                    <w:tabs>
                      <w:tab w:val="clear" w:pos="360"/>
                      <w:tab w:val="left" w:pos="-1440"/>
                      <w:tab w:val="left" w:pos="-720"/>
                      <w:tab w:val="num" w:pos="1260"/>
                    </w:tabs>
                    <w:suppressAutoHyphens/>
                    <w:ind w:left="567" w:firstLine="0"/>
                    <w:jc w:val="both"/>
                  </w:pPr>
                  <w:r>
                    <w:t>Ergothérapeute,</w:t>
                  </w:r>
                </w:p>
                <w:p>
                  <w:pPr>
                    <w:numPr>
                      <w:ilvl w:val="0"/>
                      <w:numId w:val="30"/>
                    </w:numPr>
                    <w:tabs>
                      <w:tab w:val="clear" w:pos="360"/>
                      <w:tab w:val="left" w:pos="-1440"/>
                      <w:tab w:val="left" w:pos="-720"/>
                      <w:tab w:val="num" w:pos="1260"/>
                    </w:tabs>
                    <w:suppressAutoHyphens/>
                    <w:ind w:left="567" w:firstLine="0"/>
                    <w:jc w:val="both"/>
                  </w:pPr>
                  <w:r>
                    <w:t>Kinésithérapeute,</w:t>
                  </w:r>
                </w:p>
                <w:p>
                  <w:pPr>
                    <w:numPr>
                      <w:ilvl w:val="0"/>
                      <w:numId w:val="30"/>
                    </w:numPr>
                    <w:tabs>
                      <w:tab w:val="clear" w:pos="360"/>
                      <w:tab w:val="left" w:pos="-1440"/>
                      <w:tab w:val="left" w:pos="-720"/>
                      <w:tab w:val="num" w:pos="1260"/>
                    </w:tabs>
                    <w:suppressAutoHyphens/>
                    <w:ind w:left="567" w:firstLine="0"/>
                    <w:jc w:val="both"/>
                  </w:pPr>
                  <w:r>
                    <w:t>Logopède,</w:t>
                  </w:r>
                </w:p>
                <w:p>
                  <w:pPr>
                    <w:numPr>
                      <w:ilvl w:val="0"/>
                      <w:numId w:val="30"/>
                    </w:numPr>
                    <w:tabs>
                      <w:tab w:val="clear" w:pos="360"/>
                      <w:tab w:val="left" w:pos="-1440"/>
                      <w:tab w:val="left" w:pos="-720"/>
                      <w:tab w:val="num" w:pos="1260"/>
                    </w:tabs>
                    <w:suppressAutoHyphens/>
                    <w:ind w:left="567" w:firstLine="0"/>
                    <w:jc w:val="both"/>
                  </w:pPr>
                  <w:r>
                    <w:t>Puéricultrice,</w:t>
                  </w:r>
                </w:p>
                <w:p>
                  <w:pPr>
                    <w:numPr>
                      <w:ilvl w:val="0"/>
                      <w:numId w:val="30"/>
                    </w:numPr>
                    <w:tabs>
                      <w:tab w:val="clear" w:pos="360"/>
                      <w:tab w:val="left" w:pos="-1440"/>
                      <w:tab w:val="left" w:pos="-720"/>
                      <w:tab w:val="num" w:pos="1260"/>
                    </w:tabs>
                    <w:suppressAutoHyphens/>
                    <w:ind w:left="567" w:firstLine="0"/>
                    <w:jc w:val="both"/>
                  </w:pPr>
                  <w:r>
                    <w:t>Infirmier(ère),</w:t>
                  </w:r>
                </w:p>
                <w:p>
                  <w:pPr>
                    <w:numPr>
                      <w:ilvl w:val="0"/>
                      <w:numId w:val="30"/>
                    </w:numPr>
                    <w:tabs>
                      <w:tab w:val="clear" w:pos="360"/>
                      <w:tab w:val="left" w:pos="-1440"/>
                      <w:tab w:val="left" w:pos="-720"/>
                      <w:tab w:val="num" w:pos="1260"/>
                    </w:tabs>
                    <w:suppressAutoHyphens/>
                    <w:ind w:left="567" w:firstLine="0"/>
                    <w:jc w:val="both"/>
                  </w:pPr>
                  <w:r>
                    <w:t>Assistant(e) social(e),</w:t>
                  </w:r>
                </w:p>
                <w:p>
                  <w:pPr>
                    <w:numPr>
                      <w:ilvl w:val="0"/>
                      <w:numId w:val="30"/>
                    </w:numPr>
                    <w:tabs>
                      <w:tab w:val="clear" w:pos="360"/>
                      <w:tab w:val="left" w:pos="-1440"/>
                      <w:tab w:val="left" w:pos="-720"/>
                      <w:tab w:val="num" w:pos="1260"/>
                    </w:tabs>
                    <w:suppressAutoHyphens/>
                    <w:ind w:left="567" w:firstLine="0"/>
                    <w:jc w:val="both"/>
                    <w:rPr>
                      <w:bCs/>
                    </w:rPr>
                  </w:pPr>
                  <w:r>
                    <w:rPr>
                      <w:bCs/>
                    </w:rPr>
                    <w:t>Psychologue.</w:t>
                  </w:r>
                </w:p>
                <w:p>
                  <w:pPr>
                    <w:tabs>
                      <w:tab w:val="left" w:pos="-1440"/>
                      <w:tab w:val="left" w:pos="-720"/>
                    </w:tabs>
                    <w:jc w:val="both"/>
                  </w:pPr>
                </w:p>
                <w:p>
                  <w:pPr>
                    <w:tabs>
                      <w:tab w:val="left" w:pos="-1440"/>
                      <w:tab w:val="left" w:pos="-720"/>
                    </w:tabs>
                    <w:jc w:val="both"/>
                  </w:pPr>
                </w:p>
                <w:p>
                  <w:pPr>
                    <w:tabs>
                      <w:tab w:val="left" w:pos="-1440"/>
                      <w:tab w:val="left" w:pos="-720"/>
                    </w:tabs>
                    <w:jc w:val="both"/>
                  </w:pPr>
                </w:p>
                <w:p>
                  <w:pPr>
                    <w:tabs>
                      <w:tab w:val="left" w:pos="-1440"/>
                      <w:tab w:val="left" w:pos="-720"/>
                    </w:tabs>
                    <w:jc w:val="both"/>
                  </w:pPr>
                </w:p>
                <w:p>
                  <w:pPr>
                    <w:tabs>
                      <w:tab w:val="left" w:pos="-1440"/>
                      <w:tab w:val="left" w:pos="-720"/>
                    </w:tabs>
                    <w:jc w:val="both"/>
                  </w:pPr>
                </w:p>
                <w:p>
                  <w:pPr>
                    <w:tabs>
                      <w:tab w:val="left" w:pos="-1440"/>
                      <w:tab w:val="left" w:pos="-720"/>
                    </w:tabs>
                    <w:jc w:val="both"/>
                  </w:pPr>
                </w:p>
                <w:p>
                  <w:pPr>
                    <w:tabs>
                      <w:tab w:val="left" w:pos="-1440"/>
                      <w:tab w:val="left" w:pos="-720"/>
                    </w:tabs>
                    <w:jc w:val="both"/>
                  </w:pPr>
                </w:p>
                <w:p>
                  <w:pPr>
                    <w:pStyle w:val="Titre3"/>
                  </w:pPr>
                  <w:bookmarkStart w:id="1930" w:name="__RefHeading__169_957262308"/>
                  <w:bookmarkStart w:id="1931" w:name="_Toc291075334"/>
                  <w:bookmarkStart w:id="1932" w:name="_Toc291075758"/>
                  <w:bookmarkStart w:id="1933" w:name="_Toc291076182"/>
                  <w:bookmarkStart w:id="1934" w:name="_Toc291076606"/>
                  <w:bookmarkStart w:id="1935" w:name="_Toc291077030"/>
                  <w:bookmarkStart w:id="1936" w:name="_Toc293651873"/>
                  <w:bookmarkStart w:id="1937" w:name="_Toc293653456"/>
                  <w:bookmarkStart w:id="1938" w:name="_Toc293654067"/>
                  <w:bookmarkStart w:id="1939" w:name="_Toc294004645"/>
                  <w:bookmarkStart w:id="1940" w:name="_Toc294185141"/>
                  <w:bookmarkStart w:id="1941" w:name="_Toc324165957"/>
                  <w:bookmarkStart w:id="1942" w:name="_Toc324766994"/>
                  <w:bookmarkStart w:id="1943" w:name="_Toc453314348"/>
                  <w:bookmarkStart w:id="1944" w:name="_Toc454980383"/>
                  <w:bookmarkStart w:id="1945" w:name="_Toc18914444"/>
                  <w:bookmarkEnd w:id="1930"/>
                  <w:r>
                    <w:t>2. Capital-périodes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r>
                    <w:t xml:space="preserve"> </w:t>
                  </w:r>
                </w:p>
                <w:p>
                  <w:pPr>
                    <w:tabs>
                      <w:tab w:val="left" w:pos="-1440"/>
                      <w:tab w:val="left" w:pos="-720"/>
                    </w:tabs>
                    <w:jc w:val="both"/>
                  </w:pPr>
                </w:p>
                <w:p>
                  <w:pPr>
                    <w:pStyle w:val="Titre4"/>
                  </w:pPr>
                  <w:bookmarkStart w:id="1946" w:name="_Toc291075335"/>
                  <w:bookmarkStart w:id="1947" w:name="_Toc291075759"/>
                  <w:bookmarkStart w:id="1948" w:name="_Toc291076183"/>
                  <w:bookmarkStart w:id="1949" w:name="_Toc291076607"/>
                  <w:bookmarkStart w:id="1950" w:name="_Toc291077031"/>
                  <w:bookmarkStart w:id="1951" w:name="_Toc293651874"/>
                  <w:bookmarkStart w:id="1952" w:name="_Toc293653457"/>
                  <w:bookmarkStart w:id="1953" w:name="_Toc293654068"/>
                  <w:bookmarkStart w:id="1954" w:name="_Toc294004646"/>
                  <w:bookmarkStart w:id="1955" w:name="_Toc294185142"/>
                  <w:bookmarkStart w:id="1956" w:name="_Toc324165958"/>
                  <w:bookmarkStart w:id="1957" w:name="_Toc324766995"/>
                  <w:bookmarkStart w:id="1958" w:name="_Toc324767853"/>
                  <w:bookmarkStart w:id="1959" w:name="_Toc453314349"/>
                  <w:bookmarkStart w:id="1960" w:name="_Toc454980384"/>
                  <w:r>
                    <w:t>2.1. Le volume des prestations dont peuvent être chargés les membres du personnel précisés ci-dessus est déterminé par un capital-périodes.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pPr>
                    <w:tabs>
                      <w:tab w:val="left" w:pos="-1440"/>
                      <w:tab w:val="left" w:pos="-720"/>
                    </w:tabs>
                    <w:jc w:val="both"/>
                  </w:pPr>
                </w:p>
                <w:p>
                  <w:pPr>
                    <w:tabs>
                      <w:tab w:val="left" w:pos="-1440"/>
                      <w:tab w:val="left" w:pos="-720"/>
                    </w:tabs>
                    <w:jc w:val="both"/>
                  </w:pPr>
                  <w:r>
                    <w:t>Chaque école dispose d'un capital-périodes.</w:t>
                  </w:r>
                </w:p>
                <w:p>
                  <w:pPr>
                    <w:tabs>
                      <w:tab w:val="left" w:pos="-1440"/>
                      <w:tab w:val="left" w:pos="-720"/>
                    </w:tabs>
                    <w:jc w:val="both"/>
                  </w:pPr>
                </w:p>
                <w:p>
                  <w:pPr>
                    <w:tabs>
                      <w:tab w:val="left" w:pos="-1440"/>
                      <w:tab w:val="left" w:pos="-720"/>
                    </w:tabs>
                    <w:jc w:val="both"/>
                  </w:pPr>
                  <w:r>
                    <w:t>Dans les écoles du réseau de la Fédération Wallonie-Bruxelles qui organisent à la fois le niveau fondamental et le niveau secondaire, les prises en charge des élèves sont équilibrées entre ces deux niveaux par une concertation entre les directions.</w:t>
                  </w:r>
                </w:p>
                <w:p>
                  <w:pPr>
                    <w:tabs>
                      <w:tab w:val="left" w:pos="-1440"/>
                      <w:tab w:val="left" w:pos="-720"/>
                    </w:tabs>
                    <w:jc w:val="both"/>
                  </w:pPr>
                </w:p>
                <w:p>
                  <w:pPr>
                    <w:pStyle w:val="Titre4"/>
                  </w:pPr>
                  <w:bookmarkStart w:id="1961" w:name="_Toc291075336"/>
                  <w:bookmarkStart w:id="1962" w:name="_Toc291075760"/>
                  <w:bookmarkStart w:id="1963" w:name="_Toc291076184"/>
                  <w:bookmarkStart w:id="1964" w:name="_Toc291076608"/>
                  <w:bookmarkStart w:id="1965" w:name="_Toc291077032"/>
                  <w:bookmarkStart w:id="1966" w:name="_Toc293651875"/>
                  <w:bookmarkStart w:id="1967" w:name="_Toc293653458"/>
                  <w:bookmarkStart w:id="1968" w:name="_Toc293654069"/>
                  <w:bookmarkStart w:id="1969" w:name="_Toc294004647"/>
                  <w:bookmarkStart w:id="1970" w:name="_Toc294185143"/>
                  <w:bookmarkStart w:id="1971" w:name="_Toc324165959"/>
                  <w:bookmarkStart w:id="1972" w:name="_Toc324766996"/>
                  <w:bookmarkStart w:id="1973" w:name="_Toc324767854"/>
                  <w:bookmarkStart w:id="1974" w:name="_Toc453314350"/>
                  <w:bookmarkStart w:id="1975" w:name="_Toc454980385"/>
                  <w:r>
                    <w:t>2.2. Éléments servant au calcul du capital-périodes.</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pPr>
                    <w:tabs>
                      <w:tab w:val="left" w:pos="-1440"/>
                      <w:tab w:val="left" w:pos="-720"/>
                    </w:tabs>
                    <w:jc w:val="both"/>
                  </w:pPr>
                </w:p>
                <w:p>
                  <w:pPr>
                    <w:numPr>
                      <w:ilvl w:val="0"/>
                      <w:numId w:val="18"/>
                    </w:numPr>
                    <w:suppressAutoHyphens/>
                    <w:jc w:val="both"/>
                    <w:rPr>
                      <w:u w:val="single"/>
                    </w:rPr>
                  </w:pPr>
                  <w:r>
                    <w:rPr>
                      <w:u w:val="single"/>
                    </w:rPr>
                    <w:t>Les éléments suivants entrent en ligne de compte pour le calcul du capital-périodes :</w:t>
                  </w:r>
                </w:p>
                <w:p>
                  <w:pPr>
                    <w:suppressAutoHyphens/>
                    <w:jc w:val="both"/>
                    <w:rPr>
                      <w:u w:val="single"/>
                    </w:rPr>
                  </w:pPr>
                </w:p>
                <w:p>
                  <w:pPr>
                    <w:numPr>
                      <w:ilvl w:val="0"/>
                      <w:numId w:val="27"/>
                    </w:numPr>
                    <w:tabs>
                      <w:tab w:val="clear" w:pos="360"/>
                      <w:tab w:val="left" w:pos="-1440"/>
                      <w:tab w:val="left" w:pos="-720"/>
                      <w:tab w:val="num" w:pos="1260"/>
                    </w:tabs>
                    <w:suppressAutoHyphens/>
                    <w:ind w:left="567" w:firstLine="0"/>
                    <w:jc w:val="both"/>
                  </w:pPr>
                  <w:r>
                    <w:t>le nombre d'élèves ;</w:t>
                  </w:r>
                </w:p>
                <w:p>
                  <w:pPr>
                    <w:numPr>
                      <w:ilvl w:val="0"/>
                      <w:numId w:val="27"/>
                    </w:numPr>
                    <w:tabs>
                      <w:tab w:val="clear" w:pos="360"/>
                      <w:tab w:val="left" w:pos="-1440"/>
                      <w:tab w:val="left" w:pos="-720"/>
                      <w:tab w:val="num" w:pos="1260"/>
                    </w:tabs>
                    <w:suppressAutoHyphens/>
                    <w:ind w:left="567" w:firstLine="0"/>
                    <w:jc w:val="both"/>
                  </w:pPr>
                  <w:r>
                    <w:t>un nombre guide.</w:t>
                  </w:r>
                </w:p>
                <w:p>
                  <w:pPr>
                    <w:tabs>
                      <w:tab w:val="left" w:pos="-1440"/>
                      <w:tab w:val="left" w:pos="-720"/>
                    </w:tabs>
                    <w:jc w:val="both"/>
                  </w:pPr>
                </w:p>
                <w:p>
                  <w:pPr>
                    <w:numPr>
                      <w:ilvl w:val="0"/>
                      <w:numId w:val="18"/>
                    </w:numPr>
                    <w:suppressAutoHyphens/>
                    <w:jc w:val="both"/>
                    <w:rPr>
                      <w:u w:val="single"/>
                    </w:rPr>
                  </w:pPr>
                  <w:r>
                    <w:rPr>
                      <w:u w:val="single"/>
                    </w:rPr>
                    <w:t xml:space="preserve">Le nombre d’élèves : </w:t>
                  </w:r>
                </w:p>
                <w:p>
                  <w:pPr>
                    <w:jc w:val="both"/>
                    <w:rPr>
                      <w:u w:val="single"/>
                    </w:rPr>
                  </w:pP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Les élèves à prendre en considération sont ceux qui, à la date du 15 janvier précédant l'année scolaire, doivent être considérés comme réguliers conformément aux dispositions du Chapitre III du Décret du 3 mars 2004 organisant l’enseignement spécialisé. Si à la date du 30 septembre la population scolaire a varié de minimum 5% par rapport à celle du 15 janvier précédant, un nouveau calcul de l'encadrement est établi à partir du 1er octobre.</w:t>
                  </w:r>
                </w:p>
                <w:p>
                  <w:pPr>
                    <w:jc w:val="both"/>
                  </w:pPr>
                </w:p>
                <w:p>
                  <w:pPr>
                    <w:jc w:val="both"/>
                  </w:pPr>
                  <w:r>
                    <w:t>En cas de programmation le calcul du capital-périodes est modifié (</w:t>
                  </w:r>
                  <w:hyperlink w:anchor="_Chapitre_2_:" w:history="1">
                    <w:r>
                      <w:rPr>
                        <w:rStyle w:val="Lienhypertexte"/>
                        <w:rFonts w:cs="Arial"/>
                      </w:rPr>
                      <w:t>chapitre 2</w:t>
                    </w:r>
                  </w:hyperlink>
                  <w:r>
                    <w:rPr>
                      <w:rFonts w:cs="Arial"/>
                    </w:rPr>
                    <w:t xml:space="preserve">, </w:t>
                  </w:r>
                  <w:hyperlink w:anchor="_8._Calcul_des" w:history="1">
                    <w:r>
                      <w:rPr>
                        <w:rStyle w:val="Lienhypertexte"/>
                        <w:rFonts w:cs="Arial"/>
                      </w:rPr>
                      <w:t xml:space="preserve">point </w:t>
                    </w:r>
                  </w:hyperlink>
                  <w:r>
                    <w:rPr>
                      <w:rStyle w:val="Lienhypertexte"/>
                      <w:rFonts w:cs="Arial"/>
                    </w:rPr>
                    <w:t>6</w:t>
                  </w:r>
                  <w:r>
                    <w:t>).</w:t>
                  </w:r>
                </w:p>
                <w:p>
                  <w:pPr>
                    <w:jc w:val="both"/>
                  </w:pPr>
                </w:p>
                <w:p>
                  <w:pPr>
                    <w:jc w:val="both"/>
                  </w:pPr>
                  <w:r>
                    <w:t>Les élèves pris en charge par les Services d’aide à l’Intégration ou par les Services d’accompagnement sont comptabilisables pour le calcul de l’encadrement paramédical.</w:t>
                  </w:r>
                </w:p>
                <w:p>
                  <w:pPr>
                    <w:jc w:val="both"/>
                  </w:pPr>
                </w:p>
                <w:p>
                  <w:pPr>
                    <w:jc w:val="both"/>
                  </w:pPr>
                  <w:r>
                    <w:t>L'article 103 du Décret organisant l’Enseignement spécialisé prévoit la disposition suivante :</w:t>
                  </w:r>
                </w:p>
                <w:p>
                  <w:pPr>
                    <w:jc w:val="both"/>
                  </w:pPr>
                </w:p>
                <w:p>
                  <w:pPr>
                    <w:tabs>
                      <w:tab w:val="left" w:pos="-1440"/>
                      <w:tab w:val="left" w:pos="-720"/>
                    </w:tabs>
                    <w:jc w:val="both"/>
                    <w:rPr>
                      <w:i/>
                      <w:u w:val="single"/>
                    </w:rPr>
                  </w:pPr>
                  <w:r>
                    <w:rPr>
                      <w:u w:val="single"/>
                    </w:rPr>
                    <w:t xml:space="preserve">«  </w:t>
                  </w:r>
                  <w:r>
                    <w:rPr>
                      <w:i/>
                      <w:u w:val="single"/>
                    </w:rPr>
                    <w:t>Ne sont pas pris en considération les élèves qui, soit</w:t>
                  </w:r>
                  <w:r>
                    <w:rPr>
                      <w:i/>
                    </w:rPr>
                    <w:t xml:space="preserve"> :</w:t>
                  </w:r>
                </w:p>
                <w:p>
                  <w:pPr>
                    <w:pStyle w:val="NormalWeb"/>
                    <w:numPr>
                      <w:ilvl w:val="0"/>
                      <w:numId w:val="36"/>
                    </w:numPr>
                    <w:ind w:left="360"/>
                    <w:jc w:val="both"/>
                    <w:rPr>
                      <w:rFonts w:asciiTheme="majorHAnsi" w:hAnsiTheme="majorHAnsi"/>
                      <w:i/>
                      <w:color w:val="auto"/>
                      <w:szCs w:val="22"/>
                    </w:rPr>
                  </w:pPr>
                  <w:r>
                    <w:rPr>
                      <w:rFonts w:asciiTheme="majorHAnsi" w:hAnsiTheme="majorHAnsi"/>
                      <w:i/>
                      <w:szCs w:val="22"/>
                    </w:rPr>
                    <w:t xml:space="preserve">sont inscrits dans un internat, un service résidentiel, ou un centre d’hébergement ; les élèves pour lesquels l’école a introduit une demande motivée à l’Administration peuvent être comptabilisés après décision du Gouvernement. </w:t>
                  </w:r>
                  <w:r>
                    <w:rPr>
                      <w:rFonts w:asciiTheme="majorHAnsi" w:hAnsiTheme="majorHAnsi"/>
                      <w:i/>
                      <w:color w:val="auto"/>
                      <w:szCs w:val="22"/>
                    </w:rPr>
                    <w:t xml:space="preserve">Dans des cas exceptionnels où l’école constate que l’assistance paramédicale n’est pas fournie dans le cadre de l’internat, du service résidentiel ou du centre d’hébergement, elle en informe le service de l’enseignement spécialisé ; </w:t>
                  </w:r>
                </w:p>
                <w:p>
                  <w:pPr>
                    <w:numPr>
                      <w:ilvl w:val="0"/>
                      <w:numId w:val="36"/>
                    </w:numPr>
                    <w:tabs>
                      <w:tab w:val="left" w:pos="-1440"/>
                      <w:tab w:val="left" w:pos="-720"/>
                    </w:tabs>
                    <w:suppressAutoHyphens/>
                    <w:ind w:left="360"/>
                    <w:jc w:val="both"/>
                    <w:rPr>
                      <w:i/>
                    </w:rPr>
                  </w:pPr>
                  <w:r>
                    <w:rPr>
                      <w:i/>
                    </w:rPr>
                    <w:t>suivent un enseignement spécialisé dispensé à domicile ;</w:t>
                  </w:r>
                </w:p>
                <w:p>
                  <w:pPr>
                    <w:numPr>
                      <w:ilvl w:val="0"/>
                      <w:numId w:val="36"/>
                    </w:numPr>
                    <w:tabs>
                      <w:tab w:val="left" w:pos="-1440"/>
                      <w:tab w:val="left" w:pos="-720"/>
                    </w:tabs>
                    <w:suppressAutoHyphens/>
                    <w:ind w:left="360"/>
                    <w:jc w:val="both"/>
                    <w:rPr>
                      <w:i/>
                    </w:rPr>
                  </w:pPr>
                  <w:r>
                    <w:rPr>
                      <w:i/>
                    </w:rPr>
                    <w:t>séjournent dans une institution médicale ou un hôpital et fréquentent l’enseignement de type 5 sauf dérogation accordée par le Gouvernement pour des élèves externes en raison de leur handicap ;</w:t>
                  </w:r>
                </w:p>
                <w:p>
                  <w:pPr>
                    <w:numPr>
                      <w:ilvl w:val="0"/>
                      <w:numId w:val="36"/>
                    </w:numPr>
                    <w:tabs>
                      <w:tab w:val="left" w:pos="-1440"/>
                      <w:tab w:val="left" w:pos="-720"/>
                    </w:tabs>
                    <w:suppressAutoHyphens/>
                    <w:ind w:left="360"/>
                    <w:jc w:val="both"/>
                  </w:pPr>
                  <w:r>
                    <w:rPr>
                      <w:i/>
                    </w:rPr>
                    <w:t xml:space="preserve">sont soumis, pendant les heures d’ouverture de l’établissement scolaire, à des traitements thérapeutiques ou de revalidation effectués par des personnes dont l’emploi n’est pas organisé ou subventionné par la Communauté française </w:t>
                  </w:r>
                  <w:r>
                    <w:t>» .</w:t>
                  </w:r>
                </w:p>
                <w:p>
                  <w:pPr>
                    <w:tabs>
                      <w:tab w:val="left" w:pos="-1440"/>
                      <w:tab w:val="left" w:pos="-720"/>
                    </w:tabs>
                    <w:jc w:val="both"/>
                  </w:pPr>
                </w:p>
                <w:p>
                  <w:pPr>
                    <w:tabs>
                      <w:tab w:val="left" w:pos="-1440"/>
                      <w:tab w:val="left" w:pos="-720"/>
                    </w:tabs>
                    <w:jc w:val="both"/>
                  </w:pPr>
                  <w:r>
                    <w:t>Si le cas de l’élève justifie malgré tout une assistance paramédicale de l’établissement scolaire, l’école introduit, pour chaque élève concerné, une demande de dérogation.</w:t>
                  </w:r>
                </w:p>
                <w:p>
                  <w:pPr>
                    <w:tabs>
                      <w:tab w:val="left" w:pos="-1440"/>
                      <w:tab w:val="left" w:pos="-720"/>
                    </w:tabs>
                    <w:jc w:val="both"/>
                  </w:pPr>
                </w:p>
                <w:p>
                  <w:pPr>
                    <w:tabs>
                      <w:tab w:val="left" w:pos="-1440"/>
                      <w:tab w:val="left" w:pos="-720"/>
                    </w:tabs>
                    <w:jc w:val="both"/>
                  </w:pPr>
                  <w:r>
                    <w:rPr>
                      <w:b/>
                    </w:rPr>
                    <w:t>Pour être recevable, le dossier devra comprendre les pièces suivantes</w:t>
                  </w:r>
                  <w:r>
                    <w:t xml:space="preserve"> :</w:t>
                  </w:r>
                </w:p>
                <w:p>
                  <w:pPr>
                    <w:tabs>
                      <w:tab w:val="left" w:pos="-1440"/>
                      <w:tab w:val="left" w:pos="-720"/>
                    </w:tabs>
                    <w:jc w:val="both"/>
                  </w:pPr>
                </w:p>
                <w:p>
                  <w:pPr>
                    <w:numPr>
                      <w:ilvl w:val="0"/>
                      <w:numId w:val="24"/>
                    </w:numPr>
                    <w:tabs>
                      <w:tab w:val="left" w:pos="-1440"/>
                      <w:tab w:val="left" w:pos="-720"/>
                    </w:tabs>
                    <w:suppressAutoHyphens/>
                    <w:jc w:val="both"/>
                  </w:pPr>
                  <w:r>
                    <w:t>la déclaration de la direction de l’institution d’accueil comportant les raisons précises pour lesquelles l’aide paramédicale n’est pas fournie. Les choix opérés par l’institution pour favoriser tel ou tel aspect de l’aide paramédicale aux dépens d’un autre aspect ne constituent pas une motivation justifiant dérogation. (Par exemple, favoriser la logopédie au dépend de la kinésithérapie) ;</w:t>
                  </w:r>
                </w:p>
                <w:p>
                  <w:pPr>
                    <w:numPr>
                      <w:ilvl w:val="0"/>
                      <w:numId w:val="24"/>
                    </w:numPr>
                    <w:tabs>
                      <w:tab w:val="left" w:pos="-1440"/>
                      <w:tab w:val="left" w:pos="-720"/>
                    </w:tabs>
                    <w:suppressAutoHyphens/>
                    <w:jc w:val="both"/>
                  </w:pPr>
                  <w:r>
                    <w:t>le type d'aide nécessaire à l'élève dans l'établissement scolaire ;</w:t>
                  </w:r>
                </w:p>
                <w:p>
                  <w:pPr>
                    <w:numPr>
                      <w:ilvl w:val="0"/>
                      <w:numId w:val="24"/>
                    </w:numPr>
                    <w:tabs>
                      <w:tab w:val="left" w:pos="-1440"/>
                      <w:tab w:val="left" w:pos="-720"/>
                    </w:tabs>
                    <w:suppressAutoHyphens/>
                    <w:jc w:val="both"/>
                  </w:pPr>
                  <w:r>
                    <w:t>la justification de cette aide dûment argumentée par des rapports de l'équipe paramédicale, du conseil de classe, etc. ;</w:t>
                  </w:r>
                </w:p>
                <w:p>
                  <w:pPr>
                    <w:numPr>
                      <w:ilvl w:val="0"/>
                      <w:numId w:val="24"/>
                    </w:numPr>
                    <w:tabs>
                      <w:tab w:val="left" w:pos="-1440"/>
                      <w:tab w:val="left" w:pos="-720"/>
                    </w:tabs>
                    <w:suppressAutoHyphens/>
                    <w:jc w:val="both"/>
                  </w:pPr>
                  <w:r>
                    <w:t>le type d’enseignement.</w:t>
                  </w:r>
                </w:p>
                <w:p>
                  <w:pPr>
                    <w:tabs>
                      <w:tab w:val="left" w:pos="-1440"/>
                      <w:tab w:val="left" w:pos="-720"/>
                    </w:tabs>
                  </w:pPr>
                </w:p>
                <w:p>
                  <w:pPr>
                    <w:pStyle w:val="Corpsdetexte"/>
                  </w:pPr>
                  <w:r>
                    <w:t xml:space="preserve">Les </w:t>
                  </w:r>
                  <w:r>
                    <w:rPr>
                      <w:b/>
                      <w:u w:val="single"/>
                    </w:rPr>
                    <w:t>demandes complètes</w:t>
                  </w:r>
                  <w:r>
                    <w:t xml:space="preserve"> sont à adresser à :</w:t>
                  </w:r>
                </w:p>
                <w:p>
                  <w:pPr>
                    <w:pBdr>
                      <w:top w:val="single" w:sz="4" w:space="1" w:color="auto"/>
                      <w:left w:val="single" w:sz="4" w:space="4" w:color="auto"/>
                      <w:bottom w:val="single" w:sz="4" w:space="1" w:color="auto"/>
                      <w:right w:val="single" w:sz="4" w:space="4" w:color="auto"/>
                    </w:pBdr>
                    <w:jc w:val="center"/>
                    <w:rPr>
                      <w:b/>
                    </w:rPr>
                  </w:pPr>
                  <w:r>
                    <w:t>Direction générale de l’Enseignement obligatoire</w:t>
                  </w:r>
                </w:p>
                <w:p>
                  <w:pPr>
                    <w:pBdr>
                      <w:top w:val="single" w:sz="4" w:space="1" w:color="auto"/>
                      <w:left w:val="single" w:sz="4" w:space="4" w:color="auto"/>
                      <w:bottom w:val="single" w:sz="4" w:space="1" w:color="auto"/>
                      <w:right w:val="single" w:sz="4" w:space="4" w:color="auto"/>
                    </w:pBdr>
                    <w:jc w:val="center"/>
                    <w:rPr>
                      <w:b/>
                    </w:rPr>
                  </w:pPr>
                  <w:r>
                    <w:t>Service de l’Enseignement spécialisé</w:t>
                  </w:r>
                </w:p>
                <w:p>
                  <w:pPr>
                    <w:pBdr>
                      <w:top w:val="single" w:sz="4" w:space="1" w:color="auto"/>
                      <w:left w:val="single" w:sz="4" w:space="4" w:color="auto"/>
                      <w:bottom w:val="single" w:sz="4" w:space="1" w:color="auto"/>
                      <w:right w:val="single" w:sz="4" w:space="4" w:color="auto"/>
                    </w:pBdr>
                    <w:jc w:val="center"/>
                    <w:rPr>
                      <w:b/>
                    </w:rPr>
                  </w:pPr>
                  <w:r>
                    <w:t>Madame Véronique ROMBAUT</w:t>
                  </w:r>
                </w:p>
                <w:p>
                  <w:pPr>
                    <w:pBdr>
                      <w:top w:val="single" w:sz="4" w:space="1" w:color="auto"/>
                      <w:left w:val="single" w:sz="4" w:space="4" w:color="auto"/>
                      <w:bottom w:val="single" w:sz="4" w:space="1" w:color="auto"/>
                      <w:right w:val="single" w:sz="4" w:space="4" w:color="auto"/>
                    </w:pBdr>
                    <w:jc w:val="center"/>
                    <w:rPr>
                      <w:b/>
                    </w:rPr>
                  </w:pPr>
                  <w:r>
                    <w:t>Bureau 2F245</w:t>
                  </w:r>
                </w:p>
                <w:p>
                  <w:pPr>
                    <w:pBdr>
                      <w:top w:val="single" w:sz="4" w:space="1" w:color="auto"/>
                      <w:left w:val="single" w:sz="4" w:space="4" w:color="auto"/>
                      <w:bottom w:val="single" w:sz="4" w:space="1" w:color="auto"/>
                      <w:right w:val="single" w:sz="4" w:space="4" w:color="auto"/>
                    </w:pBdr>
                    <w:jc w:val="center"/>
                    <w:rPr>
                      <w:b/>
                    </w:rPr>
                  </w:pPr>
                  <w:r>
                    <w:t>Rue Adolphe Lavallée, 1</w:t>
                  </w:r>
                </w:p>
                <w:p>
                  <w:pPr>
                    <w:pBdr>
                      <w:top w:val="single" w:sz="4" w:space="1" w:color="auto"/>
                      <w:left w:val="single" w:sz="4" w:space="4" w:color="auto"/>
                      <w:bottom w:val="single" w:sz="4" w:space="1" w:color="auto"/>
                      <w:right w:val="single" w:sz="4" w:space="4" w:color="auto"/>
                    </w:pBdr>
                    <w:jc w:val="center"/>
                    <w:rPr>
                      <w:b/>
                    </w:rPr>
                  </w:pPr>
                  <w:r>
                    <w:t>1080   BRUXELLES</w:t>
                  </w:r>
                </w:p>
                <w:p>
                  <w:pPr>
                    <w:pBdr>
                      <w:top w:val="single" w:sz="4" w:space="1" w:color="auto"/>
                      <w:left w:val="single" w:sz="4" w:space="4" w:color="auto"/>
                      <w:bottom w:val="single" w:sz="4" w:space="1" w:color="auto"/>
                      <w:right w:val="single" w:sz="4" w:space="4" w:color="auto"/>
                    </w:pBdr>
                    <w:jc w:val="center"/>
                    <w:rPr>
                      <w:b/>
                    </w:rPr>
                  </w:pPr>
                  <w:r>
                    <w:sym w:font="Wingdings" w:char="F028"/>
                  </w:r>
                  <w:r>
                    <w:t xml:space="preserve"> 02/690.83.99 - </w:t>
                  </w:r>
                  <w:r>
                    <w:rPr>
                      <w:bCs/>
                    </w:rPr>
                    <w:sym w:font="Wingdings" w:char="F03A"/>
                  </w:r>
                  <w:r>
                    <w:rPr>
                      <w:bCs/>
                    </w:rPr>
                    <w:t xml:space="preserve"> : </w:t>
                  </w:r>
                  <w:hyperlink r:id="rId152" w:history="1">
                    <w:r>
                      <w:rPr>
                        <w:rStyle w:val="Lienhypertexte"/>
                      </w:rPr>
                      <w:t>veronique.rombaut@cfwb.be</w:t>
                    </w:r>
                  </w:hyperlink>
                </w:p>
                <w:p>
                  <w:pPr>
                    <w:tabs>
                      <w:tab w:val="left" w:pos="-1440"/>
                      <w:tab w:val="left" w:pos="-720"/>
                    </w:tabs>
                  </w:pPr>
                </w:p>
                <w:p>
                  <w:pPr>
                    <w:pBdr>
                      <w:top w:val="single" w:sz="4" w:space="1" w:color="000000"/>
                      <w:left w:val="single" w:sz="4" w:space="4" w:color="000000"/>
                      <w:bottom w:val="single" w:sz="4" w:space="1" w:color="000000"/>
                      <w:right w:val="single" w:sz="4" w:space="4" w:color="000000"/>
                    </w:pBdr>
                    <w:tabs>
                      <w:tab w:val="left" w:pos="-1440"/>
                      <w:tab w:val="left" w:pos="-720"/>
                    </w:tabs>
                    <w:jc w:val="center"/>
                    <w:rPr>
                      <w:b/>
                      <w:u w:val="single"/>
                    </w:rPr>
                  </w:pPr>
                  <w:r>
                    <w:rPr>
                      <w:b/>
                      <w:u w:val="single"/>
                    </w:rPr>
                    <w:t>Attention</w:t>
                  </w:r>
                </w:p>
                <w:p>
                  <w:pPr>
                    <w:pBdr>
                      <w:top w:val="single" w:sz="4" w:space="1" w:color="000000"/>
                      <w:left w:val="single" w:sz="4" w:space="4" w:color="000000"/>
                      <w:bottom w:val="single" w:sz="4" w:space="1" w:color="000000"/>
                      <w:right w:val="single" w:sz="4" w:space="4" w:color="000000"/>
                    </w:pBdr>
                    <w:tabs>
                      <w:tab w:val="left" w:pos="-1440"/>
                      <w:tab w:val="left" w:pos="-720"/>
                    </w:tabs>
                    <w:jc w:val="both"/>
                    <w:rPr>
                      <w:b/>
                      <w:u w:val="single"/>
                    </w:rPr>
                  </w:pPr>
                  <w:r>
                    <w:t xml:space="preserve">1) Aucune demande </w:t>
                  </w:r>
                  <w:r>
                    <w:rPr>
                      <w:b/>
                      <w:u w:val="single"/>
                    </w:rPr>
                    <w:t>incomplète</w:t>
                  </w:r>
                  <w:r>
                    <w:t xml:space="preserve"> ne sera prise en considération ;</w:t>
                  </w:r>
                </w:p>
                <w:p>
                  <w:pPr>
                    <w:pBdr>
                      <w:top w:val="single" w:sz="4" w:space="1" w:color="000000"/>
                      <w:left w:val="single" w:sz="4" w:space="4" w:color="000000"/>
                      <w:bottom w:val="single" w:sz="4" w:space="1" w:color="000000"/>
                      <w:right w:val="single" w:sz="4" w:space="4" w:color="000000"/>
                    </w:pBdr>
                    <w:tabs>
                      <w:tab w:val="left" w:pos="-1440"/>
                      <w:tab w:val="left" w:pos="-720"/>
                    </w:tabs>
                    <w:jc w:val="both"/>
                    <w:rPr>
                      <w:b/>
                      <w:u w:val="single"/>
                    </w:rPr>
                  </w:pPr>
                  <w:r>
                    <w:t xml:space="preserve">2) Aucune demande ne sera prise en considération </w:t>
                  </w:r>
                  <w:r>
                    <w:rPr>
                      <w:b/>
                    </w:rPr>
                    <w:t>après la date du 1</w:t>
                  </w:r>
                  <w:r>
                    <w:rPr>
                      <w:b/>
                      <w:vertAlign w:val="superscript"/>
                    </w:rPr>
                    <w:t>er</w:t>
                  </w:r>
                  <w:r>
                    <w:rPr>
                      <w:b/>
                    </w:rPr>
                    <w:t xml:space="preserve"> octobre</w:t>
                  </w:r>
                  <w:r>
                    <w:t xml:space="preserve"> (cachet de la poste faisant foi ou accusé de réception électronique). </w:t>
                  </w:r>
                </w:p>
                <w:p>
                  <w:pPr>
                    <w:pBdr>
                      <w:top w:val="single" w:sz="4" w:space="1" w:color="000000"/>
                      <w:left w:val="single" w:sz="4" w:space="4" w:color="000000"/>
                      <w:bottom w:val="single" w:sz="4" w:space="1" w:color="000000"/>
                      <w:right w:val="single" w:sz="4" w:space="4" w:color="000000"/>
                    </w:pBdr>
                    <w:tabs>
                      <w:tab w:val="left" w:pos="-1440"/>
                      <w:tab w:val="left" w:pos="-720"/>
                    </w:tabs>
                    <w:jc w:val="both"/>
                    <w:rPr>
                      <w:b/>
                      <w:u w:val="single"/>
                    </w:rPr>
                  </w:pPr>
                  <w:r>
                    <w:t xml:space="preserve">3) Vous pouvez introduire vos demandes par mail </w:t>
                  </w:r>
                  <w:r>
                    <w:rPr>
                      <w:b/>
                      <w:u w:val="single"/>
                    </w:rPr>
                    <w:t>avec demande d’accusé de réception électronique.</w:t>
                  </w:r>
                </w:p>
                <w:p>
                  <w:pPr>
                    <w:tabs>
                      <w:tab w:val="left" w:pos="-1440"/>
                      <w:tab w:val="left" w:pos="-720"/>
                      <w:tab w:val="left" w:pos="441"/>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pPr>
                    <w:tabs>
                      <w:tab w:val="left" w:pos="-1440"/>
                      <w:tab w:val="left" w:pos="-720"/>
                    </w:tabs>
                    <w:jc w:val="both"/>
                  </w:pPr>
                  <w:r>
                    <w:t xml:space="preserve">Les administrations communautaires et régionales échangeront les informations nécessaires afin d'assurer l'assistance paramédicale. </w:t>
                  </w:r>
                </w:p>
                <w:p>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pPr>
                    <w:jc w:val="both"/>
                  </w:pPr>
                  <w:r>
                    <w:t>Par dérogation au point a susmentionné, les élèves internes d'un institut ou d’un home d’accueil d'enseignement spécialisé organisé par la Fédération Wallonie-Bruxelles sont également à prendre en considération pour le calcul du capital-périodes de l'école où ils suivent les cours.  En effet, les nombres-guides pris en compte pour le calcul de l'encadrement dans l'internat sont déjà déduits du nombre-guide paramédical correspondant (</w:t>
                  </w:r>
                  <w:r>
                    <w:rPr>
                      <w:rFonts w:cs="Arial"/>
                    </w:rPr>
                    <w:t xml:space="preserve">voir </w:t>
                  </w:r>
                  <w:hyperlink w:anchor="_Chapitre_10_:" w:history="1">
                    <w:r>
                      <w:rPr>
                        <w:rStyle w:val="Lienhypertexte"/>
                        <w:rFonts w:cs="Arial"/>
                      </w:rPr>
                      <w:t>chapitre 10</w:t>
                    </w:r>
                  </w:hyperlink>
                  <w:r>
                    <w:t>)</w:t>
                  </w:r>
                </w:p>
                <w:p>
                  <w:pPr>
                    <w:jc w:val="both"/>
                  </w:pPr>
                </w:p>
                <w:p>
                  <w:pPr>
                    <w:numPr>
                      <w:ilvl w:val="0"/>
                      <w:numId w:val="22"/>
                    </w:numPr>
                    <w:suppressAutoHyphens/>
                    <w:ind w:left="0"/>
                    <w:jc w:val="both"/>
                    <w:rPr>
                      <w:u w:val="single"/>
                    </w:rPr>
                  </w:pPr>
                  <w:r>
                    <w:rPr>
                      <w:u w:val="single"/>
                    </w:rPr>
                    <w:t>Le nombre guide :</w:t>
                  </w:r>
                </w:p>
                <w:p>
                  <w:pPr>
                    <w:jc w:val="both"/>
                    <w:rPr>
                      <w:u w:val="single"/>
                    </w:rPr>
                  </w:pPr>
                </w:p>
                <w:p>
                  <w:pPr>
                    <w:tabs>
                      <w:tab w:val="left" w:pos="-1440"/>
                      <w:tab w:val="left" w:pos="-720"/>
                    </w:tabs>
                    <w:jc w:val="both"/>
                  </w:pPr>
                  <w:r>
                    <w:t>Les nombres guide varient selon les types que fréquentent les élèves.</w:t>
                  </w:r>
                </w:p>
                <w:p>
                  <w:pPr>
                    <w:tabs>
                      <w:tab w:val="left" w:pos="-1440"/>
                      <w:tab w:val="left" w:pos="-720"/>
                    </w:tabs>
                    <w:jc w:val="both"/>
                  </w:pPr>
                </w:p>
                <w:p>
                  <w:pPr>
                    <w:tabs>
                      <w:tab w:val="left" w:pos="-1440"/>
                      <w:tab w:val="left" w:pos="-720"/>
                    </w:tabs>
                    <w:rPr>
                      <w:u w:val="single"/>
                    </w:rPr>
                  </w:pPr>
                  <w:r>
                    <w:rPr>
                      <w:u w:val="single"/>
                    </w:rPr>
                    <w:t>Ils sont fixés comme suit :</w:t>
                  </w:r>
                </w:p>
                <w:p>
                  <w:pPr>
                    <w:tabs>
                      <w:tab w:val="left" w:pos="-1440"/>
                      <w:tab w:val="left" w:pos="-720"/>
                    </w:tabs>
                    <w:rPr>
                      <w:u w:val="single"/>
                    </w:rPr>
                  </w:pPr>
                </w:p>
                <w:tbl>
                  <w:tblPr>
                    <w:tblW w:w="0" w:type="auto"/>
                    <w:jc w:val="center"/>
                    <w:tblLayout w:type="fixed"/>
                    <w:tblCellMar>
                      <w:left w:w="120" w:type="dxa"/>
                      <w:right w:w="120" w:type="dxa"/>
                    </w:tblCellMar>
                    <w:tblLook w:val="0000" w:firstRow="0" w:lastRow="0" w:firstColumn="0" w:lastColumn="0" w:noHBand="0" w:noVBand="0"/>
                  </w:tblPr>
                  <w:tblGrid>
                    <w:gridCol w:w="1134"/>
                    <w:gridCol w:w="3827"/>
                    <w:gridCol w:w="2154"/>
                  </w:tblGrid>
                  <w:tr>
                    <w:trPr>
                      <w:cantSplit/>
                      <w:trHeight w:val="265"/>
                      <w:jc w:val="center"/>
                    </w:trPr>
                    <w:tc>
                      <w:tcPr>
                        <w:tcW w:w="1134" w:type="dxa"/>
                      </w:tcPr>
                      <w:p>
                        <w:pPr>
                          <w:tabs>
                            <w:tab w:val="left" w:pos="1134"/>
                          </w:tabs>
                          <w:snapToGrid w:val="0"/>
                          <w:jc w:val="center"/>
                        </w:pPr>
                        <w:r>
                          <w:t>TYPE</w:t>
                        </w:r>
                      </w:p>
                    </w:tc>
                    <w:tc>
                      <w:tcPr>
                        <w:tcW w:w="3827" w:type="dxa"/>
                      </w:tcPr>
                      <w:p>
                        <w:pPr>
                          <w:tabs>
                            <w:tab w:val="left" w:pos="1134"/>
                          </w:tabs>
                          <w:snapToGrid w:val="0"/>
                          <w:jc w:val="center"/>
                        </w:pPr>
                        <w:r>
                          <w:t>NIVEAU</w:t>
                        </w:r>
                      </w:p>
                    </w:tc>
                    <w:tc>
                      <w:tcPr>
                        <w:tcW w:w="2154" w:type="dxa"/>
                      </w:tcPr>
                      <w:p>
                        <w:pPr>
                          <w:tabs>
                            <w:tab w:val="left" w:pos="1134"/>
                          </w:tabs>
                          <w:snapToGrid w:val="0"/>
                          <w:jc w:val="center"/>
                        </w:pPr>
                        <w:r>
                          <w:t>NOMBRE GUIDE</w:t>
                        </w:r>
                      </w:p>
                    </w:tc>
                  </w:tr>
                  <w:tr>
                    <w:trPr>
                      <w:cantSplit/>
                      <w:trHeight w:val="402"/>
                      <w:jc w:val="center"/>
                    </w:trPr>
                    <w:tc>
                      <w:tcPr>
                        <w:tcW w:w="1134" w:type="dxa"/>
                        <w:tcBorders>
                          <w:top w:val="single" w:sz="4" w:space="0" w:color="000000"/>
                        </w:tcBorders>
                      </w:tcPr>
                      <w:p>
                        <w:pPr>
                          <w:tabs>
                            <w:tab w:val="left" w:pos="1134"/>
                          </w:tabs>
                          <w:snapToGrid w:val="0"/>
                          <w:jc w:val="center"/>
                        </w:pPr>
                        <w:r>
                          <w:t>1</w:t>
                        </w:r>
                      </w:p>
                    </w:tc>
                    <w:tc>
                      <w:tcPr>
                        <w:tcW w:w="3827" w:type="dxa"/>
                        <w:tcBorders>
                          <w:top w:val="single" w:sz="4" w:space="0" w:color="000000"/>
                        </w:tcBorders>
                      </w:tcPr>
                      <w:p>
                        <w:pPr>
                          <w:tabs>
                            <w:tab w:val="left" w:pos="1134"/>
                          </w:tabs>
                          <w:snapToGrid w:val="0"/>
                          <w:jc w:val="center"/>
                        </w:pPr>
                        <w:r>
                          <w:t>enseignement primaire</w:t>
                        </w:r>
                      </w:p>
                      <w:p>
                        <w:pPr>
                          <w:tabs>
                            <w:tab w:val="left" w:pos="1134"/>
                          </w:tabs>
                          <w:jc w:val="center"/>
                        </w:pPr>
                      </w:p>
                    </w:tc>
                    <w:tc>
                      <w:tcPr>
                        <w:tcW w:w="2154" w:type="dxa"/>
                        <w:tcBorders>
                          <w:top w:val="single" w:sz="4" w:space="0" w:color="000000"/>
                        </w:tcBorders>
                      </w:tcPr>
                      <w:p>
                        <w:pPr>
                          <w:tabs>
                            <w:tab w:val="left" w:pos="1134"/>
                          </w:tabs>
                          <w:snapToGrid w:val="0"/>
                          <w:jc w:val="center"/>
                        </w:pPr>
                        <w:r>
                          <w:t>1</w:t>
                        </w:r>
                      </w:p>
                      <w:p>
                        <w:pPr>
                          <w:tabs>
                            <w:tab w:val="left" w:pos="1134"/>
                          </w:tabs>
                          <w:jc w:val="center"/>
                        </w:pPr>
                      </w:p>
                    </w:tc>
                  </w:tr>
                  <w:tr>
                    <w:trPr>
                      <w:cantSplit/>
                      <w:trHeight w:val="402"/>
                      <w:jc w:val="center"/>
                    </w:trPr>
                    <w:tc>
                      <w:tcPr>
                        <w:tcW w:w="1134" w:type="dxa"/>
                      </w:tcPr>
                      <w:p>
                        <w:pPr>
                          <w:tabs>
                            <w:tab w:val="left" w:pos="1134"/>
                          </w:tabs>
                          <w:snapToGrid w:val="0"/>
                          <w:jc w:val="center"/>
                        </w:pPr>
                        <w:r>
                          <w:t>2</w:t>
                        </w:r>
                      </w:p>
                    </w:tc>
                    <w:tc>
                      <w:tcPr>
                        <w:tcW w:w="3827" w:type="dxa"/>
                      </w:tcPr>
                      <w:p>
                        <w:pPr>
                          <w:tabs>
                            <w:tab w:val="left" w:pos="1134"/>
                          </w:tabs>
                          <w:snapToGrid w:val="0"/>
                          <w:jc w:val="center"/>
                        </w:pPr>
                        <w:r>
                          <w:t>enseignement fondamental</w:t>
                        </w:r>
                      </w:p>
                      <w:p>
                        <w:pPr>
                          <w:tabs>
                            <w:tab w:val="left" w:pos="1134"/>
                          </w:tabs>
                          <w:jc w:val="center"/>
                        </w:pPr>
                      </w:p>
                    </w:tc>
                    <w:tc>
                      <w:tcPr>
                        <w:tcW w:w="2154" w:type="dxa"/>
                      </w:tcPr>
                      <w:p>
                        <w:pPr>
                          <w:tabs>
                            <w:tab w:val="left" w:pos="1134"/>
                          </w:tabs>
                          <w:snapToGrid w:val="0"/>
                          <w:jc w:val="center"/>
                        </w:pPr>
                        <w:r>
                          <w:t>3,9</w:t>
                        </w:r>
                      </w:p>
                      <w:p>
                        <w:pPr>
                          <w:tabs>
                            <w:tab w:val="left" w:pos="1134"/>
                          </w:tabs>
                          <w:jc w:val="center"/>
                        </w:pPr>
                      </w:p>
                    </w:tc>
                  </w:tr>
                  <w:tr>
                    <w:trPr>
                      <w:cantSplit/>
                      <w:trHeight w:val="402"/>
                      <w:jc w:val="center"/>
                    </w:trPr>
                    <w:tc>
                      <w:tcPr>
                        <w:tcW w:w="1134" w:type="dxa"/>
                      </w:tcPr>
                      <w:p>
                        <w:pPr>
                          <w:tabs>
                            <w:tab w:val="left" w:pos="1134"/>
                          </w:tabs>
                          <w:snapToGrid w:val="0"/>
                          <w:jc w:val="center"/>
                        </w:pPr>
                        <w:r>
                          <w:t>3</w:t>
                        </w:r>
                      </w:p>
                    </w:tc>
                    <w:tc>
                      <w:tcPr>
                        <w:tcW w:w="3827" w:type="dxa"/>
                      </w:tcPr>
                      <w:p>
                        <w:pPr>
                          <w:tabs>
                            <w:tab w:val="left" w:pos="1134"/>
                          </w:tabs>
                          <w:snapToGrid w:val="0"/>
                          <w:jc w:val="center"/>
                        </w:pPr>
                        <w:r>
                          <w:t>enseignement fondamental</w:t>
                        </w:r>
                      </w:p>
                      <w:p>
                        <w:pPr>
                          <w:tabs>
                            <w:tab w:val="left" w:pos="1134"/>
                          </w:tabs>
                          <w:jc w:val="center"/>
                        </w:pPr>
                      </w:p>
                    </w:tc>
                    <w:tc>
                      <w:tcPr>
                        <w:tcW w:w="2154" w:type="dxa"/>
                      </w:tcPr>
                      <w:p>
                        <w:pPr>
                          <w:tabs>
                            <w:tab w:val="left" w:pos="1134"/>
                          </w:tabs>
                          <w:snapToGrid w:val="0"/>
                          <w:jc w:val="center"/>
                        </w:pPr>
                        <w:r>
                          <w:t>0,7</w:t>
                        </w:r>
                      </w:p>
                      <w:p>
                        <w:pPr>
                          <w:tabs>
                            <w:tab w:val="left" w:pos="1134"/>
                          </w:tabs>
                          <w:jc w:val="center"/>
                        </w:pPr>
                      </w:p>
                    </w:tc>
                  </w:tr>
                  <w:tr>
                    <w:trPr>
                      <w:cantSplit/>
                      <w:trHeight w:val="402"/>
                      <w:jc w:val="center"/>
                    </w:trPr>
                    <w:tc>
                      <w:tcPr>
                        <w:tcW w:w="1134" w:type="dxa"/>
                      </w:tcPr>
                      <w:p>
                        <w:pPr>
                          <w:tabs>
                            <w:tab w:val="left" w:pos="1134"/>
                          </w:tabs>
                          <w:snapToGrid w:val="0"/>
                          <w:jc w:val="center"/>
                        </w:pPr>
                        <w:r>
                          <w:t>4</w:t>
                        </w:r>
                      </w:p>
                    </w:tc>
                    <w:tc>
                      <w:tcPr>
                        <w:tcW w:w="3827" w:type="dxa"/>
                      </w:tcPr>
                      <w:p>
                        <w:pPr>
                          <w:tabs>
                            <w:tab w:val="left" w:pos="1134"/>
                          </w:tabs>
                          <w:snapToGrid w:val="0"/>
                          <w:jc w:val="center"/>
                        </w:pPr>
                        <w:r>
                          <w:t>enseignement fondamental</w:t>
                        </w:r>
                      </w:p>
                      <w:p>
                        <w:pPr>
                          <w:tabs>
                            <w:tab w:val="left" w:pos="1134"/>
                          </w:tabs>
                          <w:jc w:val="center"/>
                        </w:pPr>
                        <w:r>
                          <w:t>5A externe</w:t>
                        </w:r>
                      </w:p>
                    </w:tc>
                    <w:tc>
                      <w:tcPr>
                        <w:tcW w:w="2154" w:type="dxa"/>
                      </w:tcPr>
                      <w:p>
                        <w:pPr>
                          <w:tabs>
                            <w:tab w:val="left" w:pos="1134"/>
                          </w:tabs>
                          <w:snapToGrid w:val="0"/>
                          <w:jc w:val="center"/>
                        </w:pPr>
                        <w:r>
                          <w:t>5</w:t>
                        </w:r>
                      </w:p>
                      <w:p>
                        <w:pPr>
                          <w:tabs>
                            <w:tab w:val="left" w:pos="1134"/>
                          </w:tabs>
                          <w:jc w:val="center"/>
                        </w:pPr>
                        <w:r>
                          <w:t>1</w:t>
                        </w:r>
                      </w:p>
                    </w:tc>
                  </w:tr>
                  <w:tr>
                    <w:trPr>
                      <w:cantSplit/>
                      <w:trHeight w:val="402"/>
                      <w:jc w:val="center"/>
                    </w:trPr>
                    <w:tc>
                      <w:tcPr>
                        <w:tcW w:w="1134" w:type="dxa"/>
                      </w:tcPr>
                      <w:p>
                        <w:pPr>
                          <w:tabs>
                            <w:tab w:val="left" w:pos="1134"/>
                          </w:tabs>
                          <w:snapToGrid w:val="0"/>
                          <w:jc w:val="center"/>
                        </w:pPr>
                        <w:r>
                          <w:t>6</w:t>
                        </w:r>
                      </w:p>
                    </w:tc>
                    <w:tc>
                      <w:tcPr>
                        <w:tcW w:w="3827" w:type="dxa"/>
                      </w:tcPr>
                      <w:p>
                        <w:pPr>
                          <w:tabs>
                            <w:tab w:val="left" w:pos="1134"/>
                          </w:tabs>
                          <w:snapToGrid w:val="0"/>
                          <w:jc w:val="center"/>
                        </w:pPr>
                        <w:r>
                          <w:t>enseignement fondamental</w:t>
                        </w:r>
                      </w:p>
                      <w:p>
                        <w:pPr>
                          <w:tabs>
                            <w:tab w:val="left" w:pos="1134"/>
                          </w:tabs>
                          <w:jc w:val="center"/>
                        </w:pPr>
                      </w:p>
                    </w:tc>
                    <w:tc>
                      <w:tcPr>
                        <w:tcW w:w="2154" w:type="dxa"/>
                      </w:tcPr>
                      <w:p>
                        <w:pPr>
                          <w:tabs>
                            <w:tab w:val="left" w:pos="1134"/>
                          </w:tabs>
                          <w:snapToGrid w:val="0"/>
                          <w:jc w:val="center"/>
                        </w:pPr>
                        <w:r>
                          <w:t>1,7</w:t>
                        </w:r>
                      </w:p>
                      <w:p>
                        <w:pPr>
                          <w:tabs>
                            <w:tab w:val="left" w:pos="1134"/>
                          </w:tabs>
                          <w:jc w:val="center"/>
                        </w:pPr>
                      </w:p>
                    </w:tc>
                  </w:tr>
                  <w:tr>
                    <w:trPr>
                      <w:cantSplit/>
                      <w:trHeight w:val="402"/>
                      <w:jc w:val="center"/>
                    </w:trPr>
                    <w:tc>
                      <w:tcPr>
                        <w:tcW w:w="1134" w:type="dxa"/>
                      </w:tcPr>
                      <w:p>
                        <w:pPr>
                          <w:tabs>
                            <w:tab w:val="left" w:pos="1134"/>
                          </w:tabs>
                          <w:snapToGrid w:val="0"/>
                          <w:jc w:val="center"/>
                        </w:pPr>
                        <w:r>
                          <w:t>7</w:t>
                        </w:r>
                      </w:p>
                    </w:tc>
                    <w:tc>
                      <w:tcPr>
                        <w:tcW w:w="3827" w:type="dxa"/>
                      </w:tcPr>
                      <w:p>
                        <w:pPr>
                          <w:tabs>
                            <w:tab w:val="left" w:pos="1134"/>
                          </w:tabs>
                          <w:snapToGrid w:val="0"/>
                          <w:jc w:val="center"/>
                        </w:pPr>
                        <w:r>
                          <w:t>enseignement fondamental</w:t>
                        </w:r>
                      </w:p>
                      <w:p>
                        <w:pPr>
                          <w:tabs>
                            <w:tab w:val="left" w:pos="1134"/>
                          </w:tabs>
                          <w:jc w:val="center"/>
                        </w:pPr>
                      </w:p>
                    </w:tc>
                    <w:tc>
                      <w:tcPr>
                        <w:tcW w:w="2154" w:type="dxa"/>
                      </w:tcPr>
                      <w:p>
                        <w:pPr>
                          <w:tabs>
                            <w:tab w:val="left" w:pos="1134"/>
                          </w:tabs>
                          <w:snapToGrid w:val="0"/>
                          <w:jc w:val="center"/>
                        </w:pPr>
                        <w:r>
                          <w:t>2,9</w:t>
                        </w:r>
                      </w:p>
                      <w:p>
                        <w:pPr>
                          <w:tabs>
                            <w:tab w:val="left" w:pos="1134"/>
                          </w:tabs>
                          <w:jc w:val="center"/>
                        </w:pPr>
                      </w:p>
                    </w:tc>
                  </w:tr>
                  <w:tr>
                    <w:trPr>
                      <w:cantSplit/>
                      <w:trHeight w:val="402"/>
                      <w:jc w:val="center"/>
                    </w:trPr>
                    <w:tc>
                      <w:tcPr>
                        <w:tcW w:w="1134" w:type="dxa"/>
                      </w:tcPr>
                      <w:p>
                        <w:pPr>
                          <w:tabs>
                            <w:tab w:val="left" w:pos="1134"/>
                          </w:tabs>
                          <w:snapToGrid w:val="0"/>
                          <w:jc w:val="center"/>
                        </w:pPr>
                        <w:r>
                          <w:t>8</w:t>
                        </w:r>
                      </w:p>
                    </w:tc>
                    <w:tc>
                      <w:tcPr>
                        <w:tcW w:w="3827" w:type="dxa"/>
                      </w:tcPr>
                      <w:p>
                        <w:pPr>
                          <w:tabs>
                            <w:tab w:val="left" w:pos="1134"/>
                          </w:tabs>
                          <w:snapToGrid w:val="0"/>
                          <w:jc w:val="center"/>
                        </w:pPr>
                        <w:r>
                          <w:t>enseignement primaire</w:t>
                        </w:r>
                      </w:p>
                    </w:tc>
                    <w:tc>
                      <w:tcPr>
                        <w:tcW w:w="2154" w:type="dxa"/>
                      </w:tcPr>
                      <w:p>
                        <w:pPr>
                          <w:tabs>
                            <w:tab w:val="left" w:pos="1134"/>
                          </w:tabs>
                          <w:snapToGrid w:val="0"/>
                          <w:jc w:val="center"/>
                        </w:pPr>
                        <w:r>
                          <w:t>1</w:t>
                        </w:r>
                      </w:p>
                    </w:tc>
                  </w:tr>
                  <w:tr>
                    <w:trPr>
                      <w:cantSplit/>
                      <w:trHeight w:val="402"/>
                      <w:jc w:val="center"/>
                    </w:trPr>
                    <w:tc>
                      <w:tcPr>
                        <w:tcW w:w="1134" w:type="dxa"/>
                      </w:tcPr>
                      <w:p>
                        <w:pPr>
                          <w:tabs>
                            <w:tab w:val="left" w:pos="1134"/>
                          </w:tabs>
                          <w:snapToGrid w:val="0"/>
                          <w:jc w:val="center"/>
                        </w:pPr>
                      </w:p>
                    </w:tc>
                    <w:tc>
                      <w:tcPr>
                        <w:tcW w:w="3827" w:type="dxa"/>
                      </w:tcPr>
                      <w:p>
                        <w:pPr>
                          <w:tabs>
                            <w:tab w:val="left" w:pos="1134"/>
                          </w:tabs>
                          <w:snapToGrid w:val="0"/>
                          <w:jc w:val="center"/>
                        </w:pPr>
                      </w:p>
                    </w:tc>
                    <w:tc>
                      <w:tcPr>
                        <w:tcW w:w="2154" w:type="dxa"/>
                      </w:tcPr>
                      <w:p>
                        <w:pPr>
                          <w:tabs>
                            <w:tab w:val="left" w:pos="1134"/>
                          </w:tabs>
                          <w:snapToGrid w:val="0"/>
                          <w:jc w:val="center"/>
                        </w:pPr>
                      </w:p>
                    </w:tc>
                  </w:tr>
                </w:tbl>
                <w:p>
                  <w:bookmarkStart w:id="1976" w:name="_2.3._Calcul_du"/>
                  <w:bookmarkStart w:id="1977" w:name="_Toc291075337"/>
                  <w:bookmarkStart w:id="1978" w:name="_Toc291075761"/>
                  <w:bookmarkStart w:id="1979" w:name="_Toc291076185"/>
                  <w:bookmarkStart w:id="1980" w:name="_Toc291076609"/>
                  <w:bookmarkStart w:id="1981" w:name="_Toc291077033"/>
                  <w:bookmarkStart w:id="1982" w:name="_Toc293651876"/>
                  <w:bookmarkStart w:id="1983" w:name="_Toc293653459"/>
                  <w:bookmarkStart w:id="1984" w:name="_Toc293654070"/>
                  <w:bookmarkStart w:id="1985" w:name="_Toc294004648"/>
                  <w:bookmarkStart w:id="1986" w:name="_Toc294185144"/>
                  <w:bookmarkStart w:id="1987" w:name="_Toc324165960"/>
                  <w:bookmarkStart w:id="1988" w:name="_Toc324766997"/>
                  <w:bookmarkStart w:id="1989" w:name="_Toc324767855"/>
                  <w:bookmarkStart w:id="1990" w:name="_Toc453314351"/>
                  <w:bookmarkStart w:id="1991" w:name="_Toc454980386"/>
                  <w:bookmarkEnd w:id="1976"/>
                </w:p>
                <w:p/>
                <w:p/>
                <w:p>
                  <w:pPr>
                    <w:pStyle w:val="Titre4"/>
                  </w:pPr>
                  <w:r>
                    <w:t>2.3. Calcul du capital-périodes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pPr>
                    <w:jc w:val="both"/>
                  </w:pPr>
                  <w:r>
                    <w:t>Le capital-périodes se calcule par type selon la formule :</w:t>
                  </w:r>
                </w:p>
                <w:p>
                  <w:pPr>
                    <w:jc w:val="both"/>
                  </w:pPr>
                </w:p>
                <w:p>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center"/>
                    <w:rPr>
                      <w:b/>
                    </w:rPr>
                  </w:pPr>
                  <w:r>
                    <w:rPr>
                      <w:b/>
                    </w:rPr>
                    <w:t>Nombre d'élèves x Nombre guide</w:t>
                  </w:r>
                </w:p>
                <w:p>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center"/>
                    <w:rPr>
                      <w:b/>
                    </w:rPr>
                  </w:pPr>
                </w:p>
                <w:p>
                  <w:pPr>
                    <w:jc w:val="both"/>
                  </w:pPr>
                  <w:r>
                    <w:t>Le capital-périodes attribué à l'école est égal à la somme des produits obtenus selon la règle mentionnée ci avant.</w:t>
                  </w:r>
                </w:p>
                <w:p>
                  <w:pPr>
                    <w:tabs>
                      <w:tab w:val="left" w:pos="-1440"/>
                      <w:tab w:val="left" w:pos="-720"/>
                    </w:tabs>
                    <w:jc w:val="both"/>
                  </w:pPr>
                  <w:r>
                    <w:t>Seule la somme de ces résultats est arrondie à l'unité supérieure.</w:t>
                  </w:r>
                </w:p>
                <w:p>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pPr>
                    <w:pStyle w:val="Titre4"/>
                  </w:pPr>
                  <w:bookmarkStart w:id="1992" w:name="_Toc291075338"/>
                  <w:bookmarkStart w:id="1993" w:name="_Toc291075762"/>
                  <w:bookmarkStart w:id="1994" w:name="_Toc291076186"/>
                  <w:bookmarkStart w:id="1995" w:name="_Toc291076610"/>
                  <w:bookmarkStart w:id="1996" w:name="_Toc291077034"/>
                  <w:bookmarkStart w:id="1997" w:name="_Toc293651877"/>
                  <w:bookmarkStart w:id="1998" w:name="_Toc293653460"/>
                  <w:bookmarkStart w:id="1999" w:name="_Toc293654071"/>
                  <w:bookmarkStart w:id="2000" w:name="_Toc294004649"/>
                  <w:bookmarkStart w:id="2001" w:name="_Toc294185145"/>
                  <w:bookmarkStart w:id="2002" w:name="_Toc324165961"/>
                  <w:bookmarkStart w:id="2003" w:name="_Toc324766998"/>
                  <w:bookmarkStart w:id="2004" w:name="_Toc324767856"/>
                  <w:bookmarkStart w:id="2005" w:name="_Toc453314352"/>
                  <w:bookmarkStart w:id="2006" w:name="_Toc454980387"/>
                  <w:r>
                    <w:t>2.4. Capital-périodes utilisable</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pPr>
                    <w:jc w:val="both"/>
                  </w:pPr>
                  <w:r>
                    <w:t>Le pourcentage du capital-périodes qui peut être utilisé est fixé à 97 % pour la présente année scolaire ; le résultat est arrondi à l'unité supérieure.</w:t>
                  </w:r>
                </w:p>
                <w:p>
                  <w:pPr>
                    <w:jc w:val="both"/>
                  </w:pPr>
                </w:p>
                <w:p>
                  <w:pPr>
                    <w:pBdr>
                      <w:right w:val="single" w:sz="4" w:space="4" w:color="auto"/>
                    </w:pBdr>
                    <w:jc w:val="both"/>
                    <w:rPr>
                      <w:rFonts w:ascii="Calibri" w:hAnsi="Calibri"/>
                    </w:rPr>
                  </w:pPr>
                  <w:r>
                    <w:t>En vertu de l’article 213, alinéa 3 du décret du 3 mars 2004,  le pourcentage du capital-périodes utilisable est de 100% en ce qui concerne les catégories du personnel paramédical, social et psychologique encadrant les élèves qui relèvent des pédagogies adaptées.</w:t>
                  </w:r>
                </w:p>
                <w:p>
                  <w:pPr>
                    <w:pBdr>
                      <w:right w:val="single" w:sz="4" w:space="4" w:color="auto"/>
                    </w:pBdr>
                    <w:jc w:val="both"/>
                  </w:pPr>
                  <w:r>
                    <w:t>Toutefois, les pédagogies adaptées ne peuvent bénéficier du capital-périodes à 100% que si les établissements concernés respectent un cahier des charges reprenant les dispositions nécessaires à l'organisation de ces dites pédagogies. Ce cahier des charges sera détaillé dans une circulaire spécifique publiée prochainement.</w:t>
                  </w:r>
                </w:p>
                <w:p>
                  <w:pPr>
                    <w:jc w:val="both"/>
                    <w:rPr>
                      <w:u w:val="single"/>
                    </w:rPr>
                  </w:pPr>
                </w:p>
                <w:p>
                  <w:pPr>
                    <w:pStyle w:val="Titre4"/>
                  </w:pPr>
                  <w:bookmarkStart w:id="2007" w:name="_2.5._Augmentation_du"/>
                  <w:bookmarkStart w:id="2008" w:name="_Toc291075339"/>
                  <w:bookmarkStart w:id="2009" w:name="_Toc291075763"/>
                  <w:bookmarkStart w:id="2010" w:name="_Toc291076187"/>
                  <w:bookmarkStart w:id="2011" w:name="_Toc291076611"/>
                  <w:bookmarkStart w:id="2012" w:name="_Toc291077035"/>
                  <w:bookmarkStart w:id="2013" w:name="_Toc293651878"/>
                  <w:bookmarkStart w:id="2014" w:name="_Toc293653461"/>
                  <w:bookmarkStart w:id="2015" w:name="_Toc293654072"/>
                  <w:bookmarkStart w:id="2016" w:name="_Toc294004650"/>
                  <w:bookmarkStart w:id="2017" w:name="_Toc294185146"/>
                  <w:bookmarkStart w:id="2018" w:name="_Toc324165962"/>
                  <w:bookmarkStart w:id="2019" w:name="_Toc324766999"/>
                  <w:bookmarkStart w:id="2020" w:name="_Toc324767857"/>
                  <w:bookmarkStart w:id="2021" w:name="_Toc453314353"/>
                  <w:bookmarkStart w:id="2022" w:name="_Toc454980388"/>
                  <w:bookmarkEnd w:id="2007"/>
                  <w:r>
                    <w:t>2.5. Augmentation du capital-périodes</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pPr>
                    <w:jc w:val="both"/>
                  </w:pPr>
                  <w:r>
                    <w:t>Un nouveau calcul de l’encadrement est réalisé le 1er octobre si la population au 30 septembre a varié d’au moins 5 % par rapport à celle du 15 janvier précédent.</w:t>
                  </w:r>
                </w:p>
                <w:p>
                  <w:pPr>
                    <w:jc w:val="both"/>
                    <w:rPr>
                      <w:u w:val="single"/>
                    </w:rPr>
                  </w:pPr>
                </w:p>
                <w:p>
                  <w:pPr>
                    <w:jc w:val="both"/>
                  </w:pPr>
                  <w:r>
                    <w:t>Après le 30 septembre, le capital-périodes peut être recalculé chaque fois que la population scolaire augmente d'au moins 10 % par rapport à celle qui a servi la dernière fois de base pour la détermination de ce capital-périodes.</w:t>
                  </w:r>
                </w:p>
                <w:p>
                  <w:pPr>
                    <w:jc w:val="both"/>
                  </w:pPr>
                  <w:r>
                    <w:t xml:space="preserve">Cet accroissement n'est pris en compte que si l'augmentation du nombre d'élèves correspond, pendant 10 jours de classe consécutifs, à au moins 10 %. </w:t>
                  </w:r>
                </w:p>
                <w:p>
                  <w:pPr>
                    <w:jc w:val="both"/>
                  </w:pPr>
                </w:p>
                <w:p>
                  <w:pPr>
                    <w:pBdr>
                      <w:right w:val="single" w:sz="4" w:space="4" w:color="auto"/>
                    </w:pBdr>
                    <w:jc w:val="both"/>
                  </w:pPr>
                  <w:r>
                    <w:t xml:space="preserve">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pPr>
                    <w:jc w:val="both"/>
                  </w:pPr>
                </w:p>
                <w:p>
                  <w:pPr>
                    <w:jc w:val="both"/>
                  </w:pPr>
                  <w:r>
                    <w:t>Toute demande de révision du calcul du capital-périodes doit être sollicitée directement auprès du Vérificateur (éventuellement par téléphone).</w:t>
                  </w:r>
                </w:p>
                <w:p>
                  <w:pPr>
                    <w:jc w:val="both"/>
                    <w:rPr>
                      <w:u w:val="single"/>
                    </w:rPr>
                  </w:pPr>
                </w:p>
                <w:p>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r>
                    <w:t>Aucun engagement de personnel ne peut avoir lieu avant d'obtenir l'accord du Vérificateur sur cette augmentation.</w:t>
                  </w:r>
                </w:p>
                <w:p>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pPr>
                    <w:pStyle w:val="Titre3"/>
                  </w:pPr>
                  <w:bookmarkStart w:id="2023" w:name="_3._Plages_horaires"/>
                  <w:bookmarkStart w:id="2024" w:name="__RefHeading__171_957262308"/>
                  <w:bookmarkStart w:id="2025" w:name="_3._Plages-horaire"/>
                  <w:bookmarkStart w:id="2026" w:name="_3._Horaires"/>
                  <w:bookmarkStart w:id="2027" w:name="_Toc291075340"/>
                  <w:bookmarkStart w:id="2028" w:name="_Toc291075764"/>
                  <w:bookmarkStart w:id="2029" w:name="_Toc291076188"/>
                  <w:bookmarkStart w:id="2030" w:name="_Toc291076612"/>
                  <w:bookmarkStart w:id="2031" w:name="_Toc291077036"/>
                  <w:bookmarkStart w:id="2032" w:name="_Toc293651879"/>
                  <w:bookmarkStart w:id="2033" w:name="_Toc293653462"/>
                  <w:bookmarkStart w:id="2034" w:name="_Toc293654073"/>
                  <w:bookmarkStart w:id="2035" w:name="_Toc294004651"/>
                  <w:bookmarkStart w:id="2036" w:name="_Toc294185147"/>
                  <w:bookmarkStart w:id="2037" w:name="_Toc324165963"/>
                  <w:bookmarkStart w:id="2038" w:name="_Toc324767000"/>
                  <w:bookmarkStart w:id="2039" w:name="_Toc453314354"/>
                  <w:bookmarkStart w:id="2040" w:name="_Toc454980389"/>
                  <w:bookmarkStart w:id="2041" w:name="_Toc18914445"/>
                  <w:bookmarkEnd w:id="2023"/>
                  <w:bookmarkEnd w:id="2024"/>
                  <w:bookmarkEnd w:id="2025"/>
                  <w:bookmarkEnd w:id="2026"/>
                  <w:r>
                    <w:t>3. Horaire</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r>
                    <w:t>s</w:t>
                  </w:r>
                  <w:bookmarkEnd w:id="2041"/>
                </w:p>
                <w:p>
                  <w:pPr>
                    <w:jc w:val="both"/>
                  </w:pPr>
                  <w:r>
                    <w:tab/>
                  </w:r>
                </w:p>
                <w:p>
                  <w:pPr>
                    <w:pStyle w:val="Titre4"/>
                  </w:pPr>
                  <w:r>
                    <w:t>3.1. L’horaire des membres du personnel suivant est fixé comme suit :</w:t>
                  </w:r>
                </w:p>
                <w:p>
                  <w:pPr>
                    <w:jc w:val="both"/>
                  </w:pPr>
                </w:p>
                <w:p>
                  <w:pPr>
                    <w:pBdr>
                      <w:right w:val="single" w:sz="4" w:space="4" w:color="auto"/>
                    </w:pBdr>
                    <w:tabs>
                      <w:tab w:val="left" w:pos="2835"/>
                    </w:tabs>
                    <w:jc w:val="both"/>
                  </w:pPr>
                  <w:r>
                    <w:t>Ergothérapeute</w:t>
                  </w:r>
                  <w:r>
                    <w:tab/>
                  </w:r>
                  <w:r>
                    <w:tab/>
                    <w:t>32 périodes de 50 minutes</w:t>
                  </w:r>
                </w:p>
                <w:p>
                  <w:pPr>
                    <w:pBdr>
                      <w:right w:val="single" w:sz="4" w:space="4" w:color="auto"/>
                    </w:pBdr>
                    <w:tabs>
                      <w:tab w:val="left" w:pos="2835"/>
                    </w:tabs>
                    <w:jc w:val="both"/>
                  </w:pPr>
                  <w:r>
                    <w:t>Logopède</w:t>
                  </w:r>
                  <w:r>
                    <w:tab/>
                  </w:r>
                  <w:r>
                    <w:tab/>
                    <w:t>30  périodes de 50 minutes</w:t>
                  </w:r>
                </w:p>
                <w:p>
                  <w:pPr>
                    <w:pBdr>
                      <w:right w:val="single" w:sz="4" w:space="4" w:color="auto"/>
                    </w:pBdr>
                    <w:tabs>
                      <w:tab w:val="left" w:pos="2835"/>
                    </w:tabs>
                    <w:jc w:val="both"/>
                  </w:pPr>
                  <w:r>
                    <w:t>Kinésithérapeute</w:t>
                  </w:r>
                  <w:r>
                    <w:tab/>
                  </w:r>
                  <w:r>
                    <w:tab/>
                    <w:t xml:space="preserve">32  périodes de 50 minutes </w:t>
                  </w:r>
                </w:p>
                <w:p>
                  <w:pPr>
                    <w:pBdr>
                      <w:right w:val="single" w:sz="4" w:space="4" w:color="auto"/>
                    </w:pBdr>
                    <w:tabs>
                      <w:tab w:val="left" w:pos="2835"/>
                    </w:tabs>
                    <w:jc w:val="both"/>
                  </w:pPr>
                  <w:r>
                    <w:t>Puériculteur(trice)</w:t>
                  </w:r>
                  <w:r>
                    <w:tab/>
                  </w:r>
                  <w:r>
                    <w:tab/>
                    <w:t xml:space="preserve">32  périodes de 50 minutes </w:t>
                  </w:r>
                </w:p>
                <w:p>
                  <w:pPr>
                    <w:pBdr>
                      <w:right w:val="single" w:sz="4" w:space="4" w:color="auto"/>
                    </w:pBdr>
                    <w:tabs>
                      <w:tab w:val="left" w:pos="2835"/>
                    </w:tabs>
                    <w:jc w:val="both"/>
                  </w:pPr>
                  <w:r>
                    <w:t>Infirmier(ère)</w:t>
                  </w:r>
                  <w:r>
                    <w:tab/>
                  </w:r>
                  <w:r>
                    <w:tab/>
                    <w:t xml:space="preserve">32  périodes de 50 minutes </w:t>
                  </w:r>
                </w:p>
                <w:p>
                  <w:pPr>
                    <w:pBdr>
                      <w:right w:val="single" w:sz="4" w:space="4" w:color="auto"/>
                    </w:pBdr>
                    <w:tabs>
                      <w:tab w:val="left" w:pos="2835"/>
                    </w:tabs>
                    <w:jc w:val="both"/>
                  </w:pPr>
                  <w:r>
                    <w:t>Assistant(e) social(e)</w:t>
                  </w:r>
                  <w:r>
                    <w:tab/>
                  </w:r>
                  <w:r>
                    <w:tab/>
                    <w:t xml:space="preserve">36  périodes de 50 minutes </w:t>
                  </w:r>
                </w:p>
                <w:p>
                  <w:pPr>
                    <w:pBdr>
                      <w:right w:val="single" w:sz="4" w:space="4" w:color="auto"/>
                    </w:pBdr>
                    <w:tabs>
                      <w:tab w:val="left" w:pos="2835"/>
                    </w:tabs>
                    <w:jc w:val="both"/>
                  </w:pPr>
                  <w:r>
                    <w:t>Psychologue</w:t>
                  </w:r>
                  <w:r>
                    <w:tab/>
                  </w:r>
                  <w:r>
                    <w:tab/>
                    <w:t>36  périodes de 50 minutes</w:t>
                  </w:r>
                </w:p>
                <w:p>
                  <w:pPr>
                    <w:pStyle w:val="Titre4"/>
                  </w:pPr>
                  <w:r>
                    <w:rPr>
                      <w:u w:val="none"/>
                    </w:rPr>
                    <w:tab/>
                  </w:r>
                  <w:r>
                    <w:t>3.2. Service à l’école et aux élèves</w:t>
                  </w:r>
                  <w:r>
                    <w:rPr>
                      <w:rStyle w:val="Appelnotedebasdep"/>
                      <w:b w:val="0"/>
                    </w:rPr>
                    <w:footnoteReference w:id="114"/>
                  </w:r>
                </w:p>
                <w:p>
                  <w:pPr>
                    <w:jc w:val="both"/>
                    <w:rPr>
                      <w:b/>
                      <w:u w:val="single"/>
                    </w:rPr>
                  </w:pPr>
                </w:p>
                <w:p>
                  <w:pPr>
                    <w:jc w:val="both"/>
                  </w:pPr>
                  <w:r>
                    <w:t>Les membres du personnel paramédical, social et psychologique sont tenus de remplir les missions suivantes, en plus de leurs prestations hebdomadaires visées au point 3.1 :</w:t>
                  </w:r>
                </w:p>
                <w:p>
                  <w:pPr>
                    <w:jc w:val="both"/>
                  </w:pPr>
                </w:p>
                <w:p>
                  <w:pPr>
                    <w:pStyle w:val="Paragraphedeliste"/>
                    <w:numPr>
                      <w:ilvl w:val="0"/>
                      <w:numId w:val="57"/>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sur la base d’un calendrier annuel ou trimestriel fixé anticipativement, participer aux réunions entre membres de l’équipe éducative et parents.  </w:t>
                  </w:r>
                </w:p>
                <w:p>
                  <w:pPr>
                    <w:pStyle w:val="Paragraphedeliste"/>
                    <w:numPr>
                      <w:ilvl w:val="0"/>
                      <w:numId w:val="57"/>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participer durant les heures scolaires aux activités socioculturelles et sportives en lien avec le projet d’établissement.</w:t>
                  </w:r>
                </w:p>
                <w:p>
                  <w:pPr>
                    <w:pStyle w:val="Paragraphedeliste"/>
                    <w:numPr>
                      <w:ilvl w:val="0"/>
                      <w:numId w:val="57"/>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Participer aux conseils de classe fixés anticipativement dans un calendrier annuel ou trimestriel.  </w:t>
                  </w:r>
                </w:p>
                <w:p>
                  <w:pPr>
                    <w:pStyle w:val="Paragraphedeliste"/>
                    <w:numPr>
                      <w:ilvl w:val="0"/>
                      <w:numId w:val="57"/>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Les autres services rentrant dans les prestations nécessaires à la bonne marche des établissements. </w:t>
                  </w:r>
                </w:p>
                <w:p>
                  <w:pPr>
                    <w:tabs>
                      <w:tab w:val="left" w:pos="2835"/>
                    </w:tabs>
                  </w:pPr>
                </w:p>
                <w:p>
                  <w:pPr>
                    <w:pStyle w:val="Titre4"/>
                  </w:pPr>
                  <w:r>
                    <w:t xml:space="preserve">3.3. Travail collaboratif </w:t>
                  </w:r>
                </w:p>
                <w:p>
                  <w:pPr>
                    <w:pBdr>
                      <w:right w:val="single" w:sz="4" w:space="4" w:color="auto"/>
                    </w:pBdr>
                    <w:tabs>
                      <w:tab w:val="left" w:pos="2835"/>
                    </w:tabs>
                    <w:jc w:val="both"/>
                  </w:pPr>
                </w:p>
                <w:p>
                  <w:pPr>
                    <w:pBdr>
                      <w:right w:val="single" w:sz="4" w:space="4" w:color="auto"/>
                    </w:pBdr>
                    <w:tabs>
                      <w:tab w:val="left" w:pos="2835"/>
                    </w:tabs>
                    <w:jc w:val="both"/>
                  </w:pPr>
                  <w:r>
                    <w:t xml:space="preserve">En outre, les membres du personnel exerçant une fonction du personnel paramédical, social et psychologique à prestations complètes sont tenus d’accomplir : </w:t>
                  </w:r>
                </w:p>
                <w:p>
                  <w:pPr>
                    <w:pStyle w:val="Paragraphedeliste"/>
                    <w:numPr>
                      <w:ilvl w:val="0"/>
                      <w:numId w:val="57"/>
                    </w:numPr>
                    <w:pBdr>
                      <w:right w:val="single" w:sz="4" w:space="4" w:color="auto"/>
                    </w:pBdr>
                    <w:tabs>
                      <w:tab w:val="left" w:pos="2835"/>
                    </w:tabs>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Dans l’enseignement maternel spécialisé : </w:t>
                  </w:r>
                </w:p>
                <w:p>
                  <w:pPr>
                    <w:pStyle w:val="Paragraphedeliste"/>
                    <w:numPr>
                      <w:ilvl w:val="1"/>
                      <w:numId w:val="57"/>
                    </w:numPr>
                    <w:pBdr>
                      <w:right w:val="single" w:sz="4" w:space="4" w:color="auto"/>
                    </w:pBdr>
                    <w:tabs>
                      <w:tab w:val="left" w:pos="2835"/>
                    </w:tabs>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60 périodes de travail collaboratif par année scolaire</w:t>
                  </w:r>
                </w:p>
                <w:p>
                  <w:pPr>
                    <w:pStyle w:val="Paragraphedeliste"/>
                    <w:numPr>
                      <w:ilvl w:val="0"/>
                      <w:numId w:val="57"/>
                    </w:numPr>
                    <w:pBdr>
                      <w:right w:val="single" w:sz="4" w:space="4" w:color="auto"/>
                    </w:pBdr>
                    <w:tabs>
                      <w:tab w:val="left" w:pos="2835"/>
                    </w:tabs>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Dans l’enseignement primaire spécialisé : </w:t>
                  </w:r>
                </w:p>
                <w:p>
                  <w:pPr>
                    <w:pStyle w:val="Paragraphedeliste"/>
                    <w:numPr>
                      <w:ilvl w:val="1"/>
                      <w:numId w:val="57"/>
                    </w:numPr>
                    <w:pBdr>
                      <w:right w:val="single" w:sz="4" w:space="4" w:color="auto"/>
                    </w:pBdr>
                    <w:tabs>
                      <w:tab w:val="left" w:pos="2835"/>
                    </w:tabs>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Au moins 60 périodes de travail collaboratif par année scolaire</w:t>
                  </w:r>
                </w:p>
                <w:p>
                  <w:pPr>
                    <w:pStyle w:val="Paragraphedeliste"/>
                    <w:pBdr>
                      <w:right w:val="single" w:sz="4" w:space="4" w:color="auto"/>
                    </w:pBdr>
                    <w:tabs>
                      <w:tab w:val="left" w:pos="2835"/>
                    </w:tabs>
                    <w:ind w:left="1440"/>
                    <w:jc w:val="both"/>
                  </w:pPr>
                </w:p>
                <w:p>
                  <w:pPr>
                    <w:pBdr>
                      <w:right w:val="single" w:sz="4" w:space="4" w:color="auto"/>
                    </w:pBd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r>
                    <w:t xml:space="preserve">Les périodes consacrées au travail collaboratif sont comprises dans leurs charges hebdomadaires définies au point 3.1. </w:t>
                  </w:r>
                </w:p>
                <w:p>
                  <w:bookmarkStart w:id="2042" w:name="_5._Utilisation_du"/>
                  <w:bookmarkStart w:id="2043" w:name="_Toc453314356"/>
                  <w:bookmarkStart w:id="2044" w:name="_Toc454980391"/>
                  <w:bookmarkEnd w:id="2042"/>
                </w:p>
                <w:p>
                  <w:pPr>
                    <w:pStyle w:val="Titre3"/>
                  </w:pPr>
                  <w:bookmarkStart w:id="2045" w:name="_Toc18914446"/>
                  <w:r>
                    <w:t>4. Utilisation du capital-périodes</w:t>
                  </w:r>
                  <w:bookmarkEnd w:id="2043"/>
                  <w:bookmarkEnd w:id="2044"/>
                  <w:bookmarkEnd w:id="2045"/>
                </w:p>
                <w:p>
                  <w:pPr>
                    <w:jc w:val="both"/>
                  </w:pPr>
                </w:p>
                <w:p>
                  <w:pPr>
                    <w:jc w:val="both"/>
                  </w:pPr>
                  <w:r>
                    <w:t>Dans chaque établissement d’enseignement spécialisé, des périodes peuvent être réservées à la coordination des projets d’intégration et ce, dans les limites du capital-périodes utilisable. Ces tâches peuvent être assurées par un ou plusieurs membres du personnel paramédical, social et psychologique dans le respect des règles statutaires.</w:t>
                  </w:r>
                </w:p>
                <w:p>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b/>
                    </w:rPr>
                  </w:pPr>
                </w:p>
                <w:p>
                  <w:pPr>
                    <w:pStyle w:val="Titre3"/>
                  </w:pPr>
                  <w:bookmarkStart w:id="2046" w:name="__RefHeading__175_957262308"/>
                  <w:bookmarkStart w:id="2047" w:name="_6._Répartition_du"/>
                  <w:bookmarkStart w:id="2048" w:name="_Toc291075342"/>
                  <w:bookmarkStart w:id="2049" w:name="_Toc291075766"/>
                  <w:bookmarkStart w:id="2050" w:name="_Toc291076190"/>
                  <w:bookmarkStart w:id="2051" w:name="_Toc291076614"/>
                  <w:bookmarkStart w:id="2052" w:name="_Toc291077038"/>
                  <w:bookmarkStart w:id="2053" w:name="_Toc293651881"/>
                  <w:bookmarkStart w:id="2054" w:name="_Toc293653464"/>
                  <w:bookmarkStart w:id="2055" w:name="_Toc293654075"/>
                  <w:bookmarkStart w:id="2056" w:name="_Toc294004653"/>
                  <w:bookmarkStart w:id="2057" w:name="_Toc294185149"/>
                  <w:bookmarkStart w:id="2058" w:name="_Toc324165965"/>
                  <w:bookmarkStart w:id="2059" w:name="_Toc324767002"/>
                  <w:bookmarkStart w:id="2060" w:name="_Toc453314357"/>
                  <w:bookmarkStart w:id="2061" w:name="_Toc454980392"/>
                  <w:bookmarkStart w:id="2062" w:name="_Toc18914447"/>
                  <w:bookmarkEnd w:id="2046"/>
                  <w:bookmarkEnd w:id="2047"/>
                  <w:r>
                    <w:t>5. Répartition du capital-périodes par fonction</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pPr>
                    <w:jc w:val="both"/>
                  </w:pPr>
                </w:p>
                <w:p>
                  <w:pPr>
                    <w:jc w:val="both"/>
                  </w:pPr>
                  <w:r>
                    <w:t>Les emplois occupés par des agents définitifs et qui étaient organisés ou subventionnés dans le cadre du capital-périodes de l’année scolaire précédente, seront reconduits en priorité.</w:t>
                  </w:r>
                </w:p>
                <w:p>
                  <w:pPr>
                    <w:jc w:val="both"/>
                  </w:pPr>
                </w:p>
                <w:p>
                  <w:pPr>
                    <w:jc w:val="both"/>
                  </w:pPr>
                  <w:r>
                    <w:t>Le chapitre VI du Décret du 3 mars 2004 organisant l’enseignement spécialisé fixe un capital-périodes global pour les fonctions du personnel paramédical, du personnel social et du personnel psychologique.  Il en résulte que aucun temporaire ne peut être engagé dans une de ces fonctions s’il existe par ailleurs au sein de l’établissement ou, pour l’enseignement subventionné officiel, au sein d’un des établissements organisés par le pouvoir organisateur sur le territoire de la commune, un membre du personnel nommé à titre définitif soit mis en disponibilité par défaut d’emploi, soit en perte partielle de charge.</w:t>
                  </w:r>
                </w:p>
                <w:p>
                  <w:pPr>
                    <w:jc w:val="both"/>
                  </w:pPr>
                </w:p>
                <w:p>
                  <w:pPr>
                    <w:jc w:val="both"/>
                  </w:pPr>
                  <w:r>
                    <w:t>Si le capital-périodes  le permet, priorité est accordée à la réaffectation, au rappel à l’activité et au complètement de charge d’un autre membre du personnel, conformément aux dispositions statutaires.</w:t>
                  </w:r>
                </w:p>
                <w:p>
                  <w:pPr>
                    <w:jc w:val="both"/>
                  </w:pPr>
                </w:p>
                <w:p>
                  <w:pPr>
                    <w:jc w:val="both"/>
                  </w:pPr>
                  <w:r>
                    <w:t>Les mises en disponibilité se font dans le respect global des anciennetés de service.  Il en résulte qu’est mis en disponibilité, ou en perte partielle de charge, l’agent nommé à l’une des fonctions du personnel paramédical, psychologique ou social, qui compte la plus petite ancienneté de service.  Un seul agent peut donc de cette manière être en perte partielle de charge.</w:t>
                  </w:r>
                </w:p>
                <w:p>
                  <w:pPr>
                    <w:jc w:val="both"/>
                  </w:pPr>
                </w:p>
                <w:p>
                  <w:pPr>
                    <w:jc w:val="both"/>
                  </w:pPr>
                  <w:r>
                    <w:t xml:space="preserve">Si l’établissement, pour répondre à des besoins spécifiques de l’élève, estime indispensable de mettre deux agents ou plus prestant dans des fonctions différentes, en perte partielle de charge, il introduit une demande auprès du Ministre en charge de l’Enseignement spécialisé </w:t>
                  </w:r>
                  <w:r>
                    <w:rPr>
                      <w:bCs/>
                    </w:rPr>
                    <w:t>au plus tard le 20 septembre</w:t>
                  </w:r>
                  <w:r>
                    <w:t>.</w:t>
                  </w:r>
                </w:p>
                <w:p>
                  <w:pPr>
                    <w:jc w:val="both"/>
                  </w:pPr>
                </w:p>
                <w:p>
                  <w:pPr>
                    <w:jc w:val="both"/>
                  </w:pPr>
                  <w:r>
                    <w:t>Cette demande doit être obligatoirement justifiée et complétée par les informations suivantes :</w:t>
                  </w:r>
                </w:p>
                <w:p>
                  <w:pPr>
                    <w:jc w:val="both"/>
                  </w:pPr>
                </w:p>
                <w:p>
                  <w:pPr>
                    <w:pStyle w:val="Paragraphedeliste"/>
                    <w:numPr>
                      <w:ilvl w:val="0"/>
                      <w:numId w:val="254"/>
                    </w:numPr>
                    <w:jc w:val="both"/>
                    <w:rPr>
                      <w:rFonts w:asciiTheme="majorHAnsi" w:hAnsiTheme="majorHAnsi"/>
                      <w:sz w:val="22"/>
                      <w:lang w:val="fr-FR"/>
                    </w:rPr>
                  </w:pPr>
                  <w:r>
                    <w:rPr>
                      <w:rFonts w:asciiTheme="majorHAnsi" w:hAnsiTheme="majorHAnsi"/>
                      <w:sz w:val="22"/>
                      <w:lang w:val="fr-FR"/>
                    </w:rPr>
                    <w:t>la ventilation du C.P.U. ;</w:t>
                  </w:r>
                </w:p>
                <w:p>
                  <w:pPr>
                    <w:pStyle w:val="Paragraphedeliste"/>
                    <w:numPr>
                      <w:ilvl w:val="0"/>
                      <w:numId w:val="254"/>
                    </w:numPr>
                    <w:jc w:val="both"/>
                    <w:rPr>
                      <w:rFonts w:asciiTheme="majorHAnsi" w:hAnsiTheme="majorHAnsi"/>
                      <w:sz w:val="22"/>
                    </w:rPr>
                  </w:pPr>
                  <w:r>
                    <w:rPr>
                      <w:rFonts w:asciiTheme="majorHAnsi" w:hAnsiTheme="majorHAnsi"/>
                      <w:sz w:val="22"/>
                      <w:lang w:val="fr-FR"/>
                    </w:rPr>
                    <w:t xml:space="preserve">la situation </w:t>
                  </w:r>
                  <w:r>
                    <w:rPr>
                      <w:rFonts w:asciiTheme="majorHAnsi" w:hAnsiTheme="majorHAnsi"/>
                      <w:sz w:val="22"/>
                    </w:rPr>
                    <w:t>administrative, ancienneté et nombre d’heures de nomination de tout le personnel paramédical,</w:t>
                  </w:r>
                </w:p>
                <w:p>
                  <w:pPr>
                    <w:pStyle w:val="Paragraphedeliste"/>
                    <w:numPr>
                      <w:ilvl w:val="0"/>
                      <w:numId w:val="254"/>
                    </w:numPr>
                    <w:jc w:val="both"/>
                    <w:rPr>
                      <w:rFonts w:asciiTheme="majorHAnsi" w:hAnsiTheme="majorHAnsi"/>
                      <w:sz w:val="22"/>
                    </w:rPr>
                  </w:pPr>
                  <w:r>
                    <w:rPr>
                      <w:rFonts w:asciiTheme="majorHAnsi" w:hAnsiTheme="majorHAnsi"/>
                      <w:sz w:val="22"/>
                    </w:rPr>
                    <w:t>la motivation éducative,</w:t>
                  </w:r>
                </w:p>
                <w:p>
                  <w:pPr>
                    <w:pStyle w:val="Paragraphedeliste"/>
                    <w:numPr>
                      <w:ilvl w:val="0"/>
                      <w:numId w:val="254"/>
                    </w:numPr>
                    <w:jc w:val="both"/>
                    <w:rPr>
                      <w:rFonts w:asciiTheme="majorHAnsi" w:hAnsiTheme="majorHAnsi"/>
                      <w:sz w:val="22"/>
                    </w:rPr>
                  </w:pPr>
                  <w:r>
                    <w:rPr>
                      <w:rFonts w:asciiTheme="majorHAnsi" w:hAnsiTheme="majorHAnsi"/>
                      <w:sz w:val="22"/>
                    </w:rPr>
                    <w:t>l’avis de l’organe légal de concertation.</w:t>
                  </w:r>
                </w:p>
                <w:p>
                  <w:pPr>
                    <w:suppressAutoHyphens/>
                  </w:pPr>
                </w:p>
                <w:p>
                  <w:pPr>
                    <w:suppressAutoHyphens/>
                  </w:pPr>
                </w:p>
                <w:p>
                  <w:pPr>
                    <w:pStyle w:val="Titre3"/>
                  </w:pPr>
                  <w:bookmarkStart w:id="2063" w:name="_Toc18914448"/>
                  <w:r>
                    <w:t>6. Encodage dans SIEL</w:t>
                  </w:r>
                  <w:bookmarkEnd w:id="2063"/>
                </w:p>
                <w:p>
                  <w:pPr>
                    <w:jc w:val="both"/>
                  </w:pPr>
                </w:p>
                <w:p>
                  <w:pPr>
                    <w:jc w:val="both"/>
                  </w:pPr>
                  <w:r>
                    <w:t xml:space="preserve">Il est impératif d’indiquer dans SIEL le code « U » lorsque les élèves bénéficient du paramédical. </w:t>
                  </w:r>
                </w:p>
                <w:p>
                  <w:r>
                    <w:br w:type="page"/>
                  </w:r>
                </w:p>
                <w:sdt>
                  <w:sdtPr>
                    <w:rPr>
                      <w:rFonts w:asciiTheme="majorHAnsi" w:eastAsiaTheme="minorHAnsi" w:hAnsiTheme="majorHAnsi"/>
                      <w:sz w:val="24"/>
                      <w:lang w:eastAsia="en-US"/>
                    </w:rPr>
                    <w:id w:val="1870878055"/>
                    <w:docPartObj>
                      <w:docPartGallery w:val="Cover Pages"/>
                      <w:docPartUnique/>
                    </w:docPartObj>
                  </w:sdtPr>
                  <w:sdtEndPr>
                    <w:rPr>
                      <w:sz w:val="22"/>
                    </w:rPr>
                  </w:sdtEndPr>
                  <w:sdtContent>
                    <w:p>
                      <w:pPr>
                        <w:pStyle w:val="Sansinterligne"/>
                        <w:jc w:val="both"/>
                        <w:rPr>
                          <w:rFonts w:asciiTheme="majorHAnsi" w:hAnsiTheme="majorHAnsi"/>
                        </w:rPr>
                      </w:pPr>
                    </w:p>
                    <w:p>
                      <w:pPr>
                        <w:pStyle w:val="Titre2"/>
                      </w:pPr>
                      <w:bookmarkStart w:id="2064" w:name="_Toc477623724"/>
                      <w:bookmarkStart w:id="2065" w:name="_Toc477767521"/>
                      <w:bookmarkStart w:id="2066" w:name="_Toc18914449"/>
                      <w:r>
                        <w:t>Chapitre</w:t>
                      </w:r>
                      <w:bookmarkEnd w:id="2064"/>
                      <w:bookmarkEnd w:id="2065"/>
                      <w:r>
                        <w:t xml:space="preserve"> 8 :</w:t>
                      </w:r>
                      <w:bookmarkStart w:id="2067" w:name="_Toc477623725"/>
                      <w:bookmarkStart w:id="2068" w:name="_Toc477767522"/>
                      <w:r>
                        <w:t xml:space="preserve"> Capitaux-périodes : Transfert et affectation particulière</w:t>
                      </w:r>
                      <w:bookmarkEnd w:id="2067"/>
                      <w:bookmarkEnd w:id="2068"/>
                      <w:bookmarkEnd w:id="2066"/>
                    </w:p>
                    <w:p>
                      <w:pPr>
                        <w:jc w:val="both"/>
                      </w:pPr>
                    </w:p>
                    <w:p>
                      <w:pPr>
                        <w:jc w:val="both"/>
                      </w:pPr>
                    </w:p>
                    <w:p>
                      <w:pPr>
                        <w:jc w:val="both"/>
                        <w:rPr>
                          <w:rFonts w:eastAsiaTheme="minorEastAsia"/>
                          <w:lang w:eastAsia="fr-BE"/>
                        </w:rPr>
                      </w:pPr>
                    </w:p>
                    <w:p>
                      <w:pPr>
                        <w:jc w:val="both"/>
                        <w:rPr>
                          <w:rFonts w:eastAsiaTheme="minorEastAsia"/>
                          <w:lang w:eastAsia="fr-BE"/>
                        </w:rPr>
                      </w:pPr>
                    </w:p>
                    <w:p>
                      <w:pPr>
                        <w:jc w:val="both"/>
                        <w:rPr>
                          <w:rFonts w:eastAsiaTheme="minorEastAsia"/>
                          <w:lang w:eastAsia="fr-BE"/>
                        </w:rPr>
                      </w:pPr>
                    </w:p>
                  </w:sdtContent>
                </w:sdt>
                <w:p>
                  <w:pPr>
                    <w:jc w:val="both"/>
                  </w:pPr>
                  <w:r>
                    <w:rPr>
                      <w:b/>
                      <w:u w:val="single"/>
                    </w:rPr>
                    <w:t>Base légale</w:t>
                  </w:r>
                  <w:r>
                    <w:t xml:space="preserve"> : </w:t>
                  </w:r>
                </w:p>
                <w:p>
                  <w:pPr>
                    <w:jc w:val="both"/>
                  </w:pPr>
                </w:p>
                <w:p>
                  <w:pPr>
                    <w:numPr>
                      <w:ilvl w:val="0"/>
                      <w:numId w:val="41"/>
                    </w:numPr>
                    <w:suppressAutoHyphens/>
                    <w:jc w:val="both"/>
                  </w:pPr>
                  <w:hyperlink r:id="rId153" w:history="1">
                    <w:r>
                      <w:rPr>
                        <w:rStyle w:val="Lienhypertexte"/>
                        <w:rFonts w:cs="Arial"/>
                      </w:rPr>
                      <w:t>Décret du 3 mars 2004 organisant l'enseignement spécialisé</w:t>
                    </w:r>
                  </w:hyperlink>
                  <w:r>
                    <w:t>.</w:t>
                  </w:r>
                </w:p>
                <w:p>
                  <w:pPr>
                    <w:jc w:val="both"/>
                  </w:pPr>
                </w:p>
                <w:p>
                  <w:pPr>
                    <w:pStyle w:val="Titre3"/>
                  </w:pPr>
                  <w:bookmarkStart w:id="2069" w:name="_1._Rappel_de"/>
                  <w:bookmarkStart w:id="2070" w:name="__RefHeading__189_957262308"/>
                  <w:bookmarkStart w:id="2071" w:name="_Toc291075349"/>
                  <w:bookmarkStart w:id="2072" w:name="_Toc291075773"/>
                  <w:bookmarkStart w:id="2073" w:name="_Toc291076197"/>
                  <w:bookmarkStart w:id="2074" w:name="_Toc291076621"/>
                  <w:bookmarkStart w:id="2075" w:name="_Toc291077045"/>
                  <w:bookmarkStart w:id="2076" w:name="_Toc293651888"/>
                  <w:bookmarkStart w:id="2077" w:name="_Toc293653471"/>
                  <w:bookmarkStart w:id="2078" w:name="_Toc293654082"/>
                  <w:bookmarkStart w:id="2079" w:name="_Toc294004660"/>
                  <w:bookmarkStart w:id="2080" w:name="_Toc294185156"/>
                  <w:bookmarkStart w:id="2081" w:name="_Toc324165972"/>
                  <w:bookmarkStart w:id="2082" w:name="_Toc324767009"/>
                  <w:bookmarkStart w:id="2083" w:name="_Toc453314364"/>
                  <w:bookmarkStart w:id="2084" w:name="_Toc454980399"/>
                  <w:bookmarkStart w:id="2085" w:name="_Toc18914450"/>
                  <w:bookmarkEnd w:id="2069"/>
                  <w:bookmarkEnd w:id="2070"/>
                  <w:r>
                    <w:t>1. Rappel de la réglementation</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r>
                    <w:t xml:space="preserve"> </w:t>
                  </w:r>
                </w:p>
                <w:p>
                  <w:pPr>
                    <w:tabs>
                      <w:tab w:val="left" w:pos="-1440"/>
                      <w:tab w:val="left" w:pos="-720"/>
                    </w:tabs>
                    <w:jc w:val="both"/>
                  </w:pPr>
                </w:p>
                <w:p>
                  <w:pPr>
                    <w:jc w:val="both"/>
                  </w:pPr>
                  <w:r>
                    <w:t>Les emplois occupés par les agents définitifs ou stagiaires qui étaient organisés ou subventionnés dans le cadre du capital-périodes de l'année scolaire précédente seront reconduits en priorité.</w:t>
                  </w:r>
                </w:p>
                <w:p>
                  <w:pPr>
                    <w:jc w:val="both"/>
                  </w:pPr>
                </w:p>
                <w:p>
                  <w:pPr>
                    <w:jc w:val="both"/>
                  </w:pPr>
                  <w:r>
                    <w:t>Dans les limites des capitaux-périodes restant à attribuer, la priorité sera alors accordée aux membres du personnel de la catégorie qui seraient en disponibilité par défaut d’emploi.</w:t>
                  </w:r>
                </w:p>
                <w:p>
                  <w:pPr>
                    <w:jc w:val="both"/>
                  </w:pPr>
                </w:p>
                <w:p>
                  <w:pPr>
                    <w:jc w:val="both"/>
                  </w:pPr>
                  <w:r>
                    <w:t xml:space="preserve">Pour le personnel directeur et enseignant, les périodes disponibles n'apparaîtront qu'après que toutes les classes ou groupes nécessaires en fonction des élèves régulièrement inscrits auront été constitués et que les périodes supplémentaires de direction de classe auront été prélevées conformément aux règles prescrites par le </w:t>
                  </w:r>
                  <w:hyperlink w:anchor="_chapitre_5_:" w:history="1">
                    <w:r>
                      <w:rPr>
                        <w:rStyle w:val="Lienhypertexte"/>
                        <w:rFonts w:cs="Arial"/>
                      </w:rPr>
                      <w:t>chapitre 5</w:t>
                    </w:r>
                  </w:hyperlink>
                  <w:r>
                    <w:t>.</w:t>
                  </w:r>
                </w:p>
                <w:p>
                  <w:pPr>
                    <w:jc w:val="both"/>
                  </w:pPr>
                </w:p>
                <w:p>
                  <w:pPr>
                    <w:jc w:val="both"/>
                  </w:pPr>
                  <w:r>
                    <w:t xml:space="preserve">Pour les personnels paramédical, social, psychologique, auxiliaire d’éducation et administratif, les périodes disponibles n'apparaîtront qu'après fixation du nombre de charges complètes ou partielles selon le </w:t>
                  </w:r>
                  <w:hyperlink w:anchor="_chapitre_6_:" w:history="1">
                    <w:r>
                      <w:rPr>
                        <w:rStyle w:val="Lienhypertexte"/>
                        <w:rFonts w:cs="Arial"/>
                      </w:rPr>
                      <w:t>chapitre 6</w:t>
                    </w:r>
                  </w:hyperlink>
                  <w:r>
                    <w:t xml:space="preserve"> et le </w:t>
                  </w:r>
                  <w:hyperlink w:anchor="_chapitre_7_:" w:history="1">
                    <w:r>
                      <w:rPr>
                        <w:rStyle w:val="Lienhypertexte"/>
                        <w:rFonts w:cs="Arial"/>
                      </w:rPr>
                      <w:t>chapitre 7</w:t>
                    </w:r>
                  </w:hyperlink>
                  <w:r>
                    <w:rPr>
                      <w:rFonts w:cs="Arial"/>
                    </w:rPr>
                    <w:t>.</w:t>
                  </w:r>
                </w:p>
                <w:p>
                  <w:bookmarkStart w:id="2086" w:name="_2._Transfert_de"/>
                  <w:bookmarkStart w:id="2087" w:name="__RefHeading__191_957262308"/>
                  <w:bookmarkStart w:id="2088" w:name="_Toc291075350"/>
                  <w:bookmarkStart w:id="2089" w:name="_Toc291075774"/>
                  <w:bookmarkStart w:id="2090" w:name="_Toc291076198"/>
                  <w:bookmarkStart w:id="2091" w:name="_Toc291076622"/>
                  <w:bookmarkStart w:id="2092" w:name="_Toc291077046"/>
                  <w:bookmarkStart w:id="2093" w:name="_Toc293651889"/>
                  <w:bookmarkStart w:id="2094" w:name="_Toc293653472"/>
                  <w:bookmarkStart w:id="2095" w:name="_Toc293654083"/>
                  <w:bookmarkStart w:id="2096" w:name="_Toc294004661"/>
                  <w:bookmarkStart w:id="2097" w:name="_Toc294185157"/>
                  <w:bookmarkStart w:id="2098" w:name="_Toc324165973"/>
                  <w:bookmarkStart w:id="2099" w:name="_Toc324767010"/>
                  <w:bookmarkStart w:id="2100" w:name="_Toc453314365"/>
                  <w:bookmarkStart w:id="2101" w:name="_Toc454980400"/>
                  <w:bookmarkEnd w:id="2086"/>
                  <w:bookmarkEnd w:id="2087"/>
                </w:p>
                <w:p>
                  <w:pPr>
                    <w:pStyle w:val="Titre3"/>
                  </w:pPr>
                  <w:bookmarkStart w:id="2102" w:name="_Toc18914451"/>
                  <w:r>
                    <w:t>2. Transfert de périodes enseignants du fondamental. (Article 44 bis du Décret du 3 mars 2004 organisant l'Enseignement spécialisé tel que modifié)</w:t>
                  </w:r>
                  <w:bookmarkEnd w:id="2088"/>
                  <w:bookmarkEnd w:id="2089"/>
                  <w:bookmarkEnd w:id="2090"/>
                  <w:bookmarkEnd w:id="2091"/>
                  <w:bookmarkEnd w:id="2092"/>
                  <w:bookmarkEnd w:id="2093"/>
                  <w:bookmarkEnd w:id="2094"/>
                  <w:bookmarkEnd w:id="2095"/>
                  <w:bookmarkEnd w:id="2096"/>
                  <w:bookmarkEnd w:id="2097"/>
                  <w:bookmarkEnd w:id="2098"/>
                  <w:bookmarkEnd w:id="2099"/>
                  <w:r>
                    <w:t>.</w:t>
                  </w:r>
                  <w:bookmarkEnd w:id="2100"/>
                  <w:bookmarkEnd w:id="2101"/>
                  <w:bookmarkEnd w:id="2102"/>
                  <w:r>
                    <w:t xml:space="preserve"> </w:t>
                  </w:r>
                </w:p>
                <w:p>
                  <w:pPr>
                    <w:tabs>
                      <w:tab w:val="left" w:pos="-1440"/>
                      <w:tab w:val="left" w:pos="-720"/>
                    </w:tabs>
                    <w:jc w:val="both"/>
                  </w:pPr>
                </w:p>
                <w:p>
                  <w:pPr>
                    <w:tabs>
                      <w:tab w:val="left" w:pos="-1440"/>
                      <w:tab w:val="left" w:pos="-720"/>
                    </w:tabs>
                    <w:jc w:val="both"/>
                  </w:pPr>
                  <w:r>
                    <w:t>Après consultation préalable de l’organe légal de concertation, un maximum de 24 périodes (soit 1 charge complète) peut être prélevé sur le capital-périodes enseignants à condition que ce prélèvement n’entraîne pas de mise en disponibilité par défaut d’emploi, partielle ou totale.</w:t>
                  </w:r>
                </w:p>
                <w:p>
                  <w:pPr>
                    <w:tabs>
                      <w:tab w:val="left" w:pos="-1440"/>
                      <w:tab w:val="left" w:pos="-720"/>
                    </w:tabs>
                    <w:jc w:val="both"/>
                  </w:pPr>
                </w:p>
                <w:p>
                  <w:pPr>
                    <w:tabs>
                      <w:tab w:val="left" w:pos="-1440"/>
                      <w:tab w:val="left" w:pos="-720"/>
                    </w:tabs>
                    <w:jc w:val="both"/>
                  </w:pPr>
                  <w:r>
                    <w:t>Ce transfert permet de créer une fonction supplémentaire, partielle ou totale, de l’éducateur et/ou de l’assistant social.</w:t>
                  </w:r>
                </w:p>
                <w:p>
                  <w:pPr>
                    <w:tabs>
                      <w:tab w:val="left" w:pos="-1440"/>
                      <w:tab w:val="left" w:pos="-720"/>
                    </w:tabs>
                    <w:jc w:val="both"/>
                    <w:rPr>
                      <w:iCs/>
                    </w:rPr>
                  </w:pPr>
                  <w:r>
                    <w:t xml:space="preserve">Les règles d’attributions de la fraction de charge sont les mêmes que celles reprises au </w:t>
                  </w:r>
                  <w:hyperlink w:anchor="__RefHeading__193_957262308" w:history="1">
                    <w:r>
                      <w:rPr>
                        <w:rStyle w:val="Lienhypertexte"/>
                        <w:rFonts w:cs="Arial"/>
                      </w:rPr>
                      <w:t>point 3</w:t>
                    </w:r>
                  </w:hyperlink>
                  <w:r>
                    <w:t xml:space="preserve"> du </w:t>
                  </w:r>
                  <w:r>
                    <w:rPr>
                      <w:iCs/>
                    </w:rPr>
                    <w:t xml:space="preserve"> présent chapitre.</w:t>
                  </w:r>
                </w:p>
                <w:p>
                  <w:pPr>
                    <w:tabs>
                      <w:tab w:val="left" w:pos="-1440"/>
                      <w:tab w:val="left" w:pos="-720"/>
                    </w:tabs>
                    <w:jc w:val="both"/>
                  </w:pPr>
                </w:p>
                <w:p>
                  <w:pPr>
                    <w:tabs>
                      <w:tab w:val="left" w:pos="-1440"/>
                      <w:tab w:val="left" w:pos="-720"/>
                    </w:tabs>
                    <w:jc w:val="both"/>
                  </w:pPr>
                  <w:r>
                    <w:t xml:space="preserve">Les fonctions d’éducateur ou d’assistant social créées par cette disposition sont soumises aux mêmes règles statutaires que celles des mêmes fonctions du cadre organique prévues au </w:t>
                  </w:r>
                  <w:hyperlink w:anchor="_chapitre_6_:" w:history="1">
                    <w:r>
                      <w:rPr>
                        <w:rStyle w:val="Lienhypertexte"/>
                        <w:rFonts w:cs="Arial"/>
                      </w:rPr>
                      <w:t>chapitre 6</w:t>
                    </w:r>
                  </w:hyperlink>
                  <w:r>
                    <w:t xml:space="preserve"> et au </w:t>
                  </w:r>
                  <w:hyperlink w:anchor="_chapitre_7_:" w:history="1">
                    <w:r>
                      <w:rPr>
                        <w:rStyle w:val="Lienhypertexte"/>
                        <w:rFonts w:cs="Arial"/>
                      </w:rPr>
                      <w:t>chapitre 7</w:t>
                    </w:r>
                  </w:hyperlink>
                  <w:r>
                    <w:t>.</w:t>
                  </w:r>
                </w:p>
                <w:p>
                  <w:pPr>
                    <w:tabs>
                      <w:tab w:val="left" w:pos="-1440"/>
                      <w:tab w:val="left" w:pos="-720"/>
                    </w:tabs>
                    <w:jc w:val="both"/>
                  </w:pPr>
                </w:p>
                <w:p>
                  <w:pPr>
                    <w:pBdr>
                      <w:top w:val="single" w:sz="4" w:space="1" w:color="000000"/>
                      <w:left w:val="single" w:sz="4" w:space="4" w:color="000000"/>
                      <w:bottom w:val="single" w:sz="4" w:space="1" w:color="000000"/>
                      <w:right w:val="single" w:sz="4" w:space="4" w:color="auto"/>
                    </w:pBdr>
                    <w:tabs>
                      <w:tab w:val="left" w:pos="-1440"/>
                      <w:tab w:val="left" w:pos="-720"/>
                    </w:tabs>
                    <w:jc w:val="both"/>
                  </w:pPr>
                  <w:r>
                    <w:rPr>
                      <w:b/>
                      <w:u w:val="single"/>
                    </w:rPr>
                    <w:t>Attention :</w:t>
                  </w:r>
                  <w:r>
                    <w:t xml:space="preserve"> ce transfert devient </w:t>
                  </w:r>
                  <w:r>
                    <w:rPr>
                      <w:u w:val="single"/>
                    </w:rPr>
                    <w:t>définitif</w:t>
                  </w:r>
                  <w:r>
                    <w:t xml:space="preserve"> et automatique pour l’établissement qui y a recouru pendant 3 années scolaires consécutives.  </w:t>
                  </w:r>
                </w:p>
                <w:p>
                  <w:pPr>
                    <w:pBdr>
                      <w:top w:val="single" w:sz="4" w:space="1" w:color="000000"/>
                      <w:left w:val="single" w:sz="4" w:space="4" w:color="000000"/>
                      <w:bottom w:val="single" w:sz="4" w:space="1" w:color="000000"/>
                      <w:right w:val="single" w:sz="4" w:space="4" w:color="auto"/>
                    </w:pBdr>
                    <w:tabs>
                      <w:tab w:val="left" w:pos="-1440"/>
                      <w:tab w:val="left" w:pos="-720"/>
                    </w:tabs>
                    <w:jc w:val="both"/>
                  </w:pPr>
                  <w:r>
                    <w:t>Ceci afin de permettre la nomination éventuelle d’un membre du personnel concerné.</w:t>
                  </w:r>
                </w:p>
                <w:p>
                  <w:pPr>
                    <w:pBdr>
                      <w:top w:val="single" w:sz="4" w:space="1" w:color="000000"/>
                      <w:left w:val="single" w:sz="4" w:space="4" w:color="000000"/>
                      <w:bottom w:val="single" w:sz="4" w:space="1" w:color="000000"/>
                      <w:right w:val="single" w:sz="4" w:space="4" w:color="auto"/>
                    </w:pBdr>
                    <w:tabs>
                      <w:tab w:val="left" w:pos="-1440"/>
                      <w:tab w:val="left" w:pos="-720"/>
                    </w:tabs>
                    <w:jc w:val="both"/>
                  </w:pPr>
                  <w:r>
                    <w:t>La nomination ou l’engagement à titre définitif ne pourra être accordé que dans un emploi à mi-temps ou à prestations complètes.</w:t>
                  </w:r>
                </w:p>
                <w:p>
                  <w:pPr>
                    <w:tabs>
                      <w:tab w:val="left" w:pos="-1440"/>
                      <w:tab w:val="left" w:pos="-720"/>
                    </w:tabs>
                    <w:jc w:val="both"/>
                  </w:pPr>
                </w:p>
                <w:p>
                  <w:pPr>
                    <w:tabs>
                      <w:tab w:val="left" w:pos="-1440"/>
                      <w:tab w:val="left" w:pos="-720"/>
                    </w:tabs>
                    <w:jc w:val="both"/>
                  </w:pPr>
                </w:p>
                <w:p>
                  <w:pPr>
                    <w:tabs>
                      <w:tab w:val="left" w:pos="-1440"/>
                      <w:tab w:val="left" w:pos="-720"/>
                    </w:tabs>
                    <w:jc w:val="both"/>
                  </w:pPr>
                </w:p>
                <w:p>
                  <w:pPr>
                    <w:tabs>
                      <w:tab w:val="left" w:pos="-1440"/>
                      <w:tab w:val="left" w:pos="-720"/>
                    </w:tabs>
                    <w:jc w:val="both"/>
                  </w:pPr>
                  <w:r>
                    <w:t>Vous trouverez ci-après quelques précisions :</w:t>
                  </w:r>
                </w:p>
                <w:p>
                  <w:pPr>
                    <w:tabs>
                      <w:tab w:val="left" w:pos="-1440"/>
                      <w:tab w:val="left" w:pos="-720"/>
                    </w:tabs>
                    <w:jc w:val="both"/>
                  </w:pPr>
                </w:p>
                <w:p>
                  <w:pPr>
                    <w:numPr>
                      <w:ilvl w:val="0"/>
                      <w:numId w:val="11"/>
                    </w:numPr>
                    <w:suppressAutoHyphens/>
                    <w:jc w:val="both"/>
                  </w:pPr>
                  <w:r>
                    <w:t>le transfert deviendra OBLIGATOIRE et SYSTEMATIQUE après 3 années consécutives, où on aura transféré 12 ou 24 périodes.</w:t>
                  </w:r>
                </w:p>
                <w:p>
                  <w:pPr>
                    <w:numPr>
                      <w:ilvl w:val="0"/>
                      <w:numId w:val="11"/>
                    </w:numPr>
                    <w:tabs>
                      <w:tab w:val="left" w:pos="-1440"/>
                      <w:tab w:val="left" w:pos="-720"/>
                    </w:tabs>
                    <w:suppressAutoHyphens/>
                    <w:jc w:val="both"/>
                  </w:pPr>
                  <w:r>
                    <w:t>rien n’empêche une école de ne transférer qu’une partie des 24 périodes.</w:t>
                  </w:r>
                </w:p>
                <w:p>
                  <w:pPr>
                    <w:numPr>
                      <w:ilvl w:val="0"/>
                      <w:numId w:val="11"/>
                    </w:numPr>
                    <w:suppressAutoHyphens/>
                    <w:jc w:val="both"/>
                  </w:pPr>
                  <w:r>
                    <w:t xml:space="preserve">le P.O. ne pourra nommer le membre du personnel exerçant dans une fonction créée sur base des article 44bis </w:t>
                  </w:r>
                  <w:r>
                    <w:rPr>
                      <w:bCs/>
                    </w:rPr>
                    <w:t>que </w:t>
                  </w:r>
                  <w:r>
                    <w:t>:</w:t>
                  </w:r>
                </w:p>
                <w:p>
                  <w:pPr>
                    <w:numPr>
                      <w:ilvl w:val="0"/>
                      <w:numId w:val="3"/>
                    </w:numPr>
                    <w:suppressAutoHyphens/>
                    <w:ind w:left="567"/>
                    <w:jc w:val="both"/>
                  </w:pPr>
                  <w:r>
                    <w:t>si cette fonction a été organisée durant 3 années scolaires consécutives</w:t>
                  </w:r>
                  <w:r>
                    <w:rPr>
                      <w:rStyle w:val="Appelnotedebasdep"/>
                    </w:rPr>
                    <w:footnoteReference w:id="115"/>
                  </w:r>
                  <w:r>
                    <w:t>.</w:t>
                  </w:r>
                </w:p>
                <w:p>
                  <w:pPr>
                    <w:numPr>
                      <w:ilvl w:val="0"/>
                      <w:numId w:val="3"/>
                    </w:numPr>
                    <w:suppressAutoHyphens/>
                    <w:ind w:left="567"/>
                    <w:jc w:val="both"/>
                  </w:pPr>
                  <w:r>
                    <w:t>pour une charge complète ou à mi-temps.</w:t>
                  </w:r>
                </w:p>
                <w:p>
                  <w:pPr>
                    <w:numPr>
                      <w:ilvl w:val="0"/>
                      <w:numId w:val="3"/>
                    </w:numPr>
                    <w:suppressAutoHyphens/>
                    <w:ind w:left="567"/>
                    <w:jc w:val="both"/>
                  </w:pPr>
                  <w:r>
                    <w:t>sur base d’un transfert de 12 ou 24 périodes du CPU « enseignants fondamental ».</w:t>
                  </w:r>
                </w:p>
                <w:p/>
                <w:p>
                  <w:pPr>
                    <w:pBdr>
                      <w:top w:val="single" w:sz="4" w:space="1" w:color="000000"/>
                      <w:left w:val="single" w:sz="4" w:space="4" w:color="000000"/>
                      <w:bottom w:val="single" w:sz="4" w:space="1" w:color="000000"/>
                      <w:right w:val="single" w:sz="4" w:space="4" w:color="000000"/>
                    </w:pBdr>
                    <w:jc w:val="both"/>
                    <w:rPr>
                      <w:b/>
                      <w:iCs/>
                    </w:rPr>
                  </w:pPr>
                  <w:r>
                    <w:rPr>
                      <w:b/>
                      <w:bCs/>
                      <w:iCs/>
                      <w:u w:val="single"/>
                    </w:rPr>
                    <w:t>Remarque</w:t>
                  </w:r>
                  <w:r>
                    <w:rPr>
                      <w:b/>
                      <w:iCs/>
                    </w:rPr>
                    <w:t xml:space="preserve"> : </w:t>
                  </w:r>
                  <w:r>
                    <w:rPr>
                      <w:iCs/>
                    </w:rPr>
                    <w:t>les prestations effectuées dans la même fonction sur base de reliquats (</w:t>
                  </w:r>
                  <w:hyperlink w:anchor="_3._Affectations_des" w:history="1">
                    <w:r>
                      <w:rPr>
                        <w:rStyle w:val="Lienhypertexte"/>
                        <w:rFonts w:cs="Arial"/>
                        <w:iCs/>
                      </w:rPr>
                      <w:t>point 3</w:t>
                    </w:r>
                  </w:hyperlink>
                  <w:r>
                    <w:rPr>
                      <w:iCs/>
                    </w:rPr>
                    <w:t xml:space="preserve"> du présent chapitre) ne sont pas prises en compte dans ce calcul.</w:t>
                  </w:r>
                </w:p>
                <w:p>
                  <w:pPr>
                    <w:jc w:val="both"/>
                    <w:rPr>
                      <w:b/>
                      <w:bCs/>
                      <w:iCs/>
                      <w:u w:val="single"/>
                    </w:rPr>
                  </w:pPr>
                </w:p>
                <w:p>
                  <w:pPr>
                    <w:pBdr>
                      <w:top w:val="single" w:sz="4" w:space="1" w:color="auto"/>
                      <w:left w:val="single" w:sz="4" w:space="4" w:color="auto"/>
                      <w:bottom w:val="single" w:sz="4" w:space="1" w:color="auto"/>
                      <w:right w:val="single" w:sz="4" w:space="4" w:color="auto"/>
                    </w:pBdr>
                    <w:jc w:val="both"/>
                    <w:rPr>
                      <w:b/>
                      <w:bCs/>
                      <w:iCs/>
                    </w:rPr>
                  </w:pPr>
                  <w:r>
                    <w:rPr>
                      <w:b/>
                      <w:bCs/>
                      <w:iCs/>
                      <w:u w:val="single"/>
                    </w:rPr>
                    <w:t>Attention :</w:t>
                  </w:r>
                  <w:r>
                    <w:rPr>
                      <w:b/>
                      <w:bCs/>
                      <w:iCs/>
                    </w:rPr>
                    <w:t xml:space="preserve"> il est impératif d’indiquer sur les documents d’attributions en regard des périodes concernées qu’il est fait application selon les cas soit de l’article 44 bis, et de l’article 165 du décret du 3 mars 2004.</w:t>
                  </w:r>
                </w:p>
                <w:p>
                  <w:pPr>
                    <w:jc w:val="both"/>
                    <w:rPr>
                      <w:b/>
                      <w:bCs/>
                      <w:iCs/>
                      <w:u w:val="single"/>
                    </w:rPr>
                  </w:pPr>
                </w:p>
                <w:p>
                  <w:pPr>
                    <w:jc w:val="both"/>
                    <w:rPr>
                      <w:b/>
                      <w:bCs/>
                      <w:iCs/>
                      <w:u w:val="single"/>
                    </w:rPr>
                  </w:pPr>
                  <w:r>
                    <w:rPr>
                      <w:b/>
                      <w:bCs/>
                      <w:iCs/>
                      <w:u w:val="single"/>
                    </w:rPr>
                    <w:t>Exemples :</w:t>
                  </w:r>
                </w:p>
                <w:p>
                  <w:pPr>
                    <w:jc w:val="both"/>
                    <w:rPr>
                      <w:b/>
                      <w:bCs/>
                      <w:iCs/>
                      <w:u w:val="single"/>
                    </w:rPr>
                  </w:pPr>
                </w:p>
                <w:p>
                  <w:pPr>
                    <w:jc w:val="both"/>
                  </w:pPr>
                  <w:r>
                    <w:t xml:space="preserve">Si on crée 18/36 d’assistante sociale </w:t>
                  </w:r>
                  <w:r>
                    <w:rPr>
                      <w:b/>
                    </w:rPr>
                    <w:t>et</w:t>
                  </w:r>
                  <w:r>
                    <w:t xml:space="preserve"> 18/36 d’éducateur on pourra les nommer à concurrence d’un mi-temps chacun (après 3 années consécutives).</w:t>
                  </w:r>
                </w:p>
                <w:p>
                  <w:pPr>
                    <w:jc w:val="both"/>
                  </w:pPr>
                </w:p>
                <w:p>
                  <w:pPr>
                    <w:jc w:val="both"/>
                  </w:pPr>
                  <w:r>
                    <w:t xml:space="preserve">Si on crée 1/4 d’assistante sociale (9/36) </w:t>
                  </w:r>
                  <w:r>
                    <w:rPr>
                      <w:b/>
                    </w:rPr>
                    <w:t>et</w:t>
                  </w:r>
                  <w:r>
                    <w:t xml:space="preserve"> ¾ d’éducateur (27/36) on pourra nommer l’éducateur à concurrence d’un mi-temps (après 3 années consécutives).</w:t>
                  </w:r>
                </w:p>
                <w:p>
                  <w:pPr>
                    <w:jc w:val="both"/>
                  </w:pPr>
                </w:p>
                <w:p>
                  <w:pPr>
                    <w:jc w:val="both"/>
                  </w:pPr>
                  <w:r>
                    <w:t xml:space="preserve">Si on crée 1 assistante sociale (36/36) </w:t>
                  </w:r>
                  <w:r>
                    <w:rPr>
                      <w:b/>
                      <w:bCs/>
                    </w:rPr>
                    <w:t>ou</w:t>
                  </w:r>
                  <w:r>
                    <w:t xml:space="preserve"> 1 éducateur (36/36) on pourra nommer la personne concernée (après 3 années consécutives).</w:t>
                  </w:r>
                </w:p>
                <w:p>
                  <w:pPr>
                    <w:jc w:val="both"/>
                  </w:pPr>
                </w:p>
                <w:p>
                  <w:pPr>
                    <w:jc w:val="both"/>
                  </w:pPr>
                  <w:r>
                    <w:t xml:space="preserve">Si on crée 18/36 d’assistant social pour Monsieur DUPONT </w:t>
                  </w:r>
                  <w:r>
                    <w:rPr>
                      <w:b/>
                    </w:rPr>
                    <w:t>et</w:t>
                  </w:r>
                  <w:r>
                    <w:t xml:space="preserve"> 18/36 d’assistant social pour Monsieur DURANT, on pourra les nommer (après 3 années consécutives).</w:t>
                  </w:r>
                </w:p>
                <w:p>
                  <w:pPr>
                    <w:jc w:val="both"/>
                  </w:pPr>
                </w:p>
                <w:p>
                  <w:pPr>
                    <w:jc w:val="both"/>
                  </w:pPr>
                  <w:r>
                    <w:t>Si on crée 18/36 d’éducateur pour Monsieur DUPONT et 18/36 d’éducateur pour Monsieur DURANT, on pourra les nommer (après 3 années consécutives).</w:t>
                  </w:r>
                </w:p>
                <w:p>
                  <w:pPr>
                    <w:jc w:val="both"/>
                  </w:pPr>
                </w:p>
                <w:p>
                  <w:pPr>
                    <w:jc w:val="both"/>
                  </w:pPr>
                  <w:r>
                    <w:t xml:space="preserve">Qu’en est-il de l’emploi issu du transfert de périodes-professeurs pendant la période de probation de 3 ans ? Cet emploi est-il également soumis à la réaffectation ? Réponse : </w:t>
                  </w:r>
                  <w:r>
                    <w:rPr>
                      <w:bCs/>
                    </w:rPr>
                    <w:t>oui</w:t>
                  </w:r>
                  <w:r>
                    <w:t>, tant que la personne n’est pas nommée.</w:t>
                  </w:r>
                </w:p>
                <w:p>
                  <w:pPr>
                    <w:jc w:val="both"/>
                  </w:pPr>
                </w:p>
                <w:p>
                  <w:pPr>
                    <w:tabs>
                      <w:tab w:val="left" w:pos="-1440"/>
                      <w:tab w:val="left" w:pos="-720"/>
                    </w:tabs>
                    <w:jc w:val="both"/>
                  </w:pPr>
                  <w:r>
                    <w:t>Le CPU de l’année scolaire pouvant être modifié au 30 septembre, on peut considérer que les attributions au 1er octobre portent sur une année complète.</w:t>
                  </w:r>
                </w:p>
                <w:p>
                  <w:pPr>
                    <w:tabs>
                      <w:tab w:val="left" w:pos="-1440"/>
                      <w:tab w:val="left" w:pos="-720"/>
                      <w:tab w:val="left" w:pos="1"/>
                      <w:tab w:val="left" w:pos="113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pStyle w:val="Titre3"/>
                  </w:pPr>
                  <w:bookmarkStart w:id="2103" w:name="_3._Affectations_des"/>
                  <w:bookmarkStart w:id="2104" w:name="__RefHeading__193_957262308"/>
                  <w:bookmarkStart w:id="2105" w:name="_Toc291075351"/>
                  <w:bookmarkStart w:id="2106" w:name="_Toc291075775"/>
                  <w:bookmarkStart w:id="2107" w:name="_Toc291076199"/>
                  <w:bookmarkStart w:id="2108" w:name="_Toc291076623"/>
                  <w:bookmarkStart w:id="2109" w:name="_Toc291077047"/>
                  <w:bookmarkStart w:id="2110" w:name="_Toc293651890"/>
                  <w:bookmarkStart w:id="2111" w:name="_Toc293653473"/>
                  <w:bookmarkStart w:id="2112" w:name="_Toc293654084"/>
                  <w:bookmarkStart w:id="2113" w:name="_Toc294004662"/>
                  <w:bookmarkStart w:id="2114" w:name="_Toc294185158"/>
                  <w:bookmarkStart w:id="2115" w:name="_Toc18914452"/>
                  <w:bookmarkStart w:id="2116" w:name="_Toc324165974"/>
                  <w:bookmarkStart w:id="2117" w:name="_Toc324767011"/>
                  <w:bookmarkStart w:id="2118" w:name="_Toc453314366"/>
                  <w:bookmarkStart w:id="2119" w:name="_Toc454980401"/>
                  <w:bookmarkEnd w:id="2103"/>
                  <w:bookmarkEnd w:id="2104"/>
                  <w:r>
                    <w:t>3. Affectations des capitaux-périodes non utilisés</w:t>
                  </w:r>
                  <w:bookmarkEnd w:id="2105"/>
                  <w:bookmarkEnd w:id="2106"/>
                  <w:bookmarkEnd w:id="2107"/>
                  <w:bookmarkEnd w:id="2108"/>
                  <w:bookmarkEnd w:id="2109"/>
                  <w:bookmarkEnd w:id="2110"/>
                  <w:bookmarkEnd w:id="2111"/>
                  <w:bookmarkEnd w:id="2112"/>
                  <w:bookmarkEnd w:id="2113"/>
                  <w:bookmarkEnd w:id="2114"/>
                  <w:bookmarkEnd w:id="2115"/>
                  <w:r>
                    <w:t xml:space="preserve">  </w:t>
                  </w:r>
                  <w:bookmarkEnd w:id="2116"/>
                  <w:bookmarkEnd w:id="2117"/>
                  <w:bookmarkEnd w:id="2118"/>
                  <w:bookmarkEnd w:id="2119"/>
                </w:p>
                <w:p>
                  <w:pPr>
                    <w:tabs>
                      <w:tab w:val="left" w:pos="-1440"/>
                      <w:tab w:val="left" w:pos="-720"/>
                    </w:tabs>
                    <w:jc w:val="both"/>
                  </w:pPr>
                </w:p>
                <w:p>
                  <w:pPr>
                    <w:pStyle w:val="Titre4"/>
                  </w:pPr>
                  <w:bookmarkStart w:id="2120" w:name="_Toc453314367"/>
                  <w:bookmarkStart w:id="2121" w:name="_Toc454980402"/>
                  <w:bookmarkStart w:id="2122" w:name="_Toc291075352"/>
                  <w:bookmarkStart w:id="2123" w:name="_Toc291075776"/>
                  <w:bookmarkStart w:id="2124" w:name="_Toc291076200"/>
                  <w:bookmarkStart w:id="2125" w:name="_Toc291076624"/>
                  <w:bookmarkStart w:id="2126" w:name="_Toc291077048"/>
                  <w:bookmarkStart w:id="2127" w:name="_Toc293651891"/>
                  <w:bookmarkStart w:id="2128" w:name="_Toc293653474"/>
                  <w:bookmarkStart w:id="2129" w:name="_Toc293654085"/>
                  <w:bookmarkStart w:id="2130" w:name="_Toc294004663"/>
                  <w:bookmarkStart w:id="2131" w:name="_Toc294185159"/>
                  <w:bookmarkStart w:id="2132" w:name="_Toc324165975"/>
                  <w:bookmarkStart w:id="2133" w:name="_Toc324767012"/>
                  <w:bookmarkStart w:id="2134" w:name="_Toc324767870"/>
                  <w:r>
                    <w:t>3.1. Les capitaux-périodes</w:t>
                  </w:r>
                  <w:bookmarkEnd w:id="2120"/>
                  <w:bookmarkEnd w:id="2121"/>
                  <w:r>
                    <w:t xml:space="preserve"> </w:t>
                  </w:r>
                </w:p>
                <w:p>
                  <w:pPr>
                    <w:jc w:val="both"/>
                  </w:pPr>
                </w:p>
                <w:p>
                  <w:pPr>
                    <w:jc w:val="both"/>
                  </w:pPr>
                  <w:r>
                    <w:t xml:space="preserve">Ils sont disponibles après application des règles rappelées au </w:t>
                  </w:r>
                  <w:hyperlink w:anchor="_1._Rappel_de" w:history="1">
                    <w:r>
                      <w:rPr>
                        <w:rStyle w:val="Lienhypertexte"/>
                        <w:rFonts w:cs="Arial"/>
                      </w:rPr>
                      <w:t>point 1</w:t>
                    </w:r>
                  </w:hyperlink>
                  <w:r>
                    <w:t xml:space="preserve"> et au </w:t>
                  </w:r>
                  <w:hyperlink w:anchor="__RefHeading__191_957262308" w:history="1">
                    <w:r>
                      <w:rPr>
                        <w:rStyle w:val="Lienhypertexte"/>
                        <w:rFonts w:cs="Arial"/>
                      </w:rPr>
                      <w:t>point 2</w:t>
                    </w:r>
                  </w:hyperlink>
                  <w:r>
                    <w:t xml:space="preserve"> doivent être utilisés en priorité respectivement pour les différentes catégories de personnel selon leurs origines.</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pPr>
                    <w:jc w:val="both"/>
                  </w:pPr>
                </w:p>
                <w:p>
                  <w:pPr>
                    <w:pStyle w:val="Titre4"/>
                  </w:pPr>
                  <w:bookmarkStart w:id="2135" w:name="_Toc453314368"/>
                  <w:bookmarkStart w:id="2136" w:name="_Toc454980403"/>
                  <w:bookmarkStart w:id="2137" w:name="_Toc291075353"/>
                  <w:bookmarkStart w:id="2138" w:name="_Toc291075777"/>
                  <w:bookmarkStart w:id="2139" w:name="_Toc291076201"/>
                  <w:bookmarkStart w:id="2140" w:name="_Toc291076625"/>
                  <w:bookmarkStart w:id="2141" w:name="_Toc291077049"/>
                  <w:bookmarkStart w:id="2142" w:name="_Toc293651892"/>
                  <w:bookmarkStart w:id="2143" w:name="_Toc293653475"/>
                  <w:bookmarkStart w:id="2144" w:name="_Toc293654086"/>
                  <w:bookmarkStart w:id="2145" w:name="_Toc294004664"/>
                  <w:bookmarkStart w:id="2146" w:name="_Toc294185160"/>
                  <w:bookmarkStart w:id="2147" w:name="_Toc324165976"/>
                  <w:bookmarkStart w:id="2148" w:name="_Toc324767013"/>
                  <w:bookmarkStart w:id="2149" w:name="_Toc324767871"/>
                  <w:r>
                    <w:t>3.2. Pour la catégorie du personnel enseignant :</w:t>
                  </w:r>
                  <w:bookmarkEnd w:id="2135"/>
                  <w:bookmarkEnd w:id="2136"/>
                  <w:r>
                    <w:t xml:space="preserve"> </w:t>
                  </w:r>
                </w:p>
                <w:p/>
                <w:p>
                  <w:pPr>
                    <w:jc w:val="both"/>
                  </w:pPr>
                  <w:r>
                    <w:t>Dans le cadre du C.P.U enseignant, des périodes peuvent être attribuées à des membres du personnel enseignant ayant les compétences pour les activités requises pour les activités suivantes :</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pPr>
                    <w:jc w:val="both"/>
                  </w:pPr>
                </w:p>
                <w:p>
                  <w:pPr>
                    <w:pStyle w:val="Retraitcorpsdetexte21"/>
                    <w:numPr>
                      <w:ilvl w:val="0"/>
                      <w:numId w:val="13"/>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jc w:val="both"/>
                    <w:rPr>
                      <w:rFonts w:asciiTheme="majorHAnsi" w:hAnsiTheme="majorHAnsi"/>
                      <w:szCs w:val="22"/>
                    </w:rPr>
                  </w:pPr>
                  <w:r>
                    <w:rPr>
                      <w:rFonts w:asciiTheme="majorHAnsi" w:hAnsiTheme="majorHAnsi"/>
                      <w:szCs w:val="22"/>
                    </w:rPr>
                    <w:t>l’accompagnement à l’intégration ;</w:t>
                  </w:r>
                </w:p>
                <w:p>
                  <w:pPr>
                    <w:pStyle w:val="Retraitcorpsdetexte21"/>
                    <w:numPr>
                      <w:ilvl w:val="0"/>
                      <w:numId w:val="13"/>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jc w:val="both"/>
                    <w:rPr>
                      <w:rFonts w:asciiTheme="majorHAnsi" w:hAnsiTheme="majorHAnsi"/>
                      <w:szCs w:val="22"/>
                    </w:rPr>
                  </w:pPr>
                  <w:r>
                    <w:rPr>
                      <w:rFonts w:asciiTheme="majorHAnsi" w:hAnsiTheme="majorHAnsi"/>
                      <w:szCs w:val="22"/>
                    </w:rPr>
                    <w:t>l’accompagnement d’élèves inscrits en cours d’année ;</w:t>
                  </w:r>
                </w:p>
                <w:p>
                  <w:pPr>
                    <w:pStyle w:val="Retraitcorpsdetexte21"/>
                    <w:numPr>
                      <w:ilvl w:val="0"/>
                      <w:numId w:val="13"/>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jc w:val="both"/>
                    <w:rPr>
                      <w:rFonts w:asciiTheme="majorHAnsi" w:hAnsiTheme="majorHAnsi"/>
                      <w:szCs w:val="22"/>
                    </w:rPr>
                  </w:pPr>
                  <w:r>
                    <w:rPr>
                      <w:rFonts w:asciiTheme="majorHAnsi" w:hAnsiTheme="majorHAnsi"/>
                      <w:szCs w:val="22"/>
                    </w:rPr>
                    <w:t>l’accompagnement d’élèves en difficulté momentanée ;</w:t>
                  </w:r>
                </w:p>
                <w:p>
                  <w:pPr>
                    <w:pStyle w:val="Retraitcorpsdetexte21"/>
                    <w:numPr>
                      <w:ilvl w:val="0"/>
                      <w:numId w:val="13"/>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jc w:val="both"/>
                    <w:rPr>
                      <w:rFonts w:asciiTheme="majorHAnsi" w:hAnsiTheme="majorHAnsi"/>
                      <w:szCs w:val="22"/>
                    </w:rPr>
                  </w:pPr>
                  <w:r>
                    <w:rPr>
                      <w:rFonts w:asciiTheme="majorHAnsi" w:hAnsiTheme="majorHAnsi"/>
                      <w:szCs w:val="22"/>
                    </w:rPr>
                    <w:t>la médiation ;</w:t>
                  </w:r>
                </w:p>
                <w:p>
                  <w:pPr>
                    <w:pStyle w:val="Retraitcorpsdetexte21"/>
                    <w:numPr>
                      <w:ilvl w:val="0"/>
                      <w:numId w:val="13"/>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jc w:val="both"/>
                    <w:rPr>
                      <w:rFonts w:asciiTheme="majorHAnsi" w:hAnsiTheme="majorHAnsi"/>
                      <w:szCs w:val="22"/>
                    </w:rPr>
                  </w:pPr>
                  <w:r>
                    <w:rPr>
                      <w:rFonts w:asciiTheme="majorHAnsi" w:hAnsiTheme="majorHAnsi"/>
                      <w:szCs w:val="22"/>
                    </w:rPr>
                    <w:t>la coordination pédagogique.</w:t>
                  </w:r>
                </w:p>
                <w:p>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ajorHAnsi" w:hAnsiTheme="majorHAnsi"/>
                      <w:szCs w:val="22"/>
                    </w:rPr>
                  </w:pPr>
                </w:p>
                <w:p>
                  <w:pPr>
                    <w:pStyle w:val="Titre4"/>
                  </w:pPr>
                  <w:bookmarkStart w:id="2150" w:name="_Toc453314369"/>
                  <w:bookmarkStart w:id="2151" w:name="_Toc454980404"/>
                  <w:r>
                    <w:t>3.3. Les reliquats de capitaux-périodes</w:t>
                  </w:r>
                  <w:bookmarkEnd w:id="2150"/>
                  <w:bookmarkEnd w:id="2151"/>
                  <w:r>
                    <w:t xml:space="preserve"> </w:t>
                  </w:r>
                </w:p>
                <w:p>
                  <w:pPr>
                    <w:jc w:val="both"/>
                  </w:pPr>
                </w:p>
                <w:p>
                  <w:pPr>
                    <w:jc w:val="both"/>
                  </w:pPr>
                  <w:r>
                    <w:t>Ceux-ci demeurant inutilisés après toutes les attributions prévues ci-dessus peuvent être attribués au sein de l’établissement en faveur d’une autre catégorie de personnel, après consultation, via les organes légaux de concertation.</w:t>
                  </w:r>
                </w:p>
                <w:p>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ajorHAnsi" w:hAnsiTheme="majorHAnsi"/>
                      <w:szCs w:val="22"/>
                      <w:u w:val="single"/>
                    </w:rPr>
                  </w:pPr>
                </w:p>
                <w:p>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ajorHAnsi" w:hAnsiTheme="majorHAnsi"/>
                      <w:szCs w:val="22"/>
                    </w:rPr>
                  </w:pPr>
                  <w:r>
                    <w:rPr>
                      <w:rFonts w:asciiTheme="majorHAnsi" w:hAnsiTheme="majorHAnsi"/>
                      <w:szCs w:val="22"/>
                    </w:rPr>
                    <w:t>Ils sont utilisés prioritairement pour les membres des personnels qui auraient été mis en disponibilité par défaut d’emploi.</w:t>
                  </w:r>
                </w:p>
                <w:p>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ajorHAnsi" w:hAnsiTheme="majorHAnsi"/>
                      <w:szCs w:val="22"/>
                    </w:rPr>
                  </w:pPr>
                </w:p>
                <w:p>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ajorHAnsi" w:hAnsiTheme="majorHAnsi"/>
                      <w:b/>
                      <w:szCs w:val="22"/>
                    </w:rPr>
                  </w:pPr>
                  <w:r>
                    <w:rPr>
                      <w:rFonts w:asciiTheme="majorHAnsi" w:hAnsiTheme="majorHAnsi"/>
                      <w:b/>
                      <w:szCs w:val="22"/>
                    </w:rPr>
                    <w:t xml:space="preserve">La somme des reliquats ne peut pas dépasser une demi-charge lorsque ceux-ci sont employés pour des fonctions administratives (rédacteur, commis dactylo, correspondant comptable, secrétaire de direction). </w:t>
                  </w:r>
                </w:p>
                <w:p>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ajorHAnsi" w:hAnsiTheme="majorHAnsi"/>
                      <w:b/>
                      <w:szCs w:val="22"/>
                    </w:rPr>
                  </w:pPr>
                </w:p>
                <w:p>
                  <w:pPr>
                    <w:pStyle w:val="Titre4"/>
                  </w:pPr>
                  <w:bookmarkStart w:id="2152" w:name="_3.4._Transfert_de"/>
                  <w:bookmarkStart w:id="2153" w:name="_Toc453314370"/>
                  <w:bookmarkStart w:id="2154" w:name="_Toc454980405"/>
                  <w:bookmarkEnd w:id="2152"/>
                  <w:r>
                    <w:t>3.4. Transfert de reliquat :</w:t>
                  </w:r>
                  <w:bookmarkEnd w:id="2153"/>
                  <w:bookmarkEnd w:id="2154"/>
                  <w:r>
                    <w:t xml:space="preserve"> </w:t>
                  </w:r>
                </w:p>
                <w:p>
                  <w:pPr>
                    <w:jc w:val="both"/>
                    <w:rPr>
                      <w:rStyle w:val="Titre3Car2"/>
                    </w:rPr>
                  </w:pPr>
                </w:p>
                <w:p>
                  <w:pPr>
                    <w:jc w:val="both"/>
                  </w:pPr>
                  <w:r>
                    <w:t xml:space="preserve">Le Ministre qui a l’enseignement dans ses attributions peut autoriser le transfert de reliquat entre établissements d’enseignement spécialisé du même réseau, de niveau identique ou différent après consultation du comité de concertation de base pour les établissements d’enseignement organisés par la Fédération Wallonie-Bruxelles, de la Commission paritaire locale pour les établissements d’enseignement subventionnés par la Fédération Wallonie-Bruxelles ou des instances de concertation locale ou à défaut des organisations syndicales pour les établissements d’enseignement libre subventionnés par la Fédération Wallonie-Bruxelles (voir modèle de convention). </w:t>
                  </w:r>
                </w:p>
                <w:p>
                  <w:pPr>
                    <w:tabs>
                      <w:tab w:val="left" w:pos="5372"/>
                    </w:tabs>
                    <w:jc w:val="both"/>
                  </w:pPr>
                  <w:r>
                    <w:tab/>
                  </w:r>
                </w:p>
                <w:p>
                  <w:pPr>
                    <w:jc w:val="both"/>
                  </w:pPr>
                  <w:r>
                    <w:t xml:space="preserve">Remarque : Le transfert de périodes d’un établissement de l’enseignement spécialisé organisé par la Fédération Wallonie Bruxelles </w:t>
                  </w:r>
                  <w:r>
                    <w:rPr>
                      <w:b/>
                    </w:rPr>
                    <w:t>n’est pas autorisé</w:t>
                  </w:r>
                  <w:r>
                    <w:t xml:space="preserve"> vers un internat annexé. </w:t>
                  </w:r>
                </w:p>
                <w:p>
                  <w:pPr>
                    <w:tabs>
                      <w:tab w:val="left" w:pos="-1440"/>
                      <w:tab w:val="left" w:pos="-720"/>
                    </w:tabs>
                    <w:jc w:val="both"/>
                    <w:rPr>
                      <w:u w:val="single"/>
                    </w:rPr>
                  </w:pPr>
                </w:p>
                <w:p>
                  <w:pPr>
                    <w:pStyle w:val="Titre4"/>
                  </w:pPr>
                  <w:bookmarkStart w:id="2155" w:name="_Toc453314371"/>
                  <w:bookmarkStart w:id="2156" w:name="_Toc454980406"/>
                  <w:bookmarkStart w:id="2157" w:name="_Toc291075354"/>
                  <w:bookmarkStart w:id="2158" w:name="_Toc291075778"/>
                  <w:bookmarkStart w:id="2159" w:name="_Toc291076202"/>
                  <w:bookmarkStart w:id="2160" w:name="_Toc291076626"/>
                  <w:bookmarkStart w:id="2161" w:name="_Toc291077050"/>
                  <w:bookmarkStart w:id="2162" w:name="_Toc293651893"/>
                  <w:bookmarkStart w:id="2163" w:name="_Toc293653476"/>
                  <w:bookmarkStart w:id="2164" w:name="_Toc293654087"/>
                  <w:bookmarkStart w:id="2165" w:name="_Toc294004665"/>
                  <w:bookmarkStart w:id="2166" w:name="_Toc294185161"/>
                  <w:bookmarkStart w:id="2167" w:name="_Toc324165977"/>
                  <w:bookmarkStart w:id="2168" w:name="_Toc324767014"/>
                  <w:bookmarkStart w:id="2169" w:name="_Toc324767872"/>
                  <w:r>
                    <w:t>3.5. Nomination :</w:t>
                  </w:r>
                  <w:bookmarkEnd w:id="2155"/>
                  <w:bookmarkEnd w:id="2156"/>
                  <w:r>
                    <w:t xml:space="preserve"> </w:t>
                  </w:r>
                </w:p>
                <w:p>
                  <w:pPr>
                    <w:jc w:val="both"/>
                    <w:rPr>
                      <w:rStyle w:val="Titre3Car2"/>
                    </w:rPr>
                  </w:pPr>
                </w:p>
                <w:p>
                  <w:pPr>
                    <w:jc w:val="both"/>
                  </w:pPr>
                  <w:r>
                    <w:t>Il est rappelé qu’aucune nomination ne peut jamais se faire dans le cadre de l’utilisation des reliquats.</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pPr>
                    <w:tabs>
                      <w:tab w:val="left" w:pos="-1440"/>
                      <w:tab w:val="left" w:pos="-720"/>
                    </w:tabs>
                    <w:jc w:val="both"/>
                    <w:rPr>
                      <w:u w:val="single"/>
                    </w:rPr>
                  </w:pPr>
                </w:p>
                <w:p>
                  <w:pPr>
                    <w:numPr>
                      <w:ilvl w:val="0"/>
                      <w:numId w:val="12"/>
                    </w:numPr>
                    <w:tabs>
                      <w:tab w:val="left" w:pos="-1440"/>
                      <w:tab w:val="left" w:pos="-720"/>
                    </w:tabs>
                    <w:suppressAutoHyphens/>
                    <w:jc w:val="both"/>
                    <w:rPr>
                      <w:u w:val="single"/>
                    </w:rPr>
                  </w:pPr>
                  <w:r>
                    <w:rPr>
                      <w:u w:val="single"/>
                    </w:rPr>
                    <w:t>Dispositions particulières :</w:t>
                  </w:r>
                </w:p>
                <w:p>
                  <w:pPr>
                    <w:tabs>
                      <w:tab w:val="left" w:pos="-1440"/>
                      <w:tab w:val="left" w:pos="-720"/>
                    </w:tabs>
                    <w:jc w:val="both"/>
                    <w:rPr>
                      <w:u w:val="single"/>
                    </w:rPr>
                  </w:pPr>
                </w:p>
                <w:p>
                  <w:pPr>
                    <w:tabs>
                      <w:tab w:val="left" w:pos="-1440"/>
                      <w:tab w:val="left" w:pos="-720"/>
                    </w:tabs>
                    <w:ind w:left="709"/>
                    <w:jc w:val="both"/>
                  </w:pPr>
                  <w:r>
                    <w:t>Sont exceptés les reliquats des capitaux-périodes provenant:</w:t>
                  </w:r>
                </w:p>
                <w:p>
                  <w:pPr>
                    <w:tabs>
                      <w:tab w:val="left" w:pos="-1440"/>
                      <w:tab w:val="left" w:pos="-720"/>
                    </w:tabs>
                    <w:ind w:left="709"/>
                    <w:jc w:val="both"/>
                  </w:pPr>
                </w:p>
                <w:p>
                  <w:pPr>
                    <w:numPr>
                      <w:ilvl w:val="0"/>
                      <w:numId w:val="4"/>
                    </w:numPr>
                    <w:tabs>
                      <w:tab w:val="clear" w:pos="360"/>
                      <w:tab w:val="left" w:pos="-1440"/>
                      <w:tab w:val="left" w:pos="-720"/>
                      <w:tab w:val="num" w:pos="720"/>
                      <w:tab w:val="left" w:pos="900"/>
                    </w:tabs>
                    <w:suppressAutoHyphens/>
                    <w:ind w:left="567" w:firstLine="0"/>
                    <w:jc w:val="both"/>
                  </w:pPr>
                  <w:r>
                    <w:t xml:space="preserve">des cours philosophiques ; </w:t>
                  </w:r>
                </w:p>
                <w:p>
                  <w:pPr>
                    <w:tabs>
                      <w:tab w:val="num" w:pos="720"/>
                    </w:tabs>
                    <w:jc w:val="both"/>
                  </w:pPr>
                  <w:r>
                    <w:t>Il est rappelé que les heures du cours philosophique le plus suivi éventuellement non utilisées ne peuvent en aucun cas faire l’objet d’un transfert vers le personnel enseignant ou vers d’autres catégories de personnel.</w:t>
                  </w:r>
                </w:p>
                <w:p>
                  <w:pPr>
                    <w:numPr>
                      <w:ilvl w:val="0"/>
                      <w:numId w:val="4"/>
                    </w:numPr>
                    <w:tabs>
                      <w:tab w:val="clear" w:pos="360"/>
                      <w:tab w:val="left" w:pos="-1440"/>
                      <w:tab w:val="left" w:pos="-720"/>
                      <w:tab w:val="num" w:pos="540"/>
                      <w:tab w:val="left" w:pos="900"/>
                    </w:tabs>
                    <w:suppressAutoHyphens/>
                    <w:ind w:left="567" w:firstLine="0"/>
                    <w:jc w:val="both"/>
                  </w:pPr>
                  <w:r>
                    <w:t>des personnels administratif, auxiliaire d'éducation et paramédical dans les internats.</w:t>
                  </w:r>
                </w:p>
                <w:p>
                  <w:pPr>
                    <w:pStyle w:val="Retraitcorpsdetexte"/>
                    <w:tabs>
                      <w:tab w:val="clear" w:pos="1276"/>
                      <w:tab w:val="clear" w:pos="3174"/>
                      <w:tab w:val="clear" w:pos="3968"/>
                      <w:tab w:val="clear" w:pos="4591"/>
                      <w:tab w:val="clear" w:pos="4818"/>
                    </w:tabs>
                    <w:ind w:left="0" w:firstLine="0"/>
                    <w:jc w:val="both"/>
                    <w:rPr>
                      <w:rFonts w:asciiTheme="majorHAnsi" w:hAnsiTheme="majorHAnsi"/>
                      <w:szCs w:val="22"/>
                    </w:rPr>
                  </w:pPr>
                </w:p>
                <w:p>
                  <w:pPr>
                    <w:pStyle w:val="Retraitcorpsdetexte"/>
                    <w:tabs>
                      <w:tab w:val="clear" w:pos="1276"/>
                      <w:tab w:val="clear" w:pos="3174"/>
                      <w:tab w:val="clear" w:pos="3968"/>
                      <w:tab w:val="clear" w:pos="4591"/>
                      <w:tab w:val="clear" w:pos="4818"/>
                    </w:tabs>
                    <w:ind w:left="0" w:firstLine="0"/>
                    <w:jc w:val="both"/>
                    <w:rPr>
                      <w:rFonts w:asciiTheme="majorHAnsi" w:hAnsiTheme="majorHAnsi"/>
                      <w:szCs w:val="22"/>
                    </w:rPr>
                  </w:pPr>
                  <w:r>
                    <w:rPr>
                      <w:rFonts w:asciiTheme="majorHAnsi" w:hAnsiTheme="majorHAnsi"/>
                      <w:szCs w:val="22"/>
                    </w:rPr>
                    <w:t>Il est rappelé que dans l'enseignement subventionné, le personnel administratif chargé des activités comptables de l'établissement ne peut porter le titre de correspondant-comptable.</w:t>
                  </w:r>
                </w:p>
                <w:p/>
                <w:p/>
                <w:p>
                  <w:pPr>
                    <w:pStyle w:val="Titre4"/>
                  </w:pPr>
                  <w:bookmarkStart w:id="2170" w:name="_3.6._Mode_d’utilisation"/>
                  <w:bookmarkStart w:id="2171" w:name="_Toc453314372"/>
                  <w:bookmarkStart w:id="2172" w:name="_Toc454980407"/>
                  <w:bookmarkEnd w:id="2170"/>
                  <w:r>
                    <w:t>3.6. Mode d’utilisation des périodes de reliquats</w:t>
                  </w:r>
                  <w:bookmarkEnd w:id="2171"/>
                  <w:bookmarkEnd w:id="2172"/>
                </w:p>
                <w:p/>
                <w:p>
                  <w:pPr>
                    <w:tabs>
                      <w:tab w:val="left" w:pos="-1440"/>
                      <w:tab w:val="left" w:pos="-720"/>
                    </w:tabs>
                    <w:jc w:val="both"/>
                  </w:pPr>
                  <w:r>
                    <w:t xml:space="preserve">La fraction de charge générée par un reliquat de capital-périodes sera convertie en fraction de charge équivalente dans la nouvelle fonction où elle est utilisée. Les nombres de périodes déterminants les charges sont renseignés au </w:t>
                  </w:r>
                  <w:hyperlink w:anchor="_5._Détermination_d’une" w:history="1">
                    <w:r>
                      <w:rPr>
                        <w:rStyle w:val="Lienhypertexte"/>
                        <w:rFonts w:cs="Arial"/>
                      </w:rPr>
                      <w:t>point 4</w:t>
                    </w:r>
                  </w:hyperlink>
                  <w:r>
                    <w:t xml:space="preserve"> du </w:t>
                  </w:r>
                  <w:hyperlink w:anchor="_chapitre_6_:" w:history="1">
                    <w:r>
                      <w:rPr>
                        <w:rStyle w:val="Lienhypertexte"/>
                        <w:rFonts w:cs="Arial"/>
                      </w:rPr>
                      <w:t>chapitre 6</w:t>
                    </w:r>
                  </w:hyperlink>
                  <w:r>
                    <w:t xml:space="preserve"> (personnel administratif et auxiliaire) et au </w:t>
                  </w:r>
                  <w:hyperlink w:anchor="_3._Plages_horaires" w:history="1">
                    <w:r>
                      <w:rPr>
                        <w:rStyle w:val="Lienhypertexte"/>
                        <w:rFonts w:cs="Arial"/>
                      </w:rPr>
                      <w:t>point 3</w:t>
                    </w:r>
                  </w:hyperlink>
                  <w:r>
                    <w:t xml:space="preserve"> du </w:t>
                  </w:r>
                  <w:hyperlink w:anchor="_chapitre_7_:" w:history="1">
                    <w:r>
                      <w:rPr>
                        <w:rStyle w:val="Lienhypertexte"/>
                        <w:rFonts w:cs="Arial"/>
                      </w:rPr>
                      <w:t>chapitre 7</w:t>
                    </w:r>
                  </w:hyperlink>
                  <w:r>
                    <w:t xml:space="preserve"> (personnel paramédical).</w:t>
                  </w:r>
                </w:p>
                <w:p>
                  <w:pPr>
                    <w:tabs>
                      <w:tab w:val="left" w:pos="-1440"/>
                      <w:tab w:val="left" w:pos="-720"/>
                    </w:tabs>
                    <w:jc w:val="both"/>
                  </w:pPr>
                </w:p>
                <w:p>
                  <w:pPr>
                    <w:tabs>
                      <w:tab w:val="left" w:pos="-1440"/>
                      <w:tab w:val="left" w:pos="-720"/>
                    </w:tabs>
                    <w:jc w:val="both"/>
                  </w:pPr>
                  <w:r>
                    <w:t>Diviseurs utilisés pour le calcul de la fraction de charge de reliquat :</w:t>
                  </w:r>
                </w:p>
                <w:p>
                  <w:pPr>
                    <w:tabs>
                      <w:tab w:val="left" w:pos="-1440"/>
                      <w:tab w:val="left" w:pos="-720"/>
                    </w:tabs>
                    <w:jc w:val="both"/>
                  </w:pPr>
                </w:p>
                <w:p>
                  <w:pPr>
                    <w:numPr>
                      <w:ilvl w:val="0"/>
                      <w:numId w:val="19"/>
                    </w:numPr>
                    <w:tabs>
                      <w:tab w:val="clear" w:pos="360"/>
                      <w:tab w:val="num" w:pos="1260"/>
                      <w:tab w:val="left" w:pos="7088"/>
                    </w:tabs>
                    <w:suppressAutoHyphens/>
                    <w:ind w:left="567" w:firstLine="0"/>
                    <w:jc w:val="both"/>
                  </w:pPr>
                  <w:r>
                    <w:t>Diviseur périodes personnel enseignant</w:t>
                  </w:r>
                  <w:r>
                    <w:tab/>
                    <w:t>= 24</w:t>
                  </w:r>
                </w:p>
                <w:p>
                  <w:pPr>
                    <w:numPr>
                      <w:ilvl w:val="0"/>
                      <w:numId w:val="19"/>
                    </w:numPr>
                    <w:tabs>
                      <w:tab w:val="clear" w:pos="360"/>
                      <w:tab w:val="num" w:pos="1260"/>
                      <w:tab w:val="left" w:pos="7088"/>
                    </w:tabs>
                    <w:suppressAutoHyphens/>
                    <w:ind w:left="567" w:firstLine="0"/>
                    <w:jc w:val="both"/>
                  </w:pPr>
                  <w:r>
                    <w:t xml:space="preserve">Diviseur périodes personnel paramédical </w:t>
                  </w:r>
                  <w:r>
                    <w:tab/>
                    <w:t>= 32</w:t>
                  </w:r>
                </w:p>
                <w:p>
                  <w:pPr>
                    <w:numPr>
                      <w:ilvl w:val="0"/>
                      <w:numId w:val="19"/>
                    </w:numPr>
                    <w:tabs>
                      <w:tab w:val="clear" w:pos="360"/>
                      <w:tab w:val="num" w:pos="1260"/>
                      <w:tab w:val="left" w:pos="7088"/>
                    </w:tabs>
                    <w:suppressAutoHyphens/>
                    <w:ind w:left="567" w:firstLine="0"/>
                    <w:jc w:val="both"/>
                  </w:pPr>
                  <w:r>
                    <w:t xml:space="preserve">Diviseur périodes personnel auxiliaire et administratif </w:t>
                  </w:r>
                  <w:r>
                    <w:tab/>
                    <w:t>= 36</w:t>
                  </w:r>
                </w:p>
                <w:p>
                  <w:pPr>
                    <w:tabs>
                      <w:tab w:val="left" w:pos="-1440"/>
                      <w:tab w:val="left" w:pos="-720"/>
                    </w:tabs>
                    <w:jc w:val="both"/>
                  </w:pPr>
                </w:p>
                <w:p>
                  <w:pPr>
                    <w:tabs>
                      <w:tab w:val="left" w:pos="-1440"/>
                      <w:tab w:val="left" w:pos="-720"/>
                    </w:tabs>
                    <w:jc w:val="both"/>
                    <w:rPr>
                      <w:b/>
                    </w:rPr>
                  </w:pPr>
                  <w:r>
                    <w:rPr>
                      <w:b/>
                      <w:u w:val="single"/>
                    </w:rPr>
                    <w:t>Exemple 1</w:t>
                  </w:r>
                  <w:r>
                    <w:rPr>
                      <w:b/>
                    </w:rPr>
                    <w:t> :</w:t>
                  </w:r>
                </w:p>
                <w:p>
                  <w:pPr>
                    <w:tabs>
                      <w:tab w:val="left" w:pos="-1440"/>
                      <w:tab w:val="left" w:pos="-720"/>
                    </w:tabs>
                    <w:jc w:val="both"/>
                  </w:pPr>
                </w:p>
                <w:p>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ajorHAnsi" w:hAnsiTheme="majorHAnsi"/>
                      <w:szCs w:val="22"/>
                    </w:rPr>
                  </w:pPr>
                  <w:r>
                    <w:rPr>
                      <w:rFonts w:asciiTheme="majorHAnsi" w:hAnsiTheme="majorHAnsi"/>
                      <w:szCs w:val="22"/>
                    </w:rPr>
                    <w:t xml:space="preserve">Un reliquat de 12 périodes provenant du C.P.U. enseignant pourra être utilisé à concurrence de 18/36 d’éducateur ou de 15/30 de logopède soit : </w:t>
                  </w:r>
                  <w:r>
                    <w:rPr>
                      <w:rFonts w:asciiTheme="majorHAnsi" w:hAnsiTheme="majorHAnsi"/>
                      <w:b/>
                      <w:szCs w:val="22"/>
                    </w:rPr>
                    <w:t>12 : 24 = 0,5 charge de reliquat</w:t>
                  </w:r>
                </w:p>
                <w:p>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ajorHAnsi" w:hAnsiTheme="majorHAnsi"/>
                      <w:b/>
                      <w:szCs w:val="22"/>
                    </w:rPr>
                  </w:pPr>
                </w:p>
                <w:p>
                  <w:pPr>
                    <w:numPr>
                      <w:ilvl w:val="0"/>
                      <w:numId w:val="14"/>
                    </w:numPr>
                    <w:tabs>
                      <w:tab w:val="left" w:pos="567"/>
                      <w:tab w:val="left" w:pos="5670"/>
                    </w:tabs>
                    <w:suppressAutoHyphens/>
                    <w:jc w:val="both"/>
                  </w:pPr>
                  <w:r>
                    <w:t>si utilisation pour un éducateur :</w:t>
                  </w:r>
                  <w:r>
                    <w:tab/>
                    <w:t>0,5 x 36 = 18 périodes</w:t>
                  </w:r>
                </w:p>
                <w:p>
                  <w:pPr>
                    <w:numPr>
                      <w:ilvl w:val="0"/>
                      <w:numId w:val="14"/>
                    </w:numPr>
                    <w:tabs>
                      <w:tab w:val="left" w:pos="567"/>
                      <w:tab w:val="left" w:pos="5670"/>
                    </w:tabs>
                    <w:suppressAutoHyphens/>
                    <w:jc w:val="both"/>
                  </w:pPr>
                  <w:r>
                    <w:t xml:space="preserve">si utilisation pour un logopède : </w:t>
                  </w:r>
                  <w:r>
                    <w:tab/>
                    <w:t>0,5 x 30 = 15 périodes</w:t>
                  </w:r>
                </w:p>
                <w:p>
                  <w:pPr>
                    <w:numPr>
                      <w:ilvl w:val="0"/>
                      <w:numId w:val="14"/>
                    </w:numPr>
                    <w:tabs>
                      <w:tab w:val="left" w:pos="567"/>
                      <w:tab w:val="left" w:pos="5670"/>
                    </w:tabs>
                    <w:suppressAutoHyphens/>
                    <w:jc w:val="both"/>
                  </w:pPr>
                  <w:r>
                    <w:t>si utilisation pour un kiné :</w:t>
                  </w:r>
                  <w:r>
                    <w:tab/>
                    <w:t>0,5 x 32 = 16 périodes</w:t>
                  </w:r>
                </w:p>
                <w:p>
                  <w:pPr>
                    <w:tabs>
                      <w:tab w:val="left" w:pos="-1440"/>
                      <w:tab w:val="left" w:pos="-720"/>
                    </w:tabs>
                    <w:jc w:val="both"/>
                  </w:pPr>
                </w:p>
                <w:p>
                  <w:pPr>
                    <w:tabs>
                      <w:tab w:val="left" w:pos="-1440"/>
                      <w:tab w:val="left" w:pos="-720"/>
                    </w:tabs>
                    <w:jc w:val="both"/>
                    <w:rPr>
                      <w:b/>
                    </w:rPr>
                  </w:pPr>
                  <w:r>
                    <w:rPr>
                      <w:b/>
                      <w:u w:val="single"/>
                    </w:rPr>
                    <w:t>Exemple 2</w:t>
                  </w:r>
                  <w:r>
                    <w:rPr>
                      <w:b/>
                    </w:rPr>
                    <w:t xml:space="preserve"> : </w:t>
                  </w:r>
                </w:p>
                <w:p>
                  <w:pPr>
                    <w:tabs>
                      <w:tab w:val="left" w:pos="-1440"/>
                      <w:tab w:val="left" w:pos="-720"/>
                    </w:tabs>
                    <w:jc w:val="both"/>
                  </w:pPr>
                </w:p>
                <w:p>
                  <w:pPr>
                    <w:tabs>
                      <w:tab w:val="left" w:pos="-1440"/>
                      <w:tab w:val="left" w:pos="-720"/>
                    </w:tabs>
                    <w:jc w:val="both"/>
                  </w:pPr>
                  <w:r>
                    <w:t xml:space="preserve">Un reliquat de 13 périodes provenant du C.P.U. paramédical soit : </w:t>
                  </w:r>
                  <w:r>
                    <w:rPr>
                      <w:b/>
                    </w:rPr>
                    <w:t xml:space="preserve">13 : 32 = 0,406 charge de reliquat </w:t>
                  </w:r>
                </w:p>
                <w:p>
                  <w:pPr>
                    <w:tabs>
                      <w:tab w:val="left" w:pos="-1440"/>
                      <w:tab w:val="left" w:pos="-720"/>
                    </w:tabs>
                    <w:jc w:val="both"/>
                    <w:rPr>
                      <w:b/>
                    </w:rPr>
                  </w:pPr>
                </w:p>
                <w:p>
                  <w:pPr>
                    <w:numPr>
                      <w:ilvl w:val="0"/>
                      <w:numId w:val="23"/>
                    </w:numPr>
                    <w:tabs>
                      <w:tab w:val="clear" w:pos="360"/>
                      <w:tab w:val="num" w:pos="284"/>
                      <w:tab w:val="left" w:pos="2268"/>
                      <w:tab w:val="left" w:pos="5670"/>
                    </w:tabs>
                    <w:suppressAutoHyphens/>
                    <w:ind w:left="0" w:hanging="5670"/>
                    <w:jc w:val="both"/>
                  </w:pPr>
                  <w:r>
                    <w:t>si utilisation pour 1 instituteur : 0,406 x 24 = 9,75 périodes arrondi à 10 périodes</w:t>
                  </w:r>
                </w:p>
                <w:p>
                  <w:pPr>
                    <w:numPr>
                      <w:ilvl w:val="0"/>
                      <w:numId w:val="23"/>
                    </w:numPr>
                    <w:tabs>
                      <w:tab w:val="clear" w:pos="360"/>
                      <w:tab w:val="num" w:pos="284"/>
                      <w:tab w:val="left" w:pos="567"/>
                    </w:tabs>
                    <w:suppressAutoHyphens/>
                    <w:ind w:left="0" w:hanging="5670"/>
                    <w:jc w:val="both"/>
                  </w:pPr>
                  <w:r>
                    <w:t>si utilisation pour un commis : 0,406 x 38 = 15,428 périodes arrondi à 16 périodes</w:t>
                  </w:r>
                </w:p>
                <w:p>
                  <w:pPr>
                    <w:tabs>
                      <w:tab w:val="left" w:pos="567"/>
                      <w:tab w:val="left" w:pos="5670"/>
                    </w:tabs>
                    <w:ind w:firstLine="5103"/>
                    <w:jc w:val="both"/>
                  </w:pPr>
                </w:p>
                <w:p>
                  <w:pPr>
                    <w:pStyle w:val="Titre3"/>
                  </w:pPr>
                  <w:bookmarkStart w:id="2173" w:name="_4._Annexe"/>
                  <w:bookmarkStart w:id="2174" w:name="__RefHeading__195_957262308"/>
                  <w:bookmarkStart w:id="2175" w:name="_Toc291075355"/>
                  <w:bookmarkStart w:id="2176" w:name="_Toc291075779"/>
                  <w:bookmarkStart w:id="2177" w:name="_Toc291076203"/>
                  <w:bookmarkStart w:id="2178" w:name="_Toc291076627"/>
                  <w:bookmarkStart w:id="2179" w:name="_Toc291077051"/>
                  <w:bookmarkStart w:id="2180" w:name="_Toc293651894"/>
                  <w:bookmarkStart w:id="2181" w:name="_Toc293653477"/>
                  <w:bookmarkStart w:id="2182" w:name="_Toc293654088"/>
                  <w:bookmarkStart w:id="2183" w:name="_Toc294004666"/>
                  <w:bookmarkStart w:id="2184" w:name="_Toc294185162"/>
                  <w:bookmarkStart w:id="2185" w:name="_Toc324165978"/>
                  <w:bookmarkStart w:id="2186" w:name="_Toc324767015"/>
                  <w:bookmarkStart w:id="2187" w:name="_Toc453314373"/>
                  <w:bookmarkStart w:id="2188" w:name="_Toc454980408"/>
                  <w:bookmarkStart w:id="2189" w:name="_Toc18914453"/>
                  <w:bookmarkEnd w:id="2173"/>
                  <w:bookmarkEnd w:id="2174"/>
                  <w:r>
                    <w:t>4. Annexe</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p>
                  <w:pPr>
                    <w:pStyle w:val="Corpsdetexte"/>
                  </w:pPr>
                  <w:bookmarkStart w:id="2190" w:name="_Annexe_1_:_4"/>
                  <w:bookmarkEnd w:id="2190"/>
                  <w:r>
                    <w:t>Les conventions de transfert des reliquats sont à adresser à :</w:t>
                  </w:r>
                </w:p>
                <w:p>
                  <w:pPr>
                    <w:pBdr>
                      <w:top w:val="single" w:sz="4" w:space="1" w:color="auto"/>
                      <w:left w:val="single" w:sz="4" w:space="4" w:color="auto"/>
                      <w:bottom w:val="single" w:sz="4" w:space="1" w:color="auto"/>
                      <w:right w:val="single" w:sz="4" w:space="4" w:color="auto"/>
                    </w:pBdr>
                    <w:jc w:val="center"/>
                  </w:pPr>
                  <w:r>
                    <w:t>Direction générale de l’Enseignement obligatoire</w:t>
                  </w:r>
                </w:p>
                <w:p>
                  <w:pPr>
                    <w:pBdr>
                      <w:top w:val="single" w:sz="4" w:space="1" w:color="auto"/>
                      <w:left w:val="single" w:sz="4" w:space="4" w:color="auto"/>
                      <w:bottom w:val="single" w:sz="4" w:space="1" w:color="auto"/>
                      <w:right w:val="single" w:sz="4" w:space="4" w:color="auto"/>
                    </w:pBdr>
                    <w:jc w:val="center"/>
                    <w:rPr>
                      <w:b/>
                    </w:rPr>
                  </w:pPr>
                  <w:r>
                    <w:t>Service de l’Enseignement spécialisé</w:t>
                  </w:r>
                </w:p>
                <w:p>
                  <w:pPr>
                    <w:pBdr>
                      <w:top w:val="single" w:sz="4" w:space="1" w:color="auto"/>
                      <w:left w:val="single" w:sz="4" w:space="4" w:color="auto"/>
                      <w:bottom w:val="single" w:sz="4" w:space="1" w:color="auto"/>
                      <w:right w:val="single" w:sz="4" w:space="4" w:color="auto"/>
                    </w:pBdr>
                    <w:jc w:val="center"/>
                    <w:rPr>
                      <w:b/>
                    </w:rPr>
                  </w:pPr>
                  <w:r>
                    <w:t>Madame Véronique ROMBAUT</w:t>
                  </w:r>
                </w:p>
                <w:p>
                  <w:pPr>
                    <w:pBdr>
                      <w:top w:val="single" w:sz="4" w:space="1" w:color="auto"/>
                      <w:left w:val="single" w:sz="4" w:space="4" w:color="auto"/>
                      <w:bottom w:val="single" w:sz="4" w:space="1" w:color="auto"/>
                      <w:right w:val="single" w:sz="4" w:space="4" w:color="auto"/>
                    </w:pBdr>
                    <w:jc w:val="center"/>
                    <w:rPr>
                      <w:b/>
                    </w:rPr>
                  </w:pPr>
                  <w:r>
                    <w:t>Bureau 2F245</w:t>
                  </w:r>
                </w:p>
                <w:p>
                  <w:pPr>
                    <w:pBdr>
                      <w:top w:val="single" w:sz="4" w:space="1" w:color="auto"/>
                      <w:left w:val="single" w:sz="4" w:space="4" w:color="auto"/>
                      <w:bottom w:val="single" w:sz="4" w:space="1" w:color="auto"/>
                      <w:right w:val="single" w:sz="4" w:space="4" w:color="auto"/>
                    </w:pBdr>
                    <w:jc w:val="center"/>
                    <w:rPr>
                      <w:b/>
                    </w:rPr>
                  </w:pPr>
                  <w:r>
                    <w:t>Rue Adolphe Lavallée, 1</w:t>
                  </w:r>
                </w:p>
                <w:p>
                  <w:pPr>
                    <w:pBdr>
                      <w:top w:val="single" w:sz="4" w:space="1" w:color="auto"/>
                      <w:left w:val="single" w:sz="4" w:space="4" w:color="auto"/>
                      <w:bottom w:val="single" w:sz="4" w:space="1" w:color="auto"/>
                      <w:right w:val="single" w:sz="4" w:space="4" w:color="auto"/>
                    </w:pBdr>
                    <w:jc w:val="center"/>
                    <w:rPr>
                      <w:b/>
                    </w:rPr>
                  </w:pPr>
                  <w:r>
                    <w:t>1080   BRUXELLES</w:t>
                  </w:r>
                  <w:r>
                    <w:sym w:font="Wingdings" w:char="F028"/>
                  </w:r>
                  <w:r>
                    <w:t xml:space="preserve"> 02/690.83.99 - </w:t>
                  </w:r>
                  <w:r>
                    <w:sym w:font="Wingdings" w:char="F03A"/>
                  </w:r>
                  <w:r>
                    <w:t xml:space="preserve"> : </w:t>
                  </w:r>
                  <w:hyperlink r:id="rId154" w:history="1">
                    <w:r>
                      <w:rPr>
                        <w:rStyle w:val="Lienhypertexte"/>
                        <w:rFonts w:cstheme="minorBidi"/>
                        <w:bCs/>
                      </w:rPr>
                      <w:t>veronique.rombaut@cfwb.be</w:t>
                    </w:r>
                  </w:hyperlink>
                </w:p>
                <w:p>
                  <w:pPr>
                    <w:pStyle w:val="Titre4"/>
                  </w:pPr>
                  <w:r>
                    <w:br w:type="page"/>
                  </w:r>
                  <w:bookmarkStart w:id="2191" w:name="_Annexe_1_:_8"/>
                  <w:bookmarkStart w:id="2192" w:name="_Toc453314374"/>
                  <w:bookmarkStart w:id="2193" w:name="_Toc454980409"/>
                  <w:bookmarkEnd w:id="2191"/>
                  <w:r>
                    <w:t>Annexe 1 : Convention – Transfert de reliquat</w:t>
                  </w:r>
                  <w:bookmarkEnd w:id="2192"/>
                  <w:bookmarkEnd w:id="2193"/>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pStyle w:val="Corpsdetexte"/>
                    <w:ind w:left="4820"/>
                    <w:rPr>
                      <w:b/>
                    </w:rPr>
                  </w:pPr>
                  <w:r>
                    <w:t>Direction générale de l’enseignement obligatoire</w:t>
                  </w:r>
                </w:p>
                <w:p>
                  <w:pPr>
                    <w:pStyle w:val="Corpsdetexte"/>
                    <w:ind w:left="4820"/>
                    <w:rPr>
                      <w:b/>
                    </w:rPr>
                  </w:pPr>
                  <w:r>
                    <w:t>Service de l’enseignement spécialisé</w:t>
                  </w:r>
                </w:p>
                <w:p>
                  <w:pPr>
                    <w:pStyle w:val="Corpsdetexte"/>
                    <w:ind w:left="4820"/>
                  </w:pPr>
                  <w:r>
                    <w:t>Transfert de reliquat</w:t>
                  </w:r>
                </w:p>
                <w:p>
                  <w:pPr>
                    <w:pStyle w:val="Corpsdetexte"/>
                    <w:ind w:left="4820"/>
                    <w:rPr>
                      <w:b/>
                    </w:rPr>
                  </w:pPr>
                  <w:r>
                    <w:t>Bureau 2 F 245</w:t>
                  </w:r>
                </w:p>
                <w:p>
                  <w:pPr>
                    <w:pStyle w:val="Corpsdetexte"/>
                    <w:ind w:left="4820"/>
                    <w:rPr>
                      <w:b/>
                    </w:rPr>
                  </w:pPr>
                  <w:r>
                    <w:t>Rue Adolphe Lavallée, 1</w:t>
                  </w:r>
                </w:p>
                <w:p>
                  <w:pPr>
                    <w:pStyle w:val="Corpsdetexte"/>
                    <w:ind w:left="4820"/>
                    <w:rPr>
                      <w:b/>
                    </w:rPr>
                  </w:pPr>
                  <w:r>
                    <w:t>1080    BRUXELLES</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Entre les soussigné(e)s,</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rPr>
                  </w:pPr>
                  <w:r>
                    <w:rPr>
                      <w:b/>
                    </w:rPr>
                    <w:t>ECOLE CEDANTE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 xml:space="preserve">N° FASE :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r>
                    <w:rPr>
                      <w:lang w:val="fr-FR"/>
                    </w:rPr>
                    <w:t>ET</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lang w:val="fr-FR"/>
                    </w:rPr>
                  </w:pPr>
                  <w:r>
                    <w:rPr>
                      <w:b/>
                      <w:lang w:val="fr-FR"/>
                    </w:rPr>
                    <w:t xml:space="preserve">ECOLE BENEFICIAIRE :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r>
                    <w:rPr>
                      <w:lang w:val="fr-FR"/>
                    </w:rPr>
                    <w:t>N° FASE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Il est convenu ce qui suit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L’école « cédante » accepte de transférer</w:t>
                  </w:r>
                  <w:r>
                    <w:tab/>
                  </w:r>
                  <w:r>
                    <w:tab/>
                    <w:t>périodes, du reliquat enseignant/administratif ou auxiliaire/ paramédical</w:t>
                  </w:r>
                  <w:r>
                    <w:rPr>
                      <w:rStyle w:val="Caractresdenotedebasdepage"/>
                      <w:rFonts w:cs="Arial"/>
                    </w:rPr>
                    <w:footnoteReference w:id="116"/>
                  </w:r>
                  <w:r>
                    <w:t xml:space="preserve">, soit </w:t>
                  </w:r>
                  <w:r>
                    <w:tab/>
                  </w:r>
                  <w:r>
                    <w:tab/>
                    <w:t xml:space="preserve"> charge</w:t>
                  </w:r>
                  <w:r>
                    <w:rPr>
                      <w:rStyle w:val="Caractresdenotedebasdepage"/>
                      <w:rFonts w:cs="Arial"/>
                    </w:rPr>
                    <w:footnoteReference w:id="117"/>
                  </w:r>
                  <w:r>
                    <w:t xml:space="preserv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à l’école « bénéficiaire » pour la période suivante</w:t>
                  </w:r>
                  <w:r>
                    <w:rPr>
                      <w:rStyle w:val="Appelnotedebasdep"/>
                    </w:rPr>
                    <w:footnoteReference w:id="118"/>
                  </w:r>
                  <w:r>
                    <w:t> :</w:t>
                  </w:r>
                  <w:r>
                    <w:tab/>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b/>
                    <w:t xml:space="preserve"> </w:t>
                  </w: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 xml:space="preserve">Conformément à l’article 166 du </w:t>
                  </w:r>
                  <w:hyperlink r:id="rId155" w:history="1">
                    <w:r>
                      <w:rPr>
                        <w:rStyle w:val="Lienhypertexte"/>
                        <w:rFonts w:cs="Arial"/>
                      </w:rPr>
                      <w:t>Décret du 3 mars 2004 organisant l’enseignement spécialisé</w:t>
                    </w:r>
                  </w:hyperlink>
                  <w:r>
                    <w:t>.</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pBdr>
                      <w:top w:val="single" w:sz="4" w:space="1" w:color="auto"/>
                      <w:left w:val="single" w:sz="4" w:space="4" w:color="auto"/>
                      <w:bottom w:val="single" w:sz="4" w:space="1" w:color="auto"/>
                      <w:right w:val="single" w:sz="4" w:space="4" w:color="auto"/>
                    </w:pBdr>
                    <w:shd w:val="clear" w:color="auto" w:fill="E6E6E6"/>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rPr>
                  </w:pPr>
                  <w:r>
                    <w:rPr>
                      <w:b/>
                      <w:u w:val="single"/>
                    </w:rPr>
                    <w:t>Document à annexer</w:t>
                  </w:r>
                  <w:r>
                    <w:rPr>
                      <w:b/>
                    </w:rPr>
                    <w:t xml:space="preserve">: copie de la décision du pouvoir organisateur et du comité de concertation de base pour les établissements d’enseignement organisés par la Fédération Wallonie-Bruxelles, de la Commission paritaire locale pour les établissements d’enseignement subventionnés par la Fédération Wallonie-Bruxelles ou des instances de concertation locale ou à défaut des organisations syndicales pour les établissements d’enseignement libre subventionnés par la Fédération Wallonie-Bruxelles </w:t>
                  </w:r>
                  <w:r>
                    <w:rPr>
                      <w:b/>
                      <w:i/>
                    </w:rPr>
                    <w:t>de l’école cédante</w:t>
                  </w:r>
                  <w:r>
                    <w:rPr>
                      <w:b/>
                    </w:rPr>
                    <w:t>.</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fldChar w:fldCharType="begin">
                      <w:ffData>
                        <w:name w:val="CaseACocher1"/>
                        <w:enabled/>
                        <w:calcOnExit w:val="0"/>
                        <w:checkBox>
                          <w:sizeAuto/>
                          <w:default w:val="0"/>
                        </w:checkBox>
                      </w:ffData>
                    </w:fldChar>
                  </w:r>
                  <w:r>
                    <w:instrText xml:space="preserve"> FORMCHECKBOX </w:instrText>
                  </w:r>
                  <w:r>
                    <w:fldChar w:fldCharType="separate"/>
                  </w:r>
                  <w:r>
                    <w:fldChar w:fldCharType="end"/>
                  </w:r>
                  <w:r>
                    <w:t xml:space="preserve"> Dans le cas où l’établissement ne dispose pas d’un des organes précités dans le cadre ci-dessus, le (la) directeur(trice) de l’établissement déclare sur l’honneur, en cochant cette case, que le personnel de l’établissement a été consulté préalablement.</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Fait à</w:t>
                  </w:r>
                  <w:r>
                    <w:tab/>
                  </w:r>
                  <w:r>
                    <w:tab/>
                  </w:r>
                  <w:r>
                    <w:tab/>
                  </w:r>
                  <w:r>
                    <w:tab/>
                  </w:r>
                  <w:r>
                    <w:tab/>
                  </w:r>
                  <w:r>
                    <w:tab/>
                  </w:r>
                  <w:r>
                    <w:tab/>
                    <w:t>en double exemplaire, le</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b/>
                      <w:iCs/>
                    </w:rPr>
                  </w:pPr>
                  <w:r>
                    <w:rPr>
                      <w:i/>
                      <w:iCs/>
                    </w:rPr>
                    <w:tab/>
                  </w:r>
                  <w:r>
                    <w:rPr>
                      <w:b/>
                      <w:iCs/>
                    </w:rPr>
                    <w:t xml:space="preserve">NOM, prénom, qualité et signature du </w:t>
                  </w:r>
                  <w:r>
                    <w:rPr>
                      <w:b/>
                      <w:iCs/>
                      <w:u w:val="single"/>
                    </w:rPr>
                    <w:t>cédant</w:t>
                  </w:r>
                  <w:r>
                    <w:rPr>
                      <w:b/>
                      <w:iCs/>
                    </w:rPr>
                    <w:t xml:space="preserve"> </w:t>
                  </w:r>
                </w:p>
                <w:p>
                  <w:pPr>
                    <w:pStyle w:val="Sansinterligne"/>
                    <w:rPr>
                      <w:rFonts w:asciiTheme="majorHAnsi" w:hAnsiTheme="majorHAnsi"/>
                      <w:b/>
                      <w:iCs/>
                      <w:u w:val="single"/>
                    </w:rPr>
                  </w:pPr>
                  <w:r>
                    <w:rPr>
                      <w:rFonts w:asciiTheme="majorHAnsi" w:hAnsiTheme="majorHAnsi"/>
                      <w:b/>
                      <w:iCs/>
                    </w:rPr>
                    <w:t xml:space="preserve">NOM, prénom, qualité et signature du </w:t>
                  </w:r>
                  <w:r>
                    <w:rPr>
                      <w:rFonts w:asciiTheme="majorHAnsi" w:hAnsiTheme="majorHAnsi"/>
                      <w:b/>
                      <w:iCs/>
                      <w:u w:val="single"/>
                    </w:rPr>
                    <w:t>bénéficiaire</w:t>
                  </w:r>
                  <w:bookmarkStart w:id="2194" w:name="_chapitre_9_:"/>
                  <w:bookmarkStart w:id="2195" w:name="_Toc477623738"/>
                  <w:bookmarkStart w:id="2196" w:name="_Toc477767535"/>
                  <w:bookmarkEnd w:id="2194"/>
                </w:p>
                <w:p>
                  <w:pPr>
                    <w:pStyle w:val="Titre2"/>
                  </w:pPr>
                  <w:bookmarkStart w:id="2197" w:name="_Toc18914454"/>
                  <w:r>
                    <w:t>Chapitre</w:t>
                  </w:r>
                  <w:bookmarkEnd w:id="2195"/>
                  <w:bookmarkEnd w:id="2196"/>
                  <w:r>
                    <w:t xml:space="preserve"> 9 :</w:t>
                  </w:r>
                  <w:bookmarkStart w:id="2198" w:name="_Toc477623739"/>
                  <w:bookmarkStart w:id="2199" w:name="_Toc477767536"/>
                  <w:r>
                    <w:t xml:space="preserve"> Du conseil de classe, du Plan Individuel d’Apprentissage (P.I.A) et des procédures de recours</w:t>
                  </w:r>
                  <w:bookmarkEnd w:id="2198"/>
                  <w:bookmarkEnd w:id="2199"/>
                  <w:bookmarkEnd w:id="2197"/>
                </w:p>
                <w:p>
                  <w:pPr>
                    <w:jc w:val="both"/>
                  </w:pPr>
                </w:p>
                <w:p>
                  <w:pPr>
                    <w:jc w:val="both"/>
                  </w:pPr>
                </w:p>
                <w:p>
                  <w:pPr>
                    <w:jc w:val="both"/>
                  </w:pPr>
                </w:p>
                <w:p>
                  <w:pPr>
                    <w:jc w:val="both"/>
                  </w:pPr>
                </w:p>
                <w:p>
                  <w:pPr>
                    <w:jc w:val="both"/>
                  </w:pPr>
                </w:p>
                <w:p>
                  <w:pPr>
                    <w:jc w:val="both"/>
                    <w:rPr>
                      <w:b/>
                      <w:u w:val="single"/>
                    </w:rPr>
                  </w:pPr>
                  <w:r>
                    <w:rPr>
                      <w:b/>
                      <w:u w:val="single"/>
                    </w:rPr>
                    <w:t xml:space="preserve">Bases légales : </w:t>
                  </w:r>
                </w:p>
                <w:p>
                  <w:pPr>
                    <w:jc w:val="both"/>
                    <w:rPr>
                      <w:b/>
                      <w:u w:val="single"/>
                    </w:rPr>
                  </w:pPr>
                </w:p>
                <w:p>
                  <w:pPr>
                    <w:numPr>
                      <w:ilvl w:val="0"/>
                      <w:numId w:val="47"/>
                    </w:numPr>
                    <w:suppressAutoHyphens/>
                    <w:jc w:val="both"/>
                  </w:pPr>
                  <w:hyperlink r:id="rId156" w:history="1">
                    <w:r>
                      <w:rPr>
                        <w:rStyle w:val="Lienhypertexte"/>
                        <w:rFonts w:cs="Arial"/>
                      </w:rPr>
                      <w:t>Décret du 3 mars 2004 organisant l'enseignement spécialisé</w:t>
                    </w:r>
                  </w:hyperlink>
                  <w:r>
                    <w:t>.</w:t>
                  </w:r>
                </w:p>
                <w:p>
                  <w:pPr>
                    <w:numPr>
                      <w:ilvl w:val="0"/>
                      <w:numId w:val="47"/>
                    </w:numPr>
                    <w:suppressAutoHyphens/>
                    <w:jc w:val="both"/>
                  </w:pPr>
                  <w:hyperlink r:id="rId157" w:history="1">
                    <w:r>
                      <w:rPr>
                        <w:rStyle w:val="Lienhypertexte"/>
                        <w:rFonts w:cs="Arial"/>
                      </w:rPr>
                      <w:t>Décret du 24 juillet 1997 définissant les missions prioritaires de l'enseignement fondamental et de l'enseignement secondaire et organisant les structures propres à les atteindre</w:t>
                    </w:r>
                  </w:hyperlink>
                  <w:r>
                    <w:t>.</w:t>
                  </w:r>
                </w:p>
                <w:p>
                  <w:pPr>
                    <w:numPr>
                      <w:ilvl w:val="0"/>
                      <w:numId w:val="47"/>
                    </w:numPr>
                    <w:suppressAutoHyphens/>
                    <w:jc w:val="both"/>
                  </w:pPr>
                  <w:hyperlink r:id="rId158" w:history="1">
                    <w:r>
                      <w:rPr>
                        <w:color w:val="17365D"/>
                        <w:u w:val="single"/>
                      </w:rPr>
                      <w:t>C</w:t>
                    </w:r>
                    <w:r>
                      <w:rPr>
                        <w:rStyle w:val="Lienhypertexte"/>
                        <w:rFonts w:cs="Arial"/>
                      </w:rPr>
                      <w:t>irculaire 3804 du 28 novembre 2011 précise les modalités de transmission du Plan Individuel d’Apprentissage</w:t>
                    </w:r>
                  </w:hyperlink>
                  <w:r>
                    <w:rPr>
                      <w:rStyle w:val="Appelnotedebasdep"/>
                    </w:rPr>
                    <w:footnoteReference w:id="119"/>
                  </w:r>
                  <w:r>
                    <w:t>.</w:t>
                  </w:r>
                </w:p>
                <w:p>
                  <w:pPr>
                    <w:numPr>
                      <w:ilvl w:val="0"/>
                      <w:numId w:val="47"/>
                    </w:numPr>
                    <w:suppressAutoHyphens/>
                    <w:jc w:val="both"/>
                    <w:rPr>
                      <w:rStyle w:val="Lienhypertexte"/>
                      <w:rFonts w:cstheme="minorBidi"/>
                    </w:rPr>
                  </w:pPr>
                  <w:r>
                    <w:rPr>
                      <w:rStyle w:val="Lienhypertexte"/>
                      <w:rFonts w:cs="Arial"/>
                    </w:rPr>
                    <w:fldChar w:fldCharType="begin"/>
                  </w:r>
                  <w:r>
                    <w:rPr>
                      <w:rStyle w:val="Lienhypertexte"/>
                      <w:rFonts w:cs="Arial"/>
                    </w:rPr>
                    <w:instrText xml:space="preserve"> HYPERLINK "http://www.enseignement.be/upload/circulaires/000000000002/FWB%20-%20Circulaire%204234%20(4451_20121212_104053).pdf" </w:instrText>
                  </w:r>
                  <w:r>
                    <w:rPr>
                      <w:rStyle w:val="Lienhypertexte"/>
                      <w:rFonts w:cs="Arial"/>
                    </w:rPr>
                    <w:fldChar w:fldCharType="separate"/>
                  </w:r>
                  <w:r>
                    <w:rPr>
                      <w:rStyle w:val="Lienhypertexte"/>
                      <w:rFonts w:cs="Arial"/>
                    </w:rPr>
                    <w:t>Circulaire 4234 du 12 décembre 2012 relative au Plan Individuel d’Apprentissage (P.I.A.) – de la démarche au document – un plan individuel d’apprentissage avec et pour l’élève</w:t>
                  </w:r>
                </w:p>
                <w:p>
                  <w:pPr>
                    <w:numPr>
                      <w:ilvl w:val="0"/>
                      <w:numId w:val="47"/>
                    </w:numPr>
                    <w:suppressAutoHyphens/>
                    <w:jc w:val="both"/>
                    <w:rPr>
                      <w:rStyle w:val="Lienhypertexte"/>
                      <w:rFonts w:cstheme="minorBidi"/>
                    </w:rPr>
                  </w:pPr>
                  <w:r>
                    <w:rPr>
                      <w:rStyle w:val="Lienhypertexte"/>
                      <w:rFonts w:cs="Arial"/>
                    </w:rPr>
                    <w:fldChar w:fldCharType="end"/>
                  </w:r>
                  <w:r>
                    <w:rPr>
                      <w:rStyle w:val="Lienhypertexte"/>
                      <w:rFonts w:cs="Arial"/>
                    </w:rPr>
                    <w:fldChar w:fldCharType="begin"/>
                  </w:r>
                  <w:r>
                    <w:rPr>
                      <w:rStyle w:val="Lienhypertexte"/>
                      <w:rFonts w:cs="Arial"/>
                    </w:rPr>
                    <w:instrText xml:space="preserve"> HYPERLINK "http://www.enseignement.be/upload/circulaires/000000000002/FWB%20-%20Circulaire%204623%20(4846_20131104_152718).pdf" </w:instrText>
                  </w:r>
                  <w:r>
                    <w:rPr>
                      <w:rStyle w:val="Lienhypertexte"/>
                      <w:rFonts w:cs="Arial"/>
                    </w:rPr>
                    <w:fldChar w:fldCharType="separate"/>
                  </w:r>
                  <w:r>
                    <w:rPr>
                      <w:rStyle w:val="Lienhypertexte"/>
                      <w:rFonts w:cs="Arial"/>
                    </w:rPr>
                    <w:t>Circulaire 4623 du 4 novembre 2013 relative au Plan Individuel de Transition (P.I.T.) : Comment favoriser le continuum école-vie adulte grâce à une préparation adéquate dès l’entrée du jeune en enseignement secondaire spécialisé</w:t>
                  </w:r>
                  <w:r>
                    <w:rPr>
                      <w:rStyle w:val="Lienhypertexte"/>
                      <w:rFonts w:cstheme="minorBidi"/>
                    </w:rPr>
                    <w:t>.</w:t>
                  </w:r>
                </w:p>
                <w:p>
                  <w:pPr>
                    <w:jc w:val="both"/>
                  </w:pPr>
                  <w:r>
                    <w:rPr>
                      <w:rStyle w:val="Lienhypertexte"/>
                      <w:rFonts w:cs="Arial"/>
                    </w:rPr>
                    <w:fldChar w:fldCharType="end"/>
                  </w:r>
                </w:p>
                <w:p>
                  <w:pPr>
                    <w:jc w:val="both"/>
                  </w:pPr>
                </w:p>
                <w:p>
                  <w:pPr>
                    <w:pStyle w:val="Titre3"/>
                  </w:pPr>
                  <w:bookmarkStart w:id="2200" w:name="__RefHeading__199_957262308"/>
                  <w:bookmarkStart w:id="2201" w:name="_Toc18914455"/>
                  <w:bookmarkStart w:id="2202" w:name="_Toc291075357"/>
                  <w:bookmarkStart w:id="2203" w:name="_Toc291075781"/>
                  <w:bookmarkStart w:id="2204" w:name="_Toc291076205"/>
                  <w:bookmarkStart w:id="2205" w:name="_Toc291076629"/>
                  <w:bookmarkStart w:id="2206" w:name="_Toc291077053"/>
                  <w:bookmarkStart w:id="2207" w:name="_Toc293651896"/>
                  <w:bookmarkStart w:id="2208" w:name="_Toc293653479"/>
                  <w:bookmarkStart w:id="2209" w:name="_Toc293654090"/>
                  <w:bookmarkStart w:id="2210" w:name="_Toc294004668"/>
                  <w:bookmarkStart w:id="2211" w:name="_Toc294185164"/>
                  <w:bookmarkStart w:id="2212" w:name="_Toc324165980"/>
                  <w:bookmarkStart w:id="2213" w:name="_Toc324767017"/>
                  <w:bookmarkStart w:id="2214" w:name="_Toc453314376"/>
                  <w:bookmarkStart w:id="2215" w:name="_Toc454980411"/>
                  <w:bookmarkEnd w:id="2200"/>
                  <w:r>
                    <w:t>1. Le Conseil de classe</w:t>
                  </w:r>
                  <w:bookmarkEnd w:id="2201"/>
                  <w:r>
                    <w:t xml:space="preserve"> </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pPr>
                    <w:tabs>
                      <w:tab w:val="left" w:pos="962"/>
                      <w:tab w:val="left" w:pos="1134"/>
                      <w:tab w:val="left" w:pos="1303"/>
                      <w:tab w:val="left" w:pos="1586"/>
                      <w:tab w:val="left" w:pos="1813"/>
                      <w:tab w:val="left" w:pos="3174"/>
                      <w:tab w:val="left" w:pos="3967"/>
                      <w:tab w:val="left" w:pos="4591"/>
                      <w:tab w:val="left" w:pos="4818"/>
                    </w:tabs>
                    <w:jc w:val="both"/>
                  </w:pPr>
                </w:p>
                <w:p>
                  <w:pPr>
                    <w:pStyle w:val="Titre4"/>
                  </w:pPr>
                  <w:bookmarkStart w:id="2216" w:name="_1.1._Sa_composition"/>
                  <w:bookmarkStart w:id="2217" w:name="_Toc291075358"/>
                  <w:bookmarkStart w:id="2218" w:name="_Toc291075782"/>
                  <w:bookmarkStart w:id="2219" w:name="_Toc291076206"/>
                  <w:bookmarkStart w:id="2220" w:name="_Toc291076630"/>
                  <w:bookmarkStart w:id="2221" w:name="_Toc291077054"/>
                  <w:bookmarkStart w:id="2222" w:name="_Toc293651897"/>
                  <w:bookmarkStart w:id="2223" w:name="_Toc293653480"/>
                  <w:bookmarkStart w:id="2224" w:name="_Toc293654091"/>
                  <w:bookmarkStart w:id="2225" w:name="_Toc294004669"/>
                  <w:bookmarkStart w:id="2226" w:name="_Toc294185165"/>
                  <w:bookmarkStart w:id="2227" w:name="_Toc324165981"/>
                  <w:bookmarkStart w:id="2228" w:name="_Toc324767018"/>
                  <w:bookmarkStart w:id="2229" w:name="_Toc324767876"/>
                  <w:bookmarkStart w:id="2230" w:name="_Toc453314377"/>
                  <w:bookmarkStart w:id="2231" w:name="_Toc454980412"/>
                  <w:bookmarkEnd w:id="2216"/>
                  <w:r>
                    <w:t>1.1. Sa composition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pPr>
                    <w:pStyle w:val="NormalWeb"/>
                    <w:spacing w:before="0"/>
                    <w:jc w:val="both"/>
                    <w:rPr>
                      <w:rFonts w:asciiTheme="majorHAnsi" w:hAnsiTheme="majorHAnsi"/>
                      <w:b/>
                      <w:caps/>
                      <w:szCs w:val="22"/>
                    </w:rPr>
                  </w:pPr>
                </w:p>
                <w:p>
                  <w:pPr>
                    <w:pStyle w:val="NormalWeb"/>
                    <w:spacing w:before="0"/>
                    <w:jc w:val="both"/>
                    <w:rPr>
                      <w:rFonts w:asciiTheme="majorHAnsi" w:hAnsiTheme="majorHAnsi"/>
                      <w:color w:val="FF0000"/>
                      <w:szCs w:val="22"/>
                    </w:rPr>
                  </w:pPr>
                  <w:r>
                    <w:rPr>
                      <w:rFonts w:asciiTheme="majorHAnsi" w:hAnsiTheme="majorHAnsi"/>
                      <w:szCs w:val="22"/>
                    </w:rPr>
                    <w:t>Le Conseil de classe est l’ensemble des membres du personnel directeur et enseignant, du personnel paramédical, psychologique et social et du personnel auxiliaire d’éducation qui a la charge de l’instruction et de l’éducation des élèves d’une classe déterminée et qui en porte la responsabilité</w:t>
                  </w:r>
                  <w:r>
                    <w:rPr>
                      <w:rFonts w:asciiTheme="majorHAnsi" w:hAnsiTheme="majorHAnsi"/>
                      <w:color w:val="000000" w:themeColor="text1"/>
                      <w:szCs w:val="22"/>
                    </w:rPr>
                    <w:t>.</w:t>
                  </w:r>
                </w:p>
                <w:p>
                  <w:pPr>
                    <w:pStyle w:val="NormalWeb"/>
                    <w:spacing w:before="0"/>
                    <w:jc w:val="both"/>
                    <w:rPr>
                      <w:rFonts w:asciiTheme="majorHAnsi" w:hAnsiTheme="majorHAnsi"/>
                      <w:szCs w:val="22"/>
                    </w:rPr>
                  </w:pPr>
                </w:p>
                <w:p>
                  <w:pPr>
                    <w:pStyle w:val="Titre4"/>
                  </w:pPr>
                  <w:bookmarkStart w:id="2232" w:name="_Toc291075359"/>
                  <w:bookmarkStart w:id="2233" w:name="_Toc291075783"/>
                  <w:bookmarkStart w:id="2234" w:name="_Toc291076207"/>
                  <w:bookmarkStart w:id="2235" w:name="_Toc291076631"/>
                  <w:bookmarkStart w:id="2236" w:name="_Toc291077055"/>
                  <w:bookmarkStart w:id="2237" w:name="_Toc293651898"/>
                  <w:bookmarkStart w:id="2238" w:name="_Toc293653481"/>
                  <w:bookmarkStart w:id="2239" w:name="_Toc293654092"/>
                  <w:bookmarkStart w:id="2240" w:name="_Toc294004670"/>
                  <w:bookmarkStart w:id="2241" w:name="_Toc294185166"/>
                  <w:bookmarkStart w:id="2242" w:name="_Toc324165982"/>
                  <w:bookmarkStart w:id="2243" w:name="_Toc324767019"/>
                  <w:bookmarkStart w:id="2244" w:name="_Toc324767877"/>
                  <w:bookmarkStart w:id="2245" w:name="_Toc453314378"/>
                  <w:bookmarkStart w:id="2246" w:name="_Toc454980413"/>
                  <w:r>
                    <w:t>1.2. Ses réunions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pPr>
                    <w:pStyle w:val="NormalWeb"/>
                    <w:spacing w:before="0"/>
                    <w:jc w:val="both"/>
                    <w:rPr>
                      <w:rFonts w:asciiTheme="majorHAnsi" w:hAnsiTheme="majorHAnsi"/>
                      <w:b/>
                      <w:caps/>
                      <w:szCs w:val="22"/>
                    </w:rPr>
                  </w:pPr>
                </w:p>
                <w:p>
                  <w:pPr>
                    <w:pStyle w:val="NormalWeb"/>
                    <w:spacing w:before="0"/>
                    <w:jc w:val="both"/>
                    <w:rPr>
                      <w:rFonts w:asciiTheme="majorHAnsi" w:hAnsiTheme="majorHAnsi"/>
                      <w:color w:val="auto"/>
                      <w:szCs w:val="22"/>
                    </w:rPr>
                  </w:pPr>
                  <w:r>
                    <w:rPr>
                      <w:rFonts w:asciiTheme="majorHAnsi" w:hAnsiTheme="majorHAnsi"/>
                      <w:color w:val="auto"/>
                      <w:szCs w:val="22"/>
                    </w:rPr>
                    <w:t>Le conseil de classe se réunit au moins une fois par trimestre.</w:t>
                  </w:r>
                </w:p>
                <w:p>
                  <w:pPr>
                    <w:pStyle w:val="NormalWeb"/>
                    <w:spacing w:before="0"/>
                    <w:jc w:val="both"/>
                    <w:rPr>
                      <w:rFonts w:asciiTheme="majorHAnsi" w:hAnsiTheme="majorHAnsi"/>
                      <w:szCs w:val="22"/>
                    </w:rPr>
                  </w:pPr>
                </w:p>
                <w:p>
                  <w:pPr>
                    <w:pStyle w:val="Titre4"/>
                  </w:pPr>
                  <w:bookmarkStart w:id="2247" w:name="_1.3._Ses_missions"/>
                  <w:bookmarkStart w:id="2248" w:name="_Toc291075360"/>
                  <w:bookmarkStart w:id="2249" w:name="_Toc291075784"/>
                  <w:bookmarkStart w:id="2250" w:name="_Toc291076208"/>
                  <w:bookmarkStart w:id="2251" w:name="_Toc291076632"/>
                  <w:bookmarkStart w:id="2252" w:name="_Toc291077056"/>
                  <w:bookmarkStart w:id="2253" w:name="_Toc293651899"/>
                  <w:bookmarkStart w:id="2254" w:name="_Toc293653482"/>
                  <w:bookmarkStart w:id="2255" w:name="_Toc293654093"/>
                  <w:bookmarkStart w:id="2256" w:name="_Toc294004671"/>
                  <w:bookmarkStart w:id="2257" w:name="_Toc294185167"/>
                  <w:bookmarkStart w:id="2258" w:name="_Toc324165983"/>
                  <w:bookmarkStart w:id="2259" w:name="_Toc324767020"/>
                  <w:bookmarkStart w:id="2260" w:name="_Toc324767878"/>
                  <w:bookmarkStart w:id="2261" w:name="_Toc453314379"/>
                  <w:bookmarkStart w:id="2262" w:name="_Toc454980414"/>
                  <w:bookmarkEnd w:id="2247"/>
                  <w:r>
                    <w:t>1.3. Ses missions</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pPr>
                    <w:pStyle w:val="NormalWeb"/>
                    <w:tabs>
                      <w:tab w:val="left" w:pos="1134"/>
                    </w:tabs>
                    <w:jc w:val="both"/>
                    <w:rPr>
                      <w:rFonts w:asciiTheme="majorHAnsi" w:hAnsiTheme="majorHAnsi"/>
                      <w:szCs w:val="22"/>
                      <w:u w:val="single"/>
                    </w:rPr>
                  </w:pPr>
                </w:p>
                <w:p>
                  <w:pPr>
                    <w:pStyle w:val="NormalWeb"/>
                    <w:tabs>
                      <w:tab w:val="left" w:pos="1134"/>
                    </w:tabs>
                    <w:jc w:val="both"/>
                    <w:rPr>
                      <w:rFonts w:asciiTheme="majorHAnsi" w:hAnsiTheme="majorHAnsi"/>
                      <w:color w:val="auto"/>
                      <w:szCs w:val="22"/>
                      <w:u w:val="single"/>
                    </w:rPr>
                  </w:pPr>
                  <w:r>
                    <w:rPr>
                      <w:rFonts w:asciiTheme="majorHAnsi" w:hAnsiTheme="majorHAnsi"/>
                      <w:color w:val="auto"/>
                      <w:szCs w:val="22"/>
                    </w:rPr>
                    <w:t xml:space="preserve">A. </w:t>
                  </w:r>
                  <w:r>
                    <w:rPr>
                      <w:rFonts w:asciiTheme="majorHAnsi" w:hAnsiTheme="majorHAnsi"/>
                      <w:color w:val="auto"/>
                      <w:szCs w:val="22"/>
                      <w:u w:val="single"/>
                    </w:rPr>
                    <w:t>Les missions propres</w:t>
                  </w:r>
                  <w:r>
                    <w:rPr>
                      <w:rFonts w:asciiTheme="majorHAnsi" w:hAnsiTheme="majorHAnsi"/>
                      <w:i/>
                      <w:color w:val="auto"/>
                      <w:szCs w:val="22"/>
                      <w:u w:val="single"/>
                    </w:rPr>
                    <w:t xml:space="preserve"> </w:t>
                  </w:r>
                  <w:r>
                    <w:rPr>
                      <w:rFonts w:asciiTheme="majorHAnsi" w:hAnsiTheme="majorHAnsi"/>
                      <w:color w:val="auto"/>
                      <w:szCs w:val="22"/>
                      <w:u w:val="single"/>
                    </w:rPr>
                    <w:t xml:space="preserve">au conseil de classe sont les suivantes : </w:t>
                  </w:r>
                </w:p>
                <w:p>
                  <w:pPr>
                    <w:pStyle w:val="NormalWeb"/>
                    <w:tabs>
                      <w:tab w:val="left" w:pos="1134"/>
                    </w:tabs>
                    <w:jc w:val="both"/>
                    <w:rPr>
                      <w:rFonts w:asciiTheme="majorHAnsi" w:hAnsiTheme="majorHAnsi"/>
                      <w:color w:val="auto"/>
                      <w:szCs w:val="22"/>
                      <w:u w:val="single"/>
                    </w:rPr>
                  </w:pPr>
                </w:p>
                <w:p>
                  <w:pPr>
                    <w:pStyle w:val="NormalWeb"/>
                    <w:numPr>
                      <w:ilvl w:val="0"/>
                      <w:numId w:val="34"/>
                    </w:numPr>
                    <w:tabs>
                      <w:tab w:val="clear" w:pos="360"/>
                    </w:tabs>
                    <w:spacing w:before="0"/>
                    <w:ind w:left="540" w:hanging="540"/>
                    <w:jc w:val="both"/>
                    <w:rPr>
                      <w:rFonts w:asciiTheme="majorHAnsi" w:hAnsiTheme="majorHAnsi"/>
                      <w:color w:val="auto"/>
                      <w:szCs w:val="22"/>
                    </w:rPr>
                  </w:pPr>
                  <w:r>
                    <w:rPr>
                      <w:rFonts w:asciiTheme="majorHAnsi" w:hAnsiTheme="majorHAnsi"/>
                      <w:color w:val="auto"/>
                      <w:szCs w:val="22"/>
                    </w:rPr>
                    <w:t>l’organisation des classes</w:t>
                  </w:r>
                </w:p>
                <w:p>
                  <w:pPr>
                    <w:pStyle w:val="NormalWeb"/>
                    <w:numPr>
                      <w:ilvl w:val="0"/>
                      <w:numId w:val="34"/>
                    </w:numPr>
                    <w:tabs>
                      <w:tab w:val="clear" w:pos="360"/>
                    </w:tabs>
                    <w:spacing w:before="0"/>
                    <w:ind w:left="540" w:hanging="540"/>
                    <w:jc w:val="both"/>
                    <w:rPr>
                      <w:rFonts w:asciiTheme="majorHAnsi" w:hAnsiTheme="majorHAnsi"/>
                      <w:color w:val="auto"/>
                      <w:szCs w:val="22"/>
                    </w:rPr>
                  </w:pPr>
                  <w:r>
                    <w:rPr>
                      <w:rFonts w:asciiTheme="majorHAnsi" w:hAnsiTheme="majorHAnsi"/>
                      <w:color w:val="auto"/>
                      <w:szCs w:val="22"/>
                    </w:rPr>
                    <w:t>la délivrance du Certificat d’études de base</w:t>
                  </w:r>
                  <w:r>
                    <w:rPr>
                      <w:rStyle w:val="Caractresdenotedebasdepage"/>
                      <w:color w:val="auto"/>
                      <w:szCs w:val="22"/>
                    </w:rPr>
                    <w:footnoteReference w:id="120"/>
                  </w:r>
                  <w:r>
                    <w:rPr>
                      <w:rStyle w:val="Appelnotedebasdep"/>
                      <w:rFonts w:asciiTheme="majorHAnsi" w:hAnsiTheme="majorHAnsi"/>
                      <w:color w:val="auto"/>
                      <w:sz w:val="16"/>
                      <w:szCs w:val="22"/>
                    </w:rPr>
                    <w:footnoteReference w:id="121"/>
                  </w:r>
                </w:p>
                <w:p>
                  <w:pPr>
                    <w:pStyle w:val="NormalWeb"/>
                    <w:spacing w:before="0"/>
                    <w:rPr>
                      <w:rFonts w:asciiTheme="majorHAnsi" w:hAnsiTheme="majorHAnsi"/>
                      <w:color w:val="auto"/>
                      <w:szCs w:val="22"/>
                    </w:rPr>
                  </w:pPr>
                </w:p>
                <w:p>
                  <w:pPr>
                    <w:pStyle w:val="NormalWeb"/>
                    <w:spacing w:before="0"/>
                    <w:rPr>
                      <w:rFonts w:asciiTheme="majorHAnsi" w:hAnsiTheme="majorHAnsi"/>
                      <w:color w:val="auto"/>
                      <w:szCs w:val="22"/>
                      <w:u w:val="single"/>
                    </w:rPr>
                  </w:pPr>
                  <w:r>
                    <w:rPr>
                      <w:rFonts w:asciiTheme="majorHAnsi" w:hAnsiTheme="majorHAnsi"/>
                      <w:color w:val="auto"/>
                      <w:szCs w:val="22"/>
                    </w:rPr>
                    <w:t xml:space="preserve">B. </w:t>
                  </w:r>
                  <w:r>
                    <w:rPr>
                      <w:rFonts w:asciiTheme="majorHAnsi" w:hAnsiTheme="majorHAnsi"/>
                      <w:color w:val="auto"/>
                      <w:szCs w:val="22"/>
                      <w:u w:val="single"/>
                    </w:rPr>
                    <w:t>Les missions du conseil de classe assisté</w:t>
                  </w:r>
                  <w:r>
                    <w:rPr>
                      <w:rFonts w:asciiTheme="majorHAnsi" w:hAnsiTheme="majorHAnsi"/>
                      <w:i/>
                      <w:color w:val="auto"/>
                      <w:szCs w:val="22"/>
                      <w:u w:val="single"/>
                    </w:rPr>
                    <w:t xml:space="preserve"> </w:t>
                  </w:r>
                  <w:r>
                    <w:rPr>
                      <w:rFonts w:asciiTheme="majorHAnsi" w:hAnsiTheme="majorHAnsi"/>
                      <w:color w:val="auto"/>
                      <w:szCs w:val="22"/>
                      <w:u w:val="single"/>
                    </w:rPr>
                    <w:t xml:space="preserve">de l’organisme chargé de la guidance des élèves sont les suivantes : </w:t>
                  </w:r>
                </w:p>
                <w:p>
                  <w:pPr>
                    <w:pStyle w:val="NormalWeb"/>
                    <w:spacing w:before="0"/>
                    <w:rPr>
                      <w:rFonts w:asciiTheme="majorHAnsi" w:hAnsiTheme="majorHAnsi"/>
                      <w:color w:val="auto"/>
                      <w:szCs w:val="22"/>
                      <w:u w:val="single"/>
                    </w:rPr>
                  </w:pPr>
                </w:p>
                <w:p>
                  <w:pPr>
                    <w:pStyle w:val="NormalWeb"/>
                    <w:numPr>
                      <w:ilvl w:val="0"/>
                      <w:numId w:val="34"/>
                    </w:numPr>
                    <w:tabs>
                      <w:tab w:val="clear" w:pos="360"/>
                    </w:tabs>
                    <w:spacing w:before="0"/>
                    <w:ind w:left="540" w:hanging="540"/>
                    <w:rPr>
                      <w:rFonts w:asciiTheme="majorHAnsi" w:hAnsiTheme="majorHAnsi"/>
                      <w:szCs w:val="22"/>
                    </w:rPr>
                  </w:pPr>
                  <w:r>
                    <w:rPr>
                      <w:rFonts w:asciiTheme="majorHAnsi" w:hAnsiTheme="majorHAnsi"/>
                      <w:szCs w:val="22"/>
                    </w:rPr>
                    <w:t>élaborer et ajuster pour chaque élève, un P.I.A qui coordonne les activités pédagogiques, paramédicales, sociales et psychologiques;</w:t>
                  </w:r>
                </w:p>
                <w:p>
                  <w:pPr>
                    <w:pStyle w:val="NormalWeb"/>
                    <w:numPr>
                      <w:ilvl w:val="0"/>
                      <w:numId w:val="34"/>
                    </w:numPr>
                    <w:tabs>
                      <w:tab w:val="clear" w:pos="360"/>
                    </w:tabs>
                    <w:spacing w:before="0"/>
                    <w:ind w:left="540" w:hanging="540"/>
                    <w:jc w:val="both"/>
                    <w:rPr>
                      <w:rFonts w:asciiTheme="majorHAnsi" w:hAnsiTheme="majorHAnsi"/>
                      <w:szCs w:val="22"/>
                    </w:rPr>
                  </w:pPr>
                  <w:r>
                    <w:rPr>
                      <w:rFonts w:asciiTheme="majorHAnsi" w:hAnsiTheme="majorHAnsi"/>
                      <w:szCs w:val="22"/>
                    </w:rPr>
                    <w:t>évaluer les progrès et les résultats de chaque élève en vue d’ajuster le P.I.A ;</w:t>
                  </w:r>
                </w:p>
                <w:p>
                  <w:pPr>
                    <w:pStyle w:val="NormalWeb"/>
                    <w:numPr>
                      <w:ilvl w:val="0"/>
                      <w:numId w:val="34"/>
                    </w:numPr>
                    <w:tabs>
                      <w:tab w:val="clear" w:pos="360"/>
                    </w:tabs>
                    <w:spacing w:before="0"/>
                    <w:ind w:left="540" w:hanging="540"/>
                    <w:jc w:val="both"/>
                    <w:rPr>
                      <w:rFonts w:asciiTheme="majorHAnsi" w:hAnsiTheme="majorHAnsi"/>
                      <w:szCs w:val="22"/>
                    </w:rPr>
                  </w:pPr>
                  <w:r>
                    <w:rPr>
                      <w:rFonts w:asciiTheme="majorHAnsi" w:hAnsiTheme="majorHAnsi"/>
                      <w:szCs w:val="22"/>
                    </w:rPr>
                    <w:t>prendre des décisions en ce qui concerne le maintien dans un niveau d’enseignement déterminé ;</w:t>
                  </w:r>
                </w:p>
                <w:p>
                  <w:pPr>
                    <w:pStyle w:val="NormalWeb"/>
                    <w:numPr>
                      <w:ilvl w:val="0"/>
                      <w:numId w:val="34"/>
                    </w:numPr>
                    <w:tabs>
                      <w:tab w:val="clear" w:pos="360"/>
                    </w:tabs>
                    <w:spacing w:before="0"/>
                    <w:ind w:left="540" w:hanging="540"/>
                    <w:jc w:val="both"/>
                    <w:rPr>
                      <w:rFonts w:asciiTheme="majorHAnsi" w:hAnsiTheme="majorHAnsi"/>
                      <w:szCs w:val="22"/>
                    </w:rPr>
                  </w:pPr>
                  <w:r>
                    <w:rPr>
                      <w:rFonts w:asciiTheme="majorHAnsi" w:hAnsiTheme="majorHAnsi"/>
                      <w:szCs w:val="22"/>
                    </w:rPr>
                    <w:t>proposer l’intégration d’un élève et émettre un avis motivé sur l’opportunité de celle-ci. Si cet avis est positif, assurer la gestion du projet d’intégration ;</w:t>
                  </w:r>
                </w:p>
                <w:p>
                  <w:pPr>
                    <w:pStyle w:val="NormalWeb"/>
                    <w:numPr>
                      <w:ilvl w:val="0"/>
                      <w:numId w:val="34"/>
                    </w:numPr>
                    <w:tabs>
                      <w:tab w:val="clear" w:pos="360"/>
                    </w:tabs>
                    <w:spacing w:before="0"/>
                    <w:ind w:left="540" w:hanging="540"/>
                    <w:jc w:val="both"/>
                    <w:rPr>
                      <w:rFonts w:asciiTheme="majorHAnsi" w:hAnsiTheme="majorHAnsi"/>
                      <w:szCs w:val="22"/>
                    </w:rPr>
                  </w:pPr>
                  <w:r>
                    <w:rPr>
                      <w:rFonts w:asciiTheme="majorHAnsi" w:hAnsiTheme="majorHAnsi"/>
                      <w:szCs w:val="22"/>
                    </w:rPr>
                    <w:t>réorienter les élèves vers une classe différente en cours d’année scolaire ;</w:t>
                  </w:r>
                </w:p>
                <w:p>
                  <w:pPr>
                    <w:pStyle w:val="NormalWeb"/>
                    <w:numPr>
                      <w:ilvl w:val="0"/>
                      <w:numId w:val="34"/>
                    </w:numPr>
                    <w:tabs>
                      <w:tab w:val="clear" w:pos="360"/>
                    </w:tabs>
                    <w:spacing w:before="0"/>
                    <w:ind w:left="540" w:hanging="540"/>
                    <w:jc w:val="both"/>
                    <w:rPr>
                      <w:rFonts w:asciiTheme="majorHAnsi" w:hAnsiTheme="majorHAnsi"/>
                      <w:szCs w:val="22"/>
                    </w:rPr>
                  </w:pPr>
                  <w:r>
                    <w:rPr>
                      <w:rFonts w:asciiTheme="majorHAnsi" w:hAnsiTheme="majorHAnsi"/>
                      <w:szCs w:val="22"/>
                    </w:rPr>
                    <w:t>prendre les décisions relatives au passage vers l’enseignement secondaire ;</w:t>
                  </w:r>
                </w:p>
                <w:p>
                  <w:pPr>
                    <w:pStyle w:val="NormalWeb"/>
                    <w:numPr>
                      <w:ilvl w:val="0"/>
                      <w:numId w:val="34"/>
                    </w:numPr>
                    <w:tabs>
                      <w:tab w:val="clear" w:pos="360"/>
                    </w:tabs>
                    <w:spacing w:before="0"/>
                    <w:ind w:left="540" w:hanging="540"/>
                    <w:jc w:val="both"/>
                    <w:rPr>
                      <w:rFonts w:asciiTheme="majorHAnsi" w:hAnsiTheme="majorHAnsi"/>
                      <w:szCs w:val="22"/>
                    </w:rPr>
                  </w:pPr>
                  <w:r>
                    <w:rPr>
                      <w:rFonts w:asciiTheme="majorHAnsi" w:hAnsiTheme="majorHAnsi"/>
                      <w:szCs w:val="22"/>
                    </w:rPr>
                    <w:t>émettre un avis motivé sur l’opportunité pour un élève de l’enseignement primaire de fréquenter une classe SSAS.</w:t>
                  </w:r>
                </w:p>
                <w:p>
                  <w:pPr>
                    <w:pStyle w:val="NormalWeb"/>
                    <w:spacing w:before="0"/>
                    <w:jc w:val="both"/>
                    <w:rPr>
                      <w:rFonts w:asciiTheme="majorHAnsi" w:hAnsiTheme="majorHAnsi"/>
                      <w:szCs w:val="22"/>
                    </w:rPr>
                  </w:pPr>
                </w:p>
                <w:p>
                  <w:pPr>
                    <w:pStyle w:val="NormalWeb"/>
                    <w:spacing w:before="0"/>
                    <w:jc w:val="both"/>
                    <w:rPr>
                      <w:rFonts w:asciiTheme="majorHAnsi" w:hAnsiTheme="majorHAnsi"/>
                      <w:szCs w:val="22"/>
                    </w:rPr>
                  </w:pPr>
                  <w:r>
                    <w:rPr>
                      <w:rFonts w:asciiTheme="majorHAnsi" w:hAnsiTheme="majorHAnsi"/>
                      <w:szCs w:val="22"/>
                    </w:rPr>
                    <w:t>Les avis motivés et les décisions du conseil de classe et de l’organisme de guidance figurent sur un document unique.</w:t>
                  </w:r>
                </w:p>
                <w:p>
                  <w:bookmarkStart w:id="2263" w:name="_Toc291075361"/>
                  <w:bookmarkStart w:id="2264" w:name="_Toc291075785"/>
                  <w:bookmarkStart w:id="2265" w:name="_Toc291076209"/>
                  <w:bookmarkStart w:id="2266" w:name="_Toc291076633"/>
                  <w:bookmarkStart w:id="2267" w:name="_Toc291077057"/>
                  <w:bookmarkStart w:id="2268" w:name="_Toc293651900"/>
                  <w:bookmarkStart w:id="2269" w:name="_Toc293653483"/>
                  <w:bookmarkStart w:id="2270" w:name="_Toc293654094"/>
                  <w:bookmarkStart w:id="2271" w:name="_Toc294004672"/>
                  <w:bookmarkStart w:id="2272" w:name="_Toc294185168"/>
                  <w:bookmarkStart w:id="2273" w:name="_Toc324165984"/>
                  <w:bookmarkStart w:id="2274" w:name="_Toc324767021"/>
                  <w:bookmarkStart w:id="2275" w:name="_Toc324767879"/>
                </w:p>
                <w:p>
                  <w:pPr>
                    <w:pStyle w:val="Titre4"/>
                  </w:pPr>
                  <w:bookmarkStart w:id="2276" w:name="_Toc453314380"/>
                  <w:bookmarkStart w:id="2277" w:name="_Toc454980415"/>
                  <w:r>
                    <w:t>1.4. Son fonctionnement</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pPr>
                    <w:pStyle w:val="NormalWeb"/>
                    <w:spacing w:before="0"/>
                    <w:jc w:val="both"/>
                    <w:rPr>
                      <w:rFonts w:asciiTheme="majorHAnsi" w:hAnsiTheme="majorHAnsi"/>
                      <w:b/>
                      <w:caps/>
                      <w:szCs w:val="22"/>
                    </w:rPr>
                  </w:pPr>
                </w:p>
                <w:p>
                  <w:pPr>
                    <w:pStyle w:val="NormalWeb"/>
                    <w:numPr>
                      <w:ilvl w:val="0"/>
                      <w:numId w:val="33"/>
                    </w:numPr>
                    <w:spacing w:before="0"/>
                    <w:jc w:val="both"/>
                    <w:rPr>
                      <w:rFonts w:asciiTheme="majorHAnsi" w:hAnsiTheme="majorHAnsi"/>
                      <w:szCs w:val="22"/>
                    </w:rPr>
                  </w:pPr>
                  <w:r>
                    <w:rPr>
                      <w:rFonts w:asciiTheme="majorHAnsi" w:hAnsiTheme="majorHAnsi"/>
                      <w:szCs w:val="22"/>
                    </w:rPr>
                    <w:t xml:space="preserve">Le directeur, ou son délégué </w:t>
                  </w:r>
                  <w:r>
                    <w:rPr>
                      <w:rFonts w:asciiTheme="majorHAnsi" w:hAnsiTheme="majorHAnsi"/>
                      <w:b/>
                      <w:szCs w:val="22"/>
                    </w:rPr>
                    <w:t xml:space="preserve">préside </w:t>
                  </w:r>
                  <w:r>
                    <w:rPr>
                      <w:rFonts w:asciiTheme="majorHAnsi" w:hAnsiTheme="majorHAnsi"/>
                      <w:szCs w:val="22"/>
                    </w:rPr>
                    <w:t>le conseil de classe. Dans un établissement qui comprend les niveaux primaire et secondaire, le directeur du primaire, ou son délégué les préside.</w:t>
                  </w:r>
                </w:p>
                <w:p>
                  <w:pPr>
                    <w:pStyle w:val="NormalWeb"/>
                    <w:numPr>
                      <w:ilvl w:val="0"/>
                      <w:numId w:val="33"/>
                    </w:numPr>
                    <w:spacing w:before="0"/>
                    <w:jc w:val="both"/>
                    <w:rPr>
                      <w:rFonts w:asciiTheme="majorHAnsi" w:hAnsiTheme="majorHAnsi"/>
                      <w:szCs w:val="22"/>
                    </w:rPr>
                  </w:pPr>
                  <w:r>
                    <w:rPr>
                      <w:rFonts w:asciiTheme="majorHAnsi" w:hAnsiTheme="majorHAnsi"/>
                      <w:szCs w:val="22"/>
                    </w:rPr>
                    <w:t>Les réunions sont organisées de façon à ce que chaque membre puisse assurer ses prestations.</w:t>
                  </w:r>
                </w:p>
                <w:p>
                  <w:pPr>
                    <w:pStyle w:val="NormalWeb"/>
                    <w:numPr>
                      <w:ilvl w:val="0"/>
                      <w:numId w:val="33"/>
                    </w:numPr>
                    <w:spacing w:before="0"/>
                    <w:jc w:val="both"/>
                    <w:rPr>
                      <w:rFonts w:asciiTheme="majorHAnsi" w:hAnsiTheme="majorHAnsi"/>
                      <w:szCs w:val="22"/>
                    </w:rPr>
                  </w:pPr>
                  <w:r>
                    <w:rPr>
                      <w:rFonts w:asciiTheme="majorHAnsi" w:hAnsiTheme="majorHAnsi"/>
                      <w:szCs w:val="22"/>
                    </w:rPr>
                    <w:t>L’horaire</w:t>
                  </w:r>
                  <w:r>
                    <w:rPr>
                      <w:rFonts w:asciiTheme="majorHAnsi" w:hAnsiTheme="majorHAnsi"/>
                      <w:b/>
                      <w:szCs w:val="22"/>
                    </w:rPr>
                    <w:t xml:space="preserve"> </w:t>
                  </w:r>
                  <w:r>
                    <w:rPr>
                      <w:rFonts w:asciiTheme="majorHAnsi" w:hAnsiTheme="majorHAnsi"/>
                      <w:szCs w:val="22"/>
                    </w:rPr>
                    <w:t>des conseils de classe est soumis à la consultation préalable du comité légal de concertation afin d’assurer une présence maximale du centre psycho-médico-social dans le cadre de l’article 32 §3, l’horaire est établi dans la mesure du possible en collaboration avec la direction du centre-psycho-médico-social.</w:t>
                  </w:r>
                </w:p>
                <w:p>
                  <w:pPr>
                    <w:pStyle w:val="NormalWeb"/>
                    <w:numPr>
                      <w:ilvl w:val="0"/>
                      <w:numId w:val="33"/>
                    </w:numPr>
                    <w:spacing w:before="0"/>
                    <w:jc w:val="both"/>
                    <w:rPr>
                      <w:rFonts w:asciiTheme="majorHAnsi" w:hAnsiTheme="majorHAnsi"/>
                      <w:szCs w:val="22"/>
                    </w:rPr>
                  </w:pPr>
                  <w:r>
                    <w:rPr>
                      <w:rFonts w:asciiTheme="majorHAnsi" w:hAnsiTheme="majorHAnsi"/>
                      <w:szCs w:val="22"/>
                    </w:rPr>
                    <w:t>Selon les modalités fixées par le règlement des études, un conseil de classe exceptionnel peut être organisé pendant les périodes de cours lorsqu’une décision urgente doit être prise.</w:t>
                  </w:r>
                </w:p>
                <w:p>
                  <w:pPr>
                    <w:pStyle w:val="NormalWeb"/>
                    <w:numPr>
                      <w:ilvl w:val="0"/>
                      <w:numId w:val="33"/>
                    </w:numPr>
                    <w:spacing w:before="0"/>
                    <w:jc w:val="both"/>
                    <w:rPr>
                      <w:rFonts w:asciiTheme="majorHAnsi" w:hAnsiTheme="majorHAnsi"/>
                      <w:color w:val="auto"/>
                      <w:szCs w:val="22"/>
                    </w:rPr>
                  </w:pPr>
                  <w:r>
                    <w:rPr>
                      <w:rFonts w:asciiTheme="majorHAnsi" w:hAnsiTheme="majorHAnsi"/>
                      <w:color w:val="auto"/>
                      <w:szCs w:val="22"/>
                    </w:rPr>
                    <w:t>Les membres du personnel qui, vu leur horaire professionnel, n’ont pas la possibilité d’assister au conseil de classe, sont tenus de transmettre par écrit toutes les informations utiles au bon déroulement du conseil de classe.</w:t>
                  </w:r>
                </w:p>
                <w:p>
                  <w:pPr>
                    <w:pStyle w:val="NormalWeb"/>
                    <w:tabs>
                      <w:tab w:val="left" w:pos="2900"/>
                    </w:tabs>
                    <w:spacing w:before="0"/>
                    <w:jc w:val="both"/>
                    <w:rPr>
                      <w:rFonts w:asciiTheme="majorHAnsi" w:hAnsiTheme="majorHAnsi"/>
                      <w:color w:val="auto"/>
                      <w:szCs w:val="22"/>
                    </w:rPr>
                  </w:pPr>
                  <w:r>
                    <w:rPr>
                      <w:rFonts w:asciiTheme="majorHAnsi" w:hAnsiTheme="majorHAnsi"/>
                      <w:color w:val="auto"/>
                      <w:szCs w:val="22"/>
                    </w:rPr>
                    <w:tab/>
                  </w:r>
                </w:p>
                <w:p>
                  <w:pPr>
                    <w:pStyle w:val="Titre4"/>
                  </w:pPr>
                  <w:bookmarkStart w:id="2278" w:name="_Toc291075362"/>
                  <w:bookmarkStart w:id="2279" w:name="_Toc291075786"/>
                  <w:bookmarkStart w:id="2280" w:name="_Toc291076210"/>
                  <w:bookmarkStart w:id="2281" w:name="_Toc291076634"/>
                  <w:bookmarkStart w:id="2282" w:name="_Toc291077058"/>
                  <w:bookmarkStart w:id="2283" w:name="_Toc293651901"/>
                  <w:bookmarkStart w:id="2284" w:name="_Toc293653484"/>
                  <w:bookmarkStart w:id="2285" w:name="_Toc293654095"/>
                  <w:bookmarkStart w:id="2286" w:name="_Toc294004673"/>
                  <w:bookmarkStart w:id="2287" w:name="_Toc294185169"/>
                  <w:bookmarkStart w:id="2288" w:name="_Toc324165985"/>
                  <w:bookmarkStart w:id="2289" w:name="_Toc324767022"/>
                  <w:bookmarkStart w:id="2290" w:name="_Toc324767880"/>
                  <w:bookmarkStart w:id="2291" w:name="_Toc453314381"/>
                  <w:bookmarkStart w:id="2292" w:name="_Toc454980416"/>
                  <w:r>
                    <w:t>1.5. Sa gestion du P.I.A des élèves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pPr>
                    <w:pStyle w:val="NormalWeb"/>
                    <w:spacing w:before="0"/>
                    <w:jc w:val="both"/>
                    <w:rPr>
                      <w:rFonts w:asciiTheme="majorHAnsi" w:hAnsiTheme="majorHAnsi"/>
                      <w:b/>
                      <w:caps/>
                      <w:color w:val="auto"/>
                      <w:szCs w:val="22"/>
                    </w:rPr>
                  </w:pPr>
                </w:p>
                <w:p>
                  <w:pPr>
                    <w:pStyle w:val="NormalWeb"/>
                    <w:numPr>
                      <w:ilvl w:val="0"/>
                      <w:numId w:val="20"/>
                    </w:numPr>
                    <w:spacing w:before="0"/>
                    <w:jc w:val="both"/>
                    <w:rPr>
                      <w:rFonts w:asciiTheme="majorHAnsi" w:hAnsiTheme="majorHAnsi"/>
                      <w:color w:val="auto"/>
                      <w:szCs w:val="22"/>
                    </w:rPr>
                  </w:pPr>
                  <w:r>
                    <w:rPr>
                      <w:rFonts w:asciiTheme="majorHAnsi" w:hAnsiTheme="majorHAnsi"/>
                      <w:color w:val="auto"/>
                      <w:szCs w:val="22"/>
                    </w:rPr>
                    <w:t xml:space="preserve">Les membres du conseil de classe assurent la gestion hebdomadaire du P.I.A. de chacun de leurs élèves durant les périodes de conseil de classe prévues dans leur grille-horaire.  </w:t>
                  </w:r>
                </w:p>
                <w:p>
                  <w:pPr>
                    <w:pStyle w:val="NormalWeb"/>
                    <w:numPr>
                      <w:ilvl w:val="0"/>
                      <w:numId w:val="20"/>
                    </w:numPr>
                    <w:spacing w:before="0"/>
                    <w:jc w:val="both"/>
                    <w:rPr>
                      <w:rFonts w:asciiTheme="majorHAnsi" w:hAnsiTheme="majorHAnsi"/>
                      <w:color w:val="auto"/>
                      <w:szCs w:val="22"/>
                    </w:rPr>
                  </w:pPr>
                  <w:r>
                    <w:rPr>
                      <w:rFonts w:asciiTheme="majorHAnsi" w:hAnsiTheme="majorHAnsi"/>
                      <w:color w:val="auto"/>
                      <w:szCs w:val="22"/>
                    </w:rPr>
                    <w:t xml:space="preserve">L’élève et ses parents ou, à défaut leur délégué, sont invités à l’élaboration du P.I.A. </w:t>
                  </w:r>
                </w:p>
                <w:p>
                  <w:pPr>
                    <w:pStyle w:val="NormalWeb"/>
                    <w:spacing w:before="0"/>
                    <w:jc w:val="both"/>
                    <w:rPr>
                      <w:rFonts w:asciiTheme="majorHAnsi" w:hAnsiTheme="majorHAnsi"/>
                      <w:color w:val="auto"/>
                      <w:szCs w:val="22"/>
                    </w:rPr>
                  </w:pPr>
                </w:p>
                <w:p>
                  <w:pPr>
                    <w:pStyle w:val="Titre4"/>
                  </w:pPr>
                  <w:bookmarkStart w:id="2293" w:name="_Toc291075363"/>
                  <w:bookmarkStart w:id="2294" w:name="_Toc291075787"/>
                  <w:bookmarkStart w:id="2295" w:name="_Toc291076211"/>
                  <w:bookmarkStart w:id="2296" w:name="_Toc291076635"/>
                  <w:bookmarkStart w:id="2297" w:name="_Toc291077059"/>
                  <w:bookmarkStart w:id="2298" w:name="_Toc293651902"/>
                  <w:bookmarkStart w:id="2299" w:name="_Toc293653485"/>
                  <w:bookmarkStart w:id="2300" w:name="_Toc293654096"/>
                  <w:bookmarkStart w:id="2301" w:name="_Toc294004674"/>
                  <w:bookmarkStart w:id="2302" w:name="_Toc294185170"/>
                  <w:bookmarkStart w:id="2303" w:name="_Toc324165986"/>
                  <w:bookmarkStart w:id="2304" w:name="_Toc324767023"/>
                  <w:bookmarkStart w:id="2305" w:name="_Toc324767881"/>
                  <w:bookmarkStart w:id="2306" w:name="_Toc453314382"/>
                  <w:bookmarkStart w:id="2307" w:name="_Toc454980417"/>
                  <w:r>
                    <w:t>1.6. Ses délibérations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pPr>
                    <w:pStyle w:val="NormalWeb"/>
                    <w:tabs>
                      <w:tab w:val="left" w:pos="1134"/>
                    </w:tabs>
                    <w:spacing w:before="0"/>
                    <w:jc w:val="both"/>
                    <w:rPr>
                      <w:rFonts w:asciiTheme="majorHAnsi" w:hAnsiTheme="majorHAnsi"/>
                      <w:b/>
                      <w:caps/>
                      <w:color w:val="auto"/>
                      <w:szCs w:val="22"/>
                    </w:rPr>
                  </w:pPr>
                </w:p>
                <w:p>
                  <w:pPr>
                    <w:pStyle w:val="NormalWeb"/>
                    <w:numPr>
                      <w:ilvl w:val="0"/>
                      <w:numId w:val="20"/>
                    </w:numPr>
                    <w:spacing w:before="0"/>
                    <w:jc w:val="both"/>
                    <w:rPr>
                      <w:rFonts w:asciiTheme="majorHAnsi" w:hAnsiTheme="majorHAnsi"/>
                      <w:color w:val="auto"/>
                      <w:szCs w:val="22"/>
                    </w:rPr>
                  </w:pPr>
                  <w:r>
                    <w:rPr>
                      <w:rFonts w:asciiTheme="majorHAnsi" w:hAnsiTheme="majorHAnsi"/>
                      <w:color w:val="auto"/>
                      <w:szCs w:val="22"/>
                    </w:rPr>
                    <w:t>Le titulaire rédige, pour chaque réunion du conseil de classe relatif à ses élèves, un procès-verbal qui établit entre autres :</w:t>
                  </w:r>
                </w:p>
                <w:p>
                  <w:pPr>
                    <w:pStyle w:val="NormalWeb"/>
                    <w:spacing w:before="0"/>
                    <w:ind w:left="360"/>
                    <w:jc w:val="both"/>
                    <w:rPr>
                      <w:rFonts w:asciiTheme="majorHAnsi" w:hAnsiTheme="majorHAnsi"/>
                      <w:color w:val="auto"/>
                      <w:szCs w:val="22"/>
                    </w:rPr>
                  </w:pPr>
                </w:p>
                <w:p>
                  <w:pPr>
                    <w:pStyle w:val="NormalWeb"/>
                    <w:spacing w:before="0"/>
                    <w:ind w:left="567"/>
                    <w:jc w:val="both"/>
                    <w:rPr>
                      <w:rFonts w:asciiTheme="majorHAnsi" w:hAnsiTheme="majorHAnsi"/>
                      <w:color w:val="auto"/>
                      <w:szCs w:val="22"/>
                    </w:rPr>
                  </w:pPr>
                  <w:r>
                    <w:rPr>
                      <w:rFonts w:asciiTheme="majorHAnsi" w:hAnsiTheme="majorHAnsi"/>
                      <w:color w:val="auto"/>
                      <w:szCs w:val="22"/>
                    </w:rPr>
                    <w:t>1) la classe;</w:t>
                  </w:r>
                </w:p>
                <w:p>
                  <w:pPr>
                    <w:pStyle w:val="NormalWeb"/>
                    <w:spacing w:before="0"/>
                    <w:ind w:left="567"/>
                    <w:jc w:val="both"/>
                    <w:rPr>
                      <w:rFonts w:asciiTheme="majorHAnsi" w:hAnsiTheme="majorHAnsi"/>
                      <w:color w:val="auto"/>
                      <w:szCs w:val="22"/>
                    </w:rPr>
                  </w:pPr>
                  <w:r>
                    <w:rPr>
                      <w:rFonts w:asciiTheme="majorHAnsi" w:hAnsiTheme="majorHAnsi"/>
                      <w:color w:val="auto"/>
                      <w:szCs w:val="22"/>
                    </w:rPr>
                    <w:t>2) la date, l’heure de début et de fin de la réunion;</w:t>
                  </w:r>
                </w:p>
                <w:p>
                  <w:pPr>
                    <w:pStyle w:val="NormalWeb"/>
                    <w:spacing w:before="0"/>
                    <w:ind w:left="567"/>
                    <w:jc w:val="both"/>
                    <w:rPr>
                      <w:rFonts w:asciiTheme="majorHAnsi" w:hAnsiTheme="majorHAnsi"/>
                      <w:color w:val="auto"/>
                      <w:szCs w:val="22"/>
                    </w:rPr>
                  </w:pPr>
                  <w:r>
                    <w:rPr>
                      <w:rFonts w:asciiTheme="majorHAnsi" w:hAnsiTheme="majorHAnsi"/>
                      <w:color w:val="auto"/>
                      <w:szCs w:val="22"/>
                    </w:rPr>
                    <w:t>3) le nom des membres présents et leur signature ;</w:t>
                  </w:r>
                </w:p>
                <w:p>
                  <w:pPr>
                    <w:pStyle w:val="NormalWeb"/>
                    <w:spacing w:before="0"/>
                    <w:ind w:left="567"/>
                    <w:jc w:val="both"/>
                    <w:rPr>
                      <w:rFonts w:asciiTheme="majorHAnsi" w:hAnsiTheme="majorHAnsi"/>
                      <w:color w:val="auto"/>
                      <w:szCs w:val="22"/>
                    </w:rPr>
                  </w:pPr>
                  <w:r>
                    <w:rPr>
                      <w:rFonts w:asciiTheme="majorHAnsi" w:hAnsiTheme="majorHAnsi"/>
                      <w:color w:val="auto"/>
                      <w:szCs w:val="22"/>
                    </w:rPr>
                    <w:t>4) le rapport des points traités ;</w:t>
                  </w:r>
                </w:p>
                <w:p>
                  <w:pPr>
                    <w:pStyle w:val="NormalWeb"/>
                    <w:spacing w:before="0"/>
                    <w:ind w:left="567"/>
                    <w:jc w:val="both"/>
                    <w:rPr>
                      <w:rFonts w:asciiTheme="majorHAnsi" w:hAnsiTheme="majorHAnsi"/>
                      <w:color w:val="auto"/>
                      <w:szCs w:val="22"/>
                    </w:rPr>
                  </w:pPr>
                  <w:r>
                    <w:rPr>
                      <w:rFonts w:asciiTheme="majorHAnsi" w:hAnsiTheme="majorHAnsi"/>
                      <w:color w:val="auto"/>
                      <w:szCs w:val="22"/>
                    </w:rPr>
                    <w:t>5) les décisions prises.</w:t>
                  </w:r>
                </w:p>
                <w:p>
                  <w:pPr>
                    <w:pStyle w:val="NormalWeb"/>
                    <w:numPr>
                      <w:ilvl w:val="0"/>
                      <w:numId w:val="50"/>
                    </w:numPr>
                    <w:tabs>
                      <w:tab w:val="clear" w:pos="3011"/>
                    </w:tabs>
                    <w:spacing w:before="0"/>
                    <w:ind w:left="360"/>
                    <w:jc w:val="both"/>
                    <w:rPr>
                      <w:rFonts w:asciiTheme="majorHAnsi" w:hAnsiTheme="majorHAnsi"/>
                      <w:szCs w:val="22"/>
                    </w:rPr>
                  </w:pPr>
                  <w:r>
                    <w:rPr>
                      <w:rFonts w:asciiTheme="majorHAnsi" w:hAnsiTheme="majorHAnsi"/>
                      <w:szCs w:val="22"/>
                    </w:rPr>
                    <w:t xml:space="preserve">Toutes les décisions du conseil de classe sont prises collégialement. Le conseil de classe tend à rallier l'unanimité. </w:t>
                  </w:r>
                </w:p>
                <w:p>
                  <w:pPr>
                    <w:pStyle w:val="NormalWeb"/>
                    <w:numPr>
                      <w:ilvl w:val="0"/>
                      <w:numId w:val="50"/>
                    </w:numPr>
                    <w:tabs>
                      <w:tab w:val="clear" w:pos="3011"/>
                    </w:tabs>
                    <w:spacing w:before="0"/>
                    <w:ind w:left="360"/>
                    <w:jc w:val="both"/>
                    <w:rPr>
                      <w:rFonts w:asciiTheme="majorHAnsi" w:hAnsiTheme="majorHAnsi"/>
                      <w:szCs w:val="22"/>
                    </w:rPr>
                  </w:pPr>
                  <w:r>
                    <w:rPr>
                      <w:rFonts w:asciiTheme="majorHAnsi" w:hAnsiTheme="majorHAnsi"/>
                      <w:szCs w:val="22"/>
                    </w:rPr>
                    <w:t>Les autres règles de délibération sont prévues dans le règlement des études.</w:t>
                  </w:r>
                </w:p>
                <w:p>
                  <w:pPr>
                    <w:pStyle w:val="NormalWeb"/>
                    <w:numPr>
                      <w:ilvl w:val="0"/>
                      <w:numId w:val="50"/>
                    </w:numPr>
                    <w:tabs>
                      <w:tab w:val="clear" w:pos="3011"/>
                    </w:tabs>
                    <w:spacing w:before="0"/>
                    <w:ind w:left="360"/>
                    <w:jc w:val="both"/>
                    <w:rPr>
                      <w:rFonts w:asciiTheme="majorHAnsi" w:hAnsiTheme="majorHAnsi"/>
                      <w:szCs w:val="22"/>
                    </w:rPr>
                  </w:pPr>
                  <w:r>
                    <w:rPr>
                      <w:rFonts w:asciiTheme="majorHAnsi" w:hAnsiTheme="majorHAnsi"/>
                      <w:szCs w:val="22"/>
                    </w:rPr>
                    <w:t>Les personnels éducatif et paramédical siègent avec voix consultative pour toutes les matières visant l’évaluation certificative.</w:t>
                  </w:r>
                </w:p>
                <w:p>
                  <w:pPr>
                    <w:pStyle w:val="NormalWeb"/>
                    <w:spacing w:before="0"/>
                    <w:jc w:val="both"/>
                    <w:rPr>
                      <w:rFonts w:asciiTheme="majorHAnsi" w:hAnsiTheme="majorHAnsi"/>
                      <w:color w:val="FF0000"/>
                      <w:szCs w:val="22"/>
                    </w:rPr>
                  </w:pPr>
                </w:p>
                <w:p>
                  <w:pPr>
                    <w:pStyle w:val="NormalWeb"/>
                    <w:spacing w:before="0"/>
                    <w:jc w:val="both"/>
                    <w:rPr>
                      <w:rFonts w:asciiTheme="majorHAnsi" w:hAnsiTheme="majorHAnsi"/>
                      <w:szCs w:val="22"/>
                    </w:rPr>
                  </w:pPr>
                  <w:r>
                    <w:rPr>
                      <w:rFonts w:asciiTheme="majorHAnsi" w:hAnsiTheme="majorHAnsi"/>
                      <w:szCs w:val="22"/>
                    </w:rPr>
                    <w:t>Tous les documents relatifs au conseil de classe restent en permanence à l'établissement, à la disposition de l'inspection et du service de vérification (population scolaire) de la Fédération Wallonie-Bruxelles.</w:t>
                  </w:r>
                </w:p>
                <w:p>
                  <w:pPr>
                    <w:pStyle w:val="NormalWeb"/>
                    <w:spacing w:before="0"/>
                    <w:rPr>
                      <w:rFonts w:asciiTheme="majorHAnsi" w:hAnsiTheme="majorHAnsi"/>
                      <w:szCs w:val="22"/>
                    </w:rPr>
                  </w:pPr>
                </w:p>
                <w:p>
                  <w:pPr>
                    <w:pStyle w:val="NormalWeb"/>
                    <w:spacing w:before="0"/>
                    <w:rPr>
                      <w:rFonts w:asciiTheme="majorHAnsi" w:hAnsiTheme="majorHAnsi"/>
                      <w:szCs w:val="22"/>
                    </w:rPr>
                  </w:pPr>
                </w:p>
                <w:p>
                  <w:pPr>
                    <w:pStyle w:val="NormalWeb"/>
                    <w:spacing w:before="0"/>
                    <w:rPr>
                      <w:rFonts w:asciiTheme="majorHAnsi" w:hAnsiTheme="majorHAnsi"/>
                      <w:szCs w:val="22"/>
                    </w:rPr>
                  </w:pPr>
                </w:p>
                <w:p>
                  <w:pPr>
                    <w:pStyle w:val="NormalWeb"/>
                    <w:spacing w:before="0"/>
                    <w:rPr>
                      <w:rFonts w:asciiTheme="majorHAnsi" w:hAnsiTheme="majorHAnsi"/>
                      <w:color w:val="FF0000"/>
                      <w:szCs w:val="22"/>
                    </w:rPr>
                  </w:pPr>
                </w:p>
                <w:p>
                  <w:pPr>
                    <w:pStyle w:val="NormalWeb"/>
                    <w:pBdr>
                      <w:top w:val="single" w:sz="4" w:space="1" w:color="000000"/>
                      <w:left w:val="single" w:sz="4" w:space="4" w:color="000000"/>
                      <w:bottom w:val="single" w:sz="4" w:space="1" w:color="000000"/>
                      <w:right w:val="single" w:sz="4" w:space="4" w:color="000000"/>
                    </w:pBdr>
                    <w:tabs>
                      <w:tab w:val="left" w:pos="1134"/>
                    </w:tabs>
                    <w:jc w:val="both"/>
                    <w:rPr>
                      <w:rFonts w:asciiTheme="majorHAnsi" w:hAnsiTheme="majorHAnsi"/>
                      <w:b/>
                      <w:caps/>
                      <w:szCs w:val="22"/>
                      <w:u w:val="single"/>
                    </w:rPr>
                  </w:pPr>
                  <w:r>
                    <w:rPr>
                      <w:rFonts w:asciiTheme="majorHAnsi" w:hAnsiTheme="majorHAnsi"/>
                      <w:b/>
                      <w:caps/>
                      <w:szCs w:val="22"/>
                      <w:u w:val="single"/>
                    </w:rPr>
                    <w:t>R</w:t>
                  </w:r>
                  <w:r>
                    <w:rPr>
                      <w:rFonts w:asciiTheme="majorHAnsi" w:hAnsiTheme="majorHAnsi"/>
                      <w:b/>
                      <w:szCs w:val="22"/>
                      <w:u w:val="single"/>
                    </w:rPr>
                    <w:t>emarques</w:t>
                  </w:r>
                  <w:r>
                    <w:rPr>
                      <w:rFonts w:asciiTheme="majorHAnsi" w:hAnsiTheme="majorHAnsi"/>
                      <w:b/>
                      <w:caps/>
                      <w:szCs w:val="22"/>
                      <w:u w:val="single"/>
                    </w:rPr>
                    <w:t> :</w:t>
                  </w:r>
                </w:p>
                <w:p>
                  <w:pPr>
                    <w:pStyle w:val="NormalWeb"/>
                    <w:pBdr>
                      <w:top w:val="single" w:sz="4" w:space="1" w:color="000000"/>
                      <w:left w:val="single" w:sz="4" w:space="4" w:color="000000"/>
                      <w:bottom w:val="single" w:sz="4" w:space="1" w:color="000000"/>
                      <w:right w:val="single" w:sz="4" w:space="4" w:color="000000"/>
                    </w:pBdr>
                    <w:tabs>
                      <w:tab w:val="left" w:pos="1134"/>
                    </w:tabs>
                    <w:jc w:val="both"/>
                    <w:rPr>
                      <w:rFonts w:asciiTheme="majorHAnsi" w:hAnsiTheme="majorHAnsi"/>
                      <w:szCs w:val="22"/>
                    </w:rPr>
                  </w:pPr>
                  <w:r>
                    <w:rPr>
                      <w:rFonts w:asciiTheme="majorHAnsi" w:hAnsiTheme="majorHAnsi"/>
                      <w:szCs w:val="22"/>
                    </w:rPr>
                    <w:t xml:space="preserve">1) Les constats, informations, interventions présentés lors d’une réunion du conseil de classe ont un </w:t>
                  </w:r>
                  <w:r>
                    <w:rPr>
                      <w:rFonts w:asciiTheme="majorHAnsi" w:hAnsiTheme="majorHAnsi"/>
                      <w:szCs w:val="22"/>
                      <w:u w:val="single"/>
                    </w:rPr>
                    <w:t>caractère strictement confidentiel</w:t>
                  </w:r>
                  <w:r>
                    <w:rPr>
                      <w:rFonts w:asciiTheme="majorHAnsi" w:hAnsiTheme="majorHAnsi"/>
                      <w:szCs w:val="22"/>
                    </w:rPr>
                    <w:t>. La communication de ces données à des personnes extérieures au conseil de classe requiert l’autorisation du chef d’établissement.</w:t>
                  </w:r>
                </w:p>
                <w:p>
                  <w:pPr>
                    <w:pStyle w:val="NormalWeb"/>
                    <w:pBdr>
                      <w:top w:val="single" w:sz="4" w:space="1" w:color="000000"/>
                      <w:left w:val="single" w:sz="4" w:space="4" w:color="000000"/>
                      <w:bottom w:val="single" w:sz="4" w:space="1" w:color="000000"/>
                      <w:right w:val="single" w:sz="4" w:space="4" w:color="000000"/>
                    </w:pBdr>
                    <w:spacing w:before="0"/>
                    <w:jc w:val="both"/>
                    <w:rPr>
                      <w:rFonts w:asciiTheme="majorHAnsi" w:hAnsiTheme="majorHAnsi"/>
                      <w:szCs w:val="22"/>
                    </w:rPr>
                  </w:pPr>
                  <w:r>
                    <w:rPr>
                      <w:rFonts w:asciiTheme="majorHAnsi" w:hAnsiTheme="majorHAnsi"/>
                      <w:szCs w:val="22"/>
                    </w:rPr>
                    <w:t>2)  Les décisions du conseil de classe sont communiquées à l’élève, à ses parents, ou à la personne investie de l’autorité parentale, par le chef d’établissement, ou par son délégué, selon les modalités fixées par le règlement des études.</w:t>
                  </w:r>
                </w:p>
                <w:p>
                  <w:pPr>
                    <w:jc w:val="both"/>
                  </w:pPr>
                  <w:bookmarkStart w:id="2308" w:name="__RefHeading__201_957262308"/>
                  <w:bookmarkStart w:id="2309" w:name="__RefHeading__203_957262308"/>
                  <w:bookmarkStart w:id="2310" w:name="_3._Les_procédures"/>
                  <w:bookmarkEnd w:id="2308"/>
                  <w:bookmarkEnd w:id="2309"/>
                  <w:bookmarkEnd w:id="2310"/>
                </w:p>
                <w:p>
                  <w:pPr>
                    <w:pStyle w:val="Titre3"/>
                  </w:pPr>
                  <w:bookmarkStart w:id="2311" w:name="_3.3_Certificat_d’études"/>
                  <w:bookmarkStart w:id="2312" w:name="_2._Certificat_d’études"/>
                  <w:bookmarkStart w:id="2313" w:name="_Toc453314394"/>
                  <w:bookmarkStart w:id="2314" w:name="_Toc454980429"/>
                  <w:bookmarkStart w:id="2315" w:name="_Toc18914456"/>
                  <w:bookmarkEnd w:id="2311"/>
                  <w:bookmarkEnd w:id="2312"/>
                  <w:r>
                    <w:t>2. Certificat d’études de base (CEB) – Recours contre le refus d’octroi.</w:t>
                  </w:r>
                  <w:bookmarkEnd w:id="2313"/>
                  <w:bookmarkEnd w:id="2314"/>
                  <w:bookmarkEnd w:id="2315"/>
                </w:p>
                <w:p>
                  <w:pPr>
                    <w:jc w:val="both"/>
                    <w:rPr>
                      <w:color w:val="000000"/>
                      <w:spacing w:val="2"/>
                      <w:lang w:eastAsia="fr-FR"/>
                    </w:rPr>
                  </w:pPr>
                </w:p>
                <w:p>
                  <w:pPr>
                    <w:jc w:val="both"/>
                    <w:rPr>
                      <w:color w:val="000000"/>
                      <w:spacing w:val="2"/>
                      <w:lang w:eastAsia="fr-FR"/>
                    </w:rPr>
                  </w:pPr>
                  <w:r>
                    <w:rPr>
                      <w:color w:val="000000"/>
                      <w:spacing w:val="2"/>
                      <w:lang w:eastAsia="fr-FR"/>
                    </w:rPr>
                    <w:t>Quand un élève n’obtient pas le certificat d’études de base, le chef d’établissement invite les parents à un entretien au cours duquel :</w:t>
                  </w:r>
                </w:p>
                <w:p>
                  <w:pPr>
                    <w:jc w:val="both"/>
                    <w:rPr>
                      <w:color w:val="000000"/>
                      <w:spacing w:val="2"/>
                      <w:lang w:eastAsia="fr-FR"/>
                    </w:rPr>
                  </w:pPr>
                </w:p>
                <w:p>
                  <w:pPr>
                    <w:pStyle w:val="Paragraphedeliste"/>
                    <w:numPr>
                      <w:ilvl w:val="0"/>
                      <w:numId w:val="184"/>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il leur explique la </w:t>
                  </w:r>
                  <w:r>
                    <w:rPr>
                      <w:rFonts w:asciiTheme="majorHAnsi" w:hAnsiTheme="majorHAnsi"/>
                      <w:b/>
                      <w:bCs/>
                      <w:color w:val="000000"/>
                      <w:spacing w:val="2"/>
                      <w:sz w:val="22"/>
                      <w:szCs w:val="22"/>
                      <w:lang w:eastAsia="fr-FR"/>
                    </w:rPr>
                    <w:t>décision</w:t>
                  </w:r>
                  <w:r>
                    <w:rPr>
                      <w:rFonts w:asciiTheme="majorHAnsi" w:hAnsiTheme="majorHAnsi"/>
                      <w:color w:val="000000"/>
                      <w:spacing w:val="2"/>
                      <w:sz w:val="22"/>
                      <w:szCs w:val="22"/>
                      <w:lang w:eastAsia="fr-FR"/>
                    </w:rPr>
                    <w:t xml:space="preserve"> du refus d’octroi du CEB ;</w:t>
                  </w:r>
                </w:p>
                <w:p>
                  <w:pPr>
                    <w:pStyle w:val="Paragraphedeliste"/>
                    <w:numPr>
                      <w:ilvl w:val="0"/>
                      <w:numId w:val="184"/>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il envisage avec eux les possibilités de </w:t>
                  </w:r>
                  <w:r>
                    <w:rPr>
                      <w:rFonts w:asciiTheme="majorHAnsi" w:hAnsiTheme="majorHAnsi"/>
                      <w:b/>
                      <w:bCs/>
                      <w:color w:val="000000"/>
                      <w:spacing w:val="2"/>
                      <w:sz w:val="22"/>
                      <w:szCs w:val="22"/>
                      <w:lang w:eastAsia="fr-FR"/>
                    </w:rPr>
                    <w:t>poursuite de la scolarité</w:t>
                  </w:r>
                  <w:r>
                    <w:rPr>
                      <w:rFonts w:asciiTheme="majorHAnsi" w:hAnsiTheme="majorHAnsi"/>
                      <w:color w:val="000000"/>
                      <w:spacing w:val="2"/>
                      <w:sz w:val="22"/>
                      <w:szCs w:val="22"/>
                      <w:lang w:eastAsia="fr-FR"/>
                    </w:rPr>
                    <w:t xml:space="preserve"> de leur enfant ;</w:t>
                  </w:r>
                </w:p>
                <w:p>
                  <w:pPr>
                    <w:pStyle w:val="Paragraphedeliste"/>
                    <w:numPr>
                      <w:ilvl w:val="0"/>
                      <w:numId w:val="184"/>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il les informe des modalités d’introduction d’un </w:t>
                  </w:r>
                  <w:r>
                    <w:rPr>
                      <w:rFonts w:asciiTheme="majorHAnsi" w:hAnsiTheme="majorHAnsi"/>
                      <w:b/>
                      <w:bCs/>
                      <w:color w:val="000000"/>
                      <w:spacing w:val="2"/>
                      <w:sz w:val="22"/>
                      <w:szCs w:val="22"/>
                      <w:lang w:eastAsia="fr-FR"/>
                    </w:rPr>
                    <w:t>recours</w:t>
                  </w:r>
                  <w:r>
                    <w:rPr>
                      <w:rFonts w:asciiTheme="majorHAnsi" w:hAnsiTheme="majorHAnsi"/>
                      <w:color w:val="000000"/>
                      <w:spacing w:val="2"/>
                      <w:sz w:val="22"/>
                      <w:szCs w:val="22"/>
                      <w:lang w:eastAsia="fr-FR"/>
                    </w:rPr>
                    <w:t>.</w:t>
                  </w:r>
                </w:p>
                <w:p>
                  <w:pPr>
                    <w:jc w:val="both"/>
                    <w:rPr>
                      <w:color w:val="000000"/>
                      <w:spacing w:val="2"/>
                      <w:lang w:eastAsia="fr-FR"/>
                    </w:rPr>
                  </w:pPr>
                  <w:r>
                    <w:rPr>
                      <w:color w:val="000000"/>
                      <w:spacing w:val="2"/>
                      <w:lang w:eastAsia="fr-FR"/>
                    </w:rPr>
                    <w:t xml:space="preserve">Le recours est demandé par les </w:t>
                  </w:r>
                  <w:r>
                    <w:rPr>
                      <w:b/>
                      <w:bCs/>
                      <w:color w:val="000000"/>
                      <w:spacing w:val="2"/>
                      <w:lang w:eastAsia="fr-FR"/>
                    </w:rPr>
                    <w:t>parents de l’élève</w:t>
                  </w:r>
                  <w:r>
                    <w:rPr>
                      <w:color w:val="000000"/>
                      <w:spacing w:val="2"/>
                      <w:lang w:eastAsia="fr-FR"/>
                    </w:rPr>
                    <w:t>. Il doit inclure :</w:t>
                  </w:r>
                </w:p>
                <w:p>
                  <w:pPr>
                    <w:jc w:val="both"/>
                    <w:rPr>
                      <w:color w:val="000000"/>
                      <w:spacing w:val="2"/>
                      <w:lang w:eastAsia="fr-FR"/>
                    </w:rPr>
                  </w:pPr>
                </w:p>
                <w:p>
                  <w:pPr>
                    <w:pStyle w:val="Paragraphedeliste"/>
                    <w:numPr>
                      <w:ilvl w:val="0"/>
                      <w:numId w:val="185"/>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les </w:t>
                  </w:r>
                  <w:r>
                    <w:rPr>
                      <w:rFonts w:asciiTheme="majorHAnsi" w:hAnsiTheme="majorHAnsi"/>
                      <w:b/>
                      <w:bCs/>
                      <w:color w:val="000000"/>
                      <w:spacing w:val="2"/>
                      <w:sz w:val="22"/>
                      <w:szCs w:val="22"/>
                      <w:lang w:eastAsia="fr-FR"/>
                    </w:rPr>
                    <w:t>raisons précises</w:t>
                  </w:r>
                  <w:r>
                    <w:rPr>
                      <w:rFonts w:asciiTheme="majorHAnsi" w:hAnsiTheme="majorHAnsi"/>
                      <w:color w:val="000000"/>
                      <w:spacing w:val="2"/>
                      <w:sz w:val="22"/>
                      <w:szCs w:val="22"/>
                      <w:lang w:eastAsia="fr-FR"/>
                    </w:rPr>
                    <w:t xml:space="preserve"> pour lesquelles ils contestent la décision de l’école ;</w:t>
                  </w:r>
                </w:p>
                <w:p>
                  <w:pPr>
                    <w:pStyle w:val="Paragraphedeliste"/>
                    <w:numPr>
                      <w:ilvl w:val="0"/>
                      <w:numId w:val="185"/>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une copie de cette </w:t>
                  </w:r>
                  <w:r>
                    <w:rPr>
                      <w:rFonts w:asciiTheme="majorHAnsi" w:hAnsiTheme="majorHAnsi"/>
                      <w:b/>
                      <w:bCs/>
                      <w:color w:val="000000"/>
                      <w:spacing w:val="2"/>
                      <w:sz w:val="22"/>
                      <w:szCs w:val="22"/>
                      <w:lang w:eastAsia="fr-FR"/>
                    </w:rPr>
                    <w:t>décision</w:t>
                  </w:r>
                  <w:r>
                    <w:rPr>
                      <w:rFonts w:asciiTheme="majorHAnsi" w:hAnsiTheme="majorHAnsi"/>
                      <w:color w:val="000000"/>
                      <w:spacing w:val="2"/>
                      <w:sz w:val="22"/>
                      <w:szCs w:val="22"/>
                      <w:lang w:eastAsia="fr-FR"/>
                    </w:rPr>
                    <w:t xml:space="preserve"> ;</w:t>
                  </w:r>
                </w:p>
                <w:p>
                  <w:pPr>
                    <w:pStyle w:val="Paragraphedeliste"/>
                    <w:numPr>
                      <w:ilvl w:val="0"/>
                      <w:numId w:val="185"/>
                    </w:numPr>
                    <w:jc w:val="both"/>
                    <w:rPr>
                      <w:rFonts w:asciiTheme="majorHAnsi" w:hAnsiTheme="majorHAnsi"/>
                      <w:color w:val="000000"/>
                      <w:spacing w:val="2"/>
                      <w:sz w:val="22"/>
                      <w:szCs w:val="22"/>
                      <w:lang w:eastAsia="fr-FR"/>
                    </w:rPr>
                  </w:pPr>
                  <w:r>
                    <w:rPr>
                      <w:rFonts w:asciiTheme="majorHAnsi" w:hAnsiTheme="majorHAnsi"/>
                      <w:b/>
                      <w:bCs/>
                      <w:color w:val="000000"/>
                      <w:spacing w:val="2"/>
                      <w:sz w:val="22"/>
                      <w:szCs w:val="22"/>
                      <w:lang w:eastAsia="fr-FR"/>
                    </w:rPr>
                    <w:t>une copie des bulletins</w:t>
                  </w:r>
                  <w:r>
                    <w:rPr>
                      <w:rFonts w:asciiTheme="majorHAnsi" w:hAnsiTheme="majorHAnsi"/>
                      <w:color w:val="000000"/>
                      <w:spacing w:val="2"/>
                      <w:sz w:val="22"/>
                      <w:szCs w:val="22"/>
                      <w:lang w:eastAsia="fr-FR"/>
                    </w:rPr>
                    <w:t xml:space="preserve"> des deux dernières années scolaires ou tout autre document jugé utile pour le dossier.</w:t>
                  </w:r>
                </w:p>
                <w:p>
                  <w:pPr>
                    <w:jc w:val="both"/>
                    <w:rPr>
                      <w:color w:val="000000"/>
                      <w:spacing w:val="2"/>
                      <w:lang w:eastAsia="fr-FR"/>
                    </w:rPr>
                  </w:pPr>
                </w:p>
                <w:p>
                  <w:pPr>
                    <w:jc w:val="both"/>
                    <w:rPr>
                      <w:color w:val="000000"/>
                      <w:spacing w:val="2"/>
                      <w:lang w:eastAsia="fr-FR"/>
                    </w:rPr>
                  </w:pPr>
                  <w:r>
                    <w:rPr>
                      <w:color w:val="000000"/>
                      <w:spacing w:val="2"/>
                      <w:lang w:eastAsia="fr-FR"/>
                    </w:rPr>
                    <w:t xml:space="preserve">Il doit être introduit, </w:t>
                  </w:r>
                  <w:r>
                    <w:rPr>
                      <w:b/>
                      <w:bCs/>
                      <w:color w:val="000000"/>
                      <w:spacing w:val="2"/>
                      <w:lang w:eastAsia="fr-FR"/>
                    </w:rPr>
                    <w:t>dans les 10 jours ouvrables</w:t>
                  </w:r>
                  <w:r>
                    <w:rPr>
                      <w:color w:val="000000"/>
                      <w:spacing w:val="2"/>
                      <w:lang w:eastAsia="fr-FR"/>
                    </w:rPr>
                    <w:t xml:space="preserve"> suivant la remise des résultats, </w:t>
                  </w:r>
                  <w:r>
                    <w:rPr>
                      <w:b/>
                      <w:bCs/>
                      <w:color w:val="000000"/>
                      <w:spacing w:val="2"/>
                      <w:lang w:eastAsia="fr-FR"/>
                    </w:rPr>
                    <w:t>par envoi recommandé</w:t>
                  </w:r>
                  <w:r>
                    <w:rPr>
                      <w:color w:val="000000"/>
                      <w:spacing w:val="2"/>
                      <w:lang w:eastAsia="fr-FR"/>
                    </w:rPr>
                    <w:t>, à :</w:t>
                  </w:r>
                </w:p>
                <w:p>
                  <w:pPr>
                    <w:rPr>
                      <w:color w:val="000000"/>
                      <w:spacing w:val="2"/>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4"/>
                  </w:tblGrid>
                  <w:tr>
                    <w:trPr>
                      <w:trHeight w:val="1260"/>
                    </w:trPr>
                    <w:tc>
                      <w:tcPr>
                        <w:tcW w:w="9679" w:type="dxa"/>
                      </w:tcPr>
                      <w:p>
                        <w:pPr>
                          <w:jc w:val="center"/>
                          <w:rPr>
                            <w:color w:val="000000"/>
                            <w:spacing w:val="2"/>
                            <w:lang w:eastAsia="fr-FR"/>
                          </w:rPr>
                        </w:pPr>
                        <w:r>
                          <w:rPr>
                            <w:color w:val="000000"/>
                            <w:spacing w:val="2"/>
                            <w:lang w:eastAsia="fr-FR"/>
                          </w:rPr>
                          <w:t>Administration générale de l’enseignement</w:t>
                        </w:r>
                      </w:p>
                      <w:p>
                        <w:pPr>
                          <w:jc w:val="center"/>
                          <w:rPr>
                            <w:color w:val="000000"/>
                            <w:spacing w:val="2"/>
                            <w:lang w:eastAsia="fr-FR"/>
                          </w:rPr>
                        </w:pPr>
                        <w:r>
                          <w:rPr>
                            <w:color w:val="000000"/>
                            <w:spacing w:val="2"/>
                            <w:lang w:eastAsia="fr-FR"/>
                          </w:rPr>
                          <w:t>Madame Lise-Anne HANSE</w:t>
                        </w:r>
                        <w:r>
                          <w:rPr>
                            <w:color w:val="000000"/>
                            <w:spacing w:val="2"/>
                            <w:lang w:eastAsia="fr-FR"/>
                          </w:rPr>
                          <w:br/>
                          <w:t>Administratrice générale - Recours CEB</w:t>
                        </w:r>
                        <w:r>
                          <w:rPr>
                            <w:color w:val="000000"/>
                            <w:spacing w:val="2"/>
                            <w:lang w:eastAsia="fr-FR"/>
                          </w:rPr>
                          <w:br/>
                          <w:t>Avenue du Port 16</w:t>
                        </w:r>
                      </w:p>
                      <w:p>
                        <w:pPr>
                          <w:jc w:val="center"/>
                          <w:rPr>
                            <w:color w:val="000000"/>
                            <w:spacing w:val="2"/>
                            <w:lang w:eastAsia="fr-FR"/>
                          </w:rPr>
                        </w:pPr>
                        <w:r>
                          <w:rPr>
                            <w:color w:val="000000"/>
                            <w:spacing w:val="2"/>
                            <w:lang w:eastAsia="fr-FR"/>
                          </w:rPr>
                          <w:t>1080 MOLENBEEK-ST-JEAN</w:t>
                        </w:r>
                      </w:p>
                    </w:tc>
                  </w:tr>
                </w:tbl>
                <w:p>
                  <w:pPr>
                    <w:spacing w:before="100" w:beforeAutospacing="1" w:after="150"/>
                    <w:jc w:val="both"/>
                    <w:rPr>
                      <w:color w:val="000000"/>
                      <w:spacing w:val="2"/>
                      <w:lang w:eastAsia="fr-FR"/>
                    </w:rPr>
                  </w:pPr>
                  <w:r>
                    <w:rPr>
                      <w:noProof/>
                      <w:color w:val="000000"/>
                      <w:spacing w:val="2"/>
                      <w:lang w:eastAsia="fr-BE"/>
                    </w:rPr>
                    <mc:AlternateContent>
                      <mc:Choice Requires="wps">
                        <w:drawing>
                          <wp:anchor distT="0" distB="0" distL="114300" distR="114300" simplePos="0" relativeHeight="252082176" behindDoc="0" locked="0" layoutInCell="1" allowOverlap="1">
                            <wp:simplePos x="0" y="0"/>
                            <wp:positionH relativeFrom="column">
                              <wp:posOffset>6265914</wp:posOffset>
                            </wp:positionH>
                            <wp:positionV relativeFrom="paragraph">
                              <wp:posOffset>-791712</wp:posOffset>
                            </wp:positionV>
                            <wp:extent cx="0" cy="797442"/>
                            <wp:effectExtent l="0" t="0" r="19050" b="22225"/>
                            <wp:wrapNone/>
                            <wp:docPr id="472" name="Connecteur droit 472"/>
                            <wp:cNvGraphicFramePr/>
                            <a:graphic xmlns:a="http://schemas.openxmlformats.org/drawingml/2006/main">
                              <a:graphicData uri="http://schemas.microsoft.com/office/word/2010/wordprocessingShape">
                                <wps:wsp>
                                  <wps:cNvCnPr/>
                                  <wps:spPr>
                                    <a:xfrm>
                                      <a:off x="0" y="0"/>
                                      <a:ext cx="0" cy="79744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6145AD4" id="Connecteur droit 472" o:spid="_x0000_s1026" style="position:absolute;z-index:252082176;visibility:visible;mso-wrap-style:square;mso-wrap-distance-left:9pt;mso-wrap-distance-top:0;mso-wrap-distance-right:9pt;mso-wrap-distance-bottom:0;mso-position-horizontal:absolute;mso-position-horizontal-relative:text;mso-position-vertical:absolute;mso-position-vertical-relative:text" from="493.4pt,-62.35pt" to="493.4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" strokecolor="black [3040]"/>
                        </w:pict>
                      </mc:Fallback>
                    </mc:AlternateContent>
                  </w:r>
                  <w:r>
                    <w:rPr>
                      <w:color w:val="000000"/>
                      <w:spacing w:val="2"/>
                      <w:lang w:eastAsia="fr-FR"/>
                    </w:rPr>
                    <w:t xml:space="preserve">Simultanément, une copie de cette demande doit être envoyée au chef d’établissement, </w:t>
                  </w:r>
                  <w:r>
                    <w:rPr>
                      <w:b/>
                      <w:bCs/>
                      <w:color w:val="000000"/>
                      <w:spacing w:val="2"/>
                      <w:lang w:eastAsia="fr-FR"/>
                    </w:rPr>
                    <w:t>par lettre recommandée</w:t>
                  </w:r>
                  <w:r>
                    <w:rPr>
                      <w:color w:val="000000"/>
                      <w:spacing w:val="2"/>
                      <w:lang w:eastAsia="fr-FR"/>
                    </w:rPr>
                    <w:t>.</w:t>
                  </w:r>
                </w:p>
                <w:p>
                  <w:pPr>
                    <w:jc w:val="both"/>
                    <w:rPr>
                      <w:color w:val="000000"/>
                      <w:spacing w:val="2"/>
                      <w:lang w:eastAsia="fr-FR"/>
                    </w:rPr>
                  </w:pPr>
                  <w:r>
                    <w:rPr>
                      <w:color w:val="000000"/>
                      <w:spacing w:val="2"/>
                      <w:lang w:eastAsia="fr-FR"/>
                    </w:rPr>
                    <w:t xml:space="preserve">Le </w:t>
                  </w:r>
                  <w:r>
                    <w:rPr>
                      <w:b/>
                      <w:bCs/>
                      <w:color w:val="000000"/>
                      <w:spacing w:val="2"/>
                      <w:lang w:eastAsia="fr-FR"/>
                    </w:rPr>
                    <w:t>Conseil de recours</w:t>
                  </w:r>
                  <w:r>
                    <w:rPr>
                      <w:color w:val="000000"/>
                      <w:spacing w:val="2"/>
                      <w:lang w:eastAsia="fr-FR"/>
                    </w:rPr>
                    <w:t xml:space="preserve"> décidera si le CEB doit être accordé. Les parents et l’école seront avertis au plus tard le 31 août.</w:t>
                  </w:r>
                </w:p>
                <w:p>
                  <w:pPr>
                    <w:jc w:val="both"/>
                    <w:rPr>
                      <w:color w:val="000000"/>
                      <w:spacing w:val="2"/>
                      <w:lang w:eastAsia="fr-FR"/>
                    </w:rPr>
                  </w:pPr>
                </w:p>
                <w:p>
                  <w:pPr>
                    <w:pStyle w:val="Titre3"/>
                  </w:pPr>
                  <w:bookmarkStart w:id="2316" w:name="_Toc324165997"/>
                  <w:bookmarkStart w:id="2317" w:name="_Toc324767034"/>
                  <w:bookmarkStart w:id="2318" w:name="_Toc453314395"/>
                  <w:bookmarkStart w:id="2319" w:name="_Toc454980430"/>
                  <w:bookmarkStart w:id="2320" w:name="_Toc18914457"/>
                  <w:r>
                    <w:t>3. Le transfert du P.I.A.</w:t>
                  </w:r>
                  <w:bookmarkEnd w:id="2316"/>
                  <w:bookmarkEnd w:id="2317"/>
                  <w:bookmarkEnd w:id="2318"/>
                  <w:bookmarkEnd w:id="2319"/>
                  <w:bookmarkEnd w:id="2320"/>
                </w:p>
                <w:p>
                  <w:pPr>
                    <w:jc w:val="both"/>
                  </w:pPr>
                </w:p>
                <w:p>
                  <w:pPr>
                    <w:jc w:val="both"/>
                  </w:pPr>
                  <w:bookmarkStart w:id="2321" w:name="_Chapitre_8_:"/>
                  <w:bookmarkEnd w:id="2321"/>
                  <w:r>
                    <w:t xml:space="preserve">La </w:t>
                  </w:r>
                  <w:hyperlink r:id="rId159" w:history="1">
                    <w:r>
                      <w:rPr>
                        <w:rStyle w:val="Lienhypertexte"/>
                        <w:rFonts w:cs="Arial"/>
                      </w:rPr>
                      <w:t>circulaire 3804 du 28 novembre 2011</w:t>
                    </w:r>
                  </w:hyperlink>
                  <w:r>
                    <w:t xml:space="preserve"> précise les modalités de transmission du Plan Individuel d’Apprentissage</w:t>
                  </w:r>
                  <w:r>
                    <w:rPr>
                      <w:rStyle w:val="Appelnotedebasdep"/>
                    </w:rPr>
                    <w:footnoteReference w:id="122"/>
                  </w:r>
                  <w:r>
                    <w:t>.</w:t>
                  </w:r>
                </w:p>
                <w:p>
                  <w:pPr>
                    <w:jc w:val="both"/>
                  </w:pPr>
                </w:p>
                <w:p>
                  <w:pPr>
                    <w:jc w:val="both"/>
                  </w:pPr>
                  <w:r>
                    <w:t xml:space="preserve">Le P.I.A d’un élève ayant fréquenté un établissement d’enseignement fondamental spécialisé reste dans son école d’origine jusqu’à ce que le chef d’établissement de la nouvelle école le réclame. </w:t>
                  </w:r>
                </w:p>
                <w:p>
                  <w:pPr>
                    <w:jc w:val="both"/>
                  </w:pPr>
                </w:p>
                <w:p>
                  <w:pPr>
                    <w:jc w:val="both"/>
                  </w:pPr>
                  <w:r>
                    <w:t xml:space="preserve">Le chef d’établissement d’une école d’enseignement spécialisé qui inscrit un élève issu d’une autre école d’enseignement spécialisé est tenu de réclamer au chef d’établissement de celle-ci, le P.I.A. de l’élève concerné. </w:t>
                  </w:r>
                </w:p>
                <w:p>
                  <w:pPr>
                    <w:jc w:val="both"/>
                  </w:pPr>
                </w:p>
                <w:p>
                  <w:pPr>
                    <w:jc w:val="both"/>
                  </w:pPr>
                  <w:r>
                    <w:t xml:space="preserve">Le P.I.A. devra être transmis conjointement avec les documents légaux justifiant l’inscription de l’élève et comprendra l’entièreté des objectifs, des actions et des résultats. Il peut éventuellement être accompagné d’une synthèse. Il pourra être complété par des informations pertinentes qui influencent la suite de la scolarité. </w:t>
                  </w:r>
                </w:p>
                <w:p>
                  <w:pPr>
                    <w:jc w:val="both"/>
                  </w:pPr>
                </w:p>
                <w:p>
                  <w:pPr>
                    <w:jc w:val="both"/>
                  </w:pPr>
                  <w:r>
                    <w:t xml:space="preserve">Dans l’intérêt de l’élève, le chef d’établissement d’une école d’enseignement ordinaire qui inscrit un élève issu d’une école d’enseignement spécialisé peut demander le P.I.A. de l’élève concerné. </w:t>
                  </w:r>
                </w:p>
                <w:p>
                  <w:pPr>
                    <w:jc w:val="both"/>
                  </w:pPr>
                </w:p>
                <w:p>
                  <w:pPr>
                    <w:jc w:val="both"/>
                  </w:pPr>
                  <w:r>
                    <w:t>Le P.I.A. transmis par le chef d’établissement de l’école d’enseignement spécialisé comprendra l’entièreté des objectifs, des actions et des résultats. Il peut éventuellement être accompagné d’une synthèse. Il pourra être complété par des informations pertinentes qui influencent la suite de la scolarité.</w:t>
                  </w:r>
                  <w:r>
                    <w:br w:type="page"/>
                  </w:r>
                </w:p>
                <w:sdt>
                  <w:sdtPr>
                    <w:rPr>
                      <w:rFonts w:asciiTheme="majorHAnsi" w:eastAsiaTheme="minorHAnsi" w:hAnsiTheme="majorHAnsi"/>
                      <w:sz w:val="24"/>
                      <w:lang w:eastAsia="en-US"/>
                    </w:rPr>
                    <w:id w:val="-1424486515"/>
                    <w:docPartObj>
                      <w:docPartGallery w:val="Cover Pages"/>
                      <w:docPartUnique/>
                    </w:docPartObj>
                  </w:sdtPr>
                  <w:sdtEndPr>
                    <w:rPr>
                      <w:sz w:val="22"/>
                    </w:rPr>
                  </w:sdtEndPr>
                  <w:sdtContent>
                    <w:p>
                      <w:pPr>
                        <w:pStyle w:val="Sansinterligne"/>
                        <w:jc w:val="both"/>
                        <w:rPr>
                          <w:rFonts w:asciiTheme="majorHAnsi" w:hAnsiTheme="majorHAnsi"/>
                        </w:rPr>
                      </w:pPr>
                    </w:p>
                    <w:p>
                      <w:pPr>
                        <w:pStyle w:val="Titre2"/>
                      </w:pPr>
                      <w:bookmarkStart w:id="2322" w:name="_Chapitre_10_:"/>
                      <w:bookmarkStart w:id="2323" w:name="_Toc477623747"/>
                      <w:bookmarkStart w:id="2324" w:name="_Toc477767561"/>
                      <w:bookmarkStart w:id="2325" w:name="_Toc18914458"/>
                      <w:bookmarkEnd w:id="2322"/>
                      <w:r>
                        <w:t>Chapitre</w:t>
                      </w:r>
                      <w:bookmarkEnd w:id="2323"/>
                      <w:bookmarkEnd w:id="2324"/>
                      <w:r>
                        <w:t xml:space="preserve"> 10 : </w:t>
                      </w:r>
                      <w:bookmarkStart w:id="2326" w:name="_Toc477623748"/>
                      <w:bookmarkStart w:id="2327" w:name="_Toc477767562"/>
                      <w:r>
                        <w:t>Personnel affecté dans le cadre des internats et homes d’accueil organisés par la Fédération Wallonie-Bruxelles</w:t>
                      </w:r>
                      <w:bookmarkEnd w:id="2326"/>
                      <w:bookmarkEnd w:id="2327"/>
                      <w:bookmarkEnd w:id="2325"/>
                    </w:p>
                    <w:p>
                      <w:pPr>
                        <w:jc w:val="both"/>
                      </w:pPr>
                    </w:p>
                    <w:p>
                      <w:pPr>
                        <w:jc w:val="both"/>
                      </w:pPr>
                    </w:p>
                    <w:p>
                      <w:pPr>
                        <w:jc w:val="both"/>
                        <w:rPr>
                          <w:rFonts w:eastAsiaTheme="minorEastAsia"/>
                          <w:lang w:eastAsia="fr-BE"/>
                        </w:rPr>
                      </w:pPr>
                    </w:p>
                    <w:p>
                      <w:pPr>
                        <w:jc w:val="both"/>
                        <w:rPr>
                          <w:rFonts w:eastAsiaTheme="minorEastAsia"/>
                          <w:lang w:eastAsia="fr-BE"/>
                        </w:rPr>
                      </w:pPr>
                    </w:p>
                    <w:p>
                      <w:pPr>
                        <w:jc w:val="both"/>
                        <w:rPr>
                          <w:rFonts w:eastAsiaTheme="minorEastAsia"/>
                          <w:lang w:eastAsia="fr-BE"/>
                        </w:rPr>
                      </w:pPr>
                    </w:p>
                  </w:sdtContent>
                </w:sdt>
                <w:p>
                  <w:pPr>
                    <w:jc w:val="both"/>
                    <w:rPr>
                      <w:b/>
                      <w:u w:val="single"/>
                    </w:rPr>
                  </w:pPr>
                  <w:r>
                    <w:rPr>
                      <w:b/>
                      <w:u w:val="single"/>
                    </w:rPr>
                    <w:t>Bases légales :</w:t>
                  </w:r>
                </w:p>
                <w:p>
                  <w:pPr>
                    <w:jc w:val="both"/>
                    <w:rPr>
                      <w:b/>
                      <w:u w:val="single"/>
                    </w:rPr>
                  </w:pPr>
                </w:p>
                <w:p>
                  <w:pPr>
                    <w:numPr>
                      <w:ilvl w:val="0"/>
                      <w:numId w:val="48"/>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pPr>
                  <w:hyperlink r:id="rId160" w:history="1">
                    <w:r>
                      <w:rPr>
                        <w:rStyle w:val="Lienhypertexte"/>
                        <w:rFonts w:cs="Arial"/>
                      </w:rPr>
                      <w:t>Décret du 3 mars 2004 organisant l’enseignement spécialisé</w:t>
                    </w:r>
                  </w:hyperlink>
                </w:p>
                <w:p>
                  <w:pPr>
                    <w:numPr>
                      <w:ilvl w:val="0"/>
                      <w:numId w:val="48"/>
                    </w:numPr>
                    <w:pBdr>
                      <w:right w:val="single" w:sz="4" w:space="4" w:color="auto"/>
                    </w:pBd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rPr>
                      <w:rStyle w:val="Lienhypertexte"/>
                      <w:rFonts w:cstheme="minorBidi"/>
                    </w:rPr>
                  </w:pPr>
                  <w:r>
                    <w:rPr>
                      <w:rStyle w:val="Lienhypertexte"/>
                      <w:rFonts w:cs="Arial"/>
                    </w:rPr>
                    <w:fldChar w:fldCharType="begin"/>
                  </w:r>
                  <w:r>
                    <w:rPr>
                      <w:rStyle w:val="Lienhypertexte"/>
                      <w:rFonts w:cs="Arial"/>
                    </w:rPr>
                    <w:instrText xml:space="preserve"> HYPERLINK "https://www.gallilex.cfwb.be/document/pdf/46287_000.pdf" </w:instrText>
                  </w:r>
                  <w:r>
                    <w:rPr>
                      <w:rStyle w:val="Lienhypertexte"/>
                      <w:rFonts w:cs="Arial"/>
                    </w:rPr>
                    <w:fldChar w:fldCharType="separate"/>
                  </w:r>
                  <w:r>
                    <w:rPr>
                      <w:rStyle w:val="Lienhypertexte"/>
                      <w:rFonts w:cs="Arial"/>
                    </w:rPr>
                    <w:t>Décret du 14 mars 2019 portant diverses dispositions relatives à l’organisation du travail des membres du personnel de l’enseignement et octroyant plus de souplesse organisationnelle aux Pouvoirs organisateurs</w:t>
                  </w:r>
                </w:p>
                <w:p>
                  <w:pPr>
                    <w:suppressAutoHyphens/>
                    <w:ind w:left="360"/>
                    <w:jc w:val="both"/>
                  </w:pPr>
                  <w:r>
                    <w:rPr>
                      <w:rStyle w:val="Lienhypertexte"/>
                      <w:rFonts w:cs="Arial"/>
                    </w:rPr>
                    <w:fldChar w:fldCharType="end"/>
                  </w:r>
                  <w:hyperlink r:id="rId161" w:history="1">
                    <w:r>
                      <w:rPr>
                        <w:rStyle w:val="Lienhypertexte"/>
                        <w:rFonts w:cs="Arial"/>
                      </w:rPr>
                      <w:t>Arrêté Royal n° 184 du 30 décembre 1982</w:t>
                    </w:r>
                  </w:hyperlink>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360"/>
                    <w:jc w:val="both"/>
                  </w:pPr>
                </w:p>
                <w:p>
                  <w:pPr>
                    <w:pBdr>
                      <w:top w:val="single" w:sz="4" w:space="1" w:color="000000"/>
                      <w:left w:val="single" w:sz="4" w:space="4" w:color="000000"/>
                      <w:bottom w:val="single" w:sz="4" w:space="1" w:color="000000"/>
                      <w:right w:val="single" w:sz="4" w:space="4" w:color="000000"/>
                    </w:pBdr>
                    <w:jc w:val="both"/>
                    <w:rPr>
                      <w:b/>
                    </w:rPr>
                  </w:pPr>
                  <w:bookmarkStart w:id="2328" w:name="__RefHeading__207_957262308"/>
                  <w:bookmarkStart w:id="2329" w:name="_Toc291075374"/>
                  <w:bookmarkStart w:id="2330" w:name="_Toc291075798"/>
                  <w:bookmarkStart w:id="2331" w:name="_Toc291076222"/>
                  <w:bookmarkStart w:id="2332" w:name="_Toc291076646"/>
                  <w:bookmarkStart w:id="2333" w:name="_Toc291077070"/>
                  <w:bookmarkStart w:id="2334" w:name="_Toc293651914"/>
                  <w:bookmarkStart w:id="2335" w:name="_Toc293653497"/>
                  <w:bookmarkStart w:id="2336" w:name="_Toc293654108"/>
                  <w:bookmarkStart w:id="2337" w:name="_Toc294004686"/>
                  <w:bookmarkStart w:id="2338" w:name="_Toc294185182"/>
                  <w:bookmarkStart w:id="2339" w:name="_Toc324166000"/>
                  <w:bookmarkStart w:id="2340" w:name="_Toc324767037"/>
                  <w:bookmarkEnd w:id="2328"/>
                  <w:r>
                    <w:rPr>
                      <w:b/>
                    </w:rPr>
                    <w:t xml:space="preserve">Remarque préliminaire : </w:t>
                  </w:r>
                  <w:r>
                    <w:t xml:space="preserve">il y a lieu de se référer à la </w:t>
                  </w:r>
                  <w:hyperlink r:id="rId162" w:history="1">
                    <w:r>
                      <w:rPr>
                        <w:rStyle w:val="Lienhypertexte"/>
                        <w:rFonts w:cs="Arial"/>
                      </w:rPr>
                      <w:t>circulaire n°3338 concernant l’inscription des élèves de l’enseignement ordinaire dans les internats de l’enseignement spécialisé.</w:t>
                    </w:r>
                  </w:hyperlink>
                </w:p>
                <w:p>
                  <w:bookmarkStart w:id="2341" w:name="_Toc453314397"/>
                  <w:bookmarkStart w:id="2342" w:name="_Toc454980432"/>
                </w:p>
                <w:p>
                  <w:pPr>
                    <w:pStyle w:val="Titre3"/>
                  </w:pPr>
                  <w:bookmarkStart w:id="2343" w:name="_Toc18914459"/>
                  <w:r>
                    <w:t>1. Définitions</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r>
                    <w:t xml:space="preserve"> </w:t>
                  </w:r>
                </w:p>
                <w:p>
                  <w:pPr>
                    <w:tabs>
                      <w:tab w:val="left" w:pos="-1440"/>
                      <w:tab w:val="left" w:pos="-720"/>
                    </w:tabs>
                    <w:jc w:val="both"/>
                  </w:pPr>
                </w:p>
                <w:p>
                  <w:pPr>
                    <w:jc w:val="both"/>
                  </w:pPr>
                  <w:r>
                    <w:t>Par institut d'enseignement spécialisé organisé par la Fédération Wallonie-Bruxelles, on entend tout établissement d'enseignement spécialisé organisé par la Fédération Wallonie-Bruxelles qui compte un internat.</w:t>
                  </w:r>
                </w:p>
                <w:p>
                  <w:pPr>
                    <w:jc w:val="both"/>
                  </w:pPr>
                </w:p>
                <w:p>
                  <w:pPr>
                    <w:jc w:val="both"/>
                  </w:pPr>
                  <w:r>
                    <w:t>Par home d'accueil organisé par la Fédération Wallonie-Bruxelles, on entend tout internat où des enfants et/ou adolescents à besoin spécifique sont hébergés en vue de leur permettre de fréquenter comme externes un établissement d'enseignement spécialisé.</w:t>
                  </w:r>
                </w:p>
                <w:p>
                  <w:pPr>
                    <w:tabs>
                      <w:tab w:val="left" w:pos="-1440"/>
                      <w:tab w:val="left" w:pos="-720"/>
                    </w:tabs>
                    <w:jc w:val="both"/>
                  </w:pPr>
                </w:p>
                <w:p>
                  <w:pPr>
                    <w:pStyle w:val="Titre3"/>
                  </w:pPr>
                  <w:bookmarkStart w:id="2344" w:name="__RefHeading__209_957262308"/>
                  <w:bookmarkStart w:id="2345" w:name="_Toc291075375"/>
                  <w:bookmarkStart w:id="2346" w:name="_Toc291075799"/>
                  <w:bookmarkStart w:id="2347" w:name="_Toc291076223"/>
                  <w:bookmarkStart w:id="2348" w:name="_Toc291076647"/>
                  <w:bookmarkStart w:id="2349" w:name="_Toc291077071"/>
                  <w:bookmarkStart w:id="2350" w:name="_Toc293651915"/>
                  <w:bookmarkStart w:id="2351" w:name="_Toc293653498"/>
                  <w:bookmarkStart w:id="2352" w:name="_Toc293654109"/>
                  <w:bookmarkStart w:id="2353" w:name="_Toc294004687"/>
                  <w:bookmarkStart w:id="2354" w:name="_Toc294185183"/>
                  <w:bookmarkStart w:id="2355" w:name="_Toc324166001"/>
                  <w:bookmarkStart w:id="2356" w:name="_Toc324767038"/>
                  <w:bookmarkStart w:id="2357" w:name="_Toc453314398"/>
                  <w:bookmarkStart w:id="2358" w:name="_Toc454980433"/>
                  <w:bookmarkStart w:id="2359" w:name="_Toc18914460"/>
                  <w:bookmarkEnd w:id="2344"/>
                  <w:r>
                    <w:t>2. Capital-périodes</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r>
                    <w:t xml:space="preserve"> </w:t>
                  </w:r>
                </w:p>
                <w:p>
                  <w:pPr>
                    <w:tabs>
                      <w:tab w:val="left" w:pos="-1440"/>
                      <w:tab w:val="left" w:pos="-720"/>
                    </w:tabs>
                    <w:jc w:val="both"/>
                  </w:pPr>
                </w:p>
                <w:p>
                  <w:pPr>
                    <w:jc w:val="both"/>
                  </w:pPr>
                  <w:r>
                    <w:t>Le volume des emplois des personnels paramédical, social, auxiliaire d'éducation et administratif attribués dans le cadre de l'internat est déterminé par un capital-périodes.</w:t>
                  </w:r>
                </w:p>
                <w:p>
                  <w:pPr>
                    <w:jc w:val="both"/>
                  </w:pPr>
                </w:p>
                <w:p>
                  <w:pPr>
                    <w:jc w:val="both"/>
                  </w:pPr>
                  <w:r>
                    <w:rPr>
                      <w:u w:val="single"/>
                    </w:rPr>
                    <w:t>Les éléments suivants entrent en ligne de compte pour le calcul du capital-périodes :</w:t>
                  </w:r>
                </w:p>
                <w:p>
                  <w:pPr>
                    <w:tabs>
                      <w:tab w:val="left" w:pos="-1440"/>
                      <w:tab w:val="left" w:pos="-720"/>
                    </w:tabs>
                    <w:ind w:hanging="962"/>
                    <w:jc w:val="both"/>
                    <w:rPr>
                      <w:u w:val="single"/>
                    </w:rPr>
                  </w:pPr>
                </w:p>
                <w:p>
                  <w:pPr>
                    <w:tabs>
                      <w:tab w:val="left" w:pos="-1440"/>
                      <w:tab w:val="left" w:pos="-720"/>
                    </w:tabs>
                    <w:jc w:val="both"/>
                  </w:pPr>
                  <w:r>
                    <w:t>A) le nombre d'élèves internes</w:t>
                  </w:r>
                </w:p>
                <w:p>
                  <w:pPr>
                    <w:tabs>
                      <w:tab w:val="left" w:pos="-1440"/>
                      <w:tab w:val="left" w:pos="-720"/>
                    </w:tabs>
                    <w:jc w:val="both"/>
                  </w:pPr>
                  <w:r>
                    <w:t>B) un nombre guide</w:t>
                  </w:r>
                </w:p>
                <w:p>
                  <w:pPr>
                    <w:tabs>
                      <w:tab w:val="left" w:pos="-1440"/>
                      <w:tab w:val="left" w:pos="-720"/>
                    </w:tabs>
                    <w:ind w:hanging="962"/>
                    <w:jc w:val="both"/>
                  </w:pPr>
                </w:p>
                <w:p>
                  <w:pPr>
                    <w:tabs>
                      <w:tab w:val="left" w:pos="-1440"/>
                      <w:tab w:val="left" w:pos="-720"/>
                    </w:tabs>
                    <w:jc w:val="both"/>
                    <w:rPr>
                      <w:u w:val="single"/>
                    </w:rPr>
                  </w:pPr>
                  <w:r>
                    <w:rPr>
                      <w:u w:val="single"/>
                    </w:rPr>
                    <w:t>A. Le nombre d'élèves internes</w:t>
                  </w:r>
                </w:p>
                <w:p>
                  <w:pPr>
                    <w:tabs>
                      <w:tab w:val="left" w:pos="-1440"/>
                      <w:tab w:val="left" w:pos="-720"/>
                    </w:tabs>
                    <w:jc w:val="both"/>
                  </w:pP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Les élèves internes à prendre en considération sont ceux qui doivent être considérés comme élèves réguliers, conformément aux dispositions du Décret du 3 mars 2004 organisant l’enseignement spécialisé.</w:t>
                  </w:r>
                </w:p>
                <w:p>
                  <w:pPr>
                    <w:tabs>
                      <w:tab w:val="left" w:pos="-1440"/>
                      <w:tab w:val="left" w:pos="-720"/>
                    </w:tabs>
                    <w:jc w:val="both"/>
                  </w:pPr>
                </w:p>
                <w:p>
                  <w:pPr>
                    <w:tabs>
                      <w:tab w:val="left" w:pos="-1440"/>
                      <w:tab w:val="left" w:pos="-720"/>
                    </w:tabs>
                    <w:jc w:val="both"/>
                    <w:rPr>
                      <w:u w:val="single"/>
                    </w:rPr>
                  </w:pPr>
                  <w:r>
                    <w:rPr>
                      <w:u w:val="single"/>
                    </w:rPr>
                    <w:t>B. Le nombre guide</w:t>
                  </w:r>
                </w:p>
                <w:p>
                  <w:pPr>
                    <w:tabs>
                      <w:tab w:val="left" w:pos="-1440"/>
                      <w:tab w:val="left" w:pos="-720"/>
                    </w:tabs>
                    <w:ind w:hanging="962"/>
                    <w:jc w:val="both"/>
                  </w:pPr>
                </w:p>
                <w:p>
                  <w:pPr>
                    <w:tabs>
                      <w:tab w:val="left" w:pos="-1440"/>
                      <w:tab w:val="left" w:pos="-720"/>
                    </w:tabs>
                    <w:jc w:val="both"/>
                  </w:pPr>
                  <w:r>
                    <w:t>Les nombres guides varient selon les types et le niveau d'enseignement que fréquentent les élèves.</w:t>
                  </w:r>
                </w:p>
                <w:p>
                  <w:pPr>
                    <w:tabs>
                      <w:tab w:val="left" w:pos="-1440"/>
                      <w:tab w:val="left" w:pos="-720"/>
                    </w:tabs>
                    <w:jc w:val="both"/>
                  </w:pPr>
                </w:p>
                <w:p>
                  <w:pPr>
                    <w:tabs>
                      <w:tab w:val="left" w:pos="-1440"/>
                      <w:tab w:val="left" w:pos="-720"/>
                    </w:tabs>
                  </w:pPr>
                  <w:r>
                    <w:t>Ils sont fixés comme suit :</w:t>
                  </w:r>
                </w:p>
                <w:p>
                  <w:pPr>
                    <w:tabs>
                      <w:tab w:val="left" w:pos="-1440"/>
                      <w:tab w:val="left" w:pos="-720"/>
                    </w:tabs>
                  </w:pPr>
                </w:p>
                <w:tbl>
                  <w:tblPr>
                    <w:tblW w:w="9639" w:type="dxa"/>
                    <w:tblInd w:w="120" w:type="dxa"/>
                    <w:tblLayout w:type="fixed"/>
                    <w:tblCellMar>
                      <w:left w:w="120" w:type="dxa"/>
                      <w:right w:w="120" w:type="dxa"/>
                    </w:tblCellMar>
                    <w:tblLook w:val="0000" w:firstRow="0" w:lastRow="0" w:firstColumn="0" w:lastColumn="0" w:noHBand="0" w:noVBand="0"/>
                  </w:tblPr>
                  <w:tblGrid>
                    <w:gridCol w:w="993"/>
                    <w:gridCol w:w="7229"/>
                    <w:gridCol w:w="1417"/>
                  </w:tblGrid>
                  <w:tr>
                    <w:trPr>
                      <w:cantSplit/>
                      <w:trHeight w:val="402"/>
                      <w:tblHeader/>
                    </w:trPr>
                    <w:tc>
                      <w:tcPr>
                        <w:tcW w:w="993" w:type="dxa"/>
                        <w:tcBorders>
                          <w:top w:val="single" w:sz="4" w:space="0" w:color="000000"/>
                          <w:left w:val="single" w:sz="4" w:space="0" w:color="000000"/>
                          <w:bottom w:val="single" w:sz="4" w:space="0" w:color="000000"/>
                        </w:tcBorders>
                        <w:vAlign w:val="center"/>
                      </w:tcPr>
                      <w:p>
                        <w:pPr>
                          <w:tabs>
                            <w:tab w:val="left" w:pos="1134"/>
                          </w:tabs>
                          <w:snapToGrid w:val="0"/>
                          <w:jc w:val="center"/>
                          <w:rPr>
                            <w:b/>
                          </w:rPr>
                        </w:pPr>
                        <w:r>
                          <w:rPr>
                            <w:b/>
                          </w:rPr>
                          <w:t>TYPE</w:t>
                        </w:r>
                      </w:p>
                    </w:tc>
                    <w:tc>
                      <w:tcPr>
                        <w:tcW w:w="7229" w:type="dxa"/>
                        <w:tcBorders>
                          <w:top w:val="single" w:sz="4" w:space="0" w:color="000000"/>
                          <w:left w:val="single" w:sz="4" w:space="0" w:color="000000"/>
                          <w:bottom w:val="single" w:sz="4" w:space="0" w:color="000000"/>
                        </w:tcBorders>
                        <w:vAlign w:val="center"/>
                      </w:tcPr>
                      <w:p>
                        <w:pPr>
                          <w:tabs>
                            <w:tab w:val="left" w:pos="1134"/>
                          </w:tabs>
                          <w:snapToGrid w:val="0"/>
                          <w:jc w:val="center"/>
                          <w:rPr>
                            <w:b/>
                          </w:rPr>
                        </w:pPr>
                        <w:r>
                          <w:rPr>
                            <w:b/>
                          </w:rPr>
                          <w:t>NIVEAU</w:t>
                        </w:r>
                      </w:p>
                    </w:tc>
                    <w:tc>
                      <w:tcPr>
                        <w:tcW w:w="1417"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center"/>
                          <w:rPr>
                            <w:b/>
                          </w:rPr>
                        </w:pPr>
                        <w:r>
                          <w:rPr>
                            <w:b/>
                          </w:rPr>
                          <w:t>NOMBRE GUIDE</w:t>
                        </w:r>
                      </w:p>
                    </w:tc>
                  </w:tr>
                  <w:tr>
                    <w:trPr>
                      <w:cantSplit/>
                      <w:trHeight w:val="562"/>
                    </w:trPr>
                    <w:tc>
                      <w:tcPr>
                        <w:tcW w:w="993" w:type="dxa"/>
                        <w:tcBorders>
                          <w:top w:val="single" w:sz="4" w:space="0" w:color="000000"/>
                          <w:left w:val="single" w:sz="4" w:space="0" w:color="000000"/>
                          <w:bottom w:val="single" w:sz="4" w:space="0" w:color="000000"/>
                        </w:tcBorders>
                        <w:vAlign w:val="center"/>
                      </w:tcPr>
                      <w:p>
                        <w:pPr>
                          <w:tabs>
                            <w:tab w:val="left" w:pos="1134"/>
                          </w:tabs>
                          <w:snapToGrid w:val="0"/>
                          <w:jc w:val="center"/>
                        </w:pPr>
                        <w:r>
                          <w:t>1</w:t>
                        </w:r>
                      </w:p>
                    </w:tc>
                    <w:tc>
                      <w:tcPr>
                        <w:tcW w:w="7229" w:type="dxa"/>
                        <w:tcBorders>
                          <w:top w:val="single" w:sz="4" w:space="0" w:color="000000"/>
                          <w:left w:val="single" w:sz="4" w:space="0" w:color="000000"/>
                          <w:bottom w:val="single" w:sz="4" w:space="0" w:color="000000"/>
                        </w:tcBorders>
                        <w:vAlign w:val="center"/>
                      </w:tcPr>
                      <w:p>
                        <w:pPr>
                          <w:tabs>
                            <w:tab w:val="left" w:pos="1134"/>
                          </w:tabs>
                          <w:snapToGrid w:val="0"/>
                          <w:jc w:val="center"/>
                        </w:pPr>
                        <w:r>
                          <w:t>- enseignement primaire</w:t>
                        </w:r>
                      </w:p>
                      <w:p>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6</w:t>
                        </w:r>
                      </w:p>
                      <w:p>
                        <w:pPr>
                          <w:tabs>
                            <w:tab w:val="left" w:pos="1134"/>
                          </w:tabs>
                          <w:jc w:val="center"/>
                        </w:pPr>
                        <w:r>
                          <w:t>6</w:t>
                        </w:r>
                      </w:p>
                    </w:tc>
                  </w:tr>
                  <w:tr>
                    <w:trPr>
                      <w:cantSplit/>
                      <w:trHeight w:val="402"/>
                    </w:trPr>
                    <w:tc>
                      <w:tcPr>
                        <w:tcW w:w="993" w:type="dxa"/>
                        <w:tcBorders>
                          <w:top w:val="single" w:sz="4" w:space="0" w:color="000000"/>
                          <w:left w:val="single" w:sz="4" w:space="0" w:color="000000"/>
                          <w:bottom w:val="single" w:sz="4" w:space="0" w:color="000000"/>
                        </w:tcBorders>
                        <w:vAlign w:val="center"/>
                      </w:tcPr>
                      <w:p>
                        <w:pPr>
                          <w:tabs>
                            <w:tab w:val="left" w:pos="1134"/>
                          </w:tabs>
                          <w:snapToGrid w:val="0"/>
                          <w:jc w:val="center"/>
                        </w:pPr>
                        <w:r>
                          <w:t>2</w:t>
                        </w:r>
                      </w:p>
                    </w:tc>
                    <w:tc>
                      <w:tcPr>
                        <w:tcW w:w="7229" w:type="dxa"/>
                        <w:tcBorders>
                          <w:top w:val="single" w:sz="4" w:space="0" w:color="000000"/>
                          <w:left w:val="single" w:sz="4" w:space="0" w:color="000000"/>
                          <w:bottom w:val="single" w:sz="4" w:space="0" w:color="000000"/>
                        </w:tcBorders>
                        <w:vAlign w:val="center"/>
                      </w:tcPr>
                      <w:p>
                        <w:pPr>
                          <w:tabs>
                            <w:tab w:val="left" w:pos="1134"/>
                          </w:tabs>
                          <w:snapToGrid w:val="0"/>
                          <w:jc w:val="center"/>
                        </w:pPr>
                        <w:r>
                          <w:t>- enseignement fondamental</w:t>
                        </w:r>
                      </w:p>
                      <w:p>
                        <w:pPr>
                          <w:tabs>
                            <w:tab w:val="left" w:pos="1134"/>
                          </w:tabs>
                          <w:jc w:val="center"/>
                        </w:pPr>
                        <w:r>
                          <w:t>- enseignement secondaire (à l'exception de la forme 1)</w:t>
                        </w:r>
                      </w:p>
                      <w:p>
                        <w:pPr>
                          <w:tabs>
                            <w:tab w:val="left" w:pos="1134"/>
                          </w:tabs>
                          <w:jc w:val="center"/>
                        </w:pPr>
                        <w:r>
                          <w:t>- enseignement secondaire de forme 1</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9</w:t>
                        </w:r>
                      </w:p>
                      <w:p>
                        <w:pPr>
                          <w:tabs>
                            <w:tab w:val="left" w:pos="1134"/>
                          </w:tabs>
                          <w:jc w:val="center"/>
                        </w:pPr>
                        <w:r>
                          <w:t>7</w:t>
                        </w:r>
                      </w:p>
                      <w:p>
                        <w:pPr>
                          <w:tabs>
                            <w:tab w:val="left" w:pos="1134"/>
                          </w:tabs>
                          <w:jc w:val="center"/>
                        </w:pPr>
                        <w:r>
                          <w:t>9</w:t>
                        </w:r>
                      </w:p>
                    </w:tc>
                  </w:tr>
                  <w:tr>
                    <w:trPr>
                      <w:cantSplit/>
                      <w:trHeight w:val="402"/>
                    </w:trPr>
                    <w:tc>
                      <w:tcPr>
                        <w:tcW w:w="993" w:type="dxa"/>
                        <w:tcBorders>
                          <w:top w:val="single" w:sz="4" w:space="0" w:color="000000"/>
                          <w:left w:val="single" w:sz="4" w:space="0" w:color="000000"/>
                          <w:bottom w:val="single" w:sz="4" w:space="0" w:color="000000"/>
                        </w:tcBorders>
                        <w:vAlign w:val="center"/>
                      </w:tcPr>
                      <w:p>
                        <w:pPr>
                          <w:tabs>
                            <w:tab w:val="left" w:pos="1134"/>
                          </w:tabs>
                          <w:snapToGrid w:val="0"/>
                          <w:jc w:val="center"/>
                        </w:pPr>
                        <w:r>
                          <w:t>3</w:t>
                        </w:r>
                      </w:p>
                    </w:tc>
                    <w:tc>
                      <w:tcPr>
                        <w:tcW w:w="7229" w:type="dxa"/>
                        <w:tcBorders>
                          <w:top w:val="single" w:sz="4" w:space="0" w:color="000000"/>
                          <w:left w:val="single" w:sz="4" w:space="0" w:color="000000"/>
                          <w:bottom w:val="single" w:sz="4" w:space="0" w:color="000000"/>
                        </w:tcBorders>
                        <w:vAlign w:val="center"/>
                      </w:tcPr>
                      <w:p>
                        <w:pPr>
                          <w:tabs>
                            <w:tab w:val="left" w:pos="1134"/>
                          </w:tabs>
                          <w:snapToGrid w:val="0"/>
                          <w:jc w:val="center"/>
                        </w:pPr>
                        <w:r>
                          <w:t>- enseignement fondamental</w:t>
                        </w:r>
                      </w:p>
                      <w:p>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6</w:t>
                        </w:r>
                      </w:p>
                      <w:p>
                        <w:pPr>
                          <w:tabs>
                            <w:tab w:val="left" w:pos="1134"/>
                          </w:tabs>
                          <w:jc w:val="center"/>
                        </w:pPr>
                        <w:r>
                          <w:t>6</w:t>
                        </w:r>
                      </w:p>
                    </w:tc>
                  </w:tr>
                  <w:tr>
                    <w:trPr>
                      <w:cantSplit/>
                      <w:trHeight w:val="402"/>
                    </w:trPr>
                    <w:tc>
                      <w:tcPr>
                        <w:tcW w:w="993" w:type="dxa"/>
                        <w:tcBorders>
                          <w:top w:val="single" w:sz="4" w:space="0" w:color="000000"/>
                          <w:left w:val="single" w:sz="4" w:space="0" w:color="000000"/>
                          <w:bottom w:val="single" w:sz="4" w:space="0" w:color="000000"/>
                        </w:tcBorders>
                        <w:vAlign w:val="center"/>
                      </w:tcPr>
                      <w:p>
                        <w:pPr>
                          <w:tabs>
                            <w:tab w:val="left" w:pos="1134"/>
                          </w:tabs>
                          <w:snapToGrid w:val="0"/>
                          <w:jc w:val="center"/>
                        </w:pPr>
                        <w:r>
                          <w:t>4</w:t>
                        </w:r>
                      </w:p>
                    </w:tc>
                    <w:tc>
                      <w:tcPr>
                        <w:tcW w:w="7229" w:type="dxa"/>
                        <w:tcBorders>
                          <w:top w:val="single" w:sz="4" w:space="0" w:color="000000"/>
                          <w:left w:val="single" w:sz="4" w:space="0" w:color="000000"/>
                          <w:bottom w:val="single" w:sz="4" w:space="0" w:color="000000"/>
                        </w:tcBorders>
                        <w:vAlign w:val="center"/>
                      </w:tcPr>
                      <w:p>
                        <w:pPr>
                          <w:tabs>
                            <w:tab w:val="left" w:pos="1134"/>
                          </w:tabs>
                          <w:snapToGrid w:val="0"/>
                          <w:jc w:val="center"/>
                        </w:pPr>
                        <w:r>
                          <w:t>- enseignement fondamental</w:t>
                        </w:r>
                      </w:p>
                      <w:p>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9</w:t>
                        </w:r>
                      </w:p>
                      <w:p>
                        <w:pPr>
                          <w:tabs>
                            <w:tab w:val="left" w:pos="1134"/>
                          </w:tabs>
                          <w:jc w:val="center"/>
                        </w:pPr>
                        <w:r>
                          <w:t>9</w:t>
                        </w:r>
                      </w:p>
                    </w:tc>
                  </w:tr>
                  <w:tr>
                    <w:trPr>
                      <w:cantSplit/>
                      <w:trHeight w:val="402"/>
                    </w:trPr>
                    <w:tc>
                      <w:tcPr>
                        <w:tcW w:w="993" w:type="dxa"/>
                        <w:tcBorders>
                          <w:top w:val="single" w:sz="4" w:space="0" w:color="000000"/>
                          <w:left w:val="single" w:sz="4" w:space="0" w:color="000000"/>
                          <w:bottom w:val="single" w:sz="4" w:space="0" w:color="000000"/>
                        </w:tcBorders>
                        <w:vAlign w:val="center"/>
                      </w:tcPr>
                      <w:p>
                        <w:pPr>
                          <w:tabs>
                            <w:tab w:val="left" w:pos="1134"/>
                          </w:tabs>
                          <w:snapToGrid w:val="0"/>
                          <w:jc w:val="center"/>
                        </w:pPr>
                        <w:r>
                          <w:t>5</w:t>
                        </w:r>
                      </w:p>
                    </w:tc>
                    <w:tc>
                      <w:tcPr>
                        <w:tcW w:w="7229" w:type="dxa"/>
                        <w:tcBorders>
                          <w:top w:val="single" w:sz="4" w:space="0" w:color="000000"/>
                          <w:left w:val="single" w:sz="4" w:space="0" w:color="000000"/>
                          <w:bottom w:val="single" w:sz="4" w:space="0" w:color="000000"/>
                        </w:tcBorders>
                        <w:vAlign w:val="center"/>
                      </w:tcPr>
                      <w:p>
                        <w:pPr>
                          <w:tabs>
                            <w:tab w:val="left" w:pos="1134"/>
                          </w:tabs>
                          <w:snapToGrid w:val="0"/>
                          <w:jc w:val="center"/>
                        </w:pPr>
                        <w:r>
                          <w:t>- enseignement fondamental</w:t>
                        </w:r>
                      </w:p>
                      <w:p>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6</w:t>
                        </w:r>
                      </w:p>
                      <w:p>
                        <w:pPr>
                          <w:tabs>
                            <w:tab w:val="left" w:pos="1134"/>
                          </w:tabs>
                          <w:jc w:val="center"/>
                        </w:pPr>
                        <w:r>
                          <w:t>6</w:t>
                        </w:r>
                      </w:p>
                    </w:tc>
                  </w:tr>
                  <w:tr>
                    <w:trPr>
                      <w:cantSplit/>
                      <w:trHeight w:val="402"/>
                    </w:trPr>
                    <w:tc>
                      <w:tcPr>
                        <w:tcW w:w="993" w:type="dxa"/>
                        <w:tcBorders>
                          <w:top w:val="single" w:sz="4" w:space="0" w:color="000000"/>
                          <w:left w:val="single" w:sz="4" w:space="0" w:color="000000"/>
                          <w:bottom w:val="single" w:sz="4" w:space="0" w:color="000000"/>
                        </w:tcBorders>
                        <w:vAlign w:val="center"/>
                      </w:tcPr>
                      <w:p>
                        <w:pPr>
                          <w:tabs>
                            <w:tab w:val="left" w:pos="1134"/>
                          </w:tabs>
                          <w:snapToGrid w:val="0"/>
                          <w:jc w:val="center"/>
                        </w:pPr>
                        <w:r>
                          <w:t>6</w:t>
                        </w:r>
                      </w:p>
                    </w:tc>
                    <w:tc>
                      <w:tcPr>
                        <w:tcW w:w="7229" w:type="dxa"/>
                        <w:tcBorders>
                          <w:top w:val="single" w:sz="4" w:space="0" w:color="000000"/>
                          <w:left w:val="single" w:sz="4" w:space="0" w:color="000000"/>
                          <w:bottom w:val="single" w:sz="4" w:space="0" w:color="000000"/>
                        </w:tcBorders>
                        <w:vAlign w:val="center"/>
                      </w:tcPr>
                      <w:p>
                        <w:pPr>
                          <w:tabs>
                            <w:tab w:val="left" w:pos="1134"/>
                          </w:tabs>
                          <w:snapToGrid w:val="0"/>
                          <w:jc w:val="center"/>
                        </w:pPr>
                        <w:r>
                          <w:t>- enseignement fondamental</w:t>
                        </w:r>
                      </w:p>
                      <w:p>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7</w:t>
                        </w:r>
                      </w:p>
                      <w:p>
                        <w:pPr>
                          <w:tabs>
                            <w:tab w:val="left" w:pos="1134"/>
                          </w:tabs>
                          <w:jc w:val="center"/>
                        </w:pPr>
                        <w:r>
                          <w:t>7</w:t>
                        </w:r>
                      </w:p>
                    </w:tc>
                  </w:tr>
                  <w:tr>
                    <w:trPr>
                      <w:cantSplit/>
                      <w:trHeight w:val="402"/>
                    </w:trPr>
                    <w:tc>
                      <w:tcPr>
                        <w:tcW w:w="993" w:type="dxa"/>
                        <w:tcBorders>
                          <w:top w:val="single" w:sz="4" w:space="0" w:color="000000"/>
                          <w:left w:val="single" w:sz="4" w:space="0" w:color="000000"/>
                          <w:bottom w:val="single" w:sz="4" w:space="0" w:color="auto"/>
                        </w:tcBorders>
                        <w:vAlign w:val="center"/>
                      </w:tcPr>
                      <w:p>
                        <w:pPr>
                          <w:tabs>
                            <w:tab w:val="left" w:pos="1134"/>
                          </w:tabs>
                          <w:snapToGrid w:val="0"/>
                          <w:jc w:val="center"/>
                        </w:pPr>
                        <w:r>
                          <w:t>7</w:t>
                        </w:r>
                      </w:p>
                    </w:tc>
                    <w:tc>
                      <w:tcPr>
                        <w:tcW w:w="7229" w:type="dxa"/>
                        <w:tcBorders>
                          <w:top w:val="single" w:sz="4" w:space="0" w:color="000000"/>
                          <w:left w:val="single" w:sz="4" w:space="0" w:color="000000"/>
                          <w:bottom w:val="single" w:sz="4" w:space="0" w:color="000000"/>
                        </w:tcBorders>
                        <w:vAlign w:val="center"/>
                      </w:tcPr>
                      <w:p>
                        <w:pPr>
                          <w:tabs>
                            <w:tab w:val="left" w:pos="1134"/>
                          </w:tabs>
                          <w:snapToGrid w:val="0"/>
                          <w:jc w:val="center"/>
                        </w:pPr>
                        <w:r>
                          <w:t>- enseignement fondamental</w:t>
                        </w:r>
                      </w:p>
                      <w:p>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7</w:t>
                        </w:r>
                      </w:p>
                      <w:p>
                        <w:pPr>
                          <w:tabs>
                            <w:tab w:val="left" w:pos="1134"/>
                          </w:tabs>
                          <w:jc w:val="center"/>
                        </w:pPr>
                        <w:r>
                          <w:t>7</w:t>
                        </w:r>
                      </w:p>
                    </w:tc>
                  </w:tr>
                  <w:tr>
                    <w:trPr>
                      <w:cantSplit/>
                      <w:trHeight w:val="402"/>
                    </w:trPr>
                    <w:tc>
                      <w:tcPr>
                        <w:tcW w:w="993" w:type="dxa"/>
                        <w:tcBorders>
                          <w:top w:val="single" w:sz="4" w:space="0" w:color="auto"/>
                          <w:left w:val="single" w:sz="4" w:space="0" w:color="auto"/>
                          <w:bottom w:val="single" w:sz="4" w:space="0" w:color="auto"/>
                          <w:right w:val="single" w:sz="4" w:space="0" w:color="auto"/>
                        </w:tcBorders>
                        <w:vAlign w:val="center"/>
                      </w:tcPr>
                      <w:p>
                        <w:pPr>
                          <w:tabs>
                            <w:tab w:val="left" w:pos="1134"/>
                          </w:tabs>
                          <w:snapToGrid w:val="0"/>
                          <w:jc w:val="center"/>
                        </w:pPr>
                        <w:r>
                          <w:t>8</w:t>
                        </w:r>
                      </w:p>
                    </w:tc>
                    <w:tc>
                      <w:tcPr>
                        <w:tcW w:w="7229" w:type="dxa"/>
                        <w:tcBorders>
                          <w:top w:val="single" w:sz="4" w:space="0" w:color="000000"/>
                          <w:left w:val="single" w:sz="4" w:space="0" w:color="auto"/>
                          <w:bottom w:val="single" w:sz="4" w:space="0" w:color="000000"/>
                        </w:tcBorders>
                        <w:vAlign w:val="center"/>
                      </w:tcPr>
                      <w:p>
                        <w:pPr>
                          <w:tabs>
                            <w:tab w:val="left" w:pos="1134"/>
                          </w:tabs>
                          <w:snapToGrid w:val="0"/>
                          <w:jc w:val="center"/>
                        </w:pPr>
                        <w:r>
                          <w:t>- enseignement primaire</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6</w:t>
                        </w:r>
                      </w:p>
                    </w:tc>
                  </w:tr>
                  <w:tr>
                    <w:trPr>
                      <w:cantSplit/>
                      <w:trHeight w:val="402"/>
                    </w:trPr>
                    <w:tc>
                      <w:tcPr>
                        <w:tcW w:w="993" w:type="dxa"/>
                        <w:tcBorders>
                          <w:top w:val="single" w:sz="4" w:space="0" w:color="auto"/>
                          <w:left w:val="single" w:sz="4" w:space="0" w:color="000000"/>
                        </w:tcBorders>
                        <w:vAlign w:val="center"/>
                      </w:tcPr>
                      <w:p>
                        <w:pPr>
                          <w:tabs>
                            <w:tab w:val="left" w:pos="1134"/>
                          </w:tabs>
                          <w:snapToGrid w:val="0"/>
                          <w:jc w:val="center"/>
                        </w:pPr>
                        <w:r>
                          <w:t>-</w:t>
                        </w:r>
                      </w:p>
                    </w:tc>
                    <w:tc>
                      <w:tcPr>
                        <w:tcW w:w="7229" w:type="dxa"/>
                        <w:tcBorders>
                          <w:top w:val="single" w:sz="4" w:space="0" w:color="000000"/>
                          <w:left w:val="single" w:sz="4" w:space="0" w:color="000000"/>
                          <w:bottom w:val="single" w:sz="4" w:space="0" w:color="000000"/>
                        </w:tcBorders>
                      </w:tcPr>
                      <w:p>
                        <w:pPr>
                          <w:tabs>
                            <w:tab w:val="left" w:pos="1134"/>
                          </w:tabs>
                          <w:snapToGrid w:val="0"/>
                        </w:pPr>
                        <w:r>
                          <w:t>Élèves en intégration dans l’enseignement ordinaire, fondamental ou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rPr>
                            <w:color w:val="000000"/>
                          </w:rPr>
                        </w:pPr>
                        <w:r>
                          <w:rPr>
                            <w:color w:val="000000"/>
                          </w:rPr>
                          <w:t>6</w:t>
                        </w:r>
                      </w:p>
                    </w:tc>
                  </w:tr>
                  <w:tr>
                    <w:trPr>
                      <w:cantSplit/>
                      <w:trHeight w:val="402"/>
                    </w:trPr>
                    <w:tc>
                      <w:tcPr>
                        <w:tcW w:w="993" w:type="dxa"/>
                        <w:tcBorders>
                          <w:left w:val="single" w:sz="4" w:space="0" w:color="000000"/>
                        </w:tcBorders>
                        <w:vAlign w:val="center"/>
                      </w:tcPr>
                      <w:p>
                        <w:pPr>
                          <w:tabs>
                            <w:tab w:val="left" w:pos="1134"/>
                          </w:tabs>
                          <w:snapToGrid w:val="0"/>
                          <w:jc w:val="center"/>
                        </w:pPr>
                        <w:r>
                          <w:t>-</w:t>
                        </w:r>
                      </w:p>
                    </w:tc>
                    <w:tc>
                      <w:tcPr>
                        <w:tcW w:w="7229" w:type="dxa"/>
                        <w:tcBorders>
                          <w:top w:val="single" w:sz="4" w:space="0" w:color="000000"/>
                          <w:left w:val="single" w:sz="4" w:space="0" w:color="000000"/>
                          <w:bottom w:val="single" w:sz="4" w:space="0" w:color="000000"/>
                        </w:tcBorders>
                      </w:tcPr>
                      <w:p>
                        <w:pPr>
                          <w:tabs>
                            <w:tab w:val="left" w:pos="1134"/>
                          </w:tabs>
                          <w:snapToGrid w:val="0"/>
                        </w:pPr>
                        <w:r>
                          <w:t>Élèves de l’enseignement ordinaire, fondamental ou secondaire, placés par le S.A.J.</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rPr>
                            <w:color w:val="000000"/>
                          </w:rPr>
                        </w:pPr>
                        <w:r>
                          <w:rPr>
                            <w:color w:val="000000"/>
                          </w:rPr>
                          <w:t>6</w:t>
                        </w:r>
                      </w:p>
                    </w:tc>
                  </w:tr>
                  <w:tr>
                    <w:trPr>
                      <w:cantSplit/>
                      <w:trHeight w:val="402"/>
                    </w:trPr>
                    <w:tc>
                      <w:tcPr>
                        <w:tcW w:w="993" w:type="dxa"/>
                        <w:tcBorders>
                          <w:left w:val="single" w:sz="4" w:space="0" w:color="000000"/>
                        </w:tcBorders>
                        <w:vAlign w:val="center"/>
                      </w:tcPr>
                      <w:p>
                        <w:pPr>
                          <w:tabs>
                            <w:tab w:val="left" w:pos="1134"/>
                          </w:tabs>
                          <w:snapToGrid w:val="0"/>
                          <w:jc w:val="center"/>
                        </w:pPr>
                        <w:r>
                          <w:t>-</w:t>
                        </w:r>
                      </w:p>
                    </w:tc>
                    <w:tc>
                      <w:tcPr>
                        <w:tcW w:w="7229" w:type="dxa"/>
                        <w:tcBorders>
                          <w:top w:val="single" w:sz="4" w:space="0" w:color="000000"/>
                          <w:left w:val="single" w:sz="4" w:space="0" w:color="000000"/>
                          <w:bottom w:val="single" w:sz="4" w:space="0" w:color="000000"/>
                        </w:tcBorders>
                      </w:tcPr>
                      <w:p>
                        <w:pPr>
                          <w:tabs>
                            <w:tab w:val="left" w:pos="1134"/>
                          </w:tabs>
                          <w:snapToGrid w:val="0"/>
                        </w:pPr>
                        <w:r>
                          <w:t>Élèves de l’enseignement ordinaire, fondamental ou secondaire, placés par le S.P.J.</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rPr>
                            <w:color w:val="000000"/>
                          </w:rPr>
                        </w:pPr>
                        <w:r>
                          <w:rPr>
                            <w:color w:val="000000"/>
                          </w:rPr>
                          <w:t>6</w:t>
                        </w:r>
                      </w:p>
                    </w:tc>
                  </w:tr>
                  <w:tr>
                    <w:trPr>
                      <w:cantSplit/>
                      <w:trHeight w:val="402"/>
                    </w:trPr>
                    <w:tc>
                      <w:tcPr>
                        <w:tcW w:w="993" w:type="dxa"/>
                        <w:tcBorders>
                          <w:left w:val="single" w:sz="4" w:space="0" w:color="000000"/>
                          <w:bottom w:val="single" w:sz="4" w:space="0" w:color="000000"/>
                        </w:tcBorders>
                        <w:vAlign w:val="center"/>
                      </w:tcPr>
                      <w:p>
                        <w:pPr>
                          <w:tabs>
                            <w:tab w:val="left" w:pos="1134"/>
                          </w:tabs>
                          <w:snapToGrid w:val="0"/>
                          <w:jc w:val="center"/>
                        </w:pPr>
                        <w:r>
                          <w:t>-</w:t>
                        </w:r>
                      </w:p>
                    </w:tc>
                    <w:tc>
                      <w:tcPr>
                        <w:tcW w:w="7229" w:type="dxa"/>
                        <w:tcBorders>
                          <w:top w:val="single" w:sz="4" w:space="0" w:color="000000"/>
                          <w:left w:val="single" w:sz="4" w:space="0" w:color="000000"/>
                          <w:bottom w:val="single" w:sz="4" w:space="0" w:color="000000"/>
                        </w:tcBorders>
                      </w:tcPr>
                      <w:p>
                        <w:pPr>
                          <w:tabs>
                            <w:tab w:val="left" w:pos="1134"/>
                          </w:tabs>
                          <w:snapToGrid w:val="0"/>
                          <w:rPr>
                            <w:b/>
                          </w:rPr>
                        </w:pPr>
                        <w:r>
                          <w:t xml:space="preserve">Élèves de l’enseignement ordinaire, fondamental ou secondaire, </w:t>
                        </w:r>
                        <w:r>
                          <w:rPr>
                            <w:b/>
                          </w:rPr>
                          <w:t>autres que ceux cités précédemment</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rPr>
                            <w:color w:val="000000"/>
                          </w:rPr>
                        </w:pPr>
                        <w:r>
                          <w:rPr>
                            <w:color w:val="000000"/>
                          </w:rPr>
                          <w:t>1,8</w:t>
                        </w:r>
                      </w:p>
                    </w:tc>
                  </w:tr>
                </w:tbl>
                <w:p>
                  <w:pPr>
                    <w:tabs>
                      <w:tab w:val="left" w:pos="219"/>
                      <w:tab w:val="left" w:pos="962"/>
                      <w:tab w:val="left" w:pos="1134"/>
                      <w:tab w:val="left" w:pos="1303"/>
                      <w:tab w:val="left" w:pos="1586"/>
                      <w:tab w:val="left" w:pos="1813"/>
                      <w:tab w:val="left" w:pos="3174"/>
                      <w:tab w:val="left" w:pos="3967"/>
                      <w:tab w:val="left" w:pos="4591"/>
                      <w:tab w:val="left" w:pos="4818"/>
                    </w:tabs>
                  </w:pPr>
                </w:p>
                <w:p>
                  <w:pPr>
                    <w:pStyle w:val="Titre4"/>
                  </w:pPr>
                  <w:bookmarkStart w:id="2360" w:name="_2.1._Calcul_du"/>
                  <w:bookmarkStart w:id="2361" w:name="_Toc291075376"/>
                  <w:bookmarkStart w:id="2362" w:name="_Toc291075800"/>
                  <w:bookmarkStart w:id="2363" w:name="_Toc291076224"/>
                  <w:bookmarkStart w:id="2364" w:name="_Toc291076648"/>
                  <w:bookmarkStart w:id="2365" w:name="_Toc291077072"/>
                  <w:bookmarkStart w:id="2366" w:name="_Toc293651916"/>
                  <w:bookmarkStart w:id="2367" w:name="_Toc293653499"/>
                  <w:bookmarkStart w:id="2368" w:name="_Toc293654110"/>
                  <w:bookmarkStart w:id="2369" w:name="_Toc294004688"/>
                  <w:bookmarkStart w:id="2370" w:name="_Toc294185184"/>
                  <w:bookmarkStart w:id="2371" w:name="_Toc324166002"/>
                  <w:bookmarkStart w:id="2372" w:name="_Toc324767039"/>
                  <w:bookmarkStart w:id="2373" w:name="_Toc324767897"/>
                  <w:bookmarkStart w:id="2374" w:name="_Toc453314399"/>
                  <w:bookmarkStart w:id="2375" w:name="_Toc454980434"/>
                  <w:bookmarkEnd w:id="2360"/>
                  <w:r>
                    <w:t>2.1. Calcul du capital-périodes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pPr>
                    <w:tabs>
                      <w:tab w:val="left" w:pos="962"/>
                      <w:tab w:val="left" w:pos="1134"/>
                      <w:tab w:val="left" w:pos="1303"/>
                      <w:tab w:val="left" w:pos="1586"/>
                      <w:tab w:val="left" w:pos="1813"/>
                      <w:tab w:val="left" w:pos="3174"/>
                      <w:tab w:val="left" w:pos="3967"/>
                      <w:tab w:val="left" w:pos="4591"/>
                      <w:tab w:val="left" w:pos="4818"/>
                    </w:tabs>
                    <w:jc w:val="both"/>
                  </w:pPr>
                </w:p>
                <w:p>
                  <w:pPr>
                    <w:jc w:val="both"/>
                  </w:pPr>
                  <w:r>
                    <w:t>Le capital-périodes se calcule par type, par niveau d'enseignement et même, pour le type 2, par forme d'enseignement à la date du 30 septembre.</w:t>
                  </w:r>
                </w:p>
                <w:p>
                  <w:pPr>
                    <w:jc w:val="both"/>
                  </w:pPr>
                </w:p>
                <w:p>
                  <w:pPr>
                    <w:numPr>
                      <w:ilvl w:val="0"/>
                      <w:numId w:val="26"/>
                    </w:numPr>
                    <w:suppressAutoHyphens/>
                    <w:jc w:val="both"/>
                  </w:pPr>
                  <w:r>
                    <w:rPr>
                      <w:u w:val="single"/>
                    </w:rPr>
                    <w:t>Soit la formule</w:t>
                  </w:r>
                  <w:r>
                    <w:t xml:space="preserve"> :</w:t>
                  </w:r>
                  <w:r>
                    <w:tab/>
                    <w:t>Nombre d'élèves internes x Nombre guide</w:t>
                  </w:r>
                </w:p>
                <w:p>
                  <w:pPr>
                    <w:tabs>
                      <w:tab w:val="left" w:pos="962"/>
                      <w:tab w:val="left" w:pos="1134"/>
                      <w:tab w:val="left" w:pos="1303"/>
                      <w:tab w:val="left" w:pos="1586"/>
                      <w:tab w:val="left" w:pos="1813"/>
                      <w:tab w:val="left" w:pos="3174"/>
                      <w:tab w:val="left" w:pos="3967"/>
                      <w:tab w:val="left" w:pos="4591"/>
                      <w:tab w:val="left" w:pos="4818"/>
                    </w:tabs>
                    <w:jc w:val="both"/>
                  </w:pPr>
                </w:p>
                <w:p>
                  <w:pPr>
                    <w:jc w:val="both"/>
                  </w:pPr>
                  <w:bookmarkStart w:id="2376" w:name="_Toc291075377"/>
                  <w:bookmarkStart w:id="2377" w:name="_Toc291075801"/>
                  <w:bookmarkStart w:id="2378" w:name="_Toc291076225"/>
                  <w:bookmarkStart w:id="2379" w:name="_Toc291076649"/>
                  <w:bookmarkStart w:id="2380" w:name="_Toc291077073"/>
                  <w:bookmarkStart w:id="2381" w:name="_Toc293651917"/>
                  <w:bookmarkStart w:id="2382" w:name="_Toc293653500"/>
                  <w:bookmarkStart w:id="2383" w:name="_Toc293654111"/>
                  <w:bookmarkStart w:id="2384" w:name="_Toc294004689"/>
                  <w:bookmarkStart w:id="2385" w:name="_Toc294185185"/>
                  <w:bookmarkStart w:id="2386" w:name="_Toc324166003"/>
                  <w:bookmarkStart w:id="2387" w:name="_Toc324767040"/>
                  <w:bookmarkStart w:id="2388" w:name="_Toc324767898"/>
                  <w:r>
                    <w:t>Le capital-périodes attribué à l'internat est égal à la somme des produits obtenus selon la règle mentionnée ci-avant.</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r>
                    <w:t xml:space="preserve"> </w:t>
                  </w:r>
                </w:p>
                <w:p/>
                <w:p>
                  <w:pPr>
                    <w:numPr>
                      <w:ilvl w:val="0"/>
                      <w:numId w:val="26"/>
                    </w:numPr>
                    <w:suppressAutoHyphens/>
                    <w:jc w:val="both"/>
                  </w:pPr>
                  <w:r>
                    <w:rPr>
                      <w:u w:val="single"/>
                    </w:rPr>
                    <w:t>Seule la somme</w:t>
                  </w:r>
                  <w:r>
                    <w:t xml:space="preserve"> de ces résultats est arrondie à l'unité supérieure.</w:t>
                  </w:r>
                </w:p>
                <w:p>
                  <w:pPr>
                    <w:tabs>
                      <w:tab w:val="left" w:pos="962"/>
                      <w:tab w:val="left" w:pos="1134"/>
                      <w:tab w:val="left" w:pos="1303"/>
                      <w:tab w:val="left" w:pos="1586"/>
                      <w:tab w:val="left" w:pos="1813"/>
                      <w:tab w:val="left" w:pos="3174"/>
                      <w:tab w:val="left" w:pos="3967"/>
                      <w:tab w:val="left" w:pos="4591"/>
                      <w:tab w:val="left" w:pos="4818"/>
                    </w:tabs>
                    <w:jc w:val="both"/>
                  </w:pPr>
                </w:p>
                <w:p>
                  <w:pPr>
                    <w:jc w:val="both"/>
                  </w:pPr>
                  <w:bookmarkStart w:id="2389" w:name="_Toc291075378"/>
                  <w:bookmarkStart w:id="2390" w:name="_Toc291075802"/>
                  <w:bookmarkStart w:id="2391" w:name="_Toc291076226"/>
                  <w:bookmarkStart w:id="2392" w:name="_Toc291076650"/>
                  <w:bookmarkStart w:id="2393" w:name="_Toc291077074"/>
                  <w:bookmarkStart w:id="2394" w:name="_Toc293651918"/>
                  <w:bookmarkStart w:id="2395" w:name="_Toc293653501"/>
                  <w:bookmarkStart w:id="2396" w:name="_Toc293654112"/>
                  <w:bookmarkStart w:id="2397" w:name="_Toc294004690"/>
                  <w:bookmarkStart w:id="2398" w:name="_Toc294185186"/>
                  <w:bookmarkStart w:id="2399" w:name="_Toc324166004"/>
                  <w:bookmarkStart w:id="2400" w:name="_Toc324767041"/>
                  <w:bookmarkStart w:id="2401" w:name="_Toc324767899"/>
                  <w:r>
                    <w:t>Quel que soit le résultat obtenu, le capital-périodes ne pourra pas être inférieur à 140.</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pPr>
                    <w:jc w:val="both"/>
                  </w:pPr>
                </w:p>
                <w:p>
                  <w:pPr>
                    <w:pStyle w:val="Titre4"/>
                  </w:pPr>
                  <w:bookmarkStart w:id="2402" w:name="_Toc291075379"/>
                  <w:bookmarkStart w:id="2403" w:name="_Toc291075803"/>
                  <w:bookmarkStart w:id="2404" w:name="_Toc291076227"/>
                  <w:bookmarkStart w:id="2405" w:name="_Toc291076651"/>
                  <w:bookmarkStart w:id="2406" w:name="_Toc291077075"/>
                  <w:bookmarkStart w:id="2407" w:name="_Toc293651919"/>
                  <w:bookmarkStart w:id="2408" w:name="_Toc293653502"/>
                  <w:bookmarkStart w:id="2409" w:name="_Toc293654113"/>
                  <w:bookmarkStart w:id="2410" w:name="_Toc294004691"/>
                  <w:bookmarkStart w:id="2411" w:name="_Toc294185187"/>
                  <w:bookmarkStart w:id="2412" w:name="_Toc324166005"/>
                  <w:bookmarkStart w:id="2413" w:name="_Toc324767042"/>
                  <w:bookmarkStart w:id="2414" w:name="_Toc324767900"/>
                  <w:bookmarkStart w:id="2415" w:name="_Toc453314400"/>
                  <w:bookmarkStart w:id="2416" w:name="_Toc454980435"/>
                  <w:r>
                    <w:t>2.2. Augmentation du capital-périodes</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pPr>
                    <w:tabs>
                      <w:tab w:val="left" w:pos="962"/>
                      <w:tab w:val="left" w:pos="1134"/>
                      <w:tab w:val="left" w:pos="1303"/>
                      <w:tab w:val="left" w:pos="1586"/>
                      <w:tab w:val="left" w:pos="1813"/>
                      <w:tab w:val="left" w:pos="3174"/>
                      <w:tab w:val="left" w:pos="3967"/>
                      <w:tab w:val="left" w:pos="4591"/>
                      <w:tab w:val="left" w:pos="4818"/>
                    </w:tabs>
                    <w:jc w:val="both"/>
                  </w:pPr>
                </w:p>
                <w:p>
                  <w:pPr>
                    <w:jc w:val="both"/>
                  </w:pPr>
                  <w:r>
                    <w:t>Après le 30 septembre, le capital-périodes peut être recalculé chaque fois que le nombre d'élèves internes augmente d'au moins 10 % par rapport à celui qui a servi la dernière fois de base pour la détermination de ce capital-périodes.</w:t>
                  </w:r>
                </w:p>
                <w:p>
                  <w:pPr>
                    <w:jc w:val="both"/>
                  </w:pPr>
                </w:p>
                <w:p>
                  <w:pPr>
                    <w:jc w:val="both"/>
                  </w:pPr>
                  <w:r>
                    <w:t>Cet accroissement d'élèves n'est pris en considération que si l'augmentation du nombre d'élèves internes est maintenue pendant 10 jours de classe consécutifs.</w:t>
                  </w:r>
                </w:p>
                <w:p>
                  <w:pPr>
                    <w:jc w:val="both"/>
                  </w:pPr>
                  <w:r>
                    <w:t>Toute demande de révision du calcul du capital-périodes doit être sollicitée directement auprès du vérificateur (éventuellement par téléphone).</w:t>
                  </w:r>
                </w:p>
                <w:p/>
                <w:p>
                  <w:pPr>
                    <w:jc w:val="both"/>
                  </w:pPr>
                  <w:r>
                    <w:t>Aucun engagement de personnel ne peut avoir lieu avant d'obtenir l'accord du vérificateur sur cette augmentation.</w:t>
                  </w:r>
                </w:p>
                <w:p>
                  <w:pPr>
                    <w:jc w:val="both"/>
                  </w:pPr>
                </w:p>
                <w:p>
                  <w:pPr>
                    <w:pStyle w:val="Titre4"/>
                  </w:pPr>
                  <w:bookmarkStart w:id="2417" w:name="_2.5_Reliquats"/>
                  <w:bookmarkStart w:id="2418" w:name="_Toc453314401"/>
                  <w:bookmarkStart w:id="2419" w:name="_Toc454980436"/>
                  <w:bookmarkEnd w:id="2417"/>
                  <w:r>
                    <w:t>2.3. Reliquats</w:t>
                  </w:r>
                  <w:bookmarkEnd w:id="2418"/>
                  <w:bookmarkEnd w:id="2419"/>
                </w:p>
                <w:p>
                  <w:pPr>
                    <w:jc w:val="both"/>
                    <w:rPr>
                      <w:color w:val="000000"/>
                    </w:rPr>
                  </w:pPr>
                </w:p>
                <w:p>
                  <w:pPr>
                    <w:jc w:val="both"/>
                    <w:rPr>
                      <w:color w:val="000000"/>
                      <w:lang w:eastAsia="fr-FR"/>
                    </w:rPr>
                  </w:pPr>
                  <w:r>
                    <w:rPr>
                      <w:color w:val="000000"/>
                      <w:lang w:eastAsia="fr-FR"/>
                    </w:rPr>
                    <w:t xml:space="preserve">Le </w:t>
                  </w:r>
                  <w:r>
                    <w:rPr>
                      <w:lang w:eastAsia="fr-FR"/>
                    </w:rPr>
                    <w:t>nombre de périodes restantes après imputation au capital-périodes des périodes attribuées</w:t>
                  </w:r>
                  <w:r>
                    <w:rPr>
                      <w:color w:val="000000"/>
                      <w:lang w:eastAsia="fr-FR"/>
                    </w:rPr>
                    <w:t xml:space="preserve"> à chaque membre des personnels paramédical, social, psychologique, auxiliaire d’éducation et administratif constitue le reliquat.</w:t>
                  </w:r>
                </w:p>
                <w:p>
                  <w:pPr>
                    <w:jc w:val="both"/>
                    <w:rPr>
                      <w:color w:val="000000"/>
                      <w:lang w:eastAsia="fr-FR"/>
                    </w:rPr>
                  </w:pPr>
                </w:p>
                <w:p>
                  <w:pPr>
                    <w:jc w:val="both"/>
                    <w:rPr>
                      <w:color w:val="000000"/>
                      <w:lang w:eastAsia="fr-FR"/>
                    </w:rPr>
                  </w:pPr>
                  <w:r>
                    <w:rPr>
                      <w:color w:val="000000"/>
                      <w:lang w:eastAsia="fr-FR"/>
                    </w:rPr>
                    <w:t>Aucune nomination ni changement d’affectation ne pourra se faire sur la base de l’utilisation des reliquats.</w:t>
                  </w:r>
                </w:p>
                <w:p>
                  <w:pPr>
                    <w:jc w:val="both"/>
                  </w:pPr>
                </w:p>
                <w:p>
                  <w:pPr>
                    <w:jc w:val="both"/>
                  </w:pPr>
                  <w:r>
                    <w:t xml:space="preserve">Les conventions de transfert des reliquats sont à adresser à : </w:t>
                  </w:r>
                </w:p>
                <w:p>
                  <w:pPr>
                    <w:jc w:val="both"/>
                  </w:pPr>
                </w:p>
                <w:p>
                  <w:pPr>
                    <w:pStyle w:val="Corpsdetexte"/>
                    <w:pBdr>
                      <w:top w:val="single" w:sz="4" w:space="1" w:color="auto"/>
                      <w:left w:val="single" w:sz="4" w:space="4" w:color="auto"/>
                      <w:bottom w:val="single" w:sz="4" w:space="1" w:color="auto"/>
                      <w:right w:val="single" w:sz="4" w:space="4" w:color="auto"/>
                    </w:pBdr>
                    <w:jc w:val="center"/>
                    <w:rPr>
                      <w:b/>
                    </w:rPr>
                  </w:pPr>
                  <w:r>
                    <w:t>Direction générale de l’Enseignement obligatoire</w:t>
                  </w:r>
                </w:p>
                <w:p>
                  <w:pPr>
                    <w:pStyle w:val="Corpsdetexte"/>
                    <w:pBdr>
                      <w:top w:val="single" w:sz="4" w:space="1" w:color="auto"/>
                      <w:left w:val="single" w:sz="4" w:space="4" w:color="auto"/>
                      <w:bottom w:val="single" w:sz="4" w:space="1" w:color="auto"/>
                      <w:right w:val="single" w:sz="4" w:space="4" w:color="auto"/>
                    </w:pBdr>
                    <w:jc w:val="center"/>
                    <w:rPr>
                      <w:b/>
                    </w:rPr>
                  </w:pPr>
                  <w:r>
                    <w:t>Service de l’Enseignement spécialisé</w:t>
                  </w:r>
                </w:p>
                <w:p>
                  <w:pPr>
                    <w:pStyle w:val="Corpsdetexte"/>
                    <w:pBdr>
                      <w:top w:val="single" w:sz="4" w:space="1" w:color="auto"/>
                      <w:left w:val="single" w:sz="4" w:space="4" w:color="auto"/>
                      <w:bottom w:val="single" w:sz="4" w:space="1" w:color="auto"/>
                      <w:right w:val="single" w:sz="4" w:space="4" w:color="auto"/>
                    </w:pBdr>
                    <w:jc w:val="center"/>
                    <w:rPr>
                      <w:b/>
                    </w:rPr>
                  </w:pPr>
                  <w:r>
                    <w:t>Madame Véronique ROMBAUT</w:t>
                  </w:r>
                </w:p>
                <w:p>
                  <w:pPr>
                    <w:pStyle w:val="Corpsdetexte"/>
                    <w:pBdr>
                      <w:top w:val="single" w:sz="4" w:space="1" w:color="auto"/>
                      <w:left w:val="single" w:sz="4" w:space="4" w:color="auto"/>
                      <w:bottom w:val="single" w:sz="4" w:space="1" w:color="auto"/>
                      <w:right w:val="single" w:sz="4" w:space="4" w:color="auto"/>
                    </w:pBdr>
                    <w:jc w:val="center"/>
                    <w:rPr>
                      <w:b/>
                    </w:rPr>
                  </w:pPr>
                  <w:r>
                    <w:t>Bureau 2F245</w:t>
                  </w:r>
                </w:p>
                <w:p>
                  <w:pPr>
                    <w:pStyle w:val="Corpsdetexte"/>
                    <w:pBdr>
                      <w:top w:val="single" w:sz="4" w:space="1" w:color="auto"/>
                      <w:left w:val="single" w:sz="4" w:space="4" w:color="auto"/>
                      <w:bottom w:val="single" w:sz="4" w:space="1" w:color="auto"/>
                      <w:right w:val="single" w:sz="4" w:space="4" w:color="auto"/>
                    </w:pBdr>
                    <w:jc w:val="center"/>
                  </w:pPr>
                  <w:r>
                    <w:t>Rue Adolphe Lavallée, 1080   BRUXELLES</w:t>
                  </w:r>
                </w:p>
                <w:p>
                  <w:pPr>
                    <w:pStyle w:val="Corpsdetexte"/>
                    <w:pBdr>
                      <w:top w:val="single" w:sz="4" w:space="1" w:color="auto"/>
                      <w:left w:val="single" w:sz="4" w:space="4" w:color="auto"/>
                      <w:bottom w:val="single" w:sz="4" w:space="1" w:color="auto"/>
                      <w:right w:val="single" w:sz="4" w:space="4" w:color="auto"/>
                    </w:pBdr>
                    <w:jc w:val="center"/>
                  </w:pPr>
                  <w:r>
                    <w:sym w:font="Wingdings" w:char="F028"/>
                  </w:r>
                  <w:r>
                    <w:t xml:space="preserve"> : 02/690.83.99 - Fax : 02/690.85.99 - </w:t>
                  </w:r>
                  <w:r>
                    <w:sym w:font="Wingdings" w:char="F03A"/>
                  </w:r>
                  <w:r>
                    <w:t> </w:t>
                  </w:r>
                  <w:hyperlink r:id="rId163" w:history="1">
                    <w:r>
                      <w:rPr>
                        <w:rStyle w:val="Lienhypertexte"/>
                        <w:rFonts w:cs="Arial"/>
                      </w:rPr>
                      <w:t>veronique.rombaut@cfwb.be</w:t>
                    </w:r>
                  </w:hyperlink>
                </w:p>
                <w:p/>
                <w:p>
                  <w:pPr>
                    <w:pStyle w:val="Titre3"/>
                  </w:pPr>
                  <w:bookmarkStart w:id="2420" w:name="__RefHeading__211_957262308"/>
                  <w:bookmarkStart w:id="2421" w:name="_Toc18914461"/>
                  <w:bookmarkStart w:id="2422" w:name="_Toc291075381"/>
                  <w:bookmarkStart w:id="2423" w:name="_Toc291075805"/>
                  <w:bookmarkStart w:id="2424" w:name="_Toc291076229"/>
                  <w:bookmarkStart w:id="2425" w:name="_Toc291076653"/>
                  <w:bookmarkStart w:id="2426" w:name="_Toc291077077"/>
                  <w:bookmarkEnd w:id="2420"/>
                  <w:r>
                    <w:t>3. Fonctions</w:t>
                  </w:r>
                  <w:bookmarkEnd w:id="2421"/>
                  <w:r>
                    <w:t xml:space="preserve"> </w:t>
                  </w:r>
                </w:p>
                <w:p/>
                <w:p>
                  <w:pPr>
                    <w:pStyle w:val="Titre4"/>
                  </w:pPr>
                  <w:bookmarkStart w:id="2427" w:name="_Toc293651921"/>
                  <w:bookmarkStart w:id="2428" w:name="_Toc293653504"/>
                  <w:bookmarkStart w:id="2429" w:name="_Toc293654115"/>
                  <w:bookmarkStart w:id="2430" w:name="_Toc294004693"/>
                  <w:bookmarkStart w:id="2431" w:name="_Toc294185189"/>
                  <w:bookmarkStart w:id="2432" w:name="_Toc324166007"/>
                  <w:bookmarkStart w:id="2433" w:name="_Toc324767044"/>
                  <w:bookmarkStart w:id="2434" w:name="_Toc324767902"/>
                  <w:bookmarkStart w:id="2435" w:name="_Toc453314403"/>
                  <w:bookmarkStart w:id="2436" w:name="_Toc454980438"/>
                  <w:r>
                    <w:t>3.1. Fonction de promotion</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r>
                    <w:t xml:space="preserve"> </w:t>
                  </w:r>
                </w:p>
                <w:p>
                  <w:pPr>
                    <w:tabs>
                      <w:tab w:val="left" w:pos="962"/>
                      <w:tab w:val="left" w:pos="1134"/>
                      <w:tab w:val="left" w:pos="1303"/>
                      <w:tab w:val="left" w:pos="1586"/>
                      <w:tab w:val="left" w:pos="1813"/>
                      <w:tab w:val="left" w:pos="3174"/>
                      <w:tab w:val="left" w:pos="3967"/>
                      <w:tab w:val="left" w:pos="4591"/>
                      <w:tab w:val="left" w:pos="4818"/>
                    </w:tabs>
                    <w:jc w:val="both"/>
                  </w:pPr>
                </w:p>
                <w:p>
                  <w:pPr>
                    <w:jc w:val="both"/>
                  </w:pPr>
                  <w:r>
                    <w:t>Il existe, par home d'accueil et par institut d'enseignement spécialisé organisé par la Fédération Wallonie-Bruxelles, une fonction d'administrateur.</w:t>
                  </w:r>
                </w:p>
                <w:p>
                  <w:pPr>
                    <w:jc w:val="both"/>
                  </w:pPr>
                </w:p>
                <w:p>
                  <w:pPr>
                    <w:jc w:val="both"/>
                  </w:pPr>
                  <w:r>
                    <w:t>Cette fonction ne fait pas partie du capital-périodes.</w:t>
                  </w:r>
                </w:p>
                <w:p>
                  <w:pPr>
                    <w:jc w:val="both"/>
                  </w:pPr>
                </w:p>
                <w:p>
                  <w:pPr>
                    <w:jc w:val="both"/>
                  </w:pPr>
                  <w:r>
                    <w:t>Dans le home d'accueil, l'administrateur assume la direction et a, à l'égard du personnel, les attributions dévolues au chef d'établissement d'enseignement telles que prévues par les dispositions statutaires. Il n'est pas soumis au signalement.</w:t>
                  </w:r>
                </w:p>
                <w:p>
                  <w:pPr>
                    <w:tabs>
                      <w:tab w:val="left" w:pos="962"/>
                      <w:tab w:val="left" w:pos="1134"/>
                      <w:tab w:val="left" w:pos="1303"/>
                      <w:tab w:val="left" w:pos="1586"/>
                      <w:tab w:val="left" w:pos="1813"/>
                      <w:tab w:val="left" w:pos="3174"/>
                      <w:tab w:val="left" w:pos="3967"/>
                      <w:tab w:val="left" w:pos="4591"/>
                      <w:tab w:val="left" w:pos="4818"/>
                    </w:tabs>
                    <w:jc w:val="both"/>
                  </w:pPr>
                </w:p>
                <w:p>
                  <w:pPr>
                    <w:pStyle w:val="Titre4"/>
                  </w:pPr>
                  <w:bookmarkStart w:id="2437" w:name="_3.2._Fonctions_de"/>
                  <w:bookmarkStart w:id="2438" w:name="_Toc291075382"/>
                  <w:bookmarkStart w:id="2439" w:name="_Toc291075806"/>
                  <w:bookmarkStart w:id="2440" w:name="_Toc291076230"/>
                  <w:bookmarkStart w:id="2441" w:name="_Toc291076654"/>
                  <w:bookmarkStart w:id="2442" w:name="_Toc291077078"/>
                  <w:bookmarkStart w:id="2443" w:name="_Toc293651922"/>
                  <w:bookmarkStart w:id="2444" w:name="_Toc293653505"/>
                  <w:bookmarkStart w:id="2445" w:name="_Toc293654116"/>
                  <w:bookmarkStart w:id="2446" w:name="_Toc294004694"/>
                  <w:bookmarkStart w:id="2447" w:name="_Toc294185190"/>
                  <w:bookmarkStart w:id="2448" w:name="_Toc324166008"/>
                  <w:bookmarkStart w:id="2449" w:name="_Toc324767045"/>
                  <w:bookmarkStart w:id="2450" w:name="_Toc324767903"/>
                  <w:bookmarkStart w:id="2451" w:name="_Toc453314404"/>
                  <w:bookmarkStart w:id="2452" w:name="_Toc454980439"/>
                  <w:bookmarkEnd w:id="2437"/>
                  <w:r>
                    <w:t>3.2. Fonctions de recrutement</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pPr>
                    <w:tabs>
                      <w:tab w:val="left" w:pos="962"/>
                      <w:tab w:val="left" w:pos="1134"/>
                      <w:tab w:val="left" w:pos="1303"/>
                      <w:tab w:val="left" w:pos="1586"/>
                      <w:tab w:val="left" w:pos="1813"/>
                      <w:tab w:val="left" w:pos="3174"/>
                      <w:tab w:val="left" w:pos="3967"/>
                      <w:tab w:val="left" w:pos="4591"/>
                      <w:tab w:val="left" w:pos="4818"/>
                    </w:tabs>
                    <w:jc w:val="both"/>
                  </w:pPr>
                </w:p>
                <w:p>
                  <w:pPr>
                    <w:jc w:val="both"/>
                  </w:pPr>
                  <w:r>
                    <w:t>Les fonctions de recrutement organisées dans le cadre du C.P.U. du home d’acueil et de l'internat, peuvent être celles de psychologue, de puéricultrice, d'infirmier(ère), de logopède, de kinésithérapeute, d’ergothérapeute, d'assistant(e) social(e), d’éducateur(trice) d'internat, de correspondant(e)-comptable et de commis.</w:t>
                  </w:r>
                </w:p>
                <w:p>
                  <w:pPr>
                    <w:jc w:val="both"/>
                  </w:pPr>
                </w:p>
                <w:p>
                  <w:pPr>
                    <w:jc w:val="both"/>
                  </w:pPr>
                  <w:r>
                    <w:t>Les prestations de ces membres du personnel sont effectuées au profit exclusif des élèves internes.</w:t>
                  </w:r>
                </w:p>
                <w:p>
                  <w:pPr>
                    <w:jc w:val="both"/>
                  </w:pPr>
                </w:p>
                <w:p>
                  <w:pPr>
                    <w:jc w:val="both"/>
                  </w:pPr>
                  <w:r>
                    <w:t>Ceux-ci ne reçoivent pas, pendant les heures de classe, d'intervention directe de la part du personnel attribué dans le cadre de l'internat.</w:t>
                  </w:r>
                </w:p>
                <w:p>
                  <w:pPr>
                    <w:tabs>
                      <w:tab w:val="left" w:pos="962"/>
                      <w:tab w:val="left" w:pos="1134"/>
                      <w:tab w:val="left" w:pos="1303"/>
                      <w:tab w:val="left" w:pos="1586"/>
                      <w:tab w:val="left" w:pos="1813"/>
                      <w:tab w:val="left" w:pos="3174"/>
                      <w:tab w:val="left" w:pos="3967"/>
                      <w:tab w:val="left" w:pos="4591"/>
                      <w:tab w:val="left" w:pos="4818"/>
                    </w:tabs>
                    <w:jc w:val="both"/>
                  </w:pPr>
                </w:p>
                <w:p>
                  <w:pPr>
                    <w:pStyle w:val="Titre3"/>
                  </w:pPr>
                  <w:bookmarkStart w:id="2453" w:name="_Toc18914462"/>
                  <w:r>
                    <w:t>4. Plages-horaire</w:t>
                  </w:r>
                  <w:bookmarkEnd w:id="2453"/>
                </w:p>
                <w:p>
                  <w:pPr>
                    <w:tabs>
                      <w:tab w:val="left" w:pos="962"/>
                      <w:tab w:val="left" w:pos="1134"/>
                      <w:tab w:val="left" w:pos="1303"/>
                      <w:tab w:val="left" w:pos="1586"/>
                      <w:tab w:val="left" w:pos="1813"/>
                      <w:tab w:val="left" w:pos="3174"/>
                      <w:tab w:val="left" w:pos="3967"/>
                      <w:tab w:val="left" w:pos="4591"/>
                      <w:tab w:val="left" w:pos="4818"/>
                    </w:tabs>
                    <w:jc w:val="both"/>
                  </w:pPr>
                  <w:bookmarkStart w:id="2454" w:name="__RefHeading__213_957262308"/>
                  <w:bookmarkEnd w:id="2454"/>
                </w:p>
                <w:p>
                  <w:pPr>
                    <w:tabs>
                      <w:tab w:val="left" w:pos="3967"/>
                    </w:tabs>
                    <w:jc w:val="both"/>
                  </w:pPr>
                  <w:r>
                    <w:t xml:space="preserve">Psychologue     </w:t>
                  </w:r>
                  <w:r>
                    <w:tab/>
                  </w:r>
                  <w:r>
                    <w:tab/>
                  </w:r>
                  <w:r>
                    <w:tab/>
                    <w:t>36 à 38 heures par semaine</w:t>
                  </w:r>
                </w:p>
                <w:p>
                  <w:pPr>
                    <w:tabs>
                      <w:tab w:val="left" w:pos="3960"/>
                    </w:tabs>
                    <w:jc w:val="both"/>
                  </w:pPr>
                  <w:r>
                    <w:t>Puéricult(eur)(rice)</w:t>
                  </w:r>
                  <w:r>
                    <w:tab/>
                  </w:r>
                  <w:r>
                    <w:tab/>
                  </w:r>
                  <w:r>
                    <w:tab/>
                    <w:t>32 à 36 heures par semaine</w:t>
                  </w:r>
                </w:p>
                <w:p>
                  <w:pPr>
                    <w:tabs>
                      <w:tab w:val="left" w:pos="3960"/>
                    </w:tabs>
                    <w:jc w:val="both"/>
                  </w:pPr>
                  <w:r>
                    <w:t>Logopède</w:t>
                  </w:r>
                  <w:r>
                    <w:tab/>
                  </w:r>
                  <w:r>
                    <w:tab/>
                  </w:r>
                  <w:r>
                    <w:tab/>
                    <w:t>32 à 36 heures par semaine</w:t>
                  </w:r>
                </w:p>
                <w:p>
                  <w:pPr>
                    <w:tabs>
                      <w:tab w:val="left" w:pos="3960"/>
                    </w:tabs>
                    <w:jc w:val="both"/>
                  </w:pPr>
                  <w:r>
                    <w:t>Kinésithérapeute</w:t>
                  </w:r>
                  <w:r>
                    <w:tab/>
                  </w:r>
                  <w:r>
                    <w:tab/>
                  </w:r>
                  <w:r>
                    <w:tab/>
                    <w:t>32 à 36 heures par semaine</w:t>
                  </w:r>
                </w:p>
                <w:p>
                  <w:pPr>
                    <w:tabs>
                      <w:tab w:val="left" w:pos="3960"/>
                    </w:tabs>
                  </w:pPr>
                  <w:r>
                    <w:t>Ergothérapeute</w:t>
                  </w:r>
                  <w:r>
                    <w:tab/>
                  </w:r>
                  <w:r>
                    <w:tab/>
                  </w:r>
                  <w:r>
                    <w:tab/>
                    <w:t>32 à 36 heures par semaine</w:t>
                  </w:r>
                </w:p>
                <w:p>
                  <w:pPr>
                    <w:tabs>
                      <w:tab w:val="left" w:pos="3960"/>
                    </w:tabs>
                    <w:jc w:val="both"/>
                  </w:pPr>
                  <w:r>
                    <w:t>Assistant(e) social(e)</w:t>
                  </w:r>
                  <w:r>
                    <w:tab/>
                  </w:r>
                  <w:r>
                    <w:tab/>
                  </w:r>
                  <w:r>
                    <w:tab/>
                    <w:t>36 à 38 heures par semaine</w:t>
                  </w:r>
                </w:p>
                <w:p>
                  <w:pPr>
                    <w:tabs>
                      <w:tab w:val="left" w:pos="3960"/>
                    </w:tabs>
                    <w:jc w:val="both"/>
                  </w:pPr>
                  <w:r>
                    <w:t>Infirmier(ère)</w:t>
                  </w:r>
                  <w:r>
                    <w:tab/>
                  </w:r>
                  <w:r>
                    <w:tab/>
                  </w:r>
                  <w:r>
                    <w:tab/>
                    <w:t>32 à 36 heures par semaine</w:t>
                  </w:r>
                </w:p>
                <w:p>
                  <w:pPr>
                    <w:tabs>
                      <w:tab w:val="left" w:pos="3960"/>
                    </w:tabs>
                    <w:jc w:val="both"/>
                  </w:pPr>
                  <w:r>
                    <w:t>Educateur(trice) d'internat</w:t>
                  </w:r>
                  <w:r>
                    <w:tab/>
                  </w:r>
                  <w:r>
                    <w:tab/>
                  </w:r>
                  <w:r>
                    <w:tab/>
                    <w:t>36 à 38 heures par semaine</w:t>
                  </w:r>
                </w:p>
                <w:p>
                  <w:pPr>
                    <w:tabs>
                      <w:tab w:val="left" w:pos="3960"/>
                    </w:tabs>
                    <w:jc w:val="both"/>
                  </w:pPr>
                  <w:r>
                    <w:t>Commis - dactylographe</w:t>
                  </w:r>
                  <w:r>
                    <w:tab/>
                  </w:r>
                  <w:r>
                    <w:tab/>
                  </w:r>
                  <w:r>
                    <w:tab/>
                    <w:t>38 heures par semaine</w:t>
                  </w:r>
                </w:p>
                <w:p>
                  <w:pPr>
                    <w:tabs>
                      <w:tab w:val="left" w:pos="3967"/>
                    </w:tabs>
                    <w:jc w:val="both"/>
                  </w:pPr>
                  <w:r>
                    <w:t>Correspondant(e)-comptable</w:t>
                  </w:r>
                  <w:r>
                    <w:tab/>
                  </w:r>
                  <w:r>
                    <w:tab/>
                  </w:r>
                  <w:r>
                    <w:tab/>
                    <w:t>38 heures par semaine</w:t>
                  </w:r>
                </w:p>
                <w:p>
                  <w:pPr>
                    <w:tabs>
                      <w:tab w:val="left" w:pos="3967"/>
                    </w:tabs>
                    <w:jc w:val="both"/>
                  </w:pPr>
                  <w:r>
                    <w:t>Comptable</w:t>
                  </w:r>
                  <w:r>
                    <w:tab/>
                  </w:r>
                  <w:r>
                    <w:tab/>
                  </w:r>
                  <w:r>
                    <w:tab/>
                    <w:t>38 heures par semaine</w:t>
                  </w:r>
                </w:p>
                <w:p>
                  <w:pPr>
                    <w:tabs>
                      <w:tab w:val="left" w:pos="3967"/>
                    </w:tabs>
                    <w:jc w:val="both"/>
                  </w:pPr>
                </w:p>
                <w:p>
                  <w:pPr>
                    <w:jc w:val="both"/>
                  </w:pPr>
                  <w:r>
                    <w:t>Les périodes attribuées au conseil de classe, au travail en équipe et à la guidance font partie du capital-périodes et sont incluses dans les périodes de prestations.</w:t>
                  </w:r>
                </w:p>
                <w:p>
                  <w:pPr>
                    <w:jc w:val="both"/>
                    <w:rPr>
                      <w:color w:val="000000"/>
                    </w:rPr>
                  </w:pPr>
                </w:p>
                <w:p>
                  <w:pPr>
                    <w:jc w:val="both"/>
                    <w:rPr>
                      <w:color w:val="000000"/>
                    </w:rPr>
                  </w:pPr>
                  <w:r>
                    <w:rPr>
                      <w:color w:val="000000"/>
                    </w:rPr>
                    <w:t>Les prestations des puéricultrices et des infirmiers(ères) pourront s'étaler, selon les besoins, du lever au coucher des élèves. Les horaires seront organisés en fonction des nécessités du service.</w:t>
                  </w:r>
                </w:p>
                <w:p>
                  <w:pPr>
                    <w:jc w:val="both"/>
                    <w:rPr>
                      <w:color w:val="000000"/>
                    </w:rPr>
                  </w:pPr>
                </w:p>
                <w:p>
                  <w:pPr>
                    <w:pStyle w:val="Titre3"/>
                  </w:pPr>
                  <w:bookmarkStart w:id="2455" w:name="_5._Travail_collaboratif"/>
                  <w:bookmarkStart w:id="2456" w:name="_Toc18914463"/>
                  <w:bookmarkEnd w:id="2455"/>
                  <w:r>
                    <w:t>5. Travail collaboratif</w:t>
                  </w:r>
                  <w:bookmarkEnd w:id="2456"/>
                  <w:r>
                    <w:t xml:space="preserve"> </w:t>
                  </w:r>
                </w:p>
                <w:p>
                  <w:pPr>
                    <w:pBdr>
                      <w:right w:val="single" w:sz="4" w:space="4" w:color="auto"/>
                    </w:pBdr>
                    <w:tabs>
                      <w:tab w:val="left" w:pos="962"/>
                      <w:tab w:val="left" w:pos="1134"/>
                      <w:tab w:val="left" w:pos="1303"/>
                      <w:tab w:val="left" w:pos="1586"/>
                      <w:tab w:val="left" w:pos="1813"/>
                      <w:tab w:val="left" w:pos="3174"/>
                      <w:tab w:val="left" w:pos="3967"/>
                      <w:tab w:val="left" w:pos="4591"/>
                      <w:tab w:val="left" w:pos="4818"/>
                    </w:tabs>
                    <w:jc w:val="both"/>
                    <w:rPr>
                      <w:color w:val="000000"/>
                    </w:rPr>
                  </w:pPr>
                </w:p>
                <w:p>
                  <w:pPr>
                    <w:pBdr>
                      <w:right w:val="single" w:sz="4" w:space="4" w:color="auto"/>
                    </w:pBdr>
                    <w:tabs>
                      <w:tab w:val="left" w:pos="962"/>
                      <w:tab w:val="left" w:pos="1134"/>
                      <w:tab w:val="left" w:pos="1303"/>
                      <w:tab w:val="left" w:pos="1586"/>
                      <w:tab w:val="left" w:pos="1813"/>
                      <w:tab w:val="left" w:pos="3174"/>
                      <w:tab w:val="left" w:pos="3967"/>
                      <w:tab w:val="left" w:pos="4591"/>
                      <w:tab w:val="left" w:pos="4818"/>
                    </w:tabs>
                    <w:jc w:val="both"/>
                    <w:rPr>
                      <w:color w:val="000000"/>
                    </w:rPr>
                  </w:pPr>
                  <w:r>
                    <w:rPr>
                      <w:color w:val="000000"/>
                    </w:rPr>
                    <w:t xml:space="preserve">Les éducateurs exerçant une fonction à prestation complète sont tenus d’accomplir 60 périodes de travail collaboratif par année scolaire. </w:t>
                  </w:r>
                </w:p>
                <w:p>
                  <w:pPr>
                    <w:pBdr>
                      <w:right w:val="single" w:sz="4" w:space="4" w:color="auto"/>
                    </w:pBdr>
                    <w:tabs>
                      <w:tab w:val="left" w:pos="962"/>
                      <w:tab w:val="left" w:pos="1134"/>
                      <w:tab w:val="left" w:pos="1303"/>
                      <w:tab w:val="left" w:pos="1586"/>
                      <w:tab w:val="left" w:pos="1813"/>
                      <w:tab w:val="left" w:pos="3174"/>
                      <w:tab w:val="left" w:pos="3967"/>
                      <w:tab w:val="left" w:pos="4591"/>
                      <w:tab w:val="left" w:pos="4818"/>
                    </w:tabs>
                    <w:jc w:val="both"/>
                    <w:rPr>
                      <w:color w:val="000000"/>
                    </w:rPr>
                  </w:pPr>
                </w:p>
                <w:p>
                  <w:pPr>
                    <w:pBdr>
                      <w:right w:val="single" w:sz="4" w:space="4" w:color="auto"/>
                    </w:pBdr>
                    <w:tabs>
                      <w:tab w:val="left" w:pos="962"/>
                      <w:tab w:val="left" w:pos="1134"/>
                      <w:tab w:val="left" w:pos="1303"/>
                      <w:tab w:val="left" w:pos="1586"/>
                      <w:tab w:val="left" w:pos="1813"/>
                      <w:tab w:val="left" w:pos="3174"/>
                      <w:tab w:val="left" w:pos="3967"/>
                      <w:tab w:val="left" w:pos="4591"/>
                      <w:tab w:val="left" w:pos="4818"/>
                    </w:tabs>
                    <w:jc w:val="both"/>
                    <w:rPr>
                      <w:color w:val="000000"/>
                    </w:rPr>
                  </w:pPr>
                  <w:r>
                    <w:rPr>
                      <w:color w:val="000000"/>
                    </w:rPr>
                    <w:t xml:space="preserve">Ces périodes consacrées au travail collaboratif sont comprises dans le volume de prestations des éducateurs. </w:t>
                  </w:r>
                </w:p>
                <w:p>
                  <w:pPr>
                    <w:jc w:val="both"/>
                    <w:rPr>
                      <w:color w:val="000000"/>
                    </w:rPr>
                  </w:pPr>
                </w:p>
                <w:p>
                  <w:pPr>
                    <w:pStyle w:val="Titre3"/>
                  </w:pPr>
                  <w:bookmarkStart w:id="2457" w:name="__RefHeading__215_957262308"/>
                  <w:bookmarkStart w:id="2458" w:name="_Toc291075384"/>
                  <w:bookmarkStart w:id="2459" w:name="_Toc291075808"/>
                  <w:bookmarkStart w:id="2460" w:name="_Toc291076232"/>
                  <w:bookmarkStart w:id="2461" w:name="_Toc291076656"/>
                  <w:bookmarkStart w:id="2462" w:name="_Toc291077080"/>
                  <w:bookmarkStart w:id="2463" w:name="_Toc293651924"/>
                  <w:bookmarkStart w:id="2464" w:name="_Toc293653507"/>
                  <w:bookmarkStart w:id="2465" w:name="_Toc293654118"/>
                  <w:bookmarkStart w:id="2466" w:name="_Toc294004696"/>
                  <w:bookmarkStart w:id="2467" w:name="_Toc294185192"/>
                  <w:bookmarkStart w:id="2468" w:name="_Toc324166010"/>
                  <w:bookmarkStart w:id="2469" w:name="_Toc324767047"/>
                  <w:bookmarkStart w:id="2470" w:name="_Toc453314406"/>
                  <w:bookmarkStart w:id="2471" w:name="_Toc454980441"/>
                  <w:bookmarkStart w:id="2472" w:name="_Toc18914464"/>
                  <w:bookmarkEnd w:id="2457"/>
                  <w:r>
                    <w:t>6. Répartition des emplois</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r>
                    <w:t xml:space="preserve"> </w:t>
                  </w:r>
                </w:p>
                <w:p>
                  <w:pPr>
                    <w:tabs>
                      <w:tab w:val="left" w:pos="962"/>
                      <w:tab w:val="left" w:pos="1134"/>
                      <w:tab w:val="left" w:pos="1303"/>
                      <w:tab w:val="left" w:pos="1586"/>
                      <w:tab w:val="left" w:pos="1813"/>
                      <w:tab w:val="left" w:pos="3174"/>
                      <w:tab w:val="left" w:pos="3967"/>
                      <w:tab w:val="left" w:pos="4591"/>
                      <w:tab w:val="left" w:pos="4818"/>
                    </w:tabs>
                    <w:jc w:val="both"/>
                    <w:rPr>
                      <w:color w:val="000000"/>
                    </w:rPr>
                  </w:pPr>
                </w:p>
                <w:p>
                  <w:pPr>
                    <w:jc w:val="both"/>
                    <w:rPr>
                      <w:color w:val="000000"/>
                    </w:rPr>
                  </w:pPr>
                  <w:r>
                    <w:rPr>
                      <w:color w:val="000000"/>
                    </w:rPr>
                    <w:t>50 % au minimum du capital-périodes utilisé doit être attribué à la fonction d’éducateur (trice) d'internat.</w:t>
                  </w:r>
                </w:p>
                <w:p>
                  <w:bookmarkStart w:id="2473" w:name="__RefHeading__217_957262308"/>
                  <w:bookmarkStart w:id="2474" w:name="_Toc291075385"/>
                  <w:bookmarkStart w:id="2475" w:name="_Toc291075809"/>
                  <w:bookmarkStart w:id="2476" w:name="_Toc291076233"/>
                  <w:bookmarkStart w:id="2477" w:name="_Toc291076657"/>
                  <w:bookmarkStart w:id="2478" w:name="_Toc291077081"/>
                  <w:bookmarkEnd w:id="2473"/>
                </w:p>
                <w:p>
                  <w:pPr>
                    <w:pStyle w:val="Titre3"/>
                  </w:pPr>
                  <w:bookmarkStart w:id="2479" w:name="_Toc293651925"/>
                  <w:bookmarkStart w:id="2480" w:name="_Toc293653508"/>
                  <w:bookmarkStart w:id="2481" w:name="_Toc293654119"/>
                  <w:bookmarkStart w:id="2482" w:name="_Toc294004697"/>
                  <w:bookmarkStart w:id="2483" w:name="_Toc294185193"/>
                  <w:bookmarkStart w:id="2484" w:name="_Toc324166011"/>
                  <w:bookmarkStart w:id="2485" w:name="_Toc324767048"/>
                  <w:bookmarkStart w:id="2486" w:name="_Toc453314407"/>
                  <w:bookmarkStart w:id="2487" w:name="_Toc454980442"/>
                  <w:bookmarkStart w:id="2488" w:name="_Toc18914465"/>
                  <w:r>
                    <w:t>7. Tenue de la comptabilité dans les homes d’accueil</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r>
                    <w:t xml:space="preserve"> </w:t>
                  </w:r>
                </w:p>
                <w:p>
                  <w:pPr>
                    <w:tabs>
                      <w:tab w:val="left" w:pos="962"/>
                      <w:tab w:val="left" w:pos="1134"/>
                      <w:tab w:val="left" w:pos="1303"/>
                      <w:tab w:val="left" w:pos="1586"/>
                      <w:tab w:val="left" w:pos="1813"/>
                      <w:tab w:val="left" w:pos="3174"/>
                      <w:tab w:val="left" w:pos="3967"/>
                      <w:tab w:val="left" w:pos="4591"/>
                      <w:tab w:val="left" w:pos="4818"/>
                    </w:tabs>
                    <w:jc w:val="both"/>
                    <w:rPr>
                      <w:color w:val="000000"/>
                    </w:rPr>
                  </w:pPr>
                </w:p>
                <w:p>
                  <w:pPr>
                    <w:jc w:val="both"/>
                    <w:rPr>
                      <w:color w:val="000000"/>
                    </w:rPr>
                  </w:pPr>
                  <w:r>
                    <w:rPr>
                      <w:color w:val="000000"/>
                    </w:rPr>
                    <w:t>Par home d'accueil, un(e) comptable ou un(e) éducateur (trice) d'internat est chargé, hors capital-périodes, de la gestion comptable.</w:t>
                  </w:r>
                </w:p>
                <w:p>
                  <w:pPr>
                    <w:jc w:val="both"/>
                    <w:rPr>
                      <w:color w:val="000000"/>
                    </w:rPr>
                  </w:pPr>
                </w:p>
                <w:p>
                  <w:pPr>
                    <w:pStyle w:val="Titre3"/>
                  </w:pPr>
                  <w:bookmarkStart w:id="2489" w:name="_Toc453314408"/>
                  <w:bookmarkStart w:id="2490" w:name="_Toc454980443"/>
                  <w:bookmarkStart w:id="2491" w:name="_Toc18914466"/>
                  <w:r>
                    <w:t>8. Annexes</w:t>
                  </w:r>
                  <w:bookmarkEnd w:id="2489"/>
                  <w:bookmarkEnd w:id="2490"/>
                  <w:bookmarkEnd w:id="2491"/>
                </w:p>
                <w:p>
                  <w:pPr>
                    <w:jc w:val="both"/>
                  </w:pPr>
                </w:p>
                <w:p>
                  <w:pPr>
                    <w:jc w:val="both"/>
                  </w:pPr>
                  <w:r>
                    <w:t>Vous trouverez ci-joint, en annexe 2, le modèle d’attestation de fréquentation d’un établissement d’enseignement spécialisé.  Cette attestation doit être conservée au sein de la structure d’accueil.</w:t>
                  </w:r>
                </w:p>
                <w:p>
                  <w:pPr>
                    <w:jc w:val="both"/>
                  </w:pPr>
                </w:p>
                <w:p>
                  <w:pPr>
                    <w:jc w:val="both"/>
                  </w:pPr>
                  <w:bookmarkStart w:id="2492" w:name="_Annexe_1_:_11"/>
                  <w:bookmarkStart w:id="2493" w:name="_Toc453314409"/>
                  <w:bookmarkStart w:id="2494" w:name="_Toc454980444"/>
                  <w:bookmarkEnd w:id="2492"/>
                  <w:r>
                    <w:rPr>
                      <w:b/>
                    </w:rPr>
                    <w:br w:type="page"/>
                  </w:r>
                </w:p>
                <w:p>
                  <w:pPr>
                    <w:pStyle w:val="Titre4"/>
                  </w:pPr>
                  <w:r>
                    <w:t>Annexe 1 : Convention de transfert de reliquat entre  internats, homes d’accueil et homes d’accueil permanent</w:t>
                  </w:r>
                  <w:bookmarkEnd w:id="2493"/>
                  <w:bookmarkEnd w:id="2494"/>
                </w:p>
                <w:p>
                  <w:pPr>
                    <w:jc w:val="both"/>
                  </w:pPr>
                </w:p>
                <w:p>
                  <w:pPr>
                    <w:jc w:val="center"/>
                    <w:rPr>
                      <w:b/>
                      <w:caps/>
                    </w:rPr>
                  </w:pPr>
                  <w:r>
                    <w:rPr>
                      <w:b/>
                      <w:caps/>
                    </w:rPr>
                    <w:t>Communauté française</w:t>
                  </w:r>
                </w:p>
                <w:p>
                  <w:pPr>
                    <w:jc w:val="both"/>
                    <w:rPr>
                      <w:b/>
                      <w:caps/>
                    </w:rPr>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Entre les soussigné(e)s :</w:t>
                  </w:r>
                </w:p>
                <w:p>
                  <w:pPr>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Madame/Monsieur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Administrateur(trice) de l’internat / du home d’accueil / du home d’accueil permanent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N° FASE :</w:t>
                  </w:r>
                </w:p>
                <w:p>
                  <w:pPr>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Tel :</w:t>
                  </w:r>
                  <w:r>
                    <w:tab/>
                  </w:r>
                  <w:r>
                    <w:tab/>
                  </w:r>
                  <w:r>
                    <w:tab/>
                  </w:r>
                  <w:r>
                    <w:tab/>
                  </w:r>
                  <w:r>
                    <w:tab/>
                    <w:t xml:space="preserve"> Fax :</w:t>
                  </w:r>
                  <w:r>
                    <w:tab/>
                  </w:r>
                  <w:r>
                    <w:tab/>
                  </w:r>
                  <w:r>
                    <w:tab/>
                  </w:r>
                  <w:r>
                    <w:tab/>
                    <w:t xml:space="preserve"> E-mail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Date :</w:t>
                  </w:r>
                  <w:r>
                    <w:tab/>
                  </w:r>
                  <w:r>
                    <w:tab/>
                  </w:r>
                  <w:r>
                    <w:tab/>
                  </w:r>
                  <w:r>
                    <w:tab/>
                  </w:r>
                  <w:r>
                    <w:tab/>
                  </w:r>
                  <w:r>
                    <w:tab/>
                    <w:t xml:space="preserve"> Signature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Cachet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ci-après, dénommé la structure d’accueil cédante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ET</w:t>
                  </w:r>
                </w:p>
                <w:p>
                  <w:pPr>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Madame/Monsieur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Administrateur (trice) de l’internat, du home d’accueil ou du home d’accueil permanent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de l’internat, du home d’accueil ou du home d’accueil permanent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N° FASE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Tel :</w:t>
                  </w:r>
                  <w:r>
                    <w:tab/>
                  </w:r>
                  <w:r>
                    <w:tab/>
                  </w:r>
                  <w:r>
                    <w:tab/>
                  </w:r>
                  <w:r>
                    <w:tab/>
                  </w:r>
                  <w:r>
                    <w:tab/>
                    <w:t xml:space="preserve"> Fax :</w:t>
                  </w:r>
                  <w:r>
                    <w:tab/>
                  </w:r>
                  <w:r>
                    <w:tab/>
                  </w:r>
                  <w:r>
                    <w:tab/>
                  </w:r>
                  <w:r>
                    <w:tab/>
                    <w:t xml:space="preserve"> E-mail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Date :</w:t>
                  </w:r>
                  <w:r>
                    <w:tab/>
                  </w:r>
                  <w:r>
                    <w:tab/>
                  </w:r>
                  <w:r>
                    <w:tab/>
                  </w:r>
                  <w:r>
                    <w:tab/>
                  </w:r>
                  <w:r>
                    <w:tab/>
                  </w:r>
                  <w:r>
                    <w:tab/>
                    <w:t xml:space="preserve"> Signature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Cachet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ci-après, dénommé la structure d’accueil bénéficiaire.</w:t>
                  </w:r>
                </w:p>
                <w:p>
                  <w:pPr>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Il est convenu ce qui suit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La structure d’accueil cédante accepte de transférer          périodes de son reliquat à la structure d’accueil bénéficiaire, du 1</w:t>
                  </w:r>
                  <w:r>
                    <w:rPr>
                      <w:vertAlign w:val="superscript"/>
                    </w:rPr>
                    <w:t xml:space="preserve">er </w:t>
                  </w:r>
                  <w:r>
                    <w:t>octobre de l’année scolaire en cours jusqu’au 30 septembre de l’année scolaire suivante.</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Pr>
                      <w:b/>
                    </w:rPr>
                    <w:t>Document à annexer :</w:t>
                  </w:r>
                  <w:r>
                    <w:t xml:space="preserve"> copie de la décision du pouvoir organisateur et de l’avis du comité de concertation de base.</w:t>
                  </w:r>
                </w:p>
                <w:p>
                  <w:pPr>
                    <w:pStyle w:val="Paragraphedeliste"/>
                    <w:pBdr>
                      <w:top w:val="single" w:sz="2" w:space="0" w:color="auto"/>
                    </w:pBdr>
                    <w:ind w:left="0"/>
                    <w:rPr>
                      <w:rFonts w:asciiTheme="majorHAnsi" w:hAnsiTheme="majorHAnsi"/>
                      <w:i/>
                      <w:sz w:val="22"/>
                      <w:szCs w:val="22"/>
                    </w:rPr>
                  </w:pPr>
                </w:p>
                <w:p>
                  <w:pPr>
                    <w:pStyle w:val="Paragraphedeliste"/>
                    <w:pBdr>
                      <w:top w:val="single" w:sz="2" w:space="0" w:color="auto"/>
                    </w:pBdr>
                    <w:ind w:left="0"/>
                    <w:rPr>
                      <w:rFonts w:asciiTheme="majorHAnsi" w:hAnsiTheme="majorHAnsi"/>
                      <w:i/>
                      <w:sz w:val="22"/>
                      <w:szCs w:val="22"/>
                    </w:rPr>
                  </w:pPr>
                  <w:r>
                    <w:rPr>
                      <w:rFonts w:asciiTheme="majorHAnsi" w:hAnsiTheme="majorHAnsi"/>
                      <w:i/>
                      <w:sz w:val="22"/>
                      <w:szCs w:val="22"/>
                    </w:rPr>
                    <w:t>* Biffer les mentions inutiles</w:t>
                  </w:r>
                  <w:bookmarkStart w:id="2495" w:name="_Annexe_1_:_5"/>
                  <w:bookmarkStart w:id="2496" w:name="_Toc453314410"/>
                  <w:bookmarkStart w:id="2497" w:name="_Toc454980445"/>
                  <w:bookmarkEnd w:id="2495"/>
                </w:p>
                <w:p>
                  <w:pPr>
                    <w:rPr>
                      <w:b/>
                      <w:u w:val="single"/>
                    </w:rPr>
                  </w:pPr>
                  <w:r>
                    <w:br w:type="page"/>
                  </w:r>
                </w:p>
                <w:p>
                  <w:pPr>
                    <w:pStyle w:val="Titre4"/>
                  </w:pPr>
                  <w:r>
                    <w:t>Annexe 2 : Attestation de fréquentation d’un établissement d’enseignement spécialisé à l’attention d’une structure d’accueil</w:t>
                  </w:r>
                  <w:bookmarkEnd w:id="2496"/>
                  <w:bookmarkEnd w:id="2497"/>
                </w:p>
                <w:p>
                  <w:pPr>
                    <w:jc w:val="center"/>
                  </w:pPr>
                </w:p>
                <w:p>
                  <w:pPr>
                    <w:jc w:val="center"/>
                    <w:rPr>
                      <w:b/>
                      <w:caps/>
                    </w:rPr>
                  </w:pPr>
                  <w:r>
                    <w:rPr>
                      <w:b/>
                      <w:caps/>
                    </w:rPr>
                    <w:t>Communauté française</w:t>
                  </w:r>
                </w:p>
                <w:p>
                  <w:pPr>
                    <w:pStyle w:val="Titre"/>
                    <w:rPr>
                      <w:sz w:val="22"/>
                      <w:szCs w:val="22"/>
                    </w:rPr>
                  </w:pPr>
                </w:p>
                <w:p>
                  <w:pPr>
                    <w:pStyle w:val="Sous-titre"/>
                  </w:pPr>
                </w:p>
                <w:p/>
                <w:p>
                  <w:r>
                    <w:t>DENOMINATION ET SIEGE DE L’ETABLISSEMENT</w:t>
                  </w:r>
                </w:p>
                <w:p/>
                <w:p/>
                <w:p/>
                <w:p>
                  <w:r>
                    <w:t>Numéro FASE :</w:t>
                  </w:r>
                </w:p>
                <w:p/>
                <w:p>
                  <w:r>
                    <w:t xml:space="preserve">Je soussigné(e) </w:t>
                  </w:r>
                </w:p>
                <w:p/>
                <w:p>
                  <w:r>
                    <w:t>Chef(fe) de l’établissement susmentionné, atteste que</w:t>
                  </w:r>
                </w:p>
                <w:p/>
                <w:p>
                  <w:r>
                    <w:t xml:space="preserve">(NOM , Prénom) </w:t>
                  </w:r>
                </w:p>
                <w:p/>
                <w:p>
                  <w:r>
                    <w:t xml:space="preserve">Né(e) le </w:t>
                  </w:r>
                  <w:r>
                    <w:tab/>
                  </w:r>
                  <w:r>
                    <w:tab/>
                  </w:r>
                  <w:r>
                    <w:tab/>
                  </w:r>
                  <w:r>
                    <w:tab/>
                  </w:r>
                  <w:r>
                    <w:tab/>
                  </w:r>
                  <w:r>
                    <w:tab/>
                  </w:r>
                  <w:r>
                    <w:tab/>
                    <w:t xml:space="preserve">, à </w:t>
                  </w:r>
                </w:p>
                <w:p/>
                <w:p>
                  <w:r>
                    <w:t>suit les cours au sein de notre établissement pendant l’année scolaire 20…. – 20…. et relève des niveau, type et forme suivants :</w:t>
                  </w:r>
                </w:p>
                <w:p/>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tc>
                      <w:tcPr>
                        <w:tcW w:w="3070" w:type="dxa"/>
                      </w:tcPr>
                      <w:p>
                        <w:r>
                          <w:t>Niveau</w:t>
                        </w:r>
                      </w:p>
                    </w:tc>
                    <w:tc>
                      <w:tcPr>
                        <w:tcW w:w="3071" w:type="dxa"/>
                      </w:tcPr>
                      <w:p>
                        <w:r>
                          <w:t>Type</w:t>
                        </w:r>
                      </w:p>
                    </w:tc>
                    <w:tc>
                      <w:tcPr>
                        <w:tcW w:w="3071" w:type="dxa"/>
                      </w:tcPr>
                      <w:p>
                        <w:r>
                          <w:t>Forme</w:t>
                        </w:r>
                      </w:p>
                    </w:tc>
                  </w:tr>
                  <w:tr>
                    <w:tc>
                      <w:tcPr>
                        <w:tcW w:w="3070" w:type="dxa"/>
                      </w:tcPr>
                      <w:p>
                        <w:r>
                          <w:t>Fondamental</w:t>
                        </w:r>
                      </w:p>
                    </w:tc>
                    <w:tc>
                      <w:tcPr>
                        <w:tcW w:w="3071" w:type="dxa"/>
                      </w:tcPr>
                      <w:p/>
                    </w:tc>
                    <w:tc>
                      <w:tcPr>
                        <w:tcW w:w="3071" w:type="dxa"/>
                        <w:shd w:val="thinDiagCross" w:color="auto" w:fill="auto"/>
                      </w:tcPr>
                      <w:p/>
                    </w:tc>
                  </w:tr>
                  <w:tr>
                    <w:tc>
                      <w:tcPr>
                        <w:tcW w:w="3070" w:type="dxa"/>
                      </w:tcPr>
                      <w:p>
                        <w:r>
                          <w:t>Secondaire</w:t>
                        </w:r>
                      </w:p>
                    </w:tc>
                    <w:tc>
                      <w:tcPr>
                        <w:tcW w:w="3071" w:type="dxa"/>
                      </w:tcPr>
                      <w:p/>
                    </w:tc>
                    <w:tc>
                      <w:tcPr>
                        <w:tcW w:w="3071" w:type="dxa"/>
                        <w:shd w:val="clear" w:color="auto" w:fill="FFFFFF"/>
                      </w:tcPr>
                      <w:p/>
                    </w:tc>
                  </w:tr>
                </w:tbl>
                <w:p/>
                <w:p/>
                <w:p>
                  <w:r>
                    <w:t>Sceau de l’établissement</w:t>
                  </w:r>
                  <w:r>
                    <w:tab/>
                  </w:r>
                  <w:r>
                    <w:tab/>
                  </w:r>
                  <w:r>
                    <w:tab/>
                  </w:r>
                  <w:r>
                    <w:tab/>
                  </w:r>
                  <w:r>
                    <w:tab/>
                  </w:r>
                  <w:r>
                    <w:tab/>
                    <w:t>Lieu et date</w:t>
                  </w:r>
                </w:p>
                <w:p/>
                <w:p/>
                <w:p/>
                <w:p>
                  <w:r>
                    <w:t>Le (La) Chef(fe) d’établissement</w:t>
                  </w:r>
                </w:p>
                <w:p>
                  <w:r>
                    <w:t>(NOM et signature)</w:t>
                  </w:r>
                </w:p>
                <w:p/>
                <w:p/>
                <w:p/>
                <w:p>
                  <w:r>
                    <w:br w:type="page"/>
                  </w:r>
                </w:p>
                <w:sdt>
                  <w:sdtPr>
                    <w:rPr>
                      <w:rFonts w:asciiTheme="majorHAnsi" w:eastAsiaTheme="minorHAnsi" w:hAnsiTheme="majorHAnsi"/>
                      <w:sz w:val="24"/>
                      <w:lang w:eastAsia="en-US"/>
                    </w:rPr>
                    <w:id w:val="484742757"/>
                    <w:docPartObj>
                      <w:docPartGallery w:val="Cover Pages"/>
                      <w:docPartUnique/>
                    </w:docPartObj>
                  </w:sdtPr>
                  <w:sdtEndPr>
                    <w:rPr>
                      <w:sz w:val="22"/>
                    </w:rPr>
                  </w:sdtEndPr>
                  <w:sdtContent>
                    <w:p>
                      <w:pPr>
                        <w:pStyle w:val="Sansinterligne"/>
                        <w:jc w:val="both"/>
                        <w:rPr>
                          <w:rFonts w:asciiTheme="majorHAnsi" w:hAnsiTheme="majorHAnsi"/>
                        </w:rPr>
                      </w:pPr>
                    </w:p>
                    <w:p>
                      <w:pPr>
                        <w:pStyle w:val="Titre2"/>
                      </w:pPr>
                      <w:bookmarkStart w:id="2498" w:name="_Chapitre_11_:"/>
                      <w:bookmarkStart w:id="2499" w:name="_Toc477623759"/>
                      <w:bookmarkStart w:id="2500" w:name="_Toc477767580"/>
                      <w:bookmarkStart w:id="2501" w:name="_Toc18914467"/>
                      <w:bookmarkEnd w:id="2498"/>
                      <w:r>
                        <w:t>Chapitre</w:t>
                      </w:r>
                      <w:bookmarkEnd w:id="2499"/>
                      <w:bookmarkEnd w:id="2500"/>
                      <w:r>
                        <w:t xml:space="preserve"> 11 : </w:t>
                      </w:r>
                      <w:bookmarkStart w:id="2502" w:name="_Toc477623760"/>
                      <w:bookmarkStart w:id="2503" w:name="_Toc477767581"/>
                      <w:r>
                        <w:t>Homes d’accueil permanent organisés par la Fédération Wallonie-Bruxelles</w:t>
                      </w:r>
                      <w:bookmarkEnd w:id="2502"/>
                      <w:bookmarkEnd w:id="2503"/>
                      <w:bookmarkEnd w:id="2501"/>
                    </w:p>
                    <w:p>
                      <w:pPr>
                        <w:jc w:val="both"/>
                        <w:rPr>
                          <w:lang w:eastAsia="fr-BE"/>
                        </w:rPr>
                      </w:pPr>
                    </w:p>
                    <w:p>
                      <w:pPr>
                        <w:jc w:val="both"/>
                      </w:pPr>
                    </w:p>
                    <w:p>
                      <w:pPr>
                        <w:jc w:val="both"/>
                        <w:rPr>
                          <w:rFonts w:eastAsiaTheme="minorEastAsia"/>
                          <w:lang w:eastAsia="fr-BE"/>
                        </w:rPr>
                      </w:pPr>
                    </w:p>
                    <w:p>
                      <w:pPr>
                        <w:jc w:val="both"/>
                        <w:rPr>
                          <w:rFonts w:eastAsiaTheme="minorEastAsia"/>
                          <w:lang w:eastAsia="fr-BE"/>
                        </w:rPr>
                      </w:pPr>
                    </w:p>
                    <w:p>
                      <w:pPr>
                        <w:jc w:val="both"/>
                        <w:rPr>
                          <w:rFonts w:eastAsiaTheme="minorEastAsia"/>
                          <w:lang w:eastAsia="fr-BE"/>
                        </w:rPr>
                      </w:pPr>
                    </w:p>
                  </w:sdtContent>
                </w:sdt>
                <w:p>
                  <w:pPr>
                    <w:jc w:val="both"/>
                    <w:rPr>
                      <w:b/>
                      <w:u w:val="single"/>
                    </w:rPr>
                  </w:pPr>
                  <w:r>
                    <w:rPr>
                      <w:b/>
                      <w:u w:val="single"/>
                    </w:rPr>
                    <w:t xml:space="preserve">Bases légales : </w:t>
                  </w:r>
                </w:p>
                <w:p>
                  <w:pPr>
                    <w:jc w:val="both"/>
                    <w:rPr>
                      <w:b/>
                      <w:u w:val="single"/>
                    </w:rPr>
                  </w:pPr>
                </w:p>
                <w:p>
                  <w:pPr>
                    <w:numPr>
                      <w:ilvl w:val="0"/>
                      <w:numId w:val="42"/>
                    </w:numPr>
                    <w:suppressAutoHyphens/>
                    <w:jc w:val="both"/>
                  </w:pPr>
                  <w:hyperlink r:id="rId164" w:history="1">
                    <w:r>
                      <w:rPr>
                        <w:rStyle w:val="Lienhypertexte"/>
                        <w:rFonts w:cs="Arial"/>
                      </w:rPr>
                      <w:t>Arrêté royal n° 184 du 30 décembre 1982 fixant la façon de déterminer, pour les instituts d’enseignement spécialisé de l’Etat et les homes d’accueil de l’Etat, les fonctions du personnel paramédical et du personnel attribué dans le cadre de l’internat</w:t>
                    </w:r>
                    <w:r>
                      <w:rPr>
                        <w:rStyle w:val="Lienhypertexte"/>
                        <w:rFonts w:cs="Arial"/>
                        <w:b/>
                      </w:rPr>
                      <w:t xml:space="preserve"> tel que modifié</w:t>
                    </w:r>
                  </w:hyperlink>
                  <w:r>
                    <w:t>.</w:t>
                  </w:r>
                </w:p>
                <w:p>
                  <w:pPr>
                    <w:numPr>
                      <w:ilvl w:val="0"/>
                      <w:numId w:val="42"/>
                    </w:numPr>
                    <w:suppressAutoHyphens/>
                    <w:jc w:val="both"/>
                  </w:pPr>
                  <w:hyperlink r:id="rId165" w:history="1">
                    <w:r>
                      <w:rPr>
                        <w:rStyle w:val="Lienhypertexte"/>
                        <w:rFonts w:cs="Arial"/>
                      </w:rPr>
                      <w:t>Décret du 25 octobre 2012 relatif à certains internats et homes d'accueil organisés ou subventionnés par la Communauté française</w:t>
                    </w:r>
                  </w:hyperlink>
                  <w:r>
                    <w:t>.</w:t>
                  </w:r>
                </w:p>
                <w:p>
                  <w:pPr>
                    <w:numPr>
                      <w:ilvl w:val="0"/>
                      <w:numId w:val="42"/>
                    </w:numPr>
                    <w:suppressAutoHyphens/>
                    <w:jc w:val="both"/>
                    <w:rPr>
                      <w:rStyle w:val="Lienhypertexte"/>
                      <w:rFonts w:cstheme="minorBidi"/>
                      <w:color w:val="auto"/>
                      <w:u w:val="none"/>
                    </w:rPr>
                  </w:pPr>
                  <w:hyperlink r:id="rId166" w:history="1">
                    <w:r>
                      <w:rPr>
                        <w:rStyle w:val="Lienhypertexte"/>
                        <w:rFonts w:cs="Arial"/>
                      </w:rPr>
                      <w:t xml:space="preserve">Arrêté royal n° 456 du 10 septembre 1986 portant rationalisation et programmation des  internats de l'enseignement organisé ou subventionné par l'Etat </w:t>
                    </w:r>
                    <w:r>
                      <w:rPr>
                        <w:rStyle w:val="Lienhypertexte"/>
                        <w:rFonts w:cs="Arial"/>
                        <w:b/>
                      </w:rPr>
                      <w:t>tel que modifié</w:t>
                    </w:r>
                  </w:hyperlink>
                  <w:r>
                    <w:rPr>
                      <w:rStyle w:val="Lienhypertexte"/>
                      <w:rFonts w:cs="Arial"/>
                    </w:rPr>
                    <w:t>.</w:t>
                  </w:r>
                </w:p>
                <w:p>
                  <w:pPr>
                    <w:numPr>
                      <w:ilvl w:val="0"/>
                      <w:numId w:val="42"/>
                    </w:numPr>
                    <w:pBdr>
                      <w:right w:val="single" w:sz="4" w:space="4" w:color="auto"/>
                    </w:pBdr>
                    <w:suppressAutoHyphens/>
                    <w:jc w:val="both"/>
                    <w:rPr>
                      <w:rStyle w:val="Lienhypertexte"/>
                      <w:rFonts w:cstheme="minorBidi"/>
                      <w:color w:val="auto"/>
                      <w:u w:val="none"/>
                    </w:rPr>
                  </w:pPr>
                  <w:hyperlink r:id="rId167" w:history="1">
                    <w:r>
                      <w:rPr>
                        <w:rStyle w:val="Lienhypertexte"/>
                        <w:rFonts w:cs="Arial"/>
                      </w:rPr>
                      <w:t>Décret 14 mars 2019 portant diverses dispositions relatives à l’organisation du travail des membres du personnel de l’enseignement et octroyant plus de souplesse organisationnelle aux Pouvoirs organisateurs.</w:t>
                    </w:r>
                  </w:hyperlink>
                  <w:r>
                    <w:rPr>
                      <w:rStyle w:val="Lienhypertexte"/>
                      <w:rFonts w:cs="Arial"/>
                    </w:rPr>
                    <w:t xml:space="preserve"> </w:t>
                  </w:r>
                </w:p>
                <w:p>
                  <w:pPr>
                    <w:suppressAutoHyphens/>
                    <w:ind w:left="360"/>
                    <w:jc w:val="both"/>
                  </w:pPr>
                </w:p>
                <w:p>
                  <w:pPr>
                    <w:tabs>
                      <w:tab w:val="left" w:pos="1134"/>
                    </w:tabs>
                    <w:jc w:val="both"/>
                  </w:pPr>
                  <w:r>
                    <w:t>L’arrêté royal n° 184 du 30 décembre 1982</w:t>
                  </w:r>
                  <w:r>
                    <w:rPr>
                      <w:rStyle w:val="Appelnotedebasdep"/>
                    </w:rPr>
                    <w:footnoteReference w:id="123"/>
                  </w:r>
                  <w:r>
                    <w:t xml:space="preserve"> et l’arrêté royal n° 456 du 10 septembre 1986</w:t>
                  </w:r>
                  <w:r>
                    <w:rPr>
                      <w:rStyle w:val="Appelnotedebasdep"/>
                    </w:rPr>
                    <w:footnoteReference w:id="124"/>
                  </w:r>
                  <w:r>
                    <w:t xml:space="preserve"> ont été modifiés par le décret du 25 octobre 2012 relatif à certains internats et homes d'accueil organisés ou subventionnés par la Communauté française. Les homes d’accueil permanent sont maintenant reconnus structurellement et leurs modalités d’organisation sont reprises dans l’Arrêté royal n° 184.</w:t>
                  </w:r>
                </w:p>
                <w:p>
                  <w:pPr>
                    <w:tabs>
                      <w:tab w:val="left" w:pos="1134"/>
                    </w:tabs>
                    <w:jc w:val="both"/>
                  </w:pPr>
                </w:p>
                <w:p>
                  <w:pPr>
                    <w:pStyle w:val="Titre3"/>
                  </w:pPr>
                  <w:bookmarkStart w:id="2504" w:name="_1._Ouverture_des"/>
                  <w:bookmarkStart w:id="2505" w:name="__RefHeading__221_957262308"/>
                  <w:bookmarkStart w:id="2506" w:name="_Toc453314412"/>
                  <w:bookmarkStart w:id="2507" w:name="_Toc454980447"/>
                  <w:bookmarkStart w:id="2508" w:name="_Toc18914468"/>
                  <w:bookmarkStart w:id="2509" w:name="_Toc290905613"/>
                  <w:bookmarkStart w:id="2510" w:name="_Toc293651927"/>
                  <w:bookmarkStart w:id="2511" w:name="_Toc293653510"/>
                  <w:bookmarkStart w:id="2512" w:name="_Toc293654121"/>
                  <w:bookmarkStart w:id="2513" w:name="_Toc294004699"/>
                  <w:bookmarkStart w:id="2514" w:name="_Toc294185195"/>
                  <w:bookmarkStart w:id="2515" w:name="_Toc324166013"/>
                  <w:bookmarkStart w:id="2516" w:name="_Toc324767050"/>
                  <w:bookmarkEnd w:id="2504"/>
                  <w:bookmarkEnd w:id="2505"/>
                  <w:r>
                    <w:t>1. Ouverture des homes d’accueil permanent</w:t>
                  </w:r>
                  <w:bookmarkEnd w:id="2506"/>
                  <w:bookmarkEnd w:id="2507"/>
                  <w:bookmarkEnd w:id="2508"/>
                </w:p>
                <w:p>
                  <w:pPr>
                    <w:jc w:val="both"/>
                    <w:rPr>
                      <w:rStyle w:val="Titre2Car1"/>
                      <w:rFonts w:eastAsiaTheme="majorEastAsia"/>
                      <w:bCs/>
                      <w:sz w:val="22"/>
                    </w:rPr>
                  </w:pPr>
                </w:p>
                <w:p>
                  <w:pPr>
                    <w:pBdr>
                      <w:right w:val="single" w:sz="4" w:space="4" w:color="auto"/>
                    </w:pBdr>
                    <w:jc w:val="both"/>
                  </w:pPr>
                  <w:r>
                    <w:t>Durant la période des vacances scolaires d’été 2020, les homes d’accueil permanent d’</w:t>
                  </w:r>
                  <w:r>
                    <w:rPr>
                      <w:smallCaps/>
                    </w:rPr>
                    <w:t xml:space="preserve">Anseremme </w:t>
                  </w:r>
                  <w:r>
                    <w:t xml:space="preserve">et de </w:t>
                  </w:r>
                  <w:r>
                    <w:rPr>
                      <w:smallCaps/>
                    </w:rPr>
                    <w:t xml:space="preserve">Lessines </w:t>
                  </w:r>
                  <w:r>
                    <w:t>seront ouverts du 1</w:t>
                  </w:r>
                  <w:r>
                    <w:rPr>
                      <w:vertAlign w:val="superscript"/>
                    </w:rPr>
                    <w:t>er</w:t>
                  </w:r>
                  <w:r>
                    <w:t xml:space="preserve"> au 31 août.</w:t>
                  </w:r>
                </w:p>
                <w:p>
                  <w:pPr>
                    <w:pBdr>
                      <w:right w:val="single" w:sz="4" w:space="4" w:color="auto"/>
                    </w:pBdr>
                    <w:jc w:val="both"/>
                  </w:pPr>
                </w:p>
                <w:p>
                  <w:pPr>
                    <w:pBdr>
                      <w:right w:val="single" w:sz="4" w:space="4" w:color="auto"/>
                    </w:pBdr>
                    <w:jc w:val="both"/>
                  </w:pPr>
                  <w:r>
                    <w:t xml:space="preserve">Les homes d’accueil permanent de </w:t>
                  </w:r>
                  <w:r>
                    <w:rPr>
                      <w:smallCaps/>
                    </w:rPr>
                    <w:t>Comblain-au-Pont</w:t>
                  </w:r>
                  <w:r>
                    <w:t xml:space="preserve"> et de </w:t>
                  </w:r>
                  <w:r>
                    <w:rPr>
                      <w:smallCaps/>
                    </w:rPr>
                    <w:t>Saint-Mard</w:t>
                  </w:r>
                  <w:r>
                    <w:t xml:space="preserve"> seront ouverts du </w:t>
                  </w:r>
                </w:p>
                <w:p>
                  <w:pPr>
                    <w:pBdr>
                      <w:right w:val="single" w:sz="4" w:space="4" w:color="auto"/>
                    </w:pBdr>
                    <w:jc w:val="both"/>
                  </w:pPr>
                  <w:r>
                    <w:t>1</w:t>
                  </w:r>
                  <w:r>
                    <w:rPr>
                      <w:vertAlign w:val="superscript"/>
                    </w:rPr>
                    <w:t>er</w:t>
                  </w:r>
                  <w:r>
                    <w:t xml:space="preserve"> au 31 juillet.</w:t>
                  </w:r>
                </w:p>
                <w:p>
                  <w:pPr>
                    <w:jc w:val="both"/>
                  </w:pPr>
                </w:p>
                <w:p>
                  <w:pPr>
                    <w:pStyle w:val="Titre3"/>
                  </w:pPr>
                  <w:bookmarkStart w:id="2517" w:name="__RefHeading__223_957262308"/>
                  <w:bookmarkStart w:id="2518" w:name="_2._Capital-périodes_complémentaire"/>
                  <w:bookmarkStart w:id="2519" w:name="_Toc291075388"/>
                  <w:bookmarkStart w:id="2520" w:name="_Toc291075812"/>
                  <w:bookmarkStart w:id="2521" w:name="_Toc291076236"/>
                  <w:bookmarkStart w:id="2522" w:name="_Toc291076660"/>
                  <w:bookmarkStart w:id="2523" w:name="_Toc291077084"/>
                  <w:bookmarkStart w:id="2524" w:name="_Toc293651928"/>
                  <w:bookmarkStart w:id="2525" w:name="_Toc293653511"/>
                  <w:bookmarkStart w:id="2526" w:name="_Toc293654122"/>
                  <w:bookmarkStart w:id="2527" w:name="_Toc294004700"/>
                  <w:bookmarkStart w:id="2528" w:name="_Toc294185196"/>
                  <w:bookmarkStart w:id="2529" w:name="_Toc324166014"/>
                  <w:bookmarkStart w:id="2530" w:name="_Toc324767051"/>
                  <w:bookmarkStart w:id="2531" w:name="_Toc453314413"/>
                  <w:bookmarkStart w:id="2532" w:name="_Toc454980448"/>
                  <w:bookmarkStart w:id="2533" w:name="_Toc18914469"/>
                  <w:bookmarkEnd w:id="2509"/>
                  <w:bookmarkEnd w:id="2510"/>
                  <w:bookmarkEnd w:id="2511"/>
                  <w:bookmarkEnd w:id="2512"/>
                  <w:bookmarkEnd w:id="2513"/>
                  <w:bookmarkEnd w:id="2514"/>
                  <w:bookmarkEnd w:id="2515"/>
                  <w:bookmarkEnd w:id="2516"/>
                  <w:bookmarkEnd w:id="2517"/>
                  <w:bookmarkEnd w:id="2518"/>
                  <w:r>
                    <w:t>2. Capital-périodes complémentaire</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r>
                    <w:t xml:space="preserve"> </w:t>
                  </w:r>
                </w:p>
                <w:p>
                  <w:pPr>
                    <w:tabs>
                      <w:tab w:val="left" w:pos="962"/>
                      <w:tab w:val="left" w:pos="1134"/>
                      <w:tab w:val="left" w:pos="1303"/>
                      <w:tab w:val="left" w:pos="1586"/>
                      <w:tab w:val="left" w:pos="1813"/>
                      <w:tab w:val="left" w:pos="3174"/>
                      <w:tab w:val="left" w:pos="3967"/>
                      <w:tab w:val="left" w:pos="4591"/>
                      <w:tab w:val="left" w:pos="4818"/>
                    </w:tabs>
                    <w:jc w:val="both"/>
                  </w:pPr>
                </w:p>
                <w:p>
                  <w:pPr>
                    <w:jc w:val="both"/>
                  </w:pPr>
                  <w:r>
                    <w:t>Pour s'acquitter de leur mission spécifique, il est attribué à ces quatre homes d'accueil un capital-périodes complémentaire.</w:t>
                  </w:r>
                </w:p>
                <w:p>
                  <w:pPr>
                    <w:jc w:val="both"/>
                  </w:pPr>
                </w:p>
                <w:p>
                  <w:pPr>
                    <w:jc w:val="both"/>
                  </w:pPr>
                  <w:r>
                    <w:t>Le capital –périodes sera obtenu, par type et par niveau en utilisant la formule suivante :</w:t>
                  </w:r>
                </w:p>
                <w:p/>
                <w:p>
                  <w:pPr>
                    <w:jc w:val="center"/>
                  </w:pPr>
                  <w:r>
                    <w:t>Nombre moyen d’élèves x Nombre guide x 1,96</w:t>
                  </w:r>
                </w:p>
                <w:p>
                  <w:pPr>
                    <w:jc w:val="center"/>
                  </w:pPr>
                </w:p>
                <w:p>
                  <w:pPr>
                    <w:jc w:val="center"/>
                    <w:rPr>
                      <w:u w:val="single"/>
                    </w:rPr>
                  </w:pPr>
                  <w:r>
                    <w:t>Nombre moyen d’élèves=</w:t>
                  </w:r>
                  <w:r>
                    <w:rPr>
                      <w:u w:val="single"/>
                    </w:rPr>
                    <w:t>Sommes des présences annuelles par type et par niveau</w:t>
                  </w:r>
                </w:p>
                <w:p>
                  <w:pPr>
                    <w:ind w:firstLine="709"/>
                    <w:jc w:val="center"/>
                  </w:pPr>
                  <w:r>
                    <w:t>152</w:t>
                  </w:r>
                </w:p>
                <w:p/>
                <w:p>
                  <w:pPr>
                    <w:jc w:val="both"/>
                  </w:pPr>
                  <w:r>
                    <w:t>Le nombre moyen d’élèves par type et par niveau ainsi que le résultat final sont arrondis à l’unité supérieure.</w:t>
                  </w:r>
                </w:p>
                <w:p/>
                <w:p/>
                <w:p>
                  <w:r>
                    <w:rPr>
                      <w:noProof/>
                      <w:lang w:eastAsia="fr-BE"/>
                    </w:rPr>
                    <mc:AlternateContent>
                      <mc:Choice Requires="wps">
                        <w:drawing>
                          <wp:anchor distT="0" distB="0" distL="114300" distR="114300" simplePos="0" relativeHeight="251761664" behindDoc="0" locked="0" layoutInCell="1" allowOverlap="1">
                            <wp:simplePos x="0" y="0"/>
                            <wp:positionH relativeFrom="column">
                              <wp:posOffset>5982970</wp:posOffset>
                            </wp:positionH>
                            <wp:positionV relativeFrom="paragraph">
                              <wp:posOffset>67945</wp:posOffset>
                            </wp:positionV>
                            <wp:extent cx="0" cy="4343400"/>
                            <wp:effectExtent l="0" t="0" r="19050" b="19050"/>
                            <wp:wrapNone/>
                            <wp:docPr id="22"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43400"/>
                                    </a:xfrm>
                                    <a:prstGeom prst="line">
                                      <a:avLst/>
                                    </a:prstGeom>
                                    <a:ln>
                                      <a:headEnd/>
                                      <a:tailEn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334EE1C" id="Line 43"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1.1pt,5.35pt" to="471.1pt,34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" strokecolor="black [3040]"/>
                        </w:pict>
                      </mc:Fallback>
                    </mc:AlternateContent>
                  </w:r>
                  <w:r>
                    <w:t>Tableau des nombres guides </w:t>
                  </w:r>
                </w:p>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5"/>
                    <w:gridCol w:w="4475"/>
                    <w:gridCol w:w="1756"/>
                  </w:tblGrid>
                  <w:tr>
                    <w:trPr>
                      <w:jc w:val="center"/>
                    </w:trPr>
                    <w:tc>
                      <w:tcPr>
                        <w:tcW w:w="2165" w:type="dxa"/>
                      </w:tcPr>
                      <w:p>
                        <w:pPr>
                          <w:jc w:val="center"/>
                        </w:pPr>
                        <w:r>
                          <w:t>Type</w:t>
                        </w:r>
                      </w:p>
                    </w:tc>
                    <w:tc>
                      <w:tcPr>
                        <w:tcW w:w="4475" w:type="dxa"/>
                      </w:tcPr>
                      <w:p>
                        <w:pPr>
                          <w:jc w:val="center"/>
                        </w:pPr>
                        <w:r>
                          <w:t>Niveau</w:t>
                        </w:r>
                      </w:p>
                    </w:tc>
                    <w:tc>
                      <w:tcPr>
                        <w:tcW w:w="1756" w:type="dxa"/>
                      </w:tcPr>
                      <w:p>
                        <w:pPr>
                          <w:jc w:val="center"/>
                        </w:pPr>
                        <w:r>
                          <w:t>Nombre guide</w:t>
                        </w:r>
                      </w:p>
                    </w:tc>
                  </w:tr>
                  <w:tr>
                    <w:trPr>
                      <w:jc w:val="center"/>
                    </w:trPr>
                    <w:tc>
                      <w:tcPr>
                        <w:tcW w:w="2165" w:type="dxa"/>
                        <w:vMerge w:val="restart"/>
                        <w:vAlign w:val="center"/>
                      </w:tcPr>
                      <w:p>
                        <w:pPr>
                          <w:jc w:val="center"/>
                        </w:pPr>
                        <w:r>
                          <w:t>1</w:t>
                        </w:r>
                      </w:p>
                    </w:tc>
                    <w:tc>
                      <w:tcPr>
                        <w:tcW w:w="4475" w:type="dxa"/>
                        <w:vAlign w:val="center"/>
                      </w:tcPr>
                      <w:p>
                        <w:pPr>
                          <w:jc w:val="center"/>
                        </w:pPr>
                        <w:r>
                          <w:t>Enseignement primaire</w:t>
                        </w:r>
                      </w:p>
                    </w:tc>
                    <w:tc>
                      <w:tcPr>
                        <w:tcW w:w="1756" w:type="dxa"/>
                        <w:vAlign w:val="center"/>
                      </w:tcPr>
                      <w:p>
                        <w:pPr>
                          <w:jc w:val="center"/>
                        </w:pPr>
                        <w:r>
                          <w:t>6</w:t>
                        </w:r>
                      </w:p>
                    </w:tc>
                  </w:tr>
                  <w:tr>
                    <w:trPr>
                      <w:jc w:val="center"/>
                    </w:trPr>
                    <w:tc>
                      <w:tcPr>
                        <w:tcW w:w="2165" w:type="dxa"/>
                        <w:vMerge/>
                        <w:vAlign w:val="center"/>
                      </w:tcPr>
                      <w:p>
                        <w:pPr>
                          <w:jc w:val="center"/>
                        </w:pPr>
                      </w:p>
                    </w:tc>
                    <w:tc>
                      <w:tcPr>
                        <w:tcW w:w="4475" w:type="dxa"/>
                        <w:vAlign w:val="center"/>
                      </w:tcPr>
                      <w:p>
                        <w:pPr>
                          <w:jc w:val="center"/>
                        </w:pPr>
                        <w:r>
                          <w:t>Enseignement secondaire</w:t>
                        </w:r>
                      </w:p>
                    </w:tc>
                    <w:tc>
                      <w:tcPr>
                        <w:tcW w:w="1756" w:type="dxa"/>
                        <w:vAlign w:val="center"/>
                      </w:tcPr>
                      <w:p>
                        <w:pPr>
                          <w:jc w:val="center"/>
                        </w:pPr>
                        <w:r>
                          <w:t>6</w:t>
                        </w:r>
                      </w:p>
                    </w:tc>
                  </w:tr>
                  <w:tr>
                    <w:trPr>
                      <w:jc w:val="center"/>
                    </w:trPr>
                    <w:tc>
                      <w:tcPr>
                        <w:tcW w:w="2165" w:type="dxa"/>
                        <w:vMerge w:val="restart"/>
                        <w:vAlign w:val="center"/>
                      </w:tcPr>
                      <w:p>
                        <w:pPr>
                          <w:jc w:val="center"/>
                        </w:pPr>
                        <w:r>
                          <w:t>2</w:t>
                        </w:r>
                      </w:p>
                    </w:tc>
                    <w:tc>
                      <w:tcPr>
                        <w:tcW w:w="4475" w:type="dxa"/>
                        <w:vAlign w:val="center"/>
                      </w:tcPr>
                      <w:p>
                        <w:pPr>
                          <w:jc w:val="center"/>
                        </w:pPr>
                        <w:r>
                          <w:t>Enseignement fondamental</w:t>
                        </w:r>
                      </w:p>
                    </w:tc>
                    <w:tc>
                      <w:tcPr>
                        <w:tcW w:w="1756" w:type="dxa"/>
                        <w:vAlign w:val="center"/>
                      </w:tcPr>
                      <w:p>
                        <w:pPr>
                          <w:jc w:val="center"/>
                        </w:pPr>
                        <w:r>
                          <w:t>9</w:t>
                        </w:r>
                      </w:p>
                    </w:tc>
                  </w:tr>
                  <w:tr>
                    <w:trPr>
                      <w:jc w:val="center"/>
                    </w:trPr>
                    <w:tc>
                      <w:tcPr>
                        <w:tcW w:w="2165" w:type="dxa"/>
                        <w:vMerge/>
                        <w:vAlign w:val="center"/>
                      </w:tcPr>
                      <w:p>
                        <w:pPr>
                          <w:jc w:val="center"/>
                        </w:pPr>
                      </w:p>
                    </w:tc>
                    <w:tc>
                      <w:tcPr>
                        <w:tcW w:w="4475" w:type="dxa"/>
                        <w:vAlign w:val="center"/>
                      </w:tcPr>
                      <w:p>
                        <w:pPr>
                          <w:jc w:val="center"/>
                        </w:pPr>
                        <w:r>
                          <w:t>Enseignement secondaire</w:t>
                        </w:r>
                      </w:p>
                      <w:p>
                        <w:pPr>
                          <w:jc w:val="center"/>
                        </w:pPr>
                        <w:r>
                          <w:t>(à l’exception de la forme 1)</w:t>
                        </w:r>
                      </w:p>
                    </w:tc>
                    <w:tc>
                      <w:tcPr>
                        <w:tcW w:w="1756" w:type="dxa"/>
                        <w:vAlign w:val="center"/>
                      </w:tcPr>
                      <w:p>
                        <w:pPr>
                          <w:jc w:val="center"/>
                        </w:pPr>
                        <w:r>
                          <w:t>7</w:t>
                        </w:r>
                      </w:p>
                    </w:tc>
                  </w:tr>
                  <w:tr>
                    <w:trPr>
                      <w:jc w:val="center"/>
                    </w:trPr>
                    <w:tc>
                      <w:tcPr>
                        <w:tcW w:w="2165" w:type="dxa"/>
                        <w:vMerge/>
                        <w:vAlign w:val="center"/>
                      </w:tcPr>
                      <w:p>
                        <w:pPr>
                          <w:jc w:val="center"/>
                        </w:pPr>
                      </w:p>
                    </w:tc>
                    <w:tc>
                      <w:tcPr>
                        <w:tcW w:w="4475" w:type="dxa"/>
                        <w:vAlign w:val="center"/>
                      </w:tcPr>
                      <w:p>
                        <w:pPr>
                          <w:jc w:val="center"/>
                        </w:pPr>
                        <w:r>
                          <w:t>Enseignement secondaire de forme 1</w:t>
                        </w:r>
                      </w:p>
                    </w:tc>
                    <w:tc>
                      <w:tcPr>
                        <w:tcW w:w="1756" w:type="dxa"/>
                        <w:vAlign w:val="center"/>
                      </w:tcPr>
                      <w:p>
                        <w:pPr>
                          <w:jc w:val="center"/>
                        </w:pPr>
                        <w:r>
                          <w:t>9</w:t>
                        </w:r>
                      </w:p>
                    </w:tc>
                  </w:tr>
                  <w:tr>
                    <w:trPr>
                      <w:jc w:val="center"/>
                    </w:trPr>
                    <w:tc>
                      <w:tcPr>
                        <w:tcW w:w="2165" w:type="dxa"/>
                        <w:vMerge w:val="restart"/>
                        <w:vAlign w:val="center"/>
                      </w:tcPr>
                      <w:p>
                        <w:pPr>
                          <w:jc w:val="center"/>
                        </w:pPr>
                        <w:r>
                          <w:t>3</w:t>
                        </w:r>
                      </w:p>
                    </w:tc>
                    <w:tc>
                      <w:tcPr>
                        <w:tcW w:w="4475" w:type="dxa"/>
                        <w:vAlign w:val="center"/>
                      </w:tcPr>
                      <w:p>
                        <w:pPr>
                          <w:jc w:val="center"/>
                        </w:pPr>
                        <w:r>
                          <w:t>Enseignement fondamental</w:t>
                        </w:r>
                      </w:p>
                    </w:tc>
                    <w:tc>
                      <w:tcPr>
                        <w:tcW w:w="1756" w:type="dxa"/>
                        <w:vAlign w:val="center"/>
                      </w:tcPr>
                      <w:p>
                        <w:pPr>
                          <w:jc w:val="center"/>
                        </w:pPr>
                        <w:r>
                          <w:t>9</w:t>
                        </w:r>
                      </w:p>
                    </w:tc>
                  </w:tr>
                  <w:tr>
                    <w:trPr>
                      <w:jc w:val="center"/>
                    </w:trPr>
                    <w:tc>
                      <w:tcPr>
                        <w:tcW w:w="2165" w:type="dxa"/>
                        <w:vMerge/>
                        <w:vAlign w:val="center"/>
                      </w:tcPr>
                      <w:p>
                        <w:pPr>
                          <w:jc w:val="center"/>
                        </w:pPr>
                      </w:p>
                    </w:tc>
                    <w:tc>
                      <w:tcPr>
                        <w:tcW w:w="4475" w:type="dxa"/>
                        <w:vAlign w:val="center"/>
                      </w:tcPr>
                      <w:p>
                        <w:pPr>
                          <w:jc w:val="center"/>
                        </w:pPr>
                        <w:r>
                          <w:t>Enseignement secondaire</w:t>
                        </w:r>
                      </w:p>
                    </w:tc>
                    <w:tc>
                      <w:tcPr>
                        <w:tcW w:w="1756" w:type="dxa"/>
                        <w:vAlign w:val="center"/>
                      </w:tcPr>
                      <w:p>
                        <w:pPr>
                          <w:jc w:val="center"/>
                        </w:pPr>
                        <w:r>
                          <w:t>9</w:t>
                        </w:r>
                      </w:p>
                    </w:tc>
                  </w:tr>
                  <w:tr>
                    <w:trPr>
                      <w:jc w:val="center"/>
                    </w:trPr>
                    <w:tc>
                      <w:tcPr>
                        <w:tcW w:w="2165" w:type="dxa"/>
                        <w:vMerge w:val="restart"/>
                        <w:vAlign w:val="center"/>
                      </w:tcPr>
                      <w:p>
                        <w:pPr>
                          <w:jc w:val="center"/>
                        </w:pPr>
                        <w:r>
                          <w:t>4</w:t>
                        </w:r>
                      </w:p>
                    </w:tc>
                    <w:tc>
                      <w:tcPr>
                        <w:tcW w:w="4475" w:type="dxa"/>
                        <w:vAlign w:val="center"/>
                      </w:tcPr>
                      <w:p>
                        <w:pPr>
                          <w:jc w:val="center"/>
                        </w:pPr>
                        <w:r>
                          <w:t>Enseignement fondamental</w:t>
                        </w:r>
                      </w:p>
                    </w:tc>
                    <w:tc>
                      <w:tcPr>
                        <w:tcW w:w="1756" w:type="dxa"/>
                        <w:vAlign w:val="center"/>
                      </w:tcPr>
                      <w:p>
                        <w:pPr>
                          <w:jc w:val="center"/>
                        </w:pPr>
                        <w:r>
                          <w:t>12</w:t>
                        </w:r>
                      </w:p>
                    </w:tc>
                  </w:tr>
                  <w:tr>
                    <w:trPr>
                      <w:jc w:val="center"/>
                    </w:trPr>
                    <w:tc>
                      <w:tcPr>
                        <w:tcW w:w="2165" w:type="dxa"/>
                        <w:vMerge/>
                        <w:vAlign w:val="center"/>
                      </w:tcPr>
                      <w:p>
                        <w:pPr>
                          <w:jc w:val="center"/>
                        </w:pPr>
                      </w:p>
                    </w:tc>
                    <w:tc>
                      <w:tcPr>
                        <w:tcW w:w="4475" w:type="dxa"/>
                        <w:vAlign w:val="center"/>
                      </w:tcPr>
                      <w:p>
                        <w:pPr>
                          <w:jc w:val="center"/>
                        </w:pPr>
                        <w:r>
                          <w:t>Enseignement secondaire</w:t>
                        </w:r>
                      </w:p>
                    </w:tc>
                    <w:tc>
                      <w:tcPr>
                        <w:tcW w:w="1756" w:type="dxa"/>
                        <w:vAlign w:val="center"/>
                      </w:tcPr>
                      <w:p>
                        <w:pPr>
                          <w:jc w:val="center"/>
                        </w:pPr>
                        <w:r>
                          <w:t>12</w:t>
                        </w:r>
                      </w:p>
                    </w:tc>
                  </w:tr>
                  <w:tr>
                    <w:trPr>
                      <w:jc w:val="center"/>
                    </w:trPr>
                    <w:tc>
                      <w:tcPr>
                        <w:tcW w:w="2165" w:type="dxa"/>
                        <w:vMerge w:val="restart"/>
                        <w:vAlign w:val="center"/>
                      </w:tcPr>
                      <w:p>
                        <w:pPr>
                          <w:jc w:val="center"/>
                        </w:pPr>
                        <w:r>
                          <w:t>5</w:t>
                        </w:r>
                      </w:p>
                    </w:tc>
                    <w:tc>
                      <w:tcPr>
                        <w:tcW w:w="4475" w:type="dxa"/>
                        <w:vAlign w:val="center"/>
                      </w:tcPr>
                      <w:p>
                        <w:pPr>
                          <w:jc w:val="center"/>
                        </w:pPr>
                        <w:r>
                          <w:t>Enseignement fondamental</w:t>
                        </w:r>
                      </w:p>
                    </w:tc>
                    <w:tc>
                      <w:tcPr>
                        <w:tcW w:w="1756" w:type="dxa"/>
                        <w:vAlign w:val="center"/>
                      </w:tcPr>
                      <w:p>
                        <w:pPr>
                          <w:jc w:val="center"/>
                        </w:pPr>
                        <w:r>
                          <w:t>6</w:t>
                        </w:r>
                      </w:p>
                    </w:tc>
                  </w:tr>
                  <w:tr>
                    <w:trPr>
                      <w:jc w:val="center"/>
                    </w:trPr>
                    <w:tc>
                      <w:tcPr>
                        <w:tcW w:w="2165" w:type="dxa"/>
                        <w:vMerge/>
                        <w:vAlign w:val="center"/>
                      </w:tcPr>
                      <w:p>
                        <w:pPr>
                          <w:jc w:val="center"/>
                        </w:pPr>
                      </w:p>
                    </w:tc>
                    <w:tc>
                      <w:tcPr>
                        <w:tcW w:w="4475" w:type="dxa"/>
                        <w:vAlign w:val="center"/>
                      </w:tcPr>
                      <w:p>
                        <w:pPr>
                          <w:jc w:val="center"/>
                        </w:pPr>
                        <w:r>
                          <w:t>Enseignement secondaire</w:t>
                        </w:r>
                      </w:p>
                    </w:tc>
                    <w:tc>
                      <w:tcPr>
                        <w:tcW w:w="1756" w:type="dxa"/>
                        <w:vAlign w:val="center"/>
                      </w:tcPr>
                      <w:p>
                        <w:pPr>
                          <w:jc w:val="center"/>
                        </w:pPr>
                        <w:r>
                          <w:t>6</w:t>
                        </w:r>
                      </w:p>
                    </w:tc>
                  </w:tr>
                  <w:tr>
                    <w:trPr>
                      <w:jc w:val="center"/>
                    </w:trPr>
                    <w:tc>
                      <w:tcPr>
                        <w:tcW w:w="2165" w:type="dxa"/>
                        <w:vMerge w:val="restart"/>
                        <w:vAlign w:val="center"/>
                      </w:tcPr>
                      <w:p>
                        <w:pPr>
                          <w:jc w:val="center"/>
                        </w:pPr>
                        <w:r>
                          <w:t>6</w:t>
                        </w:r>
                      </w:p>
                    </w:tc>
                    <w:tc>
                      <w:tcPr>
                        <w:tcW w:w="4475" w:type="dxa"/>
                        <w:vAlign w:val="center"/>
                      </w:tcPr>
                      <w:p>
                        <w:pPr>
                          <w:jc w:val="center"/>
                        </w:pPr>
                        <w:r>
                          <w:t>Enseignement fondamental</w:t>
                        </w:r>
                      </w:p>
                    </w:tc>
                    <w:tc>
                      <w:tcPr>
                        <w:tcW w:w="1756" w:type="dxa"/>
                        <w:vAlign w:val="center"/>
                      </w:tcPr>
                      <w:p>
                        <w:pPr>
                          <w:jc w:val="center"/>
                        </w:pPr>
                        <w:r>
                          <w:t>7</w:t>
                        </w:r>
                      </w:p>
                    </w:tc>
                  </w:tr>
                  <w:tr>
                    <w:trPr>
                      <w:jc w:val="center"/>
                    </w:trPr>
                    <w:tc>
                      <w:tcPr>
                        <w:tcW w:w="2165" w:type="dxa"/>
                        <w:vMerge/>
                        <w:vAlign w:val="center"/>
                      </w:tcPr>
                      <w:p>
                        <w:pPr>
                          <w:jc w:val="center"/>
                        </w:pPr>
                      </w:p>
                    </w:tc>
                    <w:tc>
                      <w:tcPr>
                        <w:tcW w:w="4475" w:type="dxa"/>
                        <w:vAlign w:val="center"/>
                      </w:tcPr>
                      <w:p>
                        <w:pPr>
                          <w:jc w:val="center"/>
                        </w:pPr>
                        <w:r>
                          <w:t>Enseignement secondaire</w:t>
                        </w:r>
                      </w:p>
                    </w:tc>
                    <w:tc>
                      <w:tcPr>
                        <w:tcW w:w="1756" w:type="dxa"/>
                        <w:vAlign w:val="center"/>
                      </w:tcPr>
                      <w:p>
                        <w:pPr>
                          <w:jc w:val="center"/>
                        </w:pPr>
                        <w:r>
                          <w:t>7</w:t>
                        </w:r>
                      </w:p>
                    </w:tc>
                  </w:tr>
                  <w:tr>
                    <w:trPr>
                      <w:jc w:val="center"/>
                    </w:trPr>
                    <w:tc>
                      <w:tcPr>
                        <w:tcW w:w="2165" w:type="dxa"/>
                        <w:vMerge w:val="restart"/>
                        <w:vAlign w:val="center"/>
                      </w:tcPr>
                      <w:p>
                        <w:pPr>
                          <w:jc w:val="center"/>
                        </w:pPr>
                        <w:r>
                          <w:t>7</w:t>
                        </w:r>
                      </w:p>
                    </w:tc>
                    <w:tc>
                      <w:tcPr>
                        <w:tcW w:w="4475" w:type="dxa"/>
                        <w:vAlign w:val="center"/>
                      </w:tcPr>
                      <w:p>
                        <w:pPr>
                          <w:jc w:val="center"/>
                        </w:pPr>
                        <w:r>
                          <w:t>Enseignement fondamental</w:t>
                        </w:r>
                      </w:p>
                    </w:tc>
                    <w:tc>
                      <w:tcPr>
                        <w:tcW w:w="1756" w:type="dxa"/>
                        <w:vAlign w:val="center"/>
                      </w:tcPr>
                      <w:p>
                        <w:pPr>
                          <w:jc w:val="center"/>
                        </w:pPr>
                        <w:r>
                          <w:t>7</w:t>
                        </w:r>
                      </w:p>
                    </w:tc>
                  </w:tr>
                  <w:tr>
                    <w:trPr>
                      <w:jc w:val="center"/>
                    </w:trPr>
                    <w:tc>
                      <w:tcPr>
                        <w:tcW w:w="2165" w:type="dxa"/>
                        <w:vMerge/>
                        <w:vAlign w:val="center"/>
                      </w:tcPr>
                      <w:p>
                        <w:pPr>
                          <w:jc w:val="center"/>
                        </w:pPr>
                      </w:p>
                    </w:tc>
                    <w:tc>
                      <w:tcPr>
                        <w:tcW w:w="4475" w:type="dxa"/>
                        <w:vAlign w:val="center"/>
                      </w:tcPr>
                      <w:p>
                        <w:pPr>
                          <w:jc w:val="center"/>
                        </w:pPr>
                        <w:r>
                          <w:t>Enseignement secondaire</w:t>
                        </w:r>
                      </w:p>
                    </w:tc>
                    <w:tc>
                      <w:tcPr>
                        <w:tcW w:w="1756" w:type="dxa"/>
                        <w:vAlign w:val="center"/>
                      </w:tcPr>
                      <w:p>
                        <w:pPr>
                          <w:jc w:val="center"/>
                        </w:pPr>
                        <w:r>
                          <w:t>7</w:t>
                        </w:r>
                      </w:p>
                    </w:tc>
                  </w:tr>
                  <w:tr>
                    <w:trPr>
                      <w:jc w:val="center"/>
                    </w:trPr>
                    <w:tc>
                      <w:tcPr>
                        <w:tcW w:w="2165" w:type="dxa"/>
                        <w:vAlign w:val="center"/>
                      </w:tcPr>
                      <w:p>
                        <w:pPr>
                          <w:jc w:val="center"/>
                        </w:pPr>
                        <w:r>
                          <w:t>8</w:t>
                        </w:r>
                      </w:p>
                    </w:tc>
                    <w:tc>
                      <w:tcPr>
                        <w:tcW w:w="4475" w:type="dxa"/>
                        <w:vAlign w:val="center"/>
                      </w:tcPr>
                      <w:p>
                        <w:pPr>
                          <w:jc w:val="center"/>
                        </w:pPr>
                        <w:r>
                          <w:t>Enseignement primaire</w:t>
                        </w:r>
                      </w:p>
                    </w:tc>
                    <w:tc>
                      <w:tcPr>
                        <w:tcW w:w="1756" w:type="dxa"/>
                        <w:vAlign w:val="center"/>
                      </w:tcPr>
                      <w:p>
                        <w:pPr>
                          <w:jc w:val="center"/>
                        </w:pPr>
                        <w:r>
                          <w:t>6</w:t>
                        </w:r>
                      </w:p>
                    </w:tc>
                  </w:tr>
                  <w:tr>
                    <w:trPr>
                      <w:jc w:val="center"/>
                    </w:trPr>
                    <w:tc>
                      <w:tcPr>
                        <w:tcW w:w="2165" w:type="dxa"/>
                        <w:vMerge w:val="restart"/>
                        <w:vAlign w:val="center"/>
                      </w:tcPr>
                      <w:p>
                        <w:pPr>
                          <w:jc w:val="center"/>
                        </w:pPr>
                        <w:r>
                          <w:t>SAJ-SPJ</w:t>
                        </w:r>
                      </w:p>
                    </w:tc>
                    <w:tc>
                      <w:tcPr>
                        <w:tcW w:w="4475" w:type="dxa"/>
                        <w:vAlign w:val="center"/>
                      </w:tcPr>
                      <w:p>
                        <w:pPr>
                          <w:jc w:val="center"/>
                        </w:pPr>
                        <w:r>
                          <w:t>Enseignement primaire</w:t>
                        </w:r>
                      </w:p>
                    </w:tc>
                    <w:tc>
                      <w:tcPr>
                        <w:tcW w:w="1756" w:type="dxa"/>
                        <w:vAlign w:val="center"/>
                      </w:tcPr>
                      <w:p>
                        <w:pPr>
                          <w:jc w:val="center"/>
                        </w:pPr>
                        <w:r>
                          <w:t>6</w:t>
                        </w:r>
                      </w:p>
                    </w:tc>
                  </w:tr>
                  <w:tr>
                    <w:trPr>
                      <w:jc w:val="center"/>
                    </w:trPr>
                    <w:tc>
                      <w:tcPr>
                        <w:tcW w:w="2165" w:type="dxa"/>
                        <w:vMerge/>
                        <w:vAlign w:val="center"/>
                      </w:tcPr>
                      <w:p>
                        <w:pPr>
                          <w:jc w:val="center"/>
                        </w:pPr>
                      </w:p>
                    </w:tc>
                    <w:tc>
                      <w:tcPr>
                        <w:tcW w:w="4475" w:type="dxa"/>
                        <w:vAlign w:val="center"/>
                      </w:tcPr>
                      <w:p>
                        <w:pPr>
                          <w:jc w:val="center"/>
                        </w:pPr>
                        <w:r>
                          <w:t>Enseignement secondaire</w:t>
                        </w:r>
                      </w:p>
                    </w:tc>
                    <w:tc>
                      <w:tcPr>
                        <w:tcW w:w="1756" w:type="dxa"/>
                        <w:vAlign w:val="center"/>
                      </w:tcPr>
                      <w:p>
                        <w:pPr>
                          <w:jc w:val="center"/>
                        </w:pPr>
                        <w:r>
                          <w:t>6</w:t>
                        </w:r>
                      </w:p>
                    </w:tc>
                  </w:tr>
                  <w:tr>
                    <w:trPr>
                      <w:jc w:val="center"/>
                    </w:trPr>
                    <w:tc>
                      <w:tcPr>
                        <w:tcW w:w="2165" w:type="dxa"/>
                        <w:vMerge w:val="restart"/>
                        <w:vAlign w:val="center"/>
                      </w:tcPr>
                      <w:p>
                        <w:pPr>
                          <w:jc w:val="center"/>
                        </w:pPr>
                        <w:r>
                          <w:t>Elèves de  l’enseignement ordinaire</w:t>
                        </w:r>
                      </w:p>
                    </w:tc>
                    <w:tc>
                      <w:tcPr>
                        <w:tcW w:w="4475" w:type="dxa"/>
                        <w:vAlign w:val="center"/>
                      </w:tcPr>
                      <w:p>
                        <w:pPr>
                          <w:jc w:val="center"/>
                        </w:pPr>
                        <w:r>
                          <w:t>Enseignement primaire</w:t>
                        </w:r>
                      </w:p>
                    </w:tc>
                    <w:tc>
                      <w:tcPr>
                        <w:tcW w:w="1756" w:type="dxa"/>
                        <w:vAlign w:val="center"/>
                      </w:tcPr>
                      <w:p>
                        <w:pPr>
                          <w:jc w:val="center"/>
                        </w:pPr>
                        <w:r>
                          <w:t>1,8</w:t>
                        </w:r>
                      </w:p>
                    </w:tc>
                  </w:tr>
                  <w:tr>
                    <w:trPr>
                      <w:jc w:val="center"/>
                    </w:trPr>
                    <w:tc>
                      <w:tcPr>
                        <w:tcW w:w="2165" w:type="dxa"/>
                        <w:vMerge/>
                      </w:tcPr>
                      <w:p>
                        <w:pPr>
                          <w:jc w:val="center"/>
                        </w:pPr>
                      </w:p>
                    </w:tc>
                    <w:tc>
                      <w:tcPr>
                        <w:tcW w:w="4475" w:type="dxa"/>
                        <w:vAlign w:val="center"/>
                      </w:tcPr>
                      <w:p>
                        <w:pPr>
                          <w:jc w:val="center"/>
                        </w:pPr>
                        <w:r>
                          <w:t>Enseignement secondaire</w:t>
                        </w:r>
                      </w:p>
                    </w:tc>
                    <w:tc>
                      <w:tcPr>
                        <w:tcW w:w="1756" w:type="dxa"/>
                        <w:vAlign w:val="center"/>
                      </w:tcPr>
                      <w:p>
                        <w:pPr>
                          <w:jc w:val="center"/>
                        </w:pPr>
                        <w:r>
                          <w:t>1,8</w:t>
                        </w:r>
                      </w:p>
                    </w:tc>
                  </w:tr>
                </w:tbl>
                <w:p>
                  <w:pPr>
                    <w:rPr>
                      <w:color w:val="000000"/>
                    </w:rPr>
                  </w:pPr>
                </w:p>
                <w:p>
                  <w:pPr>
                    <w:jc w:val="both"/>
                    <w:rPr>
                      <w:color w:val="000000"/>
                    </w:rPr>
                  </w:pPr>
                  <w:r>
                    <w:rPr>
                      <w:color w:val="000000"/>
                    </w:rPr>
                    <w:t>La période de référence est fixée du 1</w:t>
                  </w:r>
                  <w:r>
                    <w:rPr>
                      <w:color w:val="000000"/>
                      <w:vertAlign w:val="superscript"/>
                    </w:rPr>
                    <w:t>er</w:t>
                  </w:r>
                  <w:r>
                    <w:rPr>
                      <w:color w:val="000000"/>
                    </w:rPr>
                    <w:t xml:space="preserve"> septembre au 31 août de l’année précédente.</w:t>
                  </w:r>
                </w:p>
                <w:p>
                  <w:pPr>
                    <w:jc w:val="both"/>
                    <w:rPr>
                      <w:color w:val="000000"/>
                    </w:rPr>
                  </w:pPr>
                </w:p>
                <w:p>
                  <w:pPr>
                    <w:jc w:val="both"/>
                    <w:rPr>
                      <w:color w:val="000000"/>
                    </w:rPr>
                  </w:pPr>
                  <w:r>
                    <w:rPr>
                      <w:color w:val="000000"/>
                    </w:rPr>
                    <w:t xml:space="preserve">Le pourcentage du capital-périodes utilisable pour le personnel attribué pour l’accueil permanent des élèves internes est de </w:t>
                  </w:r>
                  <w:r>
                    <w:rPr>
                      <w:b/>
                      <w:color w:val="000000"/>
                    </w:rPr>
                    <w:t>92%</w:t>
                  </w:r>
                  <w:r>
                    <w:rPr>
                      <w:color w:val="000000"/>
                    </w:rPr>
                    <w:t>.</w:t>
                  </w:r>
                </w:p>
                <w:p>
                  <w:pPr>
                    <w:jc w:val="both"/>
                    <w:rPr>
                      <w:color w:val="000000"/>
                    </w:rPr>
                  </w:pP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color w:val="000000"/>
                    </w:rPr>
                  </w:pPr>
                  <w:r>
                    <w:rPr>
                      <w:color w:val="000000"/>
                    </w:rPr>
                    <w:t>Les élèves pris en considération sont ceux qui doivent être considérés comme élèves réguliers conformément aux dispositions du Décret du 3 mars 2004 organisant l’enseignement spécialisé.</w:t>
                  </w:r>
                </w:p>
                <w:p>
                  <w:pPr>
                    <w:jc w:val="both"/>
                    <w:rPr>
                      <w:color w:val="000000"/>
                    </w:rPr>
                  </w:pPr>
                </w:p>
                <w:p>
                  <w:pPr>
                    <w:jc w:val="both"/>
                    <w:rPr>
                      <w:color w:val="000000"/>
                    </w:rPr>
                  </w:pPr>
                  <w:r>
                    <w:rPr>
                      <w:color w:val="000000"/>
                    </w:rPr>
                    <w:t>Ce capital-périodes complémentaire comporte au moins 275 périodes.</w:t>
                  </w:r>
                </w:p>
                <w:p>
                  <w:pPr>
                    <w:jc w:val="both"/>
                    <w:rPr>
                      <w:color w:val="000000"/>
                    </w:rPr>
                  </w:pPr>
                </w:p>
                <w:p>
                  <w:pPr>
                    <w:jc w:val="both"/>
                    <w:rPr>
                      <w:color w:val="000000"/>
                    </w:rPr>
                  </w:pPr>
                  <w:r>
                    <w:rPr>
                      <w:color w:val="000000"/>
                    </w:rPr>
                    <w:t>Ce capital-périodes peut, dans le courant de l'année, être recalculé et utilisé chaque fois que le nombre d'élèves augmente d'au moins 10% par rapport à celui qui a été pris en considération lors de la détermination du dernier capital-périodes correspondant.</w:t>
                  </w:r>
                </w:p>
                <w:p>
                  <w:pPr>
                    <w:jc w:val="both"/>
                    <w:rPr>
                      <w:color w:val="000000"/>
                    </w:rPr>
                  </w:pPr>
                </w:p>
                <w:p>
                  <w:pPr>
                    <w:jc w:val="both"/>
                    <w:rPr>
                      <w:color w:val="000000"/>
                    </w:rPr>
                  </w:pPr>
                  <w:r>
                    <w:rPr>
                      <w:color w:val="000000"/>
                    </w:rPr>
                    <w:t>Cet accroissement n'est pris en considération que si l'augmentation du nombre d'élèves est maintenue pendant 10 jours consécutifs.</w:t>
                  </w:r>
                </w:p>
                <w:p>
                  <w:pPr>
                    <w:jc w:val="both"/>
                    <w:rPr>
                      <w:color w:val="000000"/>
                    </w:rPr>
                  </w:pPr>
                </w:p>
                <w:p>
                  <w:pPr>
                    <w:jc w:val="both"/>
                    <w:rPr>
                      <w:color w:val="000000"/>
                    </w:rPr>
                  </w:pPr>
                  <w:r>
                    <w:rPr>
                      <w:color w:val="000000"/>
                    </w:rPr>
                    <w:t>Toute demande de révision du calcul du capital-périodes doit être sollicitée directement auprès du vérificateur (éventuellement par téléphone).</w:t>
                  </w:r>
                </w:p>
                <w:p>
                  <w:pPr>
                    <w:jc w:val="both"/>
                    <w:rPr>
                      <w:color w:val="000000"/>
                    </w:rPr>
                  </w:pPr>
                </w:p>
                <w:p>
                  <w:pPr>
                    <w:jc w:val="both"/>
                    <w:rPr>
                      <w:color w:val="000000"/>
                    </w:rPr>
                  </w:pPr>
                  <w:r>
                    <w:rPr>
                      <w:color w:val="000000"/>
                    </w:rPr>
                    <w:t>Aucun engagement de personnel ne peut avoir lieu avant d'obtenir l'accord du vérificateur sur cette augmentation.</w:t>
                  </w:r>
                </w:p>
                <w:p>
                  <w:pPr>
                    <w:jc w:val="both"/>
                    <w:rPr>
                      <w:color w:val="000000"/>
                    </w:rPr>
                  </w:pPr>
                </w:p>
                <w:p>
                  <w:pPr>
                    <w:jc w:val="both"/>
                    <w:rPr>
                      <w:color w:val="000000"/>
                    </w:rPr>
                  </w:pPr>
                  <w:r>
                    <w:rPr>
                      <w:color w:val="000000"/>
                    </w:rPr>
                    <w:t>Pour les homes d’accueil permanent qui fonctionnent au mois de juillet ou au mois d’août, le capital-périodes est recalculé et utilisé dès le 1</w:t>
                  </w:r>
                  <w:r>
                    <w:rPr>
                      <w:color w:val="000000"/>
                      <w:vertAlign w:val="superscript"/>
                    </w:rPr>
                    <w:t>er</w:t>
                  </w:r>
                  <w:r>
                    <w:rPr>
                      <w:color w:val="000000"/>
                    </w:rPr>
                    <w:t xml:space="preserve"> jour du mois.</w:t>
                  </w:r>
                </w:p>
                <w:p>
                  <w:pPr>
                    <w:jc w:val="both"/>
                    <w:rPr>
                      <w:color w:val="000000"/>
                    </w:rPr>
                  </w:pPr>
                </w:p>
                <w:p>
                  <w:pPr>
                    <w:jc w:val="both"/>
                    <w:rPr>
                      <w:color w:val="000000"/>
                    </w:rPr>
                  </w:pPr>
                </w:p>
                <w:p>
                  <w:pPr>
                    <w:jc w:val="both"/>
                    <w:rPr>
                      <w:color w:val="000000"/>
                    </w:rPr>
                  </w:pPr>
                </w:p>
                <w:p>
                  <w:pPr>
                    <w:jc w:val="both"/>
                    <w:rPr>
                      <w:color w:val="000000"/>
                    </w:rPr>
                  </w:pPr>
                </w:p>
                <w:p>
                  <w:pPr>
                    <w:pStyle w:val="Titre3"/>
                  </w:pPr>
                  <w:bookmarkStart w:id="2534" w:name="_3._Reliquats"/>
                  <w:bookmarkStart w:id="2535" w:name="_Toc453314414"/>
                  <w:bookmarkStart w:id="2536" w:name="_Toc454980449"/>
                  <w:bookmarkStart w:id="2537" w:name="_Toc18914470"/>
                  <w:bookmarkEnd w:id="2534"/>
                  <w:r>
                    <w:t>3. Reliquats</w:t>
                  </w:r>
                  <w:bookmarkEnd w:id="2535"/>
                  <w:bookmarkEnd w:id="2536"/>
                  <w:bookmarkEnd w:id="2537"/>
                </w:p>
                <w:p>
                  <w:pPr>
                    <w:rPr>
                      <w:color w:val="000000"/>
                    </w:rPr>
                  </w:pPr>
                </w:p>
                <w:p>
                  <w:pPr>
                    <w:jc w:val="both"/>
                  </w:pPr>
                  <w:r>
                    <w:t>Le nombre de périodes restantes après imputation au capital-périodes des périodes attribuées à chaque membre des personnels paramédical, social, psychologique, auxiliaire d’éducation et administratif constitue le reliquat.</w:t>
                  </w:r>
                </w:p>
                <w:p>
                  <w:pPr>
                    <w:jc w:val="both"/>
                  </w:pPr>
                </w:p>
                <w:p>
                  <w:pPr>
                    <w:jc w:val="both"/>
                  </w:pPr>
                  <w:r>
                    <w:t>Aucune nomination ni changement d’affectation ne pourra se faire sur la base de l’utilisation des reliquats.</w:t>
                  </w:r>
                </w:p>
                <w:p/>
                <w:p>
                  <w:pPr>
                    <w:pBdr>
                      <w:top w:val="single" w:sz="4" w:space="1" w:color="auto"/>
                      <w:left w:val="single" w:sz="4" w:space="4" w:color="auto"/>
                      <w:bottom w:val="single" w:sz="4" w:space="1" w:color="auto"/>
                      <w:right w:val="single" w:sz="4" w:space="4" w:color="auto"/>
                    </w:pBdr>
                    <w:jc w:val="center"/>
                  </w:pPr>
                  <w:r>
                    <w:t>Les conventions de transfert des reliquats sont à adresser à :</w:t>
                  </w:r>
                </w:p>
                <w:p>
                  <w:pPr>
                    <w:pBdr>
                      <w:top w:val="single" w:sz="4" w:space="1" w:color="auto"/>
                      <w:left w:val="single" w:sz="4" w:space="4" w:color="auto"/>
                      <w:bottom w:val="single" w:sz="4" w:space="1" w:color="auto"/>
                      <w:right w:val="single" w:sz="4" w:space="4" w:color="auto"/>
                    </w:pBdr>
                    <w:jc w:val="center"/>
                    <w:rPr>
                      <w:b/>
                    </w:rPr>
                  </w:pPr>
                  <w:r>
                    <w:t>Direction générale de l’Enseignement obligatoire</w:t>
                  </w:r>
                </w:p>
                <w:p>
                  <w:pPr>
                    <w:pBdr>
                      <w:top w:val="single" w:sz="4" w:space="1" w:color="auto"/>
                      <w:left w:val="single" w:sz="4" w:space="4" w:color="auto"/>
                      <w:bottom w:val="single" w:sz="4" w:space="1" w:color="auto"/>
                      <w:right w:val="single" w:sz="4" w:space="4" w:color="auto"/>
                    </w:pBdr>
                    <w:jc w:val="center"/>
                    <w:rPr>
                      <w:b/>
                    </w:rPr>
                  </w:pPr>
                  <w:r>
                    <w:t>Service de l’Enseignement spécialisé</w:t>
                  </w:r>
                </w:p>
                <w:p>
                  <w:pPr>
                    <w:pBdr>
                      <w:top w:val="single" w:sz="4" w:space="1" w:color="auto"/>
                      <w:left w:val="single" w:sz="4" w:space="4" w:color="auto"/>
                      <w:bottom w:val="single" w:sz="4" w:space="1" w:color="auto"/>
                      <w:right w:val="single" w:sz="4" w:space="4" w:color="auto"/>
                    </w:pBdr>
                    <w:jc w:val="center"/>
                    <w:rPr>
                      <w:b/>
                    </w:rPr>
                  </w:pPr>
                  <w:r>
                    <w:t>Madame Véronique ROMBAUT</w:t>
                  </w:r>
                </w:p>
                <w:p>
                  <w:pPr>
                    <w:pBdr>
                      <w:top w:val="single" w:sz="4" w:space="1" w:color="auto"/>
                      <w:left w:val="single" w:sz="4" w:space="4" w:color="auto"/>
                      <w:bottom w:val="single" w:sz="4" w:space="1" w:color="auto"/>
                      <w:right w:val="single" w:sz="4" w:space="4" w:color="auto"/>
                    </w:pBdr>
                    <w:jc w:val="center"/>
                    <w:rPr>
                      <w:b/>
                    </w:rPr>
                  </w:pPr>
                  <w:r>
                    <w:t>Bureau 2F245</w:t>
                  </w:r>
                </w:p>
                <w:p>
                  <w:pPr>
                    <w:pBdr>
                      <w:top w:val="single" w:sz="4" w:space="1" w:color="auto"/>
                      <w:left w:val="single" w:sz="4" w:space="4" w:color="auto"/>
                      <w:bottom w:val="single" w:sz="4" w:space="1" w:color="auto"/>
                      <w:right w:val="single" w:sz="4" w:space="4" w:color="auto"/>
                    </w:pBdr>
                    <w:jc w:val="center"/>
                    <w:rPr>
                      <w:b/>
                    </w:rPr>
                  </w:pPr>
                  <w:r>
                    <w:t>Rue Adolphe Lavallée, 1</w:t>
                  </w:r>
                </w:p>
                <w:p>
                  <w:pPr>
                    <w:pBdr>
                      <w:top w:val="single" w:sz="4" w:space="1" w:color="auto"/>
                      <w:left w:val="single" w:sz="4" w:space="4" w:color="auto"/>
                      <w:bottom w:val="single" w:sz="4" w:space="1" w:color="auto"/>
                      <w:right w:val="single" w:sz="4" w:space="4" w:color="auto"/>
                    </w:pBdr>
                    <w:jc w:val="center"/>
                    <w:rPr>
                      <w:b/>
                    </w:rPr>
                  </w:pPr>
                  <w:r>
                    <w:t>1080   BRUXELLES</w:t>
                  </w:r>
                </w:p>
                <w:p>
                  <w:pPr>
                    <w:pBdr>
                      <w:top w:val="single" w:sz="4" w:space="1" w:color="auto"/>
                      <w:left w:val="single" w:sz="4" w:space="4" w:color="auto"/>
                      <w:bottom w:val="single" w:sz="4" w:space="1" w:color="auto"/>
                      <w:right w:val="single" w:sz="4" w:space="4" w:color="auto"/>
                    </w:pBdr>
                    <w:jc w:val="center"/>
                    <w:rPr>
                      <w:b/>
                    </w:rPr>
                  </w:pPr>
                  <w:r>
                    <w:sym w:font="Wingdings" w:char="F028"/>
                  </w:r>
                  <w:r>
                    <w:t xml:space="preserve"> : 02/690.83.99 - Fax : 02/690.85.99 - </w:t>
                  </w:r>
                  <w:r>
                    <w:sym w:font="Wingdings" w:char="F03A"/>
                  </w:r>
                  <w:r>
                    <w:t> </w:t>
                  </w:r>
                  <w:hyperlink r:id="rId168" w:history="1">
                    <w:r>
                      <w:rPr>
                        <w:rStyle w:val="Lienhypertexte"/>
                        <w:bCs/>
                      </w:rPr>
                      <w:t>veronique.rombaut@cfwb.be</w:t>
                    </w:r>
                  </w:hyperlink>
                </w:p>
                <w:p/>
                <w:p>
                  <w:pPr>
                    <w:pStyle w:val="Titre3"/>
                  </w:pPr>
                  <w:bookmarkStart w:id="2538" w:name="__RefHeading__225_957262308"/>
                  <w:bookmarkStart w:id="2539" w:name="_Toc291075389"/>
                  <w:bookmarkStart w:id="2540" w:name="_Toc291075813"/>
                  <w:bookmarkStart w:id="2541" w:name="_Toc291076237"/>
                  <w:bookmarkStart w:id="2542" w:name="_Toc291076661"/>
                  <w:bookmarkStart w:id="2543" w:name="_Toc291077085"/>
                  <w:bookmarkStart w:id="2544" w:name="_Toc293651929"/>
                  <w:bookmarkStart w:id="2545" w:name="_Toc293653512"/>
                  <w:bookmarkStart w:id="2546" w:name="_Toc293654123"/>
                  <w:bookmarkStart w:id="2547" w:name="_Toc294004701"/>
                  <w:bookmarkStart w:id="2548" w:name="_Toc294185197"/>
                  <w:bookmarkStart w:id="2549" w:name="_Toc324166015"/>
                  <w:bookmarkStart w:id="2550" w:name="_Toc324767052"/>
                  <w:bookmarkStart w:id="2551" w:name="_Toc453314415"/>
                  <w:bookmarkStart w:id="2552" w:name="_Toc454980450"/>
                  <w:bookmarkStart w:id="2553" w:name="_Toc18914471"/>
                  <w:bookmarkEnd w:id="2538"/>
                  <w:r>
                    <w:t>4. Personnels paramédical, psychologique, social, auxiliaire d’éducation et administratif attribués pour l’accueil permanent des élèves internes</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pPr>
                    <w:jc w:val="both"/>
                  </w:pPr>
                </w:p>
                <w:p>
                  <w:pPr>
                    <w:pStyle w:val="Titre4"/>
                  </w:pPr>
                  <w:bookmarkStart w:id="2554" w:name="_Toc291075390"/>
                  <w:bookmarkStart w:id="2555" w:name="_Toc291075814"/>
                  <w:bookmarkStart w:id="2556" w:name="_Toc291076238"/>
                  <w:bookmarkStart w:id="2557" w:name="_Toc291076662"/>
                  <w:bookmarkStart w:id="2558" w:name="_Toc291077086"/>
                  <w:bookmarkStart w:id="2559" w:name="_Toc293651930"/>
                  <w:bookmarkStart w:id="2560" w:name="_Toc293653513"/>
                  <w:bookmarkStart w:id="2561" w:name="_Toc293654124"/>
                  <w:bookmarkStart w:id="2562" w:name="_Toc294004702"/>
                  <w:bookmarkStart w:id="2563" w:name="_Toc294185198"/>
                  <w:bookmarkStart w:id="2564" w:name="_Toc324166016"/>
                  <w:bookmarkStart w:id="2565" w:name="_Toc324767053"/>
                  <w:bookmarkStart w:id="2566" w:name="_Toc324767911"/>
                  <w:bookmarkStart w:id="2567" w:name="_Toc453314416"/>
                  <w:bookmarkStart w:id="2568" w:name="_Toc454980451"/>
                  <w:r>
                    <w:t>4.1. La répartition par fonction de ce capital-périodes complémentaire se fait en fonction des besoins des élèves internes.</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pPr>
                    <w:jc w:val="both"/>
                  </w:pPr>
                </w:p>
                <w:p>
                  <w:pPr>
                    <w:jc w:val="both"/>
                  </w:pPr>
                  <w:r>
                    <w:t>50 % au minimum du capital-périodes doit toutefois être utilisé pour la fonction d’éducateur (trice) d’internat.</w:t>
                  </w:r>
                </w:p>
                <w:p>
                  <w:pPr>
                    <w:jc w:val="both"/>
                  </w:pPr>
                </w:p>
                <w:p>
                  <w:pPr>
                    <w:jc w:val="both"/>
                  </w:pPr>
                  <w:r>
                    <w:t>Le chef d’établissement peut charger un membre du personnel auxiliaire d’éducation définitif de la coordination des activités liées au fonctionnement du home d’accueil permanent après avis motivé de l’organe de concertation locale.</w:t>
                  </w:r>
                  <w:bookmarkStart w:id="2569" w:name="_Toc291075391"/>
                  <w:bookmarkStart w:id="2570" w:name="_Toc291075815"/>
                  <w:bookmarkStart w:id="2571" w:name="_Toc291076239"/>
                  <w:bookmarkStart w:id="2572" w:name="_Toc291076663"/>
                  <w:bookmarkStart w:id="2573" w:name="_Toc291077087"/>
                  <w:bookmarkStart w:id="2574" w:name="_Toc293651931"/>
                  <w:bookmarkStart w:id="2575" w:name="_Toc293653514"/>
                  <w:bookmarkStart w:id="2576" w:name="_Toc293654125"/>
                  <w:bookmarkStart w:id="2577" w:name="_Toc294004703"/>
                  <w:bookmarkStart w:id="2578" w:name="_Toc294185199"/>
                  <w:bookmarkStart w:id="2579" w:name="_Toc324166018"/>
                  <w:bookmarkStart w:id="2580" w:name="_Toc324767054"/>
                  <w:bookmarkStart w:id="2581" w:name="_Toc324767912"/>
                </w:p>
                <w:p>
                  <w:pPr>
                    <w:jc w:val="both"/>
                  </w:pPr>
                </w:p>
                <w:p>
                  <w:pPr>
                    <w:pStyle w:val="Titre4"/>
                  </w:pPr>
                  <w:bookmarkStart w:id="2582" w:name="_Toc453314417"/>
                  <w:bookmarkStart w:id="2583" w:name="_Toc454980452"/>
                  <w:r>
                    <w:t>4.2. Le personnel dont peut bénéficier chaque home d'accueil permanent sur base du capital-périodes complémentaire, spécifique à cet accueil permanent, est désigné pour une période se terminant le 31 août.</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p>
                  <w:pPr>
                    <w:pStyle w:val="Titre4"/>
                  </w:pPr>
                  <w:bookmarkStart w:id="2584" w:name="_Toc291075392"/>
                  <w:bookmarkStart w:id="2585" w:name="_Toc291075816"/>
                  <w:bookmarkStart w:id="2586" w:name="_Toc291076240"/>
                  <w:bookmarkStart w:id="2587" w:name="_Toc291076664"/>
                  <w:bookmarkStart w:id="2588" w:name="_Toc291077088"/>
                  <w:bookmarkStart w:id="2589" w:name="_Toc293651932"/>
                  <w:bookmarkStart w:id="2590" w:name="_Toc293653515"/>
                  <w:bookmarkStart w:id="2591" w:name="_Toc293654126"/>
                  <w:bookmarkStart w:id="2592" w:name="_Toc294004704"/>
                  <w:bookmarkStart w:id="2593" w:name="_Toc294185200"/>
                  <w:bookmarkStart w:id="2594" w:name="_Toc324166019"/>
                  <w:bookmarkStart w:id="2595" w:name="_Toc324767055"/>
                  <w:bookmarkStart w:id="2596" w:name="_Toc324767913"/>
                  <w:bookmarkStart w:id="2597" w:name="_Toc453314418"/>
                  <w:bookmarkStart w:id="2598" w:name="_Toc454980453"/>
                  <w:r>
                    <w:t>4.3. Les prestations de ce personnel complémentaire sont fixées à 1318 heures réparties sur l’année.</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pPr>
                    <w:jc w:val="both"/>
                    <w:rPr>
                      <w:b/>
                    </w:rPr>
                  </w:pPr>
                </w:p>
                <w:p>
                  <w:pPr>
                    <w:pStyle w:val="Titre3"/>
                  </w:pPr>
                  <w:bookmarkStart w:id="2599" w:name="_5._Travail_collaboratif_1"/>
                  <w:bookmarkStart w:id="2600" w:name="_Toc18914472"/>
                  <w:bookmarkEnd w:id="2599"/>
                  <w:r>
                    <w:t>5. Travail collaboratif</w:t>
                  </w:r>
                  <w:bookmarkEnd w:id="2600"/>
                  <w:r>
                    <w:t xml:space="preserve"> </w:t>
                  </w:r>
                </w:p>
                <w:p>
                  <w:pPr>
                    <w:pBdr>
                      <w:right w:val="single" w:sz="4" w:space="4" w:color="auto"/>
                    </w:pBdr>
                    <w:tabs>
                      <w:tab w:val="left" w:pos="962"/>
                      <w:tab w:val="left" w:pos="1134"/>
                      <w:tab w:val="left" w:pos="1303"/>
                      <w:tab w:val="left" w:pos="1586"/>
                      <w:tab w:val="left" w:pos="1813"/>
                      <w:tab w:val="left" w:pos="3174"/>
                      <w:tab w:val="left" w:pos="3967"/>
                      <w:tab w:val="left" w:pos="4591"/>
                      <w:tab w:val="left" w:pos="4818"/>
                    </w:tabs>
                    <w:jc w:val="both"/>
                    <w:rPr>
                      <w:color w:val="000000"/>
                    </w:rPr>
                  </w:pPr>
                </w:p>
                <w:p>
                  <w:pPr>
                    <w:pBdr>
                      <w:right w:val="single" w:sz="4" w:space="4" w:color="auto"/>
                    </w:pBdr>
                    <w:tabs>
                      <w:tab w:val="left" w:pos="962"/>
                      <w:tab w:val="left" w:pos="1134"/>
                      <w:tab w:val="left" w:pos="1303"/>
                      <w:tab w:val="left" w:pos="1586"/>
                      <w:tab w:val="left" w:pos="1813"/>
                      <w:tab w:val="left" w:pos="3174"/>
                      <w:tab w:val="left" w:pos="3967"/>
                      <w:tab w:val="left" w:pos="4591"/>
                      <w:tab w:val="left" w:pos="4818"/>
                    </w:tabs>
                    <w:jc w:val="both"/>
                    <w:rPr>
                      <w:color w:val="000000"/>
                    </w:rPr>
                  </w:pPr>
                  <w:r>
                    <w:rPr>
                      <w:color w:val="000000"/>
                    </w:rPr>
                    <w:t xml:space="preserve">Les éducateurs exerçant une fonction à prestation complète sont tenus d’accomplir 60 périodes de travail collaboratif par année scolaire. </w:t>
                  </w:r>
                </w:p>
                <w:p>
                  <w:pPr>
                    <w:pBdr>
                      <w:right w:val="single" w:sz="4" w:space="4" w:color="auto"/>
                    </w:pBdr>
                    <w:tabs>
                      <w:tab w:val="left" w:pos="962"/>
                      <w:tab w:val="left" w:pos="1134"/>
                      <w:tab w:val="left" w:pos="1303"/>
                      <w:tab w:val="left" w:pos="1586"/>
                      <w:tab w:val="left" w:pos="1813"/>
                      <w:tab w:val="left" w:pos="3174"/>
                      <w:tab w:val="left" w:pos="3967"/>
                      <w:tab w:val="left" w:pos="4591"/>
                      <w:tab w:val="left" w:pos="4818"/>
                    </w:tabs>
                    <w:jc w:val="both"/>
                    <w:rPr>
                      <w:color w:val="000000"/>
                    </w:rPr>
                  </w:pPr>
                </w:p>
                <w:p>
                  <w:pPr>
                    <w:pBdr>
                      <w:right w:val="single" w:sz="4" w:space="4" w:color="auto"/>
                    </w:pBdr>
                    <w:tabs>
                      <w:tab w:val="left" w:pos="962"/>
                      <w:tab w:val="left" w:pos="1134"/>
                      <w:tab w:val="left" w:pos="1303"/>
                      <w:tab w:val="left" w:pos="1586"/>
                      <w:tab w:val="left" w:pos="1813"/>
                      <w:tab w:val="left" w:pos="3174"/>
                      <w:tab w:val="left" w:pos="3967"/>
                      <w:tab w:val="left" w:pos="4591"/>
                      <w:tab w:val="left" w:pos="4818"/>
                    </w:tabs>
                    <w:jc w:val="both"/>
                    <w:rPr>
                      <w:color w:val="000000"/>
                    </w:rPr>
                  </w:pPr>
                  <w:r>
                    <w:rPr>
                      <w:color w:val="000000"/>
                    </w:rPr>
                    <w:t xml:space="preserve">Ces périodes consacrées au travail collaboratif sont comprises dans le volume de prestations des éducateurs. </w:t>
                  </w:r>
                </w:p>
                <w:p>
                  <w:pPr>
                    <w:jc w:val="both"/>
                    <w:rPr>
                      <w:b/>
                    </w:rPr>
                  </w:pPr>
                </w:p>
                <w:p>
                  <w:pPr>
                    <w:pStyle w:val="Titre3"/>
                  </w:pPr>
                  <w:bookmarkStart w:id="2601" w:name="_Toc453314419"/>
                  <w:bookmarkStart w:id="2602" w:name="_Toc454980454"/>
                  <w:bookmarkStart w:id="2603" w:name="_Toc18914473"/>
                  <w:r>
                    <w:t>6. Annexes</w:t>
                  </w:r>
                  <w:bookmarkEnd w:id="2601"/>
                  <w:bookmarkEnd w:id="2602"/>
                  <w:bookmarkEnd w:id="2603"/>
                </w:p>
                <w:p>
                  <w:pPr>
                    <w:jc w:val="both"/>
                    <w:rPr>
                      <w:b/>
                    </w:rPr>
                  </w:pPr>
                </w:p>
                <w:p>
                  <w:pPr>
                    <w:jc w:val="both"/>
                  </w:pPr>
                  <w:r>
                    <w:t>Vous trouverez ci-joint, en annexe 2, le modèle d’attestation de fréquentation d’un établissement d’enseignement spécialisé.  Cette attestation doit être conservée au sein de la structure d’accueil.</w:t>
                  </w:r>
                </w:p>
                <w:p>
                  <w:pPr>
                    <w:rPr>
                      <w:b/>
                    </w:rPr>
                  </w:pPr>
                </w:p>
                <w:p>
                  <w:pPr>
                    <w:pStyle w:val="Corpsdetexte"/>
                  </w:pPr>
                  <w:bookmarkStart w:id="2604" w:name="_Annexe_1_:_12"/>
                  <w:bookmarkStart w:id="2605" w:name="_Toc453314420"/>
                  <w:bookmarkStart w:id="2606" w:name="_Toc454980455"/>
                  <w:bookmarkEnd w:id="2604"/>
                </w:p>
                <w:p>
                  <w:r>
                    <w:br w:type="page"/>
                  </w:r>
                </w:p>
                <w:p/>
                <w:p>
                  <w:pPr>
                    <w:pStyle w:val="Titre4"/>
                  </w:pPr>
                  <w:r>
                    <w:t>Annexe 1 : Convention de transfert de reliquat entre internats, homes d’accueil et homes d’accueil permanent</w:t>
                  </w:r>
                  <w:bookmarkEnd w:id="2605"/>
                  <w:bookmarkEnd w:id="2606"/>
                </w:p>
                <w:p>
                  <w:pPr>
                    <w:jc w:val="center"/>
                  </w:pPr>
                </w:p>
                <w:p>
                  <w:pPr>
                    <w:jc w:val="center"/>
                    <w:rPr>
                      <w:b/>
                      <w:caps/>
                    </w:rPr>
                  </w:pPr>
                  <w:r>
                    <w:rPr>
                      <w:b/>
                      <w:caps/>
                    </w:rPr>
                    <w:t>Communauté française</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Entre les soussigné(e)s :</w:t>
                  </w:r>
                </w:p>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Madame/Monsieur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Administrateur (trice) de l’internat, du home d’accueil ou du home d’accueil permanent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Dénomination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N° FASE :</w:t>
                  </w:r>
                </w:p>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Adresse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Tel :</w:t>
                  </w:r>
                  <w:r>
                    <w:tab/>
                  </w:r>
                  <w:r>
                    <w:tab/>
                  </w:r>
                  <w:r>
                    <w:tab/>
                  </w:r>
                  <w:r>
                    <w:tab/>
                  </w:r>
                  <w:r>
                    <w:tab/>
                    <w:t xml:space="preserve"> Fax :</w:t>
                  </w:r>
                  <w:r>
                    <w:tab/>
                  </w:r>
                  <w:r>
                    <w:tab/>
                  </w:r>
                  <w:r>
                    <w:tab/>
                  </w:r>
                  <w:r>
                    <w:tab/>
                    <w:t xml:space="preserve"> E-mail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Date :</w:t>
                  </w:r>
                  <w:r>
                    <w:tab/>
                  </w:r>
                  <w:r>
                    <w:tab/>
                  </w:r>
                  <w:r>
                    <w:tab/>
                  </w:r>
                  <w:r>
                    <w:tab/>
                  </w:r>
                  <w:r>
                    <w:tab/>
                  </w:r>
                  <w:r>
                    <w:tab/>
                    <w:t xml:space="preserve"> Signature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Cachet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ci-après, dénommé la structure d’accueil cédante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ET</w:t>
                  </w:r>
                </w:p>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Madame/Monsieur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Administrateur(trice) de l’internat, du home d’accueil ou du home d’accueil permanent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de l’internat, du home d’accueil ou du home d’accueil permanent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N° FASE :</w:t>
                  </w:r>
                </w:p>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Adresse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Tel :</w:t>
                  </w:r>
                  <w:r>
                    <w:tab/>
                  </w:r>
                  <w:r>
                    <w:tab/>
                  </w:r>
                  <w:r>
                    <w:tab/>
                  </w:r>
                  <w:r>
                    <w:tab/>
                  </w:r>
                  <w:r>
                    <w:tab/>
                    <w:t xml:space="preserve"> Fax :</w:t>
                  </w:r>
                  <w:r>
                    <w:tab/>
                  </w:r>
                  <w:r>
                    <w:tab/>
                  </w:r>
                  <w:r>
                    <w:tab/>
                  </w:r>
                  <w:r>
                    <w:tab/>
                    <w:t xml:space="preserve"> E-mail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Date :</w:t>
                  </w:r>
                  <w:r>
                    <w:tab/>
                  </w:r>
                  <w:r>
                    <w:tab/>
                  </w:r>
                  <w:r>
                    <w:tab/>
                  </w:r>
                  <w:r>
                    <w:tab/>
                  </w:r>
                  <w:r>
                    <w:tab/>
                  </w:r>
                  <w:r>
                    <w:tab/>
                    <w:t xml:space="preserve"> Signature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Cachet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ci-après, dénommé la structure d’accueil bénéficiaire.</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Il est convenu ce qui suit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La structure d’accueil cédante accepte de transférer          périodes de son reliquat à la structure d’accueil bénéficiaire, du 1</w:t>
                  </w:r>
                  <w:r>
                    <w:rPr>
                      <w:vertAlign w:val="superscript"/>
                    </w:rPr>
                    <w:t xml:space="preserve">er </w:t>
                  </w:r>
                  <w:r>
                    <w:t>octobre de l’année scolaire en cours jusqu’au 30 septembre de l’année scolaire suivante.</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rPr>
                      <w:b/>
                    </w:rPr>
                    <w:t>Document à annexer :</w:t>
                  </w:r>
                  <w:r>
                    <w:t xml:space="preserve"> copie de la décision du pouvoir organisateur et de l’avis du comité de concertation de base.</w:t>
                  </w:r>
                </w:p>
                <w:p>
                  <w:pPr>
                    <w:pStyle w:val="Paragraphedeliste"/>
                    <w:pBdr>
                      <w:top w:val="single" w:sz="2" w:space="1" w:color="auto"/>
                    </w:pBdr>
                    <w:ind w:left="0"/>
                    <w:rPr>
                      <w:rFonts w:asciiTheme="majorHAnsi" w:hAnsiTheme="majorHAnsi"/>
                      <w:i/>
                      <w:sz w:val="22"/>
                      <w:szCs w:val="22"/>
                    </w:rPr>
                  </w:pPr>
                  <w:r>
                    <w:rPr>
                      <w:rFonts w:asciiTheme="majorHAnsi" w:hAnsiTheme="majorHAnsi"/>
                      <w:i/>
                      <w:sz w:val="22"/>
                      <w:szCs w:val="22"/>
                    </w:rPr>
                    <w:t>* Biffer les mentions inutiles</w:t>
                  </w:r>
                  <w:r>
                    <w:rPr>
                      <w:rFonts w:asciiTheme="majorHAnsi" w:hAnsiTheme="majorHAnsi"/>
                      <w:b/>
                      <w:sz w:val="22"/>
                      <w:szCs w:val="22"/>
                    </w:rPr>
                    <w:br w:type="page"/>
                  </w:r>
                </w:p>
                <w:p>
                  <w:pPr>
                    <w:pStyle w:val="Titre4"/>
                  </w:pPr>
                  <w:bookmarkStart w:id="2607" w:name="_Annexe_1_:_6"/>
                  <w:bookmarkStart w:id="2608" w:name="_Toc453314421"/>
                  <w:bookmarkStart w:id="2609" w:name="_Toc454980456"/>
                  <w:bookmarkEnd w:id="2607"/>
                  <w:r>
                    <w:t>Annexe 2 : Attestation de fréquentation d’un établissement d’enseignement spécialisé à l’attention d’une structure d’accueil</w:t>
                  </w:r>
                  <w:bookmarkEnd w:id="2608"/>
                  <w:bookmarkEnd w:id="2609"/>
                </w:p>
                <w:p>
                  <w:pPr>
                    <w:jc w:val="center"/>
                  </w:pPr>
                </w:p>
                <w:p>
                  <w:pPr>
                    <w:jc w:val="center"/>
                    <w:rPr>
                      <w:b/>
                      <w:caps/>
                    </w:rPr>
                  </w:pPr>
                  <w:r>
                    <w:rPr>
                      <w:b/>
                      <w:caps/>
                    </w:rPr>
                    <w:t>Communauté française</w:t>
                  </w:r>
                </w:p>
                <w:p>
                  <w:pPr>
                    <w:jc w:val="center"/>
                  </w:pPr>
                </w:p>
                <w:p>
                  <w:pPr>
                    <w:pStyle w:val="Titre"/>
                    <w:rPr>
                      <w:sz w:val="22"/>
                      <w:szCs w:val="22"/>
                    </w:rPr>
                  </w:pPr>
                </w:p>
                <w:p/>
                <w:p>
                  <w:r>
                    <w:t>DENOMINATION ET SIEGE DE L’ETABLISSEMENT</w:t>
                  </w:r>
                </w:p>
                <w:p/>
                <w:p/>
                <w:p/>
                <w:p>
                  <w:r>
                    <w:t>Numéro FASE :</w:t>
                  </w:r>
                </w:p>
                <w:p/>
                <w:p>
                  <w:r>
                    <w:t xml:space="preserve">Je soussigné(e) </w:t>
                  </w:r>
                </w:p>
                <w:p/>
                <w:p>
                  <w:r>
                    <w:t>Chef(fe) de l’établissement susmentionné, atteste que</w:t>
                  </w:r>
                </w:p>
                <w:p/>
                <w:p>
                  <w:r>
                    <w:t xml:space="preserve">(NOM , Prénom) </w:t>
                  </w:r>
                </w:p>
                <w:p/>
                <w:p>
                  <w:r>
                    <w:t xml:space="preserve">Né(e) le </w:t>
                  </w:r>
                  <w:r>
                    <w:tab/>
                  </w:r>
                  <w:r>
                    <w:tab/>
                  </w:r>
                  <w:r>
                    <w:tab/>
                  </w:r>
                  <w:r>
                    <w:tab/>
                  </w:r>
                  <w:r>
                    <w:tab/>
                  </w:r>
                  <w:r>
                    <w:tab/>
                  </w:r>
                  <w:r>
                    <w:tab/>
                    <w:t xml:space="preserve">, à </w:t>
                  </w:r>
                </w:p>
                <w:p/>
                <w:p>
                  <w:r>
                    <w:t>suit les cours au sein de notre établissement pendant l’année scolaire 20…. – 20… et relève des niveau, type et forme suivants :</w:t>
                  </w:r>
                </w:p>
                <w:p/>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tc>
                      <w:tcPr>
                        <w:tcW w:w="3070" w:type="dxa"/>
                      </w:tcPr>
                      <w:p>
                        <w:r>
                          <w:t>Niveau</w:t>
                        </w:r>
                      </w:p>
                    </w:tc>
                    <w:tc>
                      <w:tcPr>
                        <w:tcW w:w="3071" w:type="dxa"/>
                      </w:tcPr>
                      <w:p>
                        <w:r>
                          <w:t>Type</w:t>
                        </w:r>
                      </w:p>
                    </w:tc>
                    <w:tc>
                      <w:tcPr>
                        <w:tcW w:w="3071" w:type="dxa"/>
                      </w:tcPr>
                      <w:p>
                        <w:r>
                          <w:t>Forme</w:t>
                        </w:r>
                      </w:p>
                    </w:tc>
                  </w:tr>
                  <w:tr>
                    <w:tc>
                      <w:tcPr>
                        <w:tcW w:w="3070" w:type="dxa"/>
                      </w:tcPr>
                      <w:p>
                        <w:r>
                          <w:t>Fondamental</w:t>
                        </w:r>
                      </w:p>
                    </w:tc>
                    <w:tc>
                      <w:tcPr>
                        <w:tcW w:w="3071" w:type="dxa"/>
                      </w:tcPr>
                      <w:p/>
                    </w:tc>
                    <w:tc>
                      <w:tcPr>
                        <w:tcW w:w="3071" w:type="dxa"/>
                        <w:shd w:val="thinDiagCross" w:color="auto" w:fill="auto"/>
                      </w:tcPr>
                      <w:p/>
                    </w:tc>
                  </w:tr>
                  <w:tr>
                    <w:tc>
                      <w:tcPr>
                        <w:tcW w:w="3070" w:type="dxa"/>
                      </w:tcPr>
                      <w:p>
                        <w:r>
                          <w:t>Secondaire</w:t>
                        </w:r>
                      </w:p>
                    </w:tc>
                    <w:tc>
                      <w:tcPr>
                        <w:tcW w:w="3071" w:type="dxa"/>
                      </w:tcPr>
                      <w:p/>
                    </w:tc>
                    <w:tc>
                      <w:tcPr>
                        <w:tcW w:w="3071" w:type="dxa"/>
                        <w:shd w:val="clear" w:color="auto" w:fill="FFFFFF"/>
                      </w:tcPr>
                      <w:p/>
                    </w:tc>
                  </w:tr>
                </w:tbl>
                <w:p/>
                <w:p/>
                <w:p>
                  <w:r>
                    <w:t>Sceau de l’établissement</w:t>
                  </w:r>
                  <w:r>
                    <w:tab/>
                  </w:r>
                  <w:r>
                    <w:tab/>
                  </w:r>
                  <w:r>
                    <w:tab/>
                  </w:r>
                  <w:r>
                    <w:tab/>
                  </w:r>
                  <w:r>
                    <w:tab/>
                  </w:r>
                  <w:r>
                    <w:tab/>
                    <w:t>Lieu et date</w:t>
                  </w:r>
                </w:p>
                <w:p/>
                <w:p/>
                <w:p/>
                <w:p/>
                <w:p>
                  <w:r>
                    <w:t>Le (La) Chef(fe) d’établissement</w:t>
                  </w:r>
                </w:p>
                <w:p>
                  <w:r>
                    <w:t>(NOM et signature)</w:t>
                  </w:r>
                </w:p>
                <w:p/>
                <w:p/>
                <w:p>
                  <w:pPr>
                    <w:rPr>
                      <w:b/>
                    </w:rPr>
                  </w:pPr>
                </w:p>
                <w:p>
                  <w:r>
                    <w:br w:type="page"/>
                  </w:r>
                </w:p>
                <w:sdt>
                  <w:sdtPr>
                    <w:rPr>
                      <w:rFonts w:asciiTheme="majorHAnsi" w:eastAsiaTheme="minorHAnsi" w:hAnsiTheme="majorHAnsi"/>
                      <w:sz w:val="24"/>
                      <w:lang w:eastAsia="en-US"/>
                    </w:rPr>
                    <w:id w:val="2115320288"/>
                    <w:docPartObj>
                      <w:docPartGallery w:val="Cover Pages"/>
                      <w:docPartUnique/>
                    </w:docPartObj>
                  </w:sdtPr>
                  <w:sdtEndPr>
                    <w:rPr>
                      <w:sz w:val="22"/>
                    </w:rPr>
                  </w:sdtEndPr>
                  <w:sdtContent>
                    <w:p>
                      <w:pPr>
                        <w:pStyle w:val="Sansinterligne"/>
                        <w:jc w:val="both"/>
                        <w:rPr>
                          <w:rFonts w:asciiTheme="majorHAnsi" w:hAnsiTheme="majorHAnsi"/>
                        </w:rPr>
                      </w:pPr>
                    </w:p>
                    <w:p>
                      <w:pPr>
                        <w:pStyle w:val="Titre2"/>
                      </w:pPr>
                      <w:bookmarkStart w:id="2610" w:name="_chapitre_12_:"/>
                      <w:bookmarkStart w:id="2611" w:name="_Toc477623769"/>
                      <w:bookmarkStart w:id="2612" w:name="_Toc477767593"/>
                      <w:bookmarkStart w:id="2613" w:name="_Toc18914474"/>
                      <w:bookmarkEnd w:id="2610"/>
                      <w:r>
                        <w:t>Chapitre</w:t>
                      </w:r>
                      <w:bookmarkEnd w:id="2611"/>
                      <w:bookmarkEnd w:id="2612"/>
                      <w:r>
                        <w:t xml:space="preserve"> 12 : </w:t>
                      </w:r>
                      <w:bookmarkStart w:id="2614" w:name="_Toc477623770"/>
                      <w:bookmarkStart w:id="2615" w:name="_Toc477767594"/>
                      <w:r>
                        <w:t>Formalités administratives pour les élèves fréquentant l’enseignement spécialisé de type 5</w:t>
                      </w:r>
                      <w:bookmarkEnd w:id="2614"/>
                      <w:bookmarkEnd w:id="2615"/>
                      <w:bookmarkEnd w:id="2613"/>
                    </w:p>
                    <w:p>
                      <w:pPr>
                        <w:jc w:val="both"/>
                      </w:pPr>
                    </w:p>
                    <w:p>
                      <w:pPr>
                        <w:jc w:val="both"/>
                        <w:rPr>
                          <w:rFonts w:eastAsiaTheme="minorEastAsia"/>
                          <w:lang w:eastAsia="fr-BE"/>
                        </w:rPr>
                      </w:pPr>
                    </w:p>
                    <w:p>
                      <w:pPr>
                        <w:jc w:val="both"/>
                        <w:rPr>
                          <w:rFonts w:eastAsiaTheme="minorEastAsia"/>
                          <w:lang w:eastAsia="fr-BE"/>
                        </w:rPr>
                      </w:pPr>
                    </w:p>
                    <w:p>
                      <w:pPr>
                        <w:jc w:val="both"/>
                        <w:rPr>
                          <w:rFonts w:eastAsiaTheme="minorEastAsia"/>
                          <w:lang w:eastAsia="fr-BE"/>
                        </w:rPr>
                      </w:pPr>
                    </w:p>
                  </w:sdtContent>
                </w:sdt>
                <w:p>
                  <w:pPr>
                    <w:jc w:val="both"/>
                    <w:rPr>
                      <w:b/>
                      <w:u w:val="single"/>
                    </w:rPr>
                  </w:pPr>
                  <w:r>
                    <w:rPr>
                      <w:b/>
                      <w:u w:val="single"/>
                    </w:rPr>
                    <w:t xml:space="preserve">Base légale : </w:t>
                  </w:r>
                </w:p>
                <w:p>
                  <w:pPr>
                    <w:jc w:val="both"/>
                    <w:rPr>
                      <w:b/>
                      <w:u w:val="single"/>
                    </w:rPr>
                  </w:pPr>
                </w:p>
                <w:p>
                  <w:pPr>
                    <w:numPr>
                      <w:ilvl w:val="0"/>
                      <w:numId w:val="128"/>
                    </w:numPr>
                    <w:suppressAutoHyphens/>
                    <w:jc w:val="both"/>
                  </w:pPr>
                  <w:hyperlink r:id="rId169" w:history="1">
                    <w:r>
                      <w:rPr>
                        <w:rStyle w:val="Lienhypertexte"/>
                        <w:rFonts w:cs="Arial"/>
                      </w:rPr>
                      <w:t>Décret du 3 mars 2004 organisant l’enseignement spécialisé</w:t>
                    </w:r>
                  </w:hyperlink>
                </w:p>
                <w:p>
                  <w:pPr>
                    <w:numPr>
                      <w:ilvl w:val="0"/>
                      <w:numId w:val="128"/>
                    </w:numPr>
                    <w:suppressAutoHyphens/>
                    <w:jc w:val="both"/>
                    <w:rPr>
                      <w:rStyle w:val="Lienhypertexte"/>
                      <w:rFonts w:cs="Arial"/>
                      <w:color w:val="FF0000"/>
                    </w:rPr>
                  </w:pPr>
                  <w:hyperlink r:id="rId170" w:history="1">
                    <w:r>
                      <w:rPr>
                        <w:rStyle w:val="Lienhypertexte"/>
                        <w:rFonts w:cs="Arial"/>
                      </w:rPr>
                      <w:t>Circulaire n°5088 du 12 décembre 2014 relative à l’enseignement spécialisé de type 5</w:t>
                    </w:r>
                  </w:hyperlink>
                </w:p>
                <w:p>
                  <w:pPr>
                    <w:numPr>
                      <w:ilvl w:val="0"/>
                      <w:numId w:val="128"/>
                    </w:numPr>
                    <w:suppressAutoHyphens/>
                    <w:jc w:val="both"/>
                    <w:rPr>
                      <w:rStyle w:val="Lienhypertexte"/>
                      <w:rFonts w:cs="Arial"/>
                      <w:color w:val="FF0000"/>
                    </w:rPr>
                  </w:pPr>
                  <w:hyperlink r:id="rId171" w:history="1">
                    <w:r>
                      <w:rPr>
                        <w:rStyle w:val="Lienhypertexte"/>
                        <w:rFonts w:cs="Arial"/>
                      </w:rPr>
                      <w:t>Loi 29 mai 1959 modifiant certaines dispositions de la législation de l’enseignement</w:t>
                    </w:r>
                  </w:hyperlink>
                </w:p>
                <w:p>
                  <w:pPr>
                    <w:suppressAutoHyphens/>
                    <w:ind w:left="360"/>
                    <w:jc w:val="both"/>
                    <w:rPr>
                      <w:rStyle w:val="Lienhypertexte"/>
                      <w:rFonts w:cs="Arial"/>
                      <w:color w:val="FF0000"/>
                    </w:rPr>
                  </w:pPr>
                </w:p>
                <w:p>
                  <w:pPr>
                    <w:jc w:val="both"/>
                  </w:pPr>
                </w:p>
                <w:p>
                  <w:pPr>
                    <w:jc w:val="both"/>
                  </w:pPr>
                  <w:r>
                    <w:t xml:space="preserve">La brièveté de la plupart des séjours des élèves en milieu hospitalier dans l'enseignement spécialisé de type 5 et la continuelle variation de la population créent des </w:t>
                  </w:r>
                  <w:r>
                    <w:rPr>
                      <w:b/>
                    </w:rPr>
                    <w:t>conditions de fonctionnement très spécifiques</w:t>
                  </w:r>
                  <w:r>
                    <w:t>, à la fois du point de vue administratif et du point de vue pédagogique.</w:t>
                  </w:r>
                </w:p>
                <w:p>
                  <w:pPr>
                    <w:jc w:val="both"/>
                  </w:pP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strike/>
                      <w:color w:val="FF0000"/>
                    </w:rPr>
                  </w:pPr>
                  <w:r>
                    <w:t>L’article 8 § 5, alinéa 2 du Décret du 3 mars 2004 organisant l’enseignement spécialisé tel que modifié permet à l’enseignement de type 5 d’être dispensé quel que soit le lieu où séjourne l’élève durant sa maladie ou sa convalescence.</w:t>
                  </w:r>
                  <w:r>
                    <w:rPr>
                      <w:strike/>
                      <w:color w:val="FF0000"/>
                    </w:rPr>
                    <w:t xml:space="preserve"> </w:t>
                  </w:r>
                </w:p>
                <w:p>
                  <w:pPr>
                    <w:jc w:val="both"/>
                  </w:pPr>
                </w:p>
                <w:p>
                  <w:pPr>
                    <w:jc w:val="both"/>
                  </w:pPr>
                  <w:r>
                    <w:t>Comme pour un séjour en milieu hospitalier, il n’est pas requis que cet encadrement individuel s’il s’opère au domicile de l’élève, par exemple, dure une journée complète pendant toute la période de sa convalescence.</w:t>
                  </w:r>
                </w:p>
                <w:p>
                  <w:pPr>
                    <w:jc w:val="both"/>
                    <w:rPr>
                      <w:lang w:val="fr-FR"/>
                    </w:rPr>
                  </w:pPr>
                </w:p>
                <w:p>
                  <w:pPr>
                    <w:jc w:val="both"/>
                  </w:pPr>
                  <w:r>
                    <w:t xml:space="preserve">Le présent chapitre se limite à </w:t>
                  </w:r>
                  <w:r>
                    <w:rPr>
                      <w:b/>
                    </w:rPr>
                    <w:t>l'aspect administratif</w:t>
                  </w:r>
                  <w:r>
                    <w:t xml:space="preserve"> du problème et plus particulièrement aux formalités relatives à l'entrée, au séjour et à la sortie des élèves.</w:t>
                  </w:r>
                </w:p>
                <w:p>
                  <w:pPr>
                    <w:tabs>
                      <w:tab w:val="left" w:pos="962"/>
                      <w:tab w:val="left" w:pos="1134"/>
                      <w:tab w:val="left" w:pos="1303"/>
                      <w:tab w:val="left" w:pos="1586"/>
                      <w:tab w:val="left" w:pos="1813"/>
                      <w:tab w:val="left" w:pos="3174"/>
                      <w:tab w:val="left" w:pos="3967"/>
                      <w:tab w:val="left" w:pos="4591"/>
                      <w:tab w:val="left" w:pos="4818"/>
                    </w:tabs>
                    <w:jc w:val="both"/>
                  </w:pPr>
                </w:p>
                <w:p>
                  <w:pPr>
                    <w:pStyle w:val="Titre3"/>
                  </w:pPr>
                  <w:bookmarkStart w:id="2616" w:name="__RefHeading__231_957262308"/>
                  <w:bookmarkStart w:id="2617" w:name="_1._Entrée_et"/>
                  <w:bookmarkStart w:id="2618" w:name="_Toc291075397"/>
                  <w:bookmarkStart w:id="2619" w:name="_Toc291075821"/>
                  <w:bookmarkStart w:id="2620" w:name="_Toc291076245"/>
                  <w:bookmarkStart w:id="2621" w:name="_Toc291076669"/>
                  <w:bookmarkStart w:id="2622" w:name="_Toc291077093"/>
                  <w:bookmarkStart w:id="2623" w:name="_Toc293651936"/>
                  <w:bookmarkStart w:id="2624" w:name="_Toc293653519"/>
                  <w:bookmarkStart w:id="2625" w:name="_Toc293654130"/>
                  <w:bookmarkStart w:id="2626" w:name="_Toc294004708"/>
                  <w:bookmarkStart w:id="2627" w:name="_Toc294185204"/>
                  <w:bookmarkStart w:id="2628" w:name="_Toc324166022"/>
                  <w:bookmarkStart w:id="2629" w:name="_Toc324767058"/>
                  <w:bookmarkStart w:id="2630" w:name="_Toc453314423"/>
                  <w:bookmarkStart w:id="2631" w:name="_Toc454980458"/>
                  <w:bookmarkStart w:id="2632" w:name="_Toc18914475"/>
                  <w:bookmarkEnd w:id="2616"/>
                  <w:bookmarkEnd w:id="2617"/>
                  <w:r>
                    <w:t>1. Entrée et accueil</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r>
                    <w:t xml:space="preserve"> </w:t>
                  </w:r>
                </w:p>
                <w:p>
                  <w:pPr>
                    <w:jc w:val="both"/>
                  </w:pPr>
                </w:p>
                <w:p>
                  <w:pPr>
                    <w:jc w:val="both"/>
                  </w:pPr>
                  <w:r>
                    <w:t>Selon l’article 12, § 1</w:t>
                  </w:r>
                  <w:r>
                    <w:rPr>
                      <w:vertAlign w:val="superscript"/>
                    </w:rPr>
                    <w:t>er</w:t>
                  </w:r>
                  <w:r>
                    <w:t>, 2° du Décret organisant l’Enseignement spécialisé du 3 mars 2004, l'admission des enfants et adolescents dans le type 5 d'enseignement spécialisé est déterminée par un pédiatre ou par un médecin traitant du service pédiatrie de l'établissement de soins ou de l'institution de prévention.</w:t>
                  </w:r>
                </w:p>
                <w:p>
                  <w:pPr>
                    <w:jc w:val="both"/>
                  </w:pPr>
                </w:p>
                <w:p>
                  <w:pPr>
                    <w:jc w:val="both"/>
                  </w:pPr>
                  <w:r>
                    <w:t xml:space="preserve">L'attestation établie par ce médecin est le seul document nécessaire pour l'inscription dans l'enseignement spécialisé de type 5. </w:t>
                  </w:r>
                </w:p>
                <w:p>
                  <w:pPr>
                    <w:jc w:val="both"/>
                  </w:pPr>
                </w:p>
                <w:p>
                  <w:pPr>
                    <w:jc w:val="both"/>
                  </w:pPr>
                  <w:r>
                    <w:t>Elle portera, dans le coin supérieur droit, le numéro du registre matricule.  L’attestation peut être remplacée par un listing informatisé, édité par le service hospitalier, et signé par le médecin responsable.</w:t>
                  </w:r>
                </w:p>
                <w:p>
                  <w:pPr>
                    <w:jc w:val="both"/>
                  </w:pPr>
                </w:p>
                <w:p>
                  <w:pPr>
                    <w:jc w:val="both"/>
                  </w:pPr>
                  <w:r>
                    <w:t>Les informations dont doit disposer le service de vérification figureront sur cette attestation (par exemple sous la forme d'une vignette informatisée) ou seront fournies sur un document annexé.</w:t>
                  </w:r>
                </w:p>
                <w:p>
                  <w:pPr>
                    <w:jc w:val="both"/>
                  </w:pPr>
                </w:p>
                <w:p>
                  <w:pPr>
                    <w:numPr>
                      <w:ilvl w:val="0"/>
                      <w:numId w:val="12"/>
                    </w:numPr>
                    <w:suppressAutoHyphens/>
                    <w:jc w:val="both"/>
                    <w:rPr>
                      <w:u w:val="single"/>
                    </w:rPr>
                  </w:pPr>
                  <w:r>
                    <w:rPr>
                      <w:u w:val="single"/>
                    </w:rPr>
                    <w:t>Ces informations sont les suivantes :</w:t>
                  </w:r>
                </w:p>
                <w:p>
                  <w:pPr>
                    <w:suppressAutoHyphens/>
                    <w:jc w:val="both"/>
                    <w:rPr>
                      <w:u w:val="single"/>
                    </w:rPr>
                  </w:pPr>
                </w:p>
                <w:p>
                  <w:pPr>
                    <w:numPr>
                      <w:ilvl w:val="0"/>
                      <w:numId w:val="123"/>
                    </w:numPr>
                    <w:tabs>
                      <w:tab w:val="clear" w:pos="360"/>
                      <w:tab w:val="num" w:pos="1080"/>
                    </w:tabs>
                    <w:suppressAutoHyphens/>
                    <w:ind w:left="567" w:firstLine="0"/>
                    <w:jc w:val="both"/>
                  </w:pPr>
                  <w:r>
                    <w:t>Date d’entrée</w:t>
                  </w:r>
                </w:p>
                <w:p>
                  <w:pPr>
                    <w:numPr>
                      <w:ilvl w:val="0"/>
                      <w:numId w:val="123"/>
                    </w:numPr>
                    <w:tabs>
                      <w:tab w:val="clear" w:pos="360"/>
                      <w:tab w:val="num" w:pos="1080"/>
                    </w:tabs>
                    <w:suppressAutoHyphens/>
                    <w:ind w:left="567" w:firstLine="0"/>
                    <w:jc w:val="both"/>
                  </w:pPr>
                  <w:r>
                    <w:t>Nom</w:t>
                  </w:r>
                </w:p>
                <w:p>
                  <w:pPr>
                    <w:numPr>
                      <w:ilvl w:val="0"/>
                      <w:numId w:val="123"/>
                    </w:numPr>
                    <w:tabs>
                      <w:tab w:val="clear" w:pos="360"/>
                      <w:tab w:val="num" w:pos="1080"/>
                    </w:tabs>
                    <w:suppressAutoHyphens/>
                    <w:ind w:left="567" w:firstLine="0"/>
                    <w:jc w:val="both"/>
                  </w:pPr>
                  <w:r>
                    <w:t>Prénom</w:t>
                  </w:r>
                </w:p>
                <w:p>
                  <w:pPr>
                    <w:numPr>
                      <w:ilvl w:val="0"/>
                      <w:numId w:val="123"/>
                    </w:numPr>
                    <w:tabs>
                      <w:tab w:val="clear" w:pos="360"/>
                      <w:tab w:val="num" w:pos="1080"/>
                    </w:tabs>
                    <w:suppressAutoHyphens/>
                    <w:ind w:left="567" w:firstLine="0"/>
                    <w:jc w:val="both"/>
                  </w:pPr>
                  <w:r>
                    <w:t xml:space="preserve">Date de naissance </w:t>
                  </w:r>
                </w:p>
                <w:p>
                  <w:pPr>
                    <w:numPr>
                      <w:ilvl w:val="0"/>
                      <w:numId w:val="123"/>
                    </w:numPr>
                    <w:tabs>
                      <w:tab w:val="clear" w:pos="360"/>
                      <w:tab w:val="num" w:pos="1080"/>
                    </w:tabs>
                    <w:suppressAutoHyphens/>
                    <w:ind w:left="567" w:firstLine="0"/>
                    <w:jc w:val="both"/>
                  </w:pPr>
                  <w:r>
                    <w:t>Nom du chef de famille ou du (de la) tuteur(trice)</w:t>
                  </w:r>
                </w:p>
                <w:p>
                  <w:pPr>
                    <w:numPr>
                      <w:ilvl w:val="0"/>
                      <w:numId w:val="123"/>
                    </w:numPr>
                    <w:tabs>
                      <w:tab w:val="clear" w:pos="360"/>
                      <w:tab w:val="num" w:pos="1080"/>
                    </w:tabs>
                    <w:suppressAutoHyphens/>
                    <w:ind w:left="567" w:firstLine="0"/>
                    <w:jc w:val="both"/>
                  </w:pPr>
                  <w:r>
                    <w:t>Adresse</w:t>
                  </w:r>
                </w:p>
                <w:p>
                  <w:pPr>
                    <w:numPr>
                      <w:ilvl w:val="0"/>
                      <w:numId w:val="123"/>
                    </w:numPr>
                    <w:tabs>
                      <w:tab w:val="clear" w:pos="360"/>
                      <w:tab w:val="num" w:pos="1080"/>
                    </w:tabs>
                    <w:suppressAutoHyphens/>
                    <w:ind w:left="567" w:firstLine="0"/>
                    <w:jc w:val="both"/>
                  </w:pPr>
                  <w:r>
                    <w:t>Sexe</w:t>
                  </w:r>
                </w:p>
                <w:p>
                  <w:pPr>
                    <w:numPr>
                      <w:ilvl w:val="0"/>
                      <w:numId w:val="123"/>
                    </w:numPr>
                    <w:tabs>
                      <w:tab w:val="clear" w:pos="360"/>
                      <w:tab w:val="num" w:pos="1080"/>
                    </w:tabs>
                    <w:suppressAutoHyphens/>
                    <w:ind w:left="567" w:firstLine="0"/>
                    <w:jc w:val="both"/>
                  </w:pPr>
                  <w:r>
                    <w:t>Nationalité</w:t>
                  </w:r>
                </w:p>
                <w:p>
                  <w:pPr>
                    <w:jc w:val="both"/>
                  </w:pPr>
                </w:p>
                <w:p>
                  <w:pPr>
                    <w:pStyle w:val="Titre3"/>
                  </w:pPr>
                  <w:bookmarkStart w:id="2633" w:name="__RefHeading__233_957262308"/>
                  <w:bookmarkStart w:id="2634" w:name="_Toc291075398"/>
                  <w:bookmarkStart w:id="2635" w:name="_Toc291075822"/>
                  <w:bookmarkStart w:id="2636" w:name="_Toc291076246"/>
                  <w:bookmarkStart w:id="2637" w:name="_Toc291076670"/>
                  <w:bookmarkStart w:id="2638" w:name="_Toc291077094"/>
                  <w:bookmarkStart w:id="2639" w:name="_Toc293651937"/>
                  <w:bookmarkStart w:id="2640" w:name="_Toc293653520"/>
                  <w:bookmarkStart w:id="2641" w:name="_Toc293654131"/>
                  <w:bookmarkStart w:id="2642" w:name="_Toc294004709"/>
                  <w:bookmarkStart w:id="2643" w:name="_Toc294185205"/>
                  <w:bookmarkStart w:id="2644" w:name="_Toc324166023"/>
                  <w:bookmarkStart w:id="2645" w:name="_Toc324767059"/>
                  <w:bookmarkStart w:id="2646" w:name="_Toc453314424"/>
                  <w:bookmarkStart w:id="2647" w:name="_Toc454980459"/>
                  <w:bookmarkStart w:id="2648" w:name="_Toc18914476"/>
                  <w:bookmarkEnd w:id="2633"/>
                  <w:r>
                    <w:t>2. Séjour</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pPr>
                    <w:tabs>
                      <w:tab w:val="left" w:pos="962"/>
                      <w:tab w:val="left" w:pos="1134"/>
                      <w:tab w:val="left" w:pos="1303"/>
                      <w:tab w:val="left" w:pos="1586"/>
                      <w:tab w:val="left" w:pos="1813"/>
                      <w:tab w:val="left" w:pos="3174"/>
                      <w:tab w:val="left" w:pos="3967"/>
                      <w:tab w:val="left" w:pos="4591"/>
                      <w:tab w:val="left" w:pos="4818"/>
                    </w:tabs>
                    <w:jc w:val="both"/>
                  </w:pPr>
                </w:p>
                <w:p>
                  <w:pPr>
                    <w:jc w:val="both"/>
                    <w:rPr>
                      <w:u w:val="single"/>
                    </w:rPr>
                  </w:pPr>
                  <w:r>
                    <w:rPr>
                      <w:u w:val="single"/>
                    </w:rPr>
                    <w:t>Deux registres doivent être tenus à jour :</w:t>
                  </w:r>
                </w:p>
                <w:p>
                  <w:pPr>
                    <w:jc w:val="both"/>
                    <w:rPr>
                      <w:u w:val="single"/>
                    </w:rPr>
                  </w:pPr>
                </w:p>
                <w:p>
                  <w:pPr>
                    <w:numPr>
                      <w:ilvl w:val="0"/>
                      <w:numId w:val="125"/>
                    </w:numPr>
                    <w:tabs>
                      <w:tab w:val="clear" w:pos="360"/>
                      <w:tab w:val="num" w:pos="1080"/>
                    </w:tabs>
                    <w:suppressAutoHyphens/>
                    <w:ind w:left="567" w:firstLine="0"/>
                    <w:jc w:val="both"/>
                  </w:pPr>
                  <w:r>
                    <w:t>le registre matricule.</w:t>
                  </w:r>
                </w:p>
                <w:p>
                  <w:pPr>
                    <w:numPr>
                      <w:ilvl w:val="0"/>
                      <w:numId w:val="125"/>
                    </w:numPr>
                    <w:tabs>
                      <w:tab w:val="clear" w:pos="360"/>
                      <w:tab w:val="num" w:pos="1080"/>
                    </w:tabs>
                    <w:suppressAutoHyphens/>
                    <w:ind w:left="567" w:firstLine="0"/>
                    <w:jc w:val="both"/>
                  </w:pPr>
                  <w:r>
                    <w:t>le registre des présences.</w:t>
                  </w:r>
                </w:p>
                <w:p>
                  <w:pPr>
                    <w:jc w:val="both"/>
                  </w:pPr>
                </w:p>
                <w:p>
                  <w:pPr>
                    <w:pStyle w:val="Titre4"/>
                  </w:pPr>
                  <w:bookmarkStart w:id="2649" w:name="_Toc291075399"/>
                  <w:bookmarkStart w:id="2650" w:name="_Toc291075823"/>
                  <w:bookmarkStart w:id="2651" w:name="_Toc291076247"/>
                  <w:bookmarkStart w:id="2652" w:name="_Toc291076671"/>
                  <w:bookmarkStart w:id="2653" w:name="_Toc291077095"/>
                  <w:bookmarkStart w:id="2654" w:name="_Toc293651938"/>
                  <w:bookmarkStart w:id="2655" w:name="_Toc293653521"/>
                  <w:bookmarkStart w:id="2656" w:name="_Toc293654132"/>
                  <w:bookmarkStart w:id="2657" w:name="_Toc294004710"/>
                  <w:bookmarkStart w:id="2658" w:name="_Toc294185206"/>
                  <w:bookmarkStart w:id="2659" w:name="_Toc324166024"/>
                  <w:bookmarkStart w:id="2660" w:name="_Toc324767060"/>
                  <w:bookmarkStart w:id="2661" w:name="_Toc324767918"/>
                  <w:bookmarkStart w:id="2662" w:name="_Toc453314425"/>
                  <w:bookmarkStart w:id="2663" w:name="_Toc454980460"/>
                  <w:r>
                    <w:t>2.1. Registre matricule</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pPr>
                    <w:jc w:val="both"/>
                  </w:pPr>
                </w:p>
                <w:p>
                  <w:pPr>
                    <w:jc w:val="both"/>
                    <w:rPr>
                      <w:u w:val="single"/>
                    </w:rPr>
                  </w:pPr>
                  <w:r>
                    <w:rPr>
                      <w:u w:val="single"/>
                    </w:rPr>
                    <w:t>Le registre matricule reprend les élèves dans l'ordre chronologique des dates d'inscription.  Il est divisé en colonnes correspondant aux rubriques suivantes :</w:t>
                  </w:r>
                </w:p>
                <w:p>
                  <w:pPr>
                    <w:jc w:val="both"/>
                    <w:rPr>
                      <w:u w:val="single"/>
                    </w:rPr>
                  </w:pPr>
                </w:p>
                <w:p>
                  <w:pPr>
                    <w:numPr>
                      <w:ilvl w:val="0"/>
                      <w:numId w:val="124"/>
                    </w:numPr>
                    <w:tabs>
                      <w:tab w:val="clear" w:pos="360"/>
                    </w:tabs>
                    <w:suppressAutoHyphens/>
                    <w:ind w:left="1134" w:hanging="567"/>
                    <w:jc w:val="both"/>
                  </w:pPr>
                  <w:r>
                    <w:t>Numéro de matricule</w:t>
                  </w:r>
                </w:p>
                <w:p>
                  <w:pPr>
                    <w:numPr>
                      <w:ilvl w:val="0"/>
                      <w:numId w:val="124"/>
                    </w:numPr>
                    <w:tabs>
                      <w:tab w:val="clear" w:pos="360"/>
                    </w:tabs>
                    <w:suppressAutoHyphens/>
                    <w:ind w:left="1134" w:hanging="567"/>
                    <w:jc w:val="both"/>
                  </w:pPr>
                  <w:r>
                    <w:t>Date d’entrée</w:t>
                  </w:r>
                </w:p>
                <w:p>
                  <w:pPr>
                    <w:numPr>
                      <w:ilvl w:val="0"/>
                      <w:numId w:val="124"/>
                    </w:numPr>
                    <w:tabs>
                      <w:tab w:val="clear" w:pos="360"/>
                    </w:tabs>
                    <w:suppressAutoHyphens/>
                    <w:ind w:left="1134" w:hanging="567"/>
                    <w:jc w:val="both"/>
                  </w:pPr>
                  <w:r>
                    <w:t>Nom et prénom</w:t>
                  </w:r>
                </w:p>
                <w:p>
                  <w:pPr>
                    <w:numPr>
                      <w:ilvl w:val="0"/>
                      <w:numId w:val="124"/>
                    </w:numPr>
                    <w:tabs>
                      <w:tab w:val="clear" w:pos="360"/>
                    </w:tabs>
                    <w:suppressAutoHyphens/>
                    <w:ind w:left="1134" w:hanging="567"/>
                    <w:jc w:val="both"/>
                  </w:pPr>
                  <w:r>
                    <w:t>Date de sortie</w:t>
                  </w:r>
                </w:p>
                <w:p>
                  <w:pPr>
                    <w:jc w:val="both"/>
                  </w:pPr>
                </w:p>
                <w:p>
                  <w:pPr>
                    <w:pStyle w:val="Titre4"/>
                  </w:pPr>
                  <w:bookmarkStart w:id="2664" w:name="_2.2._Registre_des"/>
                  <w:bookmarkStart w:id="2665" w:name="_Toc291075400"/>
                  <w:bookmarkStart w:id="2666" w:name="_Toc291075824"/>
                  <w:bookmarkStart w:id="2667" w:name="_Toc291076248"/>
                  <w:bookmarkStart w:id="2668" w:name="_Toc291076672"/>
                  <w:bookmarkStart w:id="2669" w:name="_Toc291077096"/>
                  <w:bookmarkStart w:id="2670" w:name="_Toc293651939"/>
                  <w:bookmarkStart w:id="2671" w:name="_Toc293653522"/>
                  <w:bookmarkStart w:id="2672" w:name="_Toc293654133"/>
                  <w:bookmarkStart w:id="2673" w:name="_Toc294004711"/>
                  <w:bookmarkStart w:id="2674" w:name="_Toc294185207"/>
                  <w:bookmarkStart w:id="2675" w:name="_Toc324166025"/>
                  <w:bookmarkStart w:id="2676" w:name="_Toc324767061"/>
                  <w:bookmarkStart w:id="2677" w:name="_Toc324767919"/>
                  <w:bookmarkStart w:id="2678" w:name="_Toc453314426"/>
                  <w:bookmarkStart w:id="2679" w:name="_Toc454980461"/>
                  <w:bookmarkEnd w:id="2664"/>
                  <w:r>
                    <w:t>2.2. Registre des présences</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pPr>
                    <w:jc w:val="both"/>
                  </w:pPr>
                </w:p>
                <w:p>
                  <w:pPr>
                    <w:jc w:val="both"/>
                  </w:pPr>
                  <w:r>
                    <w:t>Durant leur séjour dans l'enseignement spécialisé de type 5, la présence journalière des élèves doit être consignée dans un registre appelé «registre des présences ».</w:t>
                  </w:r>
                </w:p>
                <w:p>
                  <w:pPr>
                    <w:jc w:val="both"/>
                  </w:pPr>
                </w:p>
                <w:p>
                  <w:pPr>
                    <w:jc w:val="both"/>
                  </w:pPr>
                  <w:r>
                    <w:t xml:space="preserve">Vu la variation continuelle de cette population scolaire, on n'adoptera pas dans ce registre, contrairement aux habitudes, un classement alphabétique des élèves mais bien un classement </w:t>
                  </w:r>
                  <w:r>
                    <w:rPr>
                      <w:u w:val="single"/>
                    </w:rPr>
                    <w:t>chronologique </w:t>
                  </w:r>
                  <w:r>
                    <w:t>: c'est-à-dire que les élèves y seront repris par ordre de leur date d'inscription dans l'enseignement de type 5.</w:t>
                  </w:r>
                </w:p>
                <w:p>
                  <w:pPr>
                    <w:jc w:val="both"/>
                  </w:pPr>
                </w:p>
                <w:p>
                  <w:pPr>
                    <w:jc w:val="both"/>
                  </w:pPr>
                  <w:r>
                    <w:t>Au niveau de la comptabilisation des élèves bénéficiant d’un enseignement de type 5 dans un autre lieu qu’à l’hôpital, la pratique est la même qu’en milieu hospitalier. La présence de l’élève est consignée dans le registre des présences même s’il n’a bénéficié que de quelques heures d’enseignement. Les élèves bénéficiant d’un enseignement de type 5 dans un autre lieu qu’à l’hôpital doivent avoir été hospitalisés avant cette prise en charge et ils doivent être sous certificat médical pendant la durée de leur convalescence.</w:t>
                  </w:r>
                </w:p>
                <w:p>
                  <w:pPr>
                    <w:jc w:val="both"/>
                  </w:pPr>
                </w:p>
                <w:p>
                  <w:pPr>
                    <w:jc w:val="both"/>
                  </w:pPr>
                  <w:r>
                    <w:t>Le registre est tenu par le titulaire de classe, qui pointe les présences chaque jour. Il comprend :</w:t>
                  </w:r>
                </w:p>
                <w:p>
                  <w:pPr>
                    <w:jc w:val="both"/>
                  </w:pPr>
                </w:p>
                <w:p>
                  <w:pPr>
                    <w:numPr>
                      <w:ilvl w:val="0"/>
                      <w:numId w:val="122"/>
                    </w:numPr>
                    <w:tabs>
                      <w:tab w:val="clear" w:pos="360"/>
                      <w:tab w:val="num" w:pos="1080"/>
                    </w:tabs>
                    <w:suppressAutoHyphens/>
                    <w:ind w:left="567" w:firstLine="0"/>
                    <w:jc w:val="both"/>
                  </w:pPr>
                  <w:r>
                    <w:t>Le numéro matricule de l’élève</w:t>
                  </w:r>
                </w:p>
                <w:p>
                  <w:pPr>
                    <w:numPr>
                      <w:ilvl w:val="0"/>
                      <w:numId w:val="122"/>
                    </w:numPr>
                    <w:tabs>
                      <w:tab w:val="clear" w:pos="360"/>
                      <w:tab w:val="num" w:pos="1080"/>
                    </w:tabs>
                    <w:suppressAutoHyphens/>
                    <w:ind w:left="567" w:firstLine="0"/>
                    <w:jc w:val="both"/>
                  </w:pPr>
                  <w:r>
                    <w:t>Ses nom et prénom</w:t>
                  </w:r>
                </w:p>
                <w:p>
                  <w:pPr>
                    <w:numPr>
                      <w:ilvl w:val="0"/>
                      <w:numId w:val="122"/>
                    </w:numPr>
                    <w:tabs>
                      <w:tab w:val="clear" w:pos="360"/>
                      <w:tab w:val="num" w:pos="1080"/>
                    </w:tabs>
                    <w:suppressAutoHyphens/>
                    <w:ind w:left="567" w:firstLine="0"/>
                    <w:jc w:val="both"/>
                  </w:pPr>
                  <w:r>
                    <w:t>Sa date de naissance</w:t>
                  </w:r>
                </w:p>
                <w:p>
                  <w:pPr>
                    <w:jc w:val="both"/>
                  </w:pPr>
                </w:p>
                <w:p>
                  <w:pPr>
                    <w:jc w:val="both"/>
                  </w:pPr>
                  <w:r>
                    <w:t>Par ailleurs, le titulaire de classe tient également une fiche pédagogique sur laquelle figure :</w:t>
                  </w:r>
                </w:p>
                <w:p>
                  <w:pPr>
                    <w:jc w:val="both"/>
                  </w:pPr>
                  <w:r>
                    <w:t xml:space="preserve"> </w:t>
                  </w:r>
                </w:p>
                <w:p>
                  <w:pPr>
                    <w:numPr>
                      <w:ilvl w:val="0"/>
                      <w:numId w:val="126"/>
                    </w:numPr>
                    <w:tabs>
                      <w:tab w:val="clear" w:pos="360"/>
                      <w:tab w:val="num" w:pos="1080"/>
                    </w:tabs>
                    <w:suppressAutoHyphens/>
                    <w:ind w:left="567" w:firstLine="0"/>
                    <w:jc w:val="both"/>
                  </w:pPr>
                  <w:r>
                    <w:t>la date et les heures de prise en charge de l'élève,</w:t>
                  </w:r>
                </w:p>
                <w:p>
                  <w:pPr>
                    <w:numPr>
                      <w:ilvl w:val="0"/>
                      <w:numId w:val="126"/>
                    </w:numPr>
                    <w:tabs>
                      <w:tab w:val="clear" w:pos="360"/>
                      <w:tab w:val="num" w:pos="1080"/>
                    </w:tabs>
                    <w:suppressAutoHyphens/>
                    <w:ind w:left="567" w:firstLine="0"/>
                    <w:jc w:val="both"/>
                  </w:pPr>
                  <w:r>
                    <w:t>les activités réalisées.</w:t>
                  </w:r>
                </w:p>
                <w:p>
                  <w:pPr>
                    <w:jc w:val="both"/>
                    <w:rPr>
                      <w:b/>
                    </w:rPr>
                  </w:pPr>
                </w:p>
                <w:p>
                  <w:pPr>
                    <w:pStyle w:val="Titre3"/>
                  </w:pPr>
                  <w:bookmarkStart w:id="2680" w:name="__RefHeading__235_957262308"/>
                  <w:bookmarkStart w:id="2681" w:name="_Toc291075401"/>
                  <w:bookmarkStart w:id="2682" w:name="_Toc291075825"/>
                  <w:bookmarkStart w:id="2683" w:name="_Toc291076249"/>
                  <w:bookmarkStart w:id="2684" w:name="_Toc291076673"/>
                  <w:bookmarkStart w:id="2685" w:name="_Toc291077097"/>
                  <w:bookmarkStart w:id="2686" w:name="_Toc293651940"/>
                  <w:bookmarkStart w:id="2687" w:name="_Toc293653523"/>
                  <w:bookmarkStart w:id="2688" w:name="_Toc293654134"/>
                  <w:bookmarkStart w:id="2689" w:name="_Toc294004712"/>
                  <w:bookmarkStart w:id="2690" w:name="_Toc294185208"/>
                  <w:bookmarkStart w:id="2691" w:name="_Toc324166026"/>
                  <w:bookmarkStart w:id="2692" w:name="_Toc324767062"/>
                  <w:bookmarkStart w:id="2693" w:name="_Toc453314427"/>
                  <w:bookmarkStart w:id="2694" w:name="_Toc454980462"/>
                  <w:bookmarkStart w:id="2695" w:name="_Toc18914477"/>
                  <w:bookmarkEnd w:id="2680"/>
                  <w:r>
                    <w:t>3. Sortie</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p>
                  <w:pPr>
                    <w:jc w:val="both"/>
                  </w:pPr>
                  <w:r>
                    <w:t>Seul le médecin traitant de l’hôpital est habilité à décider de la date de sortie de l'élève.</w:t>
                  </w:r>
                </w:p>
                <w:p>
                  <w:pPr>
                    <w:jc w:val="both"/>
                  </w:pPr>
                </w:p>
                <w:p>
                  <w:pPr>
                    <w:jc w:val="both"/>
                    <w:rPr>
                      <w:bCs/>
                      <w:lang w:val="fr-FR" w:eastAsia="fr-FR"/>
                    </w:rPr>
                  </w:pPr>
                  <w:r>
                    <w:rPr>
                      <w:bCs/>
                      <w:lang w:val="fr-FR" w:eastAsia="fr-FR"/>
                    </w:rPr>
                    <w:t>Lorsque l’élève quitte l’enseignement de type 5, plusieurs hypothèses sont susceptibles de se présenter :</w:t>
                  </w:r>
                </w:p>
                <w:p>
                  <w:pPr>
                    <w:jc w:val="both"/>
                    <w:rPr>
                      <w:bCs/>
                      <w:lang w:val="fr-FR" w:eastAsia="fr-FR"/>
                    </w:rPr>
                  </w:pPr>
                </w:p>
                <w:p>
                  <w:pPr>
                    <w:numPr>
                      <w:ilvl w:val="0"/>
                      <w:numId w:val="127"/>
                    </w:numPr>
                    <w:tabs>
                      <w:tab w:val="clear" w:pos="720"/>
                    </w:tabs>
                    <w:ind w:left="0" w:firstLine="0"/>
                    <w:jc w:val="both"/>
                    <w:rPr>
                      <w:bCs/>
                      <w:lang w:val="fr-FR" w:eastAsia="fr-FR"/>
                    </w:rPr>
                  </w:pPr>
                  <w:r>
                    <w:rPr>
                      <w:bCs/>
                      <w:lang w:val="fr-FR" w:eastAsia="fr-FR"/>
                    </w:rPr>
                    <w:t>L’élève était dans l’enseignement ordinaire et réintègre son enseignement d’origine</w:t>
                  </w:r>
                  <w:r>
                    <w:rPr>
                      <w:lang w:val="fr-FR" w:eastAsia="fr-FR"/>
                    </w:rPr>
                    <w:t>.</w:t>
                  </w:r>
                </w:p>
                <w:p>
                  <w:pPr>
                    <w:jc w:val="both"/>
                    <w:rPr>
                      <w:bCs/>
                      <w:lang w:val="fr-FR" w:eastAsia="fr-FR"/>
                    </w:rPr>
                  </w:pPr>
                </w:p>
                <w:p>
                  <w:pPr>
                    <w:jc w:val="both"/>
                    <w:rPr>
                      <w:bCs/>
                      <w:lang w:val="fr-FR" w:eastAsia="fr-FR"/>
                    </w:rPr>
                  </w:pPr>
                  <w:r>
                    <w:rPr>
                      <w:bCs/>
                      <w:lang w:val="fr-FR" w:eastAsia="fr-FR"/>
                    </w:rPr>
                    <w:t>Aucune orientation ou réorientation n’a lieu. Seul le médecin traitant de l’hôpital est habilité à décider que l’élève est apte à retourner dans l’école ordinaire d’origine.</w:t>
                  </w:r>
                </w:p>
                <w:p>
                  <w:pPr>
                    <w:jc w:val="both"/>
                    <w:rPr>
                      <w:bCs/>
                      <w:lang w:val="fr-FR" w:eastAsia="fr-FR"/>
                    </w:rPr>
                  </w:pPr>
                </w:p>
                <w:p>
                  <w:pPr>
                    <w:numPr>
                      <w:ilvl w:val="0"/>
                      <w:numId w:val="127"/>
                    </w:numPr>
                    <w:tabs>
                      <w:tab w:val="clear" w:pos="720"/>
                    </w:tabs>
                    <w:ind w:left="0" w:firstLine="0"/>
                    <w:jc w:val="both"/>
                    <w:rPr>
                      <w:bCs/>
                      <w:lang w:val="fr-FR" w:eastAsia="fr-FR"/>
                    </w:rPr>
                  </w:pPr>
                  <w:r>
                    <w:rPr>
                      <w:bCs/>
                      <w:lang w:val="fr-FR" w:eastAsia="fr-FR"/>
                    </w:rPr>
                    <w:t>L’élève était dans l’enseignement ordinaire et devrait suivre un enseignement spécialisé.</w:t>
                  </w:r>
                  <w:r>
                    <w:rPr>
                      <w:lang w:val="fr-FR" w:eastAsia="fr-FR"/>
                    </w:rPr>
                    <w:t xml:space="preserve"> </w:t>
                  </w:r>
                </w:p>
                <w:p>
                  <w:pPr>
                    <w:jc w:val="both"/>
                    <w:rPr>
                      <w:bCs/>
                      <w:lang w:val="fr-FR" w:eastAsia="fr-FR"/>
                    </w:rPr>
                  </w:pPr>
                </w:p>
                <w:p>
                  <w:pPr>
                    <w:jc w:val="both"/>
                    <w:rPr>
                      <w:bCs/>
                      <w:lang w:val="fr-FR" w:eastAsia="fr-FR"/>
                    </w:rPr>
                  </w:pPr>
                  <w:r>
                    <w:rPr>
                      <w:bCs/>
                      <w:lang w:val="fr-FR" w:eastAsia="fr-FR"/>
                    </w:rPr>
                    <w:t>Dans ce cas, seul un centre PMS orienteur ou tout autre organisme offrant les mêmes garanties en matière d’orientation scolaire ou professionnelle, organisés, subventionnés ou reconnus par la Fédération Wallonie-Bruxelles est habilité à procéder à une orientation vers un type d’enseignement spécialisé.</w:t>
                  </w:r>
                </w:p>
                <w:p>
                  <w:pPr>
                    <w:jc w:val="both"/>
                    <w:rPr>
                      <w:bCs/>
                      <w:lang w:val="fr-FR" w:eastAsia="fr-FR"/>
                    </w:rPr>
                  </w:pPr>
                </w:p>
                <w:p>
                  <w:pPr>
                    <w:numPr>
                      <w:ilvl w:val="0"/>
                      <w:numId w:val="127"/>
                    </w:numPr>
                    <w:tabs>
                      <w:tab w:val="clear" w:pos="720"/>
                    </w:tabs>
                    <w:ind w:left="0" w:firstLine="0"/>
                    <w:jc w:val="both"/>
                    <w:rPr>
                      <w:bCs/>
                      <w:lang w:val="fr-FR" w:eastAsia="fr-FR"/>
                    </w:rPr>
                  </w:pPr>
                  <w:r>
                    <w:rPr>
                      <w:bCs/>
                      <w:lang w:val="fr-FR" w:eastAsia="fr-FR"/>
                    </w:rPr>
                    <w:t>L’élève provenait d’une école d’enseignement spécialisé et réintègre son école d’enseignement spécialisé d’origine.</w:t>
                  </w:r>
                  <w:r>
                    <w:rPr>
                      <w:lang w:val="fr-FR" w:eastAsia="fr-FR"/>
                    </w:rPr>
                    <w:t xml:space="preserve"> </w:t>
                  </w:r>
                </w:p>
                <w:p>
                  <w:pPr>
                    <w:jc w:val="both"/>
                    <w:rPr>
                      <w:bCs/>
                      <w:lang w:val="fr-FR" w:eastAsia="fr-FR"/>
                    </w:rPr>
                  </w:pPr>
                </w:p>
                <w:p>
                  <w:pPr>
                    <w:jc w:val="both"/>
                    <w:rPr>
                      <w:bCs/>
                      <w:lang w:val="fr-FR" w:eastAsia="fr-FR"/>
                    </w:rPr>
                  </w:pPr>
                  <w:r>
                    <w:rPr>
                      <w:bCs/>
                      <w:lang w:val="fr-FR" w:eastAsia="fr-FR"/>
                    </w:rPr>
                    <w:t>Aucune orientation ou réorientation n’a lieu. Seul le médecin traitant de l’hôpital est habilité à décider que l’élève est apte à retourner dans l’école d’origine.</w:t>
                  </w:r>
                </w:p>
                <w:p>
                  <w:pPr>
                    <w:jc w:val="both"/>
                    <w:rPr>
                      <w:bCs/>
                      <w:lang w:val="fr-FR" w:eastAsia="fr-FR"/>
                    </w:rPr>
                  </w:pPr>
                </w:p>
                <w:p>
                  <w:pPr>
                    <w:numPr>
                      <w:ilvl w:val="0"/>
                      <w:numId w:val="127"/>
                    </w:numPr>
                    <w:tabs>
                      <w:tab w:val="clear" w:pos="720"/>
                    </w:tabs>
                    <w:ind w:left="0" w:firstLine="0"/>
                    <w:jc w:val="both"/>
                    <w:rPr>
                      <w:bCs/>
                      <w:lang w:val="fr-FR" w:eastAsia="fr-FR"/>
                    </w:rPr>
                  </w:pPr>
                  <w:r>
                    <w:rPr>
                      <w:bCs/>
                      <w:lang w:val="fr-FR" w:eastAsia="fr-FR"/>
                    </w:rPr>
                    <w:t>L’élève était inscrit dans l’enseignement spécialisé et devrait suivre un enseignement spécialisé d’un autre type que celui figurant sur son attestation d’origine.</w:t>
                  </w:r>
                  <w:r>
                    <w:rPr>
                      <w:lang w:val="fr-FR" w:eastAsia="fr-FR"/>
                    </w:rPr>
                    <w:t xml:space="preserve"> </w:t>
                  </w:r>
                </w:p>
                <w:p>
                  <w:pPr>
                    <w:jc w:val="both"/>
                    <w:rPr>
                      <w:bCs/>
                      <w:lang w:val="fr-FR" w:eastAsia="fr-FR"/>
                    </w:rPr>
                  </w:pPr>
                </w:p>
                <w:p>
                  <w:pPr>
                    <w:jc w:val="both"/>
                    <w:rPr>
                      <w:bCs/>
                      <w:lang w:val="fr-FR" w:eastAsia="fr-FR"/>
                    </w:rPr>
                  </w:pPr>
                  <w:r>
                    <w:rPr>
                      <w:bCs/>
                      <w:lang w:val="fr-FR" w:eastAsia="fr-FR"/>
                    </w:rPr>
                    <w:t xml:space="preserve">Dans cette hypothèse, seul le CPMS spécialisé qui assure la guidance de l’école de type 5 est habilité à modifier l’attestation d’origine. </w:t>
                  </w:r>
                </w:p>
                <w:p>
                  <w:pPr>
                    <w:jc w:val="both"/>
                    <w:rPr>
                      <w:bCs/>
                      <w:lang w:val="fr-FR" w:eastAsia="fr-FR"/>
                    </w:rPr>
                  </w:pPr>
                  <w:r>
                    <w:rPr>
                      <w:bCs/>
                      <w:lang w:val="fr-FR" w:eastAsia="fr-FR"/>
                    </w:rPr>
                    <w:t>Toutefois, pour des raisons pratiques, il est conseillé qu’une concertation s’opère entre  le CPMS de l’école d’origine et celui de l’école de type 5 qui demeure seul compétent pour modifier l’attestation d’origine.</w:t>
                  </w:r>
                </w:p>
                <w:p>
                  <w:pPr>
                    <w:jc w:val="both"/>
                  </w:pPr>
                </w:p>
                <w:p>
                  <w:pPr>
                    <w:numPr>
                      <w:ilvl w:val="0"/>
                      <w:numId w:val="127"/>
                    </w:numPr>
                    <w:tabs>
                      <w:tab w:val="clear" w:pos="720"/>
                    </w:tabs>
                    <w:suppressAutoHyphens/>
                    <w:ind w:left="0" w:firstLine="0"/>
                    <w:jc w:val="both"/>
                    <w:rPr>
                      <w:bCs/>
                      <w:lang w:val="fr-FR" w:eastAsia="fr-FR"/>
                    </w:rPr>
                  </w:pPr>
                  <w:r>
                    <w:rPr>
                      <w:bCs/>
                      <w:lang w:val="fr-FR" w:eastAsia="fr-FR"/>
                    </w:rPr>
                    <w:t>L’élève était inscrit dans l’enseignement spécialisé et devrait suivre un enseignement ordinaire.</w:t>
                  </w:r>
                </w:p>
                <w:p>
                  <w:pPr>
                    <w:jc w:val="both"/>
                    <w:rPr>
                      <w:bCs/>
                      <w:lang w:val="fr-FR" w:eastAsia="fr-FR"/>
                    </w:rPr>
                  </w:pPr>
                </w:p>
                <w:p>
                  <w:pPr>
                    <w:jc w:val="both"/>
                    <w:rPr>
                      <w:bCs/>
                      <w:lang w:val="fr-FR" w:eastAsia="fr-FR"/>
                    </w:rPr>
                  </w:pPr>
                  <w:r>
                    <w:rPr>
                      <w:bCs/>
                      <w:lang w:val="fr-FR" w:eastAsia="fr-FR"/>
                    </w:rPr>
                    <w:t>Dans cette hypothèse, c’est le CPMS qui assure la guidance de l’enseignement de type 5 qui émet un avis sur le retour dans l’enseignement ordinaire. Toutefois pour des raisons pratiques, la concertation avec le CPMS de l’école d’origine est conseillée.</w:t>
                  </w:r>
                </w:p>
                <w:p>
                  <w:pPr>
                    <w:jc w:val="both"/>
                    <w:rPr>
                      <w:bCs/>
                      <w:lang w:val="fr-FR" w:eastAsia="fr-FR"/>
                    </w:rPr>
                  </w:pPr>
                </w:p>
                <w:p>
                  <w:pPr>
                    <w:numPr>
                      <w:ilvl w:val="0"/>
                      <w:numId w:val="127"/>
                    </w:numPr>
                    <w:tabs>
                      <w:tab w:val="clear" w:pos="720"/>
                    </w:tabs>
                    <w:suppressAutoHyphens/>
                    <w:ind w:left="0" w:firstLine="0"/>
                    <w:jc w:val="both"/>
                    <w:rPr>
                      <w:bCs/>
                      <w:lang w:val="fr-FR" w:eastAsia="fr-FR"/>
                    </w:rPr>
                  </w:pPr>
                  <w:r>
                    <w:rPr>
                      <w:bCs/>
                      <w:lang w:val="fr-FR" w:eastAsia="fr-FR"/>
                    </w:rPr>
                    <w:t>L’élève n’était pas scolarisé avant son entrée dans l’enseignement spécialisé de type 5 et est orienté vers un enseignement spécialisé.</w:t>
                  </w:r>
                </w:p>
                <w:p>
                  <w:pPr>
                    <w:jc w:val="both"/>
                    <w:rPr>
                      <w:bCs/>
                      <w:lang w:val="fr-FR" w:eastAsia="fr-FR"/>
                    </w:rPr>
                  </w:pPr>
                </w:p>
                <w:p>
                  <w:pPr>
                    <w:jc w:val="both"/>
                    <w:rPr>
                      <w:bCs/>
                      <w:lang w:val="fr-FR" w:eastAsia="fr-FR"/>
                    </w:rPr>
                  </w:pPr>
                  <w:r>
                    <w:rPr>
                      <w:bCs/>
                      <w:lang w:val="fr-FR" w:eastAsia="fr-FR"/>
                    </w:rPr>
                    <w:t xml:space="preserve">Dans ce cas, seul un centre PMS orienteur ou tout autre organisme offrant les mêmes garanties en matière d’orientation scolaire ou professionnelle, organisés, subventionnés ou reconnus par la Fédération Wallonie-Bruxelles est habilité à procéder à une orientation vers un type d’enseignement spécialisé. Toutefois, pour des raisons pratiques, la concertation avec le CPMS de l’école d’enseignement de type 5 est conseillée. </w:t>
                  </w:r>
                </w:p>
                <w:p>
                  <w:pPr>
                    <w:jc w:val="both"/>
                  </w:pPr>
                </w:p>
                <w:p>
                  <w:pPr>
                    <w:jc w:val="both"/>
                    <w:rPr>
                      <w:rStyle w:val="StyleArial11pt"/>
                      <w:rFonts w:asciiTheme="majorHAnsi" w:hAnsiTheme="majorHAnsi" w:cs="Arial"/>
                    </w:rPr>
                  </w:pPr>
                  <w:r>
                    <w:t>La date de sortie est portée sur l'attestation d'entrée, ou sur son annexe, ainsi que dans le registre matricule</w:t>
                  </w:r>
                  <w:r>
                    <w:rPr>
                      <w:rStyle w:val="StyleArial11pt"/>
                      <w:rFonts w:asciiTheme="majorHAnsi" w:hAnsiTheme="majorHAnsi" w:cs="Arial"/>
                    </w:rPr>
                    <w:t>.</w:t>
                  </w:r>
                </w:p>
                <w:p>
                  <w:pPr>
                    <w:jc w:val="both"/>
                    <w:rPr>
                      <w:rStyle w:val="StyleArial11pt"/>
                      <w:rFonts w:asciiTheme="majorHAnsi" w:hAnsiTheme="majorHAnsi" w:cs="Arial"/>
                    </w:rPr>
                  </w:pPr>
                </w:p>
                <w:p>
                  <w:pPr>
                    <w:pStyle w:val="Titre3"/>
                  </w:pPr>
                  <w:bookmarkStart w:id="2696" w:name="_4._Dispositions_afférentes"/>
                  <w:bookmarkStart w:id="2697" w:name="_Toc18914478"/>
                  <w:bookmarkEnd w:id="2696"/>
                  <w:r>
                    <w:t>4. Dispositions afférentes au calcul du capital-périodes dans les établissements scolaires organisant l’enseignement spécialisé de type 5</w:t>
                  </w:r>
                  <w:bookmarkEnd w:id="2697"/>
                </w:p>
                <w:p/>
                <w:p>
                  <w:pPr>
                    <w:jc w:val="both"/>
                  </w:pPr>
                  <w:r>
                    <w:t xml:space="preserve">Pour tous les établissements d’enseignement spécialisé organisant </w:t>
                  </w:r>
                  <w:r>
                    <w:rPr>
                      <w:b/>
                    </w:rPr>
                    <w:t>uniquement du type 5</w:t>
                  </w:r>
                  <w:r>
                    <w:t xml:space="preserve"> ou </w:t>
                  </w:r>
                  <w:r>
                    <w:rPr>
                      <w:b/>
                    </w:rPr>
                    <w:t>du type 5 et d’autres types</w:t>
                  </w:r>
                  <w:r>
                    <w:t>, les dispositions suivantes sont d’application :</w:t>
                  </w:r>
                </w:p>
                <w:p>
                  <w:pPr>
                    <w:jc w:val="both"/>
                  </w:pPr>
                </w:p>
                <w:p>
                  <w:pPr>
                    <w:jc w:val="both"/>
                  </w:pPr>
                  <w:r>
                    <w:t>Dans l’enseignement spécialisé de type 5 (élèves malades et/ou convalescents), tant pour l’enseignement fondamental spécialisé que pour l’enseignement secondaire spécialisé, les articles 35, 2° et 87, 2° du décret du 3 mars 2004 organisant l’enseignement spécialisé précisent que le volume des emplois au 1</w:t>
                  </w:r>
                  <w:r>
                    <w:rPr>
                      <w:vertAlign w:val="superscript"/>
                    </w:rPr>
                    <w:t>er</w:t>
                  </w:r>
                  <w:r>
                    <w:t xml:space="preserve"> septembre est fixé par le nombre déterminé par la moyenne des présences des élèves réguliers :</w:t>
                  </w:r>
                </w:p>
                <w:p>
                  <w:pPr>
                    <w:jc w:val="both"/>
                  </w:pPr>
                </w:p>
                <w:p>
                  <w:pPr>
                    <w:pStyle w:val="Paragraphedeliste"/>
                    <w:ind w:left="567" w:hanging="219"/>
                    <w:jc w:val="both"/>
                    <w:rPr>
                      <w:rFonts w:asciiTheme="majorHAnsi" w:hAnsiTheme="majorHAnsi" w:cs="Calibri"/>
                      <w:b/>
                      <w:sz w:val="22"/>
                    </w:rPr>
                  </w:pPr>
                  <w:r>
                    <w:rPr>
                      <w:rFonts w:asciiTheme="majorHAnsi" w:hAnsiTheme="majorHAnsi" w:cs="Calibri"/>
                      <w:sz w:val="22"/>
                    </w:rPr>
                    <w:t>a) </w:t>
                  </w:r>
                  <w:r>
                    <w:rPr>
                      <w:rFonts w:asciiTheme="majorHAnsi" w:hAnsiTheme="majorHAnsi" w:cs="Calibri"/>
                      <w:b/>
                      <w:sz w:val="22"/>
                    </w:rPr>
                    <w:t>Durant l’année scolaire précédente, si ce type d’enseignement était organisé pendant   cette  durée ;</w:t>
                  </w:r>
                </w:p>
                <w:p>
                  <w:pPr>
                    <w:pStyle w:val="Paragraphedeliste"/>
                    <w:ind w:left="567" w:hanging="219"/>
                    <w:jc w:val="both"/>
                    <w:rPr>
                      <w:rFonts w:asciiTheme="majorHAnsi" w:hAnsiTheme="majorHAnsi" w:cs="Calibri"/>
                      <w:sz w:val="22"/>
                    </w:rPr>
                  </w:pPr>
                  <w:r>
                    <w:rPr>
                      <w:rFonts w:asciiTheme="majorHAnsi" w:hAnsiTheme="majorHAnsi" w:cs="Calibri"/>
                      <w:sz w:val="22"/>
                    </w:rPr>
                    <w:t>b) </w:t>
                  </w:r>
                  <w:r>
                    <w:rPr>
                      <w:rFonts w:asciiTheme="majorHAnsi" w:hAnsiTheme="majorHAnsi" w:cs="Calibri"/>
                      <w:b/>
                      <w:sz w:val="22"/>
                    </w:rPr>
                    <w:t>Dans les autres cas, durant les 30 premiers jours à compter à partir du début de l’année scolaire ou à partir de la mise en place de ce type d’enseignement.</w:t>
                  </w:r>
                </w:p>
                <w:p>
                  <w:pPr>
                    <w:pStyle w:val="Paragraphedeliste"/>
                    <w:ind w:left="0"/>
                    <w:jc w:val="both"/>
                    <w:rPr>
                      <w:rFonts w:asciiTheme="majorHAnsi" w:hAnsiTheme="majorHAnsi" w:cs="Calibri"/>
                      <w:sz w:val="22"/>
                    </w:rPr>
                  </w:pPr>
                </w:p>
                <w:p>
                  <w:pPr>
                    <w:jc w:val="both"/>
                  </w:pPr>
                  <w:r>
                    <w:t>En outre, les articles 36, §1</w:t>
                  </w:r>
                  <w:r>
                    <w:rPr>
                      <w:vertAlign w:val="superscript"/>
                    </w:rPr>
                    <w:t>er</w:t>
                  </w:r>
                  <w:r>
                    <w:t>, alinéa 1er et 88, §1</w:t>
                  </w:r>
                  <w:r>
                    <w:rPr>
                      <w:vertAlign w:val="superscript"/>
                    </w:rPr>
                    <w:t>er</w:t>
                  </w:r>
                  <w:r>
                    <w:t>, alinéa 1er du décret précité stipulent qu’un nouveau calcul de l’encadrement est réalisé le 1</w:t>
                  </w:r>
                  <w:r>
                    <w:rPr>
                      <w:vertAlign w:val="superscript"/>
                    </w:rPr>
                    <w:t>er</w:t>
                  </w:r>
                  <w:r>
                    <w:t xml:space="preserve"> octobre si la population scolaire du 30 septembre a varié d’au moins 5 % par rapport à celle du 15 janvier précédent.</w:t>
                  </w:r>
                </w:p>
                <w:p>
                  <w:pPr>
                    <w:jc w:val="both"/>
                  </w:pPr>
                </w:p>
                <w:p>
                  <w:pPr>
                    <w:jc w:val="both"/>
                  </w:pPr>
                  <w:r>
                    <w:t>Auparavant, pour déterminer si une école d’enseignement de type 5 avait une variation d’au moins 5% au 30/09/2017, on comparait la moyenne entre l’année scolaire N-1 (exemple : 2016/2017) et l’année scolaire N-2 (2015-2016). Il se fait que cette manière de procéder n’a aucune base décrétale.</w:t>
                  </w:r>
                </w:p>
                <w:p>
                  <w:pPr>
                    <w:jc w:val="both"/>
                  </w:pPr>
                </w:p>
                <w:p>
                  <w:pPr>
                    <w:jc w:val="both"/>
                  </w:pPr>
                  <w:r>
                    <w:t>En ce qui concerne les types d’enseignement 1, 2, 3, 4, 6, 7 et 8, la date du 15 janvier est une date pivot qui sert de base pour déterminer si la population scolaire a varié d’au moins 5 % à la date du 30 septembre.</w:t>
                  </w:r>
                </w:p>
                <w:p>
                  <w:pPr>
                    <w:jc w:val="both"/>
                  </w:pPr>
                </w:p>
                <w:p>
                  <w:pPr>
                    <w:pBdr>
                      <w:right w:val="single" w:sz="4" w:space="4" w:color="auto"/>
                    </w:pBdr>
                    <w:jc w:val="both"/>
                  </w:pPr>
                  <w:r>
                    <w:t xml:space="preserve">Pour les élèves relevant de l’enseignement spécialisé de type 5, le nombre d’élèves pris en compte est la moyenne du nombre d’élèves réguliers au cours de l’année scolaire précédente. </w:t>
                  </w:r>
                </w:p>
                <w:p>
                  <w:pPr>
                    <w:jc w:val="both"/>
                  </w:pPr>
                </w:p>
                <w:p>
                  <w:pPr>
                    <w:jc w:val="both"/>
                    <w:rPr>
                      <w:rFonts w:cs="Calibri"/>
                      <w:b/>
                    </w:rPr>
                  </w:pPr>
                  <w:r>
                    <w:t xml:space="preserve">Et donc, la règle susmentionnée (variation de 5 % au 30 septembre) est difficilement applicable aux </w:t>
                  </w:r>
                  <w:r>
                    <w:rPr>
                      <w:rFonts w:cs="Calibri"/>
                    </w:rPr>
                    <w:t>établissements d’enseignement spécialisé de type 5</w:t>
                  </w:r>
                  <w:r>
                    <w:rPr>
                      <w:rFonts w:cs="Calibri"/>
                      <w:b/>
                    </w:rPr>
                    <w:t xml:space="preserve"> </w:t>
                  </w:r>
                  <w:r>
                    <w:t>en raison du fait que le texte précise que c’est la moyenne de l’année scolaire précédente (au 30 juin) qui détermine l’encadrement au 1</w:t>
                  </w:r>
                  <w:r>
                    <w:rPr>
                      <w:vertAlign w:val="superscript"/>
                    </w:rPr>
                    <w:t>er</w:t>
                  </w:r>
                  <w:r>
                    <w:t xml:space="preserve"> septembre de l’année scolaire suivante.</w:t>
                  </w:r>
                </w:p>
                <w:p>
                  <w:pPr>
                    <w:jc w:val="both"/>
                  </w:pPr>
                </w:p>
                <w:p>
                  <w:pPr>
                    <w:jc w:val="both"/>
                  </w:pPr>
                  <w:r>
                    <w:t>En outre, le décret ne dit rien sur cette variation d’au moins 5 % lorsqu’il s’agit du type 5.</w:t>
                  </w:r>
                </w:p>
                <w:p>
                  <w:pPr>
                    <w:jc w:val="both"/>
                  </w:pPr>
                  <w:r>
                    <w:t> </w:t>
                  </w:r>
                </w:p>
                <w:p>
                  <w:pPr>
                    <w:jc w:val="both"/>
                  </w:pPr>
                  <w:r>
                    <w:t>Par conséquent l’Administration étant tenue par le respect de la réglementation, il y aura lieu de se référer, dès l’année scolaire 2018/2019, aux dispositions décrétales précitées à savoir :</w:t>
                  </w:r>
                </w:p>
                <w:p>
                  <w:pPr>
                    <w:jc w:val="both"/>
                  </w:pPr>
                </w:p>
                <w:p>
                  <w:pPr>
                    <w:pStyle w:val="Paragraphedeliste"/>
                    <w:numPr>
                      <w:ilvl w:val="0"/>
                      <w:numId w:val="227"/>
                    </w:numPr>
                    <w:jc w:val="both"/>
                    <w:rPr>
                      <w:rFonts w:asciiTheme="majorHAnsi" w:hAnsiTheme="majorHAnsi"/>
                      <w:sz w:val="22"/>
                      <w:szCs w:val="22"/>
                    </w:rPr>
                  </w:pPr>
                  <w:r>
                    <w:rPr>
                      <w:rFonts w:asciiTheme="majorHAnsi" w:hAnsiTheme="majorHAnsi"/>
                      <w:sz w:val="22"/>
                      <w:szCs w:val="22"/>
                    </w:rPr>
                    <w:t>le volume des emplois dans les établissements scolaires spécialisés de type 5 au 1</w:t>
                  </w:r>
                  <w:r>
                    <w:rPr>
                      <w:rFonts w:asciiTheme="majorHAnsi" w:hAnsiTheme="majorHAnsi"/>
                      <w:sz w:val="22"/>
                      <w:szCs w:val="22"/>
                      <w:vertAlign w:val="superscript"/>
                    </w:rPr>
                    <w:t>er</w:t>
                  </w:r>
                  <w:r>
                    <w:rPr>
                      <w:rFonts w:asciiTheme="majorHAnsi" w:hAnsiTheme="majorHAnsi"/>
                      <w:sz w:val="22"/>
                      <w:szCs w:val="22"/>
                    </w:rPr>
                    <w:t xml:space="preserve"> septembre 2018 sera désormais déterminé par la moyenne des présences des élèves réguliers durant l’année scolaire 2017/2018 si ce type d’enseignement était organisé pendant cette durée ;</w:t>
                  </w:r>
                </w:p>
                <w:p>
                  <w:pPr>
                    <w:pStyle w:val="Paragraphedeliste"/>
                    <w:numPr>
                      <w:ilvl w:val="0"/>
                      <w:numId w:val="228"/>
                    </w:numPr>
                    <w:jc w:val="both"/>
                    <w:rPr>
                      <w:rFonts w:asciiTheme="majorHAnsi" w:hAnsiTheme="majorHAnsi"/>
                      <w:sz w:val="22"/>
                      <w:szCs w:val="22"/>
                    </w:rPr>
                  </w:pPr>
                  <w:r>
                    <w:rPr>
                      <w:rFonts w:asciiTheme="majorHAnsi" w:hAnsiTheme="majorHAnsi"/>
                      <w:sz w:val="22"/>
                      <w:szCs w:val="22"/>
                    </w:rPr>
                    <w:t>il n’y a pas de nouveau calcul de l’encadrement le 1</w:t>
                  </w:r>
                  <w:r>
                    <w:rPr>
                      <w:rFonts w:asciiTheme="majorHAnsi" w:hAnsiTheme="majorHAnsi"/>
                      <w:sz w:val="22"/>
                      <w:szCs w:val="22"/>
                      <w:vertAlign w:val="superscript"/>
                    </w:rPr>
                    <w:t>er</w:t>
                  </w:r>
                  <w:r>
                    <w:rPr>
                      <w:rFonts w:asciiTheme="majorHAnsi" w:hAnsiTheme="majorHAnsi"/>
                      <w:sz w:val="22"/>
                      <w:szCs w:val="22"/>
                    </w:rPr>
                    <w:t xml:space="preserve"> octobre 2018.</w:t>
                  </w:r>
                </w:p>
                <w:p>
                  <w:pPr>
                    <w:jc w:val="both"/>
                  </w:pPr>
                </w:p>
                <w:p>
                  <w:pPr>
                    <w:jc w:val="both"/>
                  </w:pPr>
                  <w:r>
                    <w:t xml:space="preserve">S’agissant des établissements d’enseignement spécialisé organisant à la fois un </w:t>
                  </w:r>
                  <w:r>
                    <w:rPr>
                      <w:b/>
                    </w:rPr>
                    <w:t>enseignement de type 5 et un ou plusieurs autre types</w:t>
                  </w:r>
                  <w:r>
                    <w:t> : en vue de présenter une situation claire des populations scolaires et du CPU aux deux dates clés : 1/9 et 30/9 et de globaliser les chiffres des populations scolaires (peu importe les types d'enseignement organisés), vous trouverez, ci-après, la méthode de comptage qui sera en vigueur pour le calcul du CPU :</w:t>
                  </w:r>
                </w:p>
                <w:p>
                  <w:pPr>
                    <w:jc w:val="both"/>
                  </w:pPr>
                </w:p>
                <w:p>
                  <w:pPr>
                    <w:pStyle w:val="Paragraphedeliste"/>
                    <w:numPr>
                      <w:ilvl w:val="0"/>
                      <w:numId w:val="229"/>
                    </w:numPr>
                    <w:jc w:val="both"/>
                    <w:rPr>
                      <w:rFonts w:asciiTheme="majorHAnsi" w:hAnsiTheme="majorHAnsi"/>
                      <w:sz w:val="22"/>
                      <w:szCs w:val="22"/>
                    </w:rPr>
                  </w:pPr>
                  <w:r>
                    <w:rPr>
                      <w:rFonts w:asciiTheme="majorHAnsi" w:hAnsiTheme="majorHAnsi"/>
                      <w:sz w:val="22"/>
                      <w:szCs w:val="22"/>
                    </w:rPr>
                    <w:t>Une dépêche sortira en juillet ou en août, pour autant que la vérification de la population scolaire ait pu fournir la moyenne des chiffres du type 5, et reprendra les chiffres du comptage au 15/01 (types, 1, 2, 3, 4, 6, 7 et 8) et de la moyenne des types 5 de l'année scolaire précédente.</w:t>
                  </w:r>
                </w:p>
                <w:p>
                  <w:pPr>
                    <w:jc w:val="both"/>
                  </w:pPr>
                </w:p>
                <w:p>
                  <w:pPr>
                    <w:ind w:left="709"/>
                    <w:jc w:val="both"/>
                  </w:pPr>
                  <w:r>
                    <w:t>Ainsi dans l’exemple joint : 100 + 20 = 120 élèves.</w:t>
                  </w:r>
                </w:p>
                <w:p>
                  <w:pPr>
                    <w:jc w:val="both"/>
                  </w:pPr>
                </w:p>
                <w:p>
                  <w:pPr>
                    <w:pStyle w:val="Paragraphedeliste"/>
                    <w:numPr>
                      <w:ilvl w:val="0"/>
                      <w:numId w:val="230"/>
                    </w:numPr>
                    <w:jc w:val="both"/>
                    <w:rPr>
                      <w:rFonts w:asciiTheme="majorHAnsi" w:hAnsiTheme="majorHAnsi"/>
                      <w:sz w:val="22"/>
                      <w:szCs w:val="22"/>
                    </w:rPr>
                  </w:pPr>
                  <w:r>
                    <w:rPr>
                      <w:rFonts w:asciiTheme="majorHAnsi" w:hAnsiTheme="majorHAnsi"/>
                      <w:sz w:val="22"/>
                      <w:szCs w:val="22"/>
                    </w:rPr>
                    <w:t>Ensuite une seconde dépêche sortira à partir d’octobre et reprendra les chiffres du comptage au 30/09 (en y incluant la variation éventuelle de 5 %).</w:t>
                  </w:r>
                </w:p>
                <w:p>
                  <w:pPr>
                    <w:jc w:val="both"/>
                  </w:pPr>
                </w:p>
                <w:p>
                  <w:pPr>
                    <w:pStyle w:val="Paragraphedeliste"/>
                    <w:ind w:left="720"/>
                    <w:jc w:val="both"/>
                    <w:rPr>
                      <w:rFonts w:asciiTheme="majorHAnsi" w:hAnsiTheme="majorHAnsi"/>
                      <w:sz w:val="22"/>
                      <w:szCs w:val="22"/>
                    </w:rPr>
                  </w:pPr>
                  <w:r>
                    <w:rPr>
                      <w:rFonts w:asciiTheme="majorHAnsi" w:hAnsiTheme="majorHAnsi"/>
                      <w:sz w:val="22"/>
                      <w:szCs w:val="22"/>
                    </w:rPr>
                    <w:t>Ainsi dans l’exemple joint : 105 élèves (types 1, 2, 3, 4, 6, 7 et 8) auxquels on ajoutera pour le type 5 la moyenne de l'année précédente (20 élèves).</w:t>
                  </w:r>
                </w:p>
                <w:p>
                  <w:pPr>
                    <w:jc w:val="both"/>
                    <w:rPr>
                      <w:b/>
                    </w:rPr>
                  </w:pPr>
                </w:p>
                <w:p>
                  <w:pPr>
                    <w:pStyle w:val="Titre4"/>
                  </w:pPr>
                  <w:r>
                    <w:t>4.1. Méthode de calcul du CPU dans les établissements scolaires organisant à la fois un enseignement spécialisé de type 5 et un ou plusieurs autres types d’enseignement spécialisé.</w:t>
                  </w:r>
                </w:p>
                <w:p>
                  <w:pPr>
                    <w:tabs>
                      <w:tab w:val="left" w:pos="2552"/>
                    </w:tabs>
                    <w:jc w:val="both"/>
                  </w:pPr>
                </w:p>
                <w:p>
                  <w:pPr>
                    <w:jc w:val="both"/>
                  </w:pPr>
                  <w:r>
                    <w:rPr>
                      <w:u w:val="single"/>
                    </w:rPr>
                    <w:t>Autres types</w:t>
                  </w:r>
                  <w:r>
                    <w:t> :</w:t>
                  </w:r>
                </w:p>
                <w:p>
                  <w:pPr>
                    <w:tabs>
                      <w:tab w:val="left" w:pos="2552"/>
                    </w:tabs>
                  </w:pPr>
                  <w:r>
                    <w:rPr>
                      <w:noProof/>
                      <w:lang w:eastAsia="fr-BE"/>
                    </w:rPr>
                    <mc:AlternateContent>
                      <mc:Choice Requires="wps">
                        <w:drawing>
                          <wp:anchor distT="45720" distB="45720" distL="114300" distR="114300" simplePos="0" relativeHeight="252004352" behindDoc="0" locked="0" layoutInCell="1" allowOverlap="1">
                            <wp:simplePos x="0" y="0"/>
                            <wp:positionH relativeFrom="column">
                              <wp:posOffset>3485515</wp:posOffset>
                            </wp:positionH>
                            <wp:positionV relativeFrom="paragraph">
                              <wp:posOffset>152400</wp:posOffset>
                            </wp:positionV>
                            <wp:extent cx="604520" cy="561340"/>
                            <wp:effectExtent l="0" t="0" r="0" b="5715"/>
                            <wp:wrapSquare wrapText="bothSides"/>
                            <wp:docPr id="457" name="Zone de texte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561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b/>
                                            <w:color w:val="FF0000"/>
                                          </w:rPr>
                                        </w:pPr>
                                        <w:r>
                                          <w:rPr>
                                            <w:b/>
                                            <w:color w:val="FF0000"/>
                                          </w:rPr>
                                          <w:t>105 élèves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7" o:spid="_x0000_s1048" type="#_x0000_t202" style="position:absolute;margin-left:274.45pt;margin-top:12pt;width:47.6pt;height:44.2pt;z-index:2520043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" filled="f" stroked="f">
                            <v:textbox style="mso-fit-shape-to-text:t">
                              <w:txbxContent>
                                <w:p>
                                  <w:pPr>
                                    <w:rPr>
                                      <w:b/>
                                      <w:color w:val="FF0000"/>
                                    </w:rPr>
                                  </w:pPr>
                                  <w:r>
                                    <w:rPr>
                                      <w:b/>
                                      <w:color w:val="FF0000"/>
                                    </w:rPr>
                                    <w:t>105 élèves</w:t>
                                  </w:r>
                                </w:p>
                              </w:txbxContent>
                            </v:textbox>
                            <w10:wrap type="square"/>
                          </v:shape>
                        </w:pict>
                      </mc:Fallback>
                    </mc:AlternateContent>
                  </w:r>
                </w:p>
                <w:p>
                  <w:pPr>
                    <w:tabs>
                      <w:tab w:val="left" w:pos="2410"/>
                      <w:tab w:val="left" w:pos="2552"/>
                      <w:tab w:val="left" w:pos="2835"/>
                    </w:tabs>
                  </w:pPr>
                  <w:r>
                    <w:rPr>
                      <w:noProof/>
                      <w:lang w:eastAsia="fr-BE"/>
                    </w:rPr>
                    <mc:AlternateContent>
                      <mc:Choice Requires="wps">
                        <w:drawing>
                          <wp:anchor distT="45720" distB="45720" distL="114300" distR="114300" simplePos="0" relativeHeight="251996160" behindDoc="0" locked="0" layoutInCell="1" allowOverlap="1">
                            <wp:simplePos x="0" y="0"/>
                            <wp:positionH relativeFrom="column">
                              <wp:posOffset>5290820</wp:posOffset>
                            </wp:positionH>
                            <wp:positionV relativeFrom="paragraph">
                              <wp:posOffset>164465</wp:posOffset>
                            </wp:positionV>
                            <wp:extent cx="581025" cy="236855"/>
                            <wp:effectExtent l="0" t="0" r="0" b="0"/>
                            <wp:wrapNone/>
                            <wp:docPr id="28" name="Zone de text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025"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jc w:val="right"/>
                                        </w:pPr>
                                        <w:r>
                                          <w:t>30/6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8" o:spid="_x0000_s1049" type="#_x0000_t202" style="position:absolute;margin-left:416.6pt;margin-top:12.95pt;width:45.75pt;height:18.65pt;z-index:251996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" filled="f" stroked="f">
                            <v:textbox>
                              <w:txbxContent>
                                <w:p>
                                  <w:pPr>
                                    <w:jc w:val="right"/>
                                  </w:pPr>
                                  <w:r>
                                    <w:t>30/6</w:t>
                                  </w:r>
                                </w:p>
                              </w:txbxContent>
                            </v:textbox>
                          </v:shape>
                        </w:pict>
                      </mc:Fallback>
                    </mc:AlternateContent>
                  </w:r>
                  <w:r>
                    <w:rPr>
                      <w:noProof/>
                      <w:lang w:eastAsia="fr-BE"/>
                    </w:rPr>
                    <mc:AlternateContent>
                      <mc:Choice Requires="wps">
                        <w:drawing>
                          <wp:anchor distT="45720" distB="45720" distL="114300" distR="114300" simplePos="0" relativeHeight="252003328" behindDoc="0" locked="0" layoutInCell="1" allowOverlap="1">
                            <wp:simplePos x="0" y="0"/>
                            <wp:positionH relativeFrom="column">
                              <wp:posOffset>1727200</wp:posOffset>
                            </wp:positionH>
                            <wp:positionV relativeFrom="paragraph">
                              <wp:posOffset>8255</wp:posOffset>
                            </wp:positionV>
                            <wp:extent cx="604520" cy="377190"/>
                            <wp:effectExtent l="0" t="0" r="0" b="4445"/>
                            <wp:wrapSquare wrapText="bothSides"/>
                            <wp:docPr id="456" name="Zone de texte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b/>
                                            <w:color w:val="FF0000"/>
                                          </w:rPr>
                                        </w:pPr>
                                        <w:r>
                                          <w:rPr>
                                            <w:b/>
                                            <w:color w:val="FF0000"/>
                                          </w:rPr>
                                          <w:t>+5%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6" o:spid="_x0000_s1050" type="#_x0000_t202" style="position:absolute;margin-left:136pt;margin-top:.65pt;width:47.6pt;height:29.7pt;z-index:2520033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" filled="f" stroked="f">
                            <v:textbox style="mso-fit-shape-to-text:t">
                              <w:txbxContent>
                                <w:p>
                                  <w:pPr>
                                    <w:rPr>
                                      <w:b/>
                                      <w:color w:val="FF0000"/>
                                    </w:rPr>
                                  </w:pPr>
                                  <w:r>
                                    <w:rPr>
                                      <w:b/>
                                      <w:color w:val="FF0000"/>
                                    </w:rPr>
                                    <w:t>+5%</w:t>
                                  </w:r>
                                </w:p>
                              </w:txbxContent>
                            </v:textbox>
                            <w10:wrap type="square"/>
                          </v:shape>
                        </w:pict>
                      </mc:Fallback>
                    </mc:AlternateContent>
                  </w:r>
                  <w:r>
                    <w:rPr>
                      <w:noProof/>
                      <w:lang w:eastAsia="fr-BE"/>
                    </w:rPr>
                    <mc:AlternateContent>
                      <mc:Choice Requires="wps">
                        <w:drawing>
                          <wp:anchor distT="45720" distB="45720" distL="114300" distR="114300" simplePos="0" relativeHeight="252002304" behindDoc="0" locked="0" layoutInCell="1" allowOverlap="1">
                            <wp:simplePos x="0" y="0"/>
                            <wp:positionH relativeFrom="column">
                              <wp:posOffset>869315</wp:posOffset>
                            </wp:positionH>
                            <wp:positionV relativeFrom="paragraph">
                              <wp:posOffset>7620</wp:posOffset>
                            </wp:positionV>
                            <wp:extent cx="604520" cy="561340"/>
                            <wp:effectExtent l="0" t="0" r="0" b="5715"/>
                            <wp:wrapSquare wrapText="bothSides"/>
                            <wp:docPr id="455" name="Zone de texte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561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b/>
                                            <w:color w:val="FF0000"/>
                                          </w:rPr>
                                        </w:pPr>
                                        <w:r>
                                          <w:rPr>
                                            <w:b/>
                                            <w:color w:val="FF0000"/>
                                          </w:rPr>
                                          <w:t>100 élèves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5" o:spid="_x0000_s1051" type="#_x0000_t202" style="position:absolute;margin-left:68.45pt;margin-top:.6pt;width:47.6pt;height:44.2pt;z-index:2520023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" filled="f" stroked="f">
                            <v:textbox style="mso-fit-shape-to-text:t">
                              <w:txbxContent>
                                <w:p>
                                  <w:pPr>
                                    <w:rPr>
                                      <w:b/>
                                      <w:color w:val="FF0000"/>
                                    </w:rPr>
                                  </w:pPr>
                                  <w:r>
                                    <w:rPr>
                                      <w:b/>
                                      <w:color w:val="FF0000"/>
                                    </w:rPr>
                                    <w:t>100 élèves</w:t>
                                  </w:r>
                                </w:p>
                              </w:txbxContent>
                            </v:textbox>
                            <w10:wrap type="square"/>
                          </v:shape>
                        </w:pict>
                      </mc:Fallback>
                    </mc:AlternateContent>
                  </w:r>
                  <w:r>
                    <w:rPr>
                      <w:noProof/>
                      <w:lang w:eastAsia="fr-BE"/>
                    </w:rPr>
                    <mc:AlternateContent>
                      <mc:Choice Requires="wps">
                        <w:drawing>
                          <wp:anchor distT="45720" distB="45720" distL="114300" distR="114300" simplePos="0" relativeHeight="251995136" behindDoc="0" locked="0" layoutInCell="1" allowOverlap="1">
                            <wp:simplePos x="0" y="0"/>
                            <wp:positionH relativeFrom="column">
                              <wp:posOffset>2129155</wp:posOffset>
                            </wp:positionH>
                            <wp:positionV relativeFrom="paragraph">
                              <wp:posOffset>54610</wp:posOffset>
                            </wp:positionV>
                            <wp:extent cx="471805" cy="236855"/>
                            <wp:effectExtent l="0" t="0" r="0" b="0"/>
                            <wp:wrapNone/>
                            <wp:docPr id="454" name="Zone de texte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30/9</w:t>
                                        </w:r>
                                      </w:p>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4" o:spid="_x0000_s1052" type="#_x0000_t202" style="position:absolute;margin-left:167.65pt;margin-top:4.3pt;width:37.15pt;height:18.65pt;z-index:251995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" filled="f" stroked="f">
                            <v:textbox>
                              <w:txbxContent>
                                <w:p>
                                  <w:r>
                                    <w:t>30/9</w:t>
                                  </w:r>
                                </w:p>
                                <w:p/>
                              </w:txbxContent>
                            </v:textbox>
                          </v:shape>
                        </w:pict>
                      </mc:Fallback>
                    </mc:AlternateContent>
                  </w:r>
                  <w:r>
                    <w:rPr>
                      <w:noProof/>
                      <w:lang w:eastAsia="fr-BE"/>
                    </w:rPr>
                    <mc:AlternateContent>
                      <mc:Choice Requires="wps">
                        <w:drawing>
                          <wp:anchor distT="45720" distB="45720" distL="114300" distR="114300" simplePos="0" relativeHeight="251993088" behindDoc="0" locked="0" layoutInCell="1" allowOverlap="1">
                            <wp:simplePos x="0" y="0"/>
                            <wp:positionH relativeFrom="column">
                              <wp:posOffset>1409065</wp:posOffset>
                            </wp:positionH>
                            <wp:positionV relativeFrom="paragraph">
                              <wp:posOffset>88265</wp:posOffset>
                            </wp:positionV>
                            <wp:extent cx="471805" cy="236855"/>
                            <wp:effectExtent l="0" t="0" r="0" b="0"/>
                            <wp:wrapNone/>
                            <wp:docPr id="452" name="Zone de texte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2" o:spid="_x0000_s1053" type="#_x0000_t202" style="position:absolute;margin-left:110.95pt;margin-top:6.95pt;width:37.15pt;height:18.65pt;z-index:25199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" filled="f" stroked="f">
                            <v:textbox>
                              <w:txbxContent>
                                <w:p>
                                  <w:r>
                                    <w:t>1/9</w:t>
                                  </w:r>
                                </w:p>
                              </w:txbxContent>
                            </v:textbox>
                          </v:shape>
                        </w:pict>
                      </mc:Fallback>
                    </mc:AlternateContent>
                  </w:r>
                  <w:r>
                    <w:rPr>
                      <w:noProof/>
                      <w:lang w:eastAsia="fr-BE"/>
                    </w:rPr>
                    <mc:AlternateContent>
                      <mc:Choice Requires="wps">
                        <w:drawing>
                          <wp:anchor distT="0" distB="0" distL="114299" distR="114299" simplePos="0" relativeHeight="251992064" behindDoc="0" locked="0" layoutInCell="1" allowOverlap="1">
                            <wp:simplePos x="0" y="0"/>
                            <wp:positionH relativeFrom="column">
                              <wp:posOffset>1610359</wp:posOffset>
                            </wp:positionH>
                            <wp:positionV relativeFrom="paragraph">
                              <wp:posOffset>333375</wp:posOffset>
                            </wp:positionV>
                            <wp:extent cx="0" cy="186690"/>
                            <wp:effectExtent l="0" t="0" r="19050" b="22860"/>
                            <wp:wrapNone/>
                            <wp:docPr id="451" name="Connecteur droit avec flèche 4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235504" id="_x0000_t32" coordsize="21600,21600" o:spt="32" o:oned="t" path="m,l21600,21600e" filled="f">
                            <v:path arrowok="t" fillok="f" o:connecttype="none"/>
                            <o:lock v:ext="edit" shapetype="t"/>
                          </v:shapetype>
                          <v:shape id="Connecteur droit avec flèche 451" o:spid="_x0000_s1026" type="#_x0000_t32" style="position:absolute;margin-left:126.8pt;margin-top:26.25pt;width:0;height:14.7pt;z-index:2519920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"/>
                        </w:pict>
                      </mc:Fallback>
                    </mc:AlternateContent>
                  </w:r>
                  <w:r>
                    <w:rPr>
                      <w:noProof/>
                      <w:lang w:eastAsia="fr-BE"/>
                    </w:rPr>
                    <mc:AlternateContent>
                      <mc:Choice Requires="wps">
                        <w:drawing>
                          <wp:anchor distT="45720" distB="45720" distL="114300" distR="114300" simplePos="0" relativeHeight="251991040" behindDoc="0" locked="0" layoutInCell="1" allowOverlap="1">
                            <wp:simplePos x="0" y="0"/>
                            <wp:positionH relativeFrom="column">
                              <wp:posOffset>487045</wp:posOffset>
                            </wp:positionH>
                            <wp:positionV relativeFrom="paragraph">
                              <wp:posOffset>96520</wp:posOffset>
                            </wp:positionV>
                            <wp:extent cx="471805" cy="236855"/>
                            <wp:effectExtent l="0" t="0" r="0" b="0"/>
                            <wp:wrapNone/>
                            <wp:docPr id="450" name="Zone de texte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15/11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0" o:spid="_x0000_s1054" type="#_x0000_t202" style="position:absolute;margin-left:38.35pt;margin-top:7.6pt;width:37.15pt;height:18.65pt;z-index:251991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" filled="f" stroked="f">
                            <v:textbox>
                              <w:txbxContent>
                                <w:p>
                                  <w:r>
                                    <w:t>15/11</w:t>
                                  </w:r>
                                </w:p>
                              </w:txbxContent>
                            </v:textbox>
                          </v:shape>
                        </w:pict>
                      </mc:Fallback>
                    </mc:AlternateContent>
                  </w:r>
                  <w:r>
                    <w:rPr>
                      <w:noProof/>
                      <w:lang w:eastAsia="fr-BE"/>
                    </w:rPr>
                    <mc:AlternateContent>
                      <mc:Choice Requires="wps">
                        <w:drawing>
                          <wp:anchor distT="0" distB="0" distL="114299" distR="114299" simplePos="0" relativeHeight="251990016" behindDoc="0" locked="0" layoutInCell="1" allowOverlap="1">
                            <wp:simplePos x="0" y="0"/>
                            <wp:positionH relativeFrom="column">
                              <wp:posOffset>721359</wp:posOffset>
                            </wp:positionH>
                            <wp:positionV relativeFrom="paragraph">
                              <wp:posOffset>344170</wp:posOffset>
                            </wp:positionV>
                            <wp:extent cx="0" cy="186690"/>
                            <wp:effectExtent l="0" t="0" r="19050" b="22860"/>
                            <wp:wrapNone/>
                            <wp:docPr id="29" name="Connecteur droit avec flèch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B3D8015" id="_x0000_t32" coordsize="21600,21600" o:spt="32" o:oned="t" path="m,l21600,21600e" filled="f">
                            <v:path arrowok="t" fillok="f" o:connecttype="none"/>
                            <o:lock v:ext="edit" shapetype="t"/>
                          </v:shapetype>
                          <v:shape id="Connecteur droit avec flèche 29" o:spid="_x0000_s1026" type="#_x0000_t32" style="position:absolute;margin-left:56.8pt;margin-top:27.1pt;width:0;height:14.7pt;z-index:2519900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"/>
                        </w:pict>
                      </mc:Fallback>
                    </mc:AlternateContent>
                  </w:r>
                </w:p>
                <w:p>
                  <w:pPr>
                    <w:tabs>
                      <w:tab w:val="left" w:pos="2410"/>
                      <w:tab w:val="left" w:pos="2552"/>
                      <w:tab w:val="left" w:pos="2835"/>
                    </w:tabs>
                  </w:pPr>
                  <w:r>
                    <w:rPr>
                      <w:noProof/>
                      <w:lang w:eastAsia="fr-BE"/>
                    </w:rPr>
                    <mc:AlternateContent>
                      <mc:Choice Requires="wps">
                        <w:drawing>
                          <wp:anchor distT="0" distB="0" distL="114299" distR="114299" simplePos="0" relativeHeight="251994112" behindDoc="0" locked="0" layoutInCell="1" allowOverlap="1">
                            <wp:simplePos x="0" y="0"/>
                            <wp:positionH relativeFrom="column">
                              <wp:posOffset>2368549</wp:posOffset>
                            </wp:positionH>
                            <wp:positionV relativeFrom="paragraph">
                              <wp:posOffset>154305</wp:posOffset>
                            </wp:positionV>
                            <wp:extent cx="0" cy="186690"/>
                            <wp:effectExtent l="0" t="0" r="19050" b="22860"/>
                            <wp:wrapNone/>
                            <wp:docPr id="27" name="Connecteur droit avec flèch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5C278D" id="Connecteur droit avec flèche 27" o:spid="_x0000_s1026" type="#_x0000_t32" style="position:absolute;margin-left:186.5pt;margin-top:12.15pt;width:0;height:14.7pt;z-index:2519941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"/>
                        </w:pict>
                      </mc:Fallback>
                    </mc:AlternateContent>
                  </w:r>
                </w:p>
                <w:p>
                  <w:pPr>
                    <w:tabs>
                      <w:tab w:val="left" w:pos="2410"/>
                      <w:tab w:val="left" w:pos="2552"/>
                      <w:tab w:val="left" w:pos="2835"/>
                    </w:tabs>
                  </w:pPr>
                  <w:r>
                    <w:rPr>
                      <w:noProof/>
                      <w:lang w:eastAsia="fr-BE"/>
                    </w:rPr>
                    <mc:AlternateContent>
                      <mc:Choice Requires="wps">
                        <w:drawing>
                          <wp:anchor distT="4294967295" distB="4294967295" distL="114300" distR="114300" simplePos="0" relativeHeight="251988992" behindDoc="0" locked="0" layoutInCell="1" allowOverlap="1">
                            <wp:simplePos x="0" y="0"/>
                            <wp:positionH relativeFrom="column">
                              <wp:posOffset>99694</wp:posOffset>
                            </wp:positionH>
                            <wp:positionV relativeFrom="paragraph">
                              <wp:posOffset>160654</wp:posOffset>
                            </wp:positionV>
                            <wp:extent cx="5857875" cy="45719"/>
                            <wp:effectExtent l="38100" t="38100" r="47625" b="50165"/>
                            <wp:wrapNone/>
                            <wp:docPr id="449" name="Connecteur droit avec flèche 4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57875" cy="45719"/>
                                    </a:xfrm>
                                    <a:prstGeom prst="straightConnector1">
                                      <a:avLst/>
                                    </a:prstGeom>
                                    <a:noFill/>
                                    <a:ln w="12700">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8BA3EE" id="Connecteur droit avec flèche 449" o:spid="_x0000_s1026" type="#_x0000_t32" style="position:absolute;margin-left:7.85pt;margin-top:12.65pt;width:461.25pt;height:3.6pt;flip:y;z-index:251988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" strokeweight="1pt">
                            <v:stroke startarrow="oval" endarrow="oval"/>
                          </v:shape>
                        </w:pict>
                      </mc:Fallback>
                    </mc:AlternateContent>
                  </w:r>
                </w:p>
                <w:p>
                  <w:pPr>
                    <w:tabs>
                      <w:tab w:val="left" w:pos="2410"/>
                      <w:tab w:val="left" w:pos="2552"/>
                      <w:tab w:val="left" w:pos="2835"/>
                    </w:tabs>
                  </w:pPr>
                  <w:r>
                    <w:rPr>
                      <w:noProof/>
                      <w:lang w:eastAsia="fr-BE"/>
                    </w:rPr>
                    <mc:AlternateContent>
                      <mc:Choice Requires="wps">
                        <w:drawing>
                          <wp:anchor distT="0" distB="0" distL="114299" distR="114299" simplePos="0" relativeHeight="251997184" behindDoc="0" locked="0" layoutInCell="1" allowOverlap="1">
                            <wp:simplePos x="0" y="0"/>
                            <wp:positionH relativeFrom="column">
                              <wp:posOffset>1242059</wp:posOffset>
                            </wp:positionH>
                            <wp:positionV relativeFrom="paragraph">
                              <wp:posOffset>19050</wp:posOffset>
                            </wp:positionV>
                            <wp:extent cx="0" cy="230505"/>
                            <wp:effectExtent l="76200" t="0" r="57150" b="55245"/>
                            <wp:wrapNone/>
                            <wp:docPr id="26" name="Connecteur droit avec flèch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050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74E1B5" id="Connecteur droit avec flèche 26" o:spid="_x0000_s1026" type="#_x0000_t32" style="position:absolute;margin-left:97.8pt;margin-top:1.5pt;width:0;height:18.15pt;z-index:2519971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">
                            <v:stroke endarrow="block"/>
                          </v:shape>
                        </w:pict>
                      </mc:Fallback>
                    </mc:AlternateContent>
                  </w:r>
                </w:p>
                <w:p>
                  <w:pPr>
                    <w:tabs>
                      <w:tab w:val="left" w:pos="2410"/>
                      <w:tab w:val="left" w:pos="2552"/>
                      <w:tab w:val="left" w:pos="2835"/>
                    </w:tabs>
                  </w:pPr>
                  <w:r>
                    <w:rPr>
                      <w:noProof/>
                      <w:lang w:eastAsia="fr-BE"/>
                    </w:rPr>
                    <mc:AlternateContent>
                      <mc:Choice Requires="wps">
                        <w:drawing>
                          <wp:anchor distT="45720" distB="45720" distL="114300" distR="114300" simplePos="0" relativeHeight="251998208" behindDoc="0" locked="0" layoutInCell="1" allowOverlap="1">
                            <wp:simplePos x="0" y="0"/>
                            <wp:positionH relativeFrom="column">
                              <wp:posOffset>1052195</wp:posOffset>
                            </wp:positionH>
                            <wp:positionV relativeFrom="paragraph">
                              <wp:posOffset>62230</wp:posOffset>
                            </wp:positionV>
                            <wp:extent cx="471805" cy="236855"/>
                            <wp:effectExtent l="0" t="0" r="0" b="0"/>
                            <wp:wrapNone/>
                            <wp:docPr id="25" name="Zone de text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5" o:spid="_x0000_s1055" type="#_x0000_t202" style="position:absolute;margin-left:82.85pt;margin-top:4.9pt;width:37.15pt;height:18.65pt;z-index:251998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" filled="f" stroked="f">
                            <v:textbox>
                              <w:txbxContent>
                                <w:p>
                                  <w:r>
                                    <w:t>1/7</w:t>
                                  </w:r>
                                </w:p>
                              </w:txbxContent>
                            </v:textbox>
                          </v:shape>
                        </w:pict>
                      </mc:Fallback>
                    </mc:AlternateContent>
                  </w:r>
                </w:p>
                <w:p>
                  <w:pPr>
                    <w:tabs>
                      <w:tab w:val="left" w:pos="2410"/>
                      <w:tab w:val="left" w:pos="2552"/>
                      <w:tab w:val="left" w:pos="2835"/>
                    </w:tabs>
                  </w:pPr>
                </w:p>
                <w:p>
                  <w:pPr>
                    <w:tabs>
                      <w:tab w:val="left" w:pos="2410"/>
                      <w:tab w:val="left" w:pos="2552"/>
                      <w:tab w:val="left" w:pos="2835"/>
                    </w:tabs>
                  </w:pPr>
                </w:p>
                <w:p>
                  <w:pPr>
                    <w:tabs>
                      <w:tab w:val="left" w:pos="2410"/>
                      <w:tab w:val="left" w:pos="2552"/>
                      <w:tab w:val="left" w:pos="2835"/>
                      <w:tab w:val="left" w:pos="3686"/>
                    </w:tabs>
                  </w:pPr>
                  <w:r>
                    <w:rPr>
                      <w:u w:val="single"/>
                    </w:rPr>
                    <w:t>Type 5</w:t>
                  </w:r>
                  <w:r>
                    <w:t> :</w:t>
                  </w:r>
                </w:p>
                <w:p>
                  <w:pPr>
                    <w:tabs>
                      <w:tab w:val="left" w:pos="2410"/>
                      <w:tab w:val="left" w:pos="2552"/>
                      <w:tab w:val="left" w:pos="2835"/>
                      <w:tab w:val="left" w:pos="3686"/>
                    </w:tabs>
                  </w:pPr>
                  <w:r>
                    <w:rPr>
                      <w:noProof/>
                      <w:lang w:eastAsia="fr-BE"/>
                    </w:rPr>
                    <mc:AlternateContent>
                      <mc:Choice Requires="wpg">
                        <w:drawing>
                          <wp:anchor distT="0" distB="0" distL="114300" distR="114300" simplePos="0" relativeHeight="252001280" behindDoc="0" locked="0" layoutInCell="1" allowOverlap="1">
                            <wp:simplePos x="0" y="0"/>
                            <wp:positionH relativeFrom="column">
                              <wp:posOffset>33020</wp:posOffset>
                            </wp:positionH>
                            <wp:positionV relativeFrom="paragraph">
                              <wp:posOffset>82550</wp:posOffset>
                            </wp:positionV>
                            <wp:extent cx="5972175" cy="1081405"/>
                            <wp:effectExtent l="38100" t="0" r="47625" b="4445"/>
                            <wp:wrapNone/>
                            <wp:docPr id="4" name="Groupe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2175" cy="1081405"/>
                                      <a:chOff x="1466" y="5297"/>
                                      <a:chExt cx="9033" cy="1703"/>
                                    </a:xfrm>
                                  </wpg:grpSpPr>
                                  <wps:wsp>
                                    <wps:cNvPr id="5" name="AutoShape 14"/>
                                    <wps:cNvCnPr>
                                      <a:cxnSpLocks noChangeShapeType="1"/>
                                    </wps:cNvCnPr>
                                    <wps:spPr bwMode="auto">
                                      <a:xfrm>
                                        <a:off x="1466" y="6246"/>
                                        <a:ext cx="9013" cy="1"/>
                                      </a:xfrm>
                                      <a:prstGeom prst="straightConnector1">
                                        <a:avLst/>
                                      </a:prstGeom>
                                      <a:noFill/>
                                      <a:ln w="12700">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wps:wsp>
                                    <wps:cNvPr id="6" name="AutoShape 17"/>
                                    <wps:cNvCnPr>
                                      <a:cxnSpLocks noChangeShapeType="1"/>
                                    </wps:cNvCnPr>
                                    <wps:spPr bwMode="auto">
                                      <a:xfrm>
                                        <a:off x="3999" y="5947"/>
                                        <a:ext cx="0" cy="294"/>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7" name="Zone de texte 2"/>
                                    <wps:cNvSpPr txBox="1">
                                      <a:spLocks noChangeArrowheads="1"/>
                                    </wps:cNvSpPr>
                                    <wps:spPr bwMode="auto">
                                      <a:xfrm>
                                        <a:off x="3682" y="5561"/>
                                        <a:ext cx="743" cy="3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1/9</w:t>
                                          </w:r>
                                        </w:p>
                                      </w:txbxContent>
                                    </wps:txbx>
                                    <wps:bodyPr rot="0" vert="horz" wrap="square" lIns="91440" tIns="45720" rIns="91440" bIns="45720" anchor="t" anchorCtr="0" upright="1">
                                      <a:noAutofit/>
                                    </wps:bodyPr>
                                  </wps:wsp>
                                  <wps:wsp>
                                    <wps:cNvPr id="8" name="AutoShape 30"/>
                                    <wps:cNvCnPr>
                                      <a:cxnSpLocks noChangeShapeType="1"/>
                                    </wps:cNvCnPr>
                                    <wps:spPr bwMode="auto">
                                      <a:xfrm>
                                        <a:off x="5161" y="5947"/>
                                        <a:ext cx="0" cy="294"/>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10" name="Zone de texte 2"/>
                                    <wps:cNvSpPr txBox="1">
                                      <a:spLocks noChangeArrowheads="1"/>
                                    </wps:cNvSpPr>
                                    <wps:spPr bwMode="auto">
                                      <a:xfrm>
                                        <a:off x="4901" y="5297"/>
                                        <a:ext cx="750" cy="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30/9</w:t>
                                          </w:r>
                                        </w:p>
                                      </w:txbxContent>
                                    </wps:txbx>
                                    <wps:bodyPr rot="0" vert="horz" wrap="square" lIns="91440" tIns="45720" rIns="91440" bIns="45720" anchor="t" anchorCtr="0" upright="1">
                                      <a:noAutofit/>
                                    </wps:bodyPr>
                                  </wps:wsp>
                                  <wps:wsp>
                                    <wps:cNvPr id="18" name="Zone de texte 2"/>
                                    <wps:cNvSpPr txBox="1">
                                      <a:spLocks noChangeArrowheads="1"/>
                                    </wps:cNvSpPr>
                                    <wps:spPr bwMode="auto">
                                      <a:xfrm>
                                        <a:off x="9756" y="5694"/>
                                        <a:ext cx="743" cy="3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jc w:val="right"/>
                                          </w:pPr>
                                          <w:r>
                                            <w:t>30/6</w:t>
                                          </w:r>
                                        </w:p>
                                      </w:txbxContent>
                                    </wps:txbx>
                                    <wps:bodyPr rot="0" vert="horz" wrap="square" lIns="91440" tIns="45720" rIns="91440" bIns="45720" anchor="t" anchorCtr="0" upright="1">
                                      <a:noAutofit/>
                                    </wps:bodyPr>
                                  </wps:wsp>
                                  <wps:wsp>
                                    <wps:cNvPr id="19" name="Zone de texte 2"/>
                                    <wps:cNvSpPr txBox="1">
                                      <a:spLocks noChangeArrowheads="1"/>
                                    </wps:cNvSpPr>
                                    <wps:spPr bwMode="auto">
                                      <a:xfrm>
                                        <a:off x="1712" y="5775"/>
                                        <a:ext cx="2077"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
                                            <w:t>Moyenne année -1</w:t>
                                          </w:r>
                                        </w:p>
                                      </w:txbxContent>
                                    </wps:txbx>
                                    <wps:bodyPr rot="0" vert="horz" wrap="square" lIns="91440" tIns="45720" rIns="91440" bIns="45720" anchor="t" anchorCtr="0" upright="1">
                                      <a:noAutofit/>
                                    </wps:bodyPr>
                                  </wps:wsp>
                                  <wps:wsp>
                                    <wps:cNvPr id="20" name="AutoShape 38"/>
                                    <wps:cNvCnPr>
                                      <a:cxnSpLocks noChangeShapeType="1"/>
                                    </wps:cNvCnPr>
                                    <wps:spPr bwMode="auto">
                                      <a:xfrm>
                                        <a:off x="3463" y="6264"/>
                                        <a:ext cx="0" cy="363"/>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23" name="Zone de texte 2"/>
                                    <wps:cNvSpPr txBox="1">
                                      <a:spLocks noChangeArrowheads="1"/>
                                    </wps:cNvSpPr>
                                    <wps:spPr bwMode="auto">
                                      <a:xfrm>
                                        <a:off x="3138" y="6627"/>
                                        <a:ext cx="743" cy="3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1/7</w:t>
                                          </w:r>
                                        </w:p>
                                      </w:txbxContent>
                                    </wps:txbx>
                                    <wps:bodyPr rot="0" vert="horz" wrap="square" lIns="91440" tIns="45720" rIns="91440" bIns="45720" anchor="t" anchorCtr="0" upright="1">
                                      <a:noAutofit/>
                                    </wps:bodyPr>
                                  </wps:wsp>
                                  <wps:wsp>
                                    <wps:cNvPr id="24" name="Zone de texte 2"/>
                                    <wps:cNvSpPr txBox="1">
                                      <a:spLocks noChangeArrowheads="1"/>
                                    </wps:cNvSpPr>
                                    <wps:spPr bwMode="auto">
                                      <a:xfrm>
                                        <a:off x="7066" y="5519"/>
                                        <a:ext cx="952" cy="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b/>
                                              <w:color w:val="FF0000"/>
                                            </w:rPr>
                                          </w:pPr>
                                          <w:r>
                                            <w:rPr>
                                              <w:b/>
                                              <w:color w:val="FF0000"/>
                                            </w:rPr>
                                            <w:t>20 élèves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e 4" o:spid="_x0000_s1056" style="position:absolute;margin-left:2.6pt;margin-top:6.5pt;width:470.25pt;height:85.15pt;z-index:252001280" coordorigin="1466,5297" coordsize="9033,1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">
                            <v:shapetype id="_x0000_t32" coordsize="21600,21600" o:spt="32" o:oned="t" path="m,l21600,21600e" filled="f">
                              <v:path arrowok="t" fillok="f" o:connecttype="none"/>
                              <o:lock v:ext="edit" shapetype="t"/>
                            </v:shapetype>
                            <v:shape id="_x0000_s1057" type="#_x0000_t32" style="position:absolute;left:1466;top:6246;width:901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btE8AAAADaAAAADwAAAGRycy9kb3ducmV2LnhtbESPzarCMBSE94LvEI7gTlOVilSjiCBc&#10;wY0/cLfnNsem2JyUJlerT28EweUwM98wi1VrK3GjxpeOFYyGCQji3OmSCwXn03YwA+EDssbKMSl4&#10;kIfVsttZYKbdnQ90O4ZCRAj7DBWYEOpMSp8bsuiHriaO3sU1FkOUTSF1g/cIt5UcJ8lUWiw5Lhis&#10;aWMovx7/rQIk+buZlOf0We1Gf8bbWZHu9kr1e+16DiJQG77hT/tHK0jhfSXeALl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ym7RPAAAAA2gAAAA8AAAAAAAAAAAAAAAAA&#10;oQIAAGRycy9kb3ducmV2LnhtbFBLBQYAAAAABAAEAPkAAACOAwAAAAA=&#10;" strokeweight="1pt">
                              <v:stroke startarrow="oval" endarrow="oval"/>
                            </v:shape>
                            <v:shape id="AutoShape 17" o:spid="_x0000_s1058" type="#_x0000_t32" style="position:absolute;left:3999;top:5947;width:0;height:2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wPcMMAAADaAAAADwAAAGRycy9kb3ducmV2LnhtbESPQWsCMRSE7wX/Q3hCL0WzFpSyGmUt&#10;CLXgQa335+a5CW5e1k3U7b83hYLHYWa+YWaLztXiRm2wnhWMhhkI4tJry5WCn/1q8AEiRGSNtWdS&#10;8EsBFvPeywxz7e+8pdsuViJBOOSowMTY5FKG0pDDMPQNcfJOvnUYk2wrqVu8J7ir5XuWTaRDy2nB&#10;YEOfhsrz7uoUbNajZXE0dv29vdjNeFXU1+rtoNRrvyumICJ18Rn+b39pBRP4u5Ju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sD3DDAAAA2gAAAA8AAAAAAAAAAAAA&#10;AAAAoQIAAGRycy9kb3ducmV2LnhtbFBLBQYAAAAABAAEAPkAAACRAwAAAAA=&#10;"/>
                            <v:shape id="_x0000_s1059" type="#_x0000_t202" style="position:absolute;left:3682;top:5561;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r>
                                      <w:t>1/9</w:t>
                                    </w:r>
                                  </w:p>
                                </w:txbxContent>
                              </v:textbox>
                            </v:shape>
                            <v:shape id="AutoShape 30" o:spid="_x0000_s1060" type="#_x0000_t32" style="position:absolute;left:5161;top:5947;width:0;height:2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mcEAAADaAAAADwAAAGRycy9kb3ducmV2LnhtbERPz2vCMBS+D/wfwhO8jJk62BidaamC&#10;MAce7PT+1rw1wealNlHrf78cBjt+fL+X5eg6caUhWM8KFvMMBHHjteVWweFr8/QGIkRkjZ1nUnCn&#10;AGUxeVhirv2N93StYytSCIccFZgY+1zK0BhyGOa+J07cjx8cxgSHVuoBbyncdfI5y16lQ8upwWBP&#10;a0PNqb44BbvtYlV9G7v93J/t7mVTdZf28ajUbDpW7yAijfFf/Of+0ArS1nQl3QBZ/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z6ZwQAAANoAAAAPAAAAAAAAAAAAAAAA&#10;AKECAABkcnMvZG93bnJldi54bWxQSwUGAAAAAAQABAD5AAAAjwMAAAAA&#10;"/>
                            <v:shape id="_x0000_s1061" type="#_x0000_t202" style="position:absolute;left:4901;top:5297;width:750;height:6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
                                      <w:t>30/9</w:t>
                                    </w:r>
                                  </w:p>
                                </w:txbxContent>
                              </v:textbox>
                            </v:shape>
                            <v:shape id="_x0000_s1062" type="#_x0000_t202" style="position:absolute;left:9756;top:5694;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v:textbox>
                                <w:txbxContent>
                                  <w:p>
                                    <w:pPr>
                                      <w:jc w:val="right"/>
                                    </w:pPr>
                                    <w:r>
                                      <w:t>30/6</w:t>
                                    </w:r>
                                  </w:p>
                                </w:txbxContent>
                              </v:textbox>
                            </v:shape>
                            <v:shape id="_x0000_s1063" type="#_x0000_t202" style="position:absolute;left:1712;top:5775;width:2077;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S4L8A&#10;AADbAAAADwAAAGRycy9kb3ducmV2LnhtbERP24rCMBB9F/yHMIIvsk2V9VaNsgqKr7p+wLQZ22Iz&#10;KU3W1r83C4JvczjXWW87U4kHNa60rGAcxSCIM6tLzhVcfw9fCxDOI2usLJOCJznYbvq9NSbatnym&#10;x8XnIoSwS1BB4X2dSOmyggy6yNbEgbvZxqAPsMmlbrAN4aaSkzieSYMlh4YCa9oXlN0vf0bB7dSO&#10;pss2Pfrr/Pw922E5T+1TqeGg+1mB8NT5j/jtPukwfwn/v4QD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W1LgvwAAANsAAAAPAAAAAAAAAAAAAAAAAJgCAABkcnMvZG93bnJl&#10;di54bWxQSwUGAAAAAAQABAD1AAAAhAMAAAAA&#10;" stroked="f">
                              <v:textbox>
                                <w:txbxContent>
                                  <w:p>
                                    <w:r>
                                      <w:t>Moyenne année -1</w:t>
                                    </w:r>
                                  </w:p>
                                </w:txbxContent>
                              </v:textbox>
                            </v:shape>
                            <v:shape id="AutoShape 38" o:spid="_x0000_s1064" type="#_x0000_t32" style="position:absolute;left:3463;top:6264;width:0;height:3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0ixMIAAADbAAAADwAAAGRycy9kb3ducmV2LnhtbERPz2vCMBS+D/wfwhN2m6kexuyMIoJj&#10;VHawStluj+atLTYvJYm29a83h8GOH9/v1WYwrbiR841lBfNZAoK4tLrhSsH5tH95A+EDssbWMikY&#10;ycNmPXlaYaptz0e65aESMYR9igrqELpUSl/WZNDPbEccuV/rDIYIXSW1wz6Gm1YukuRVGmw4NtTY&#10;0a6m8pJfjYLvw/JajMUXZcV8mf2gM/5++lDqeTps30EEGsK/+M/9qRUs4vr4Jf4Au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W0ixMIAAADbAAAADwAAAAAAAAAAAAAA&#10;AAChAgAAZHJzL2Rvd25yZXYueG1sUEsFBgAAAAAEAAQA+QAAAJADAAAAAA==&#10;">
                              <v:stroke endarrow="block"/>
                            </v:shape>
                            <v:shape id="_x0000_s1065" type="#_x0000_t202" style="position:absolute;left:3138;top:6627;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
                                      <w:t>1/7</w:t>
                                    </w:r>
                                  </w:p>
                                </w:txbxContent>
                              </v:textbox>
                            </v:shape>
                            <v:shape id="_x0000_s1066" type="#_x0000_t202" style="position:absolute;left:7066;top:5519;width:952;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pPr>
                                      <w:rPr>
                                        <w:b/>
                                        <w:color w:val="FF0000"/>
                                      </w:rPr>
                                    </w:pPr>
                                    <w:r>
                                      <w:rPr>
                                        <w:b/>
                                        <w:color w:val="FF0000"/>
                                      </w:rPr>
                                      <w:t>20 élèves</w:t>
                                    </w:r>
                                  </w:p>
                                </w:txbxContent>
                              </v:textbox>
                            </v:shape>
                          </v:group>
                        </w:pict>
                      </mc:Fallback>
                    </mc:AlternateContent>
                  </w:r>
                </w:p>
                <w:p>
                  <w:pPr>
                    <w:tabs>
                      <w:tab w:val="left" w:pos="2410"/>
                      <w:tab w:val="left" w:pos="2552"/>
                      <w:tab w:val="left" w:pos="2835"/>
                      <w:tab w:val="left" w:pos="3686"/>
                    </w:tabs>
                  </w:pPr>
                  <w:r>
                    <w:rPr>
                      <w:noProof/>
                      <w:lang w:eastAsia="fr-BE"/>
                    </w:rPr>
                    <mc:AlternateContent>
                      <mc:Choice Requires="wps">
                        <w:drawing>
                          <wp:anchor distT="45720" distB="45720" distL="114300" distR="114300" simplePos="0" relativeHeight="252000256" behindDoc="0" locked="0" layoutInCell="1" allowOverlap="1">
                            <wp:simplePos x="0" y="0"/>
                            <wp:positionH relativeFrom="column">
                              <wp:posOffset>1699895</wp:posOffset>
                            </wp:positionH>
                            <wp:positionV relativeFrom="paragraph">
                              <wp:posOffset>12700</wp:posOffset>
                            </wp:positionV>
                            <wp:extent cx="633095" cy="451485"/>
                            <wp:effectExtent l="0" t="0" r="0" b="5715"/>
                            <wp:wrapSquare wrapText="bothSides"/>
                            <wp:docPr id="3" name="Zone de 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 cy="45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b/>
                                            <w:color w:val="FF0000"/>
                                          </w:rPr>
                                        </w:pPr>
                                        <w:r>
                                          <w:rPr>
                                            <w:b/>
                                            <w:color w:val="FF0000"/>
                                          </w:rPr>
                                          <w:t>20 élèves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3" o:spid="_x0000_s1067" type="#_x0000_t202" style="position:absolute;margin-left:133.85pt;margin-top:1pt;width:49.85pt;height:35.55pt;z-index:252000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" filled="f" stroked="f">
                            <v:textbox>
                              <w:txbxContent>
                                <w:p>
                                  <w:pPr>
                                    <w:rPr>
                                      <w:b/>
                                      <w:color w:val="FF0000"/>
                                    </w:rPr>
                                  </w:pPr>
                                  <w:r>
                                    <w:rPr>
                                      <w:b/>
                                      <w:color w:val="FF0000"/>
                                    </w:rPr>
                                    <w:t>20 élèves</w:t>
                                  </w:r>
                                </w:p>
                              </w:txbxContent>
                            </v:textbox>
                            <w10:wrap type="square"/>
                          </v:shape>
                        </w:pict>
                      </mc:Fallback>
                    </mc:AlternateContent>
                  </w:r>
                  <w:r>
                    <w:rPr>
                      <w:noProof/>
                      <w:lang w:eastAsia="fr-BE"/>
                    </w:rPr>
                    <mc:AlternateContent>
                      <mc:Choice Requires="wps">
                        <w:drawing>
                          <wp:anchor distT="45720" distB="45720" distL="114300" distR="114300" simplePos="0" relativeHeight="251999232" behindDoc="0" locked="0" layoutInCell="1" allowOverlap="1">
                            <wp:simplePos x="0" y="0"/>
                            <wp:positionH relativeFrom="column">
                              <wp:posOffset>300355</wp:posOffset>
                            </wp:positionH>
                            <wp:positionV relativeFrom="paragraph">
                              <wp:posOffset>12700</wp:posOffset>
                            </wp:positionV>
                            <wp:extent cx="762000" cy="432435"/>
                            <wp:effectExtent l="0" t="0" r="0" b="5715"/>
                            <wp:wrapSquare wrapText="bothSides"/>
                            <wp:docPr id="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432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b/>
                                            <w:color w:val="FF0000"/>
                                          </w:rPr>
                                        </w:pPr>
                                        <w:r>
                                          <w:rPr>
                                            <w:b/>
                                            <w:color w:val="FF0000"/>
                                          </w:rPr>
                                          <w:t>20 élèves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 o:spid="_x0000_s1068" type="#_x0000_t202" style="position:absolute;margin-left:23.65pt;margin-top:1pt;width:60pt;height:34.05pt;z-index:251999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" filled="f" stroked="f">
                            <v:textbox>
                              <w:txbxContent>
                                <w:p>
                                  <w:pPr>
                                    <w:rPr>
                                      <w:b/>
                                      <w:color w:val="FF0000"/>
                                    </w:rPr>
                                  </w:pPr>
                                  <w:r>
                                    <w:rPr>
                                      <w:b/>
                                      <w:color w:val="FF0000"/>
                                    </w:rPr>
                                    <w:t>20 élèves</w:t>
                                  </w:r>
                                </w:p>
                              </w:txbxContent>
                            </v:textbox>
                            <w10:wrap type="square"/>
                          </v:shape>
                        </w:pict>
                      </mc:Fallback>
                    </mc:AlternateContent>
                  </w:r>
                </w:p>
                <w:p>
                  <w:pPr>
                    <w:tabs>
                      <w:tab w:val="left" w:pos="2410"/>
                      <w:tab w:val="left" w:pos="2552"/>
                      <w:tab w:val="left" w:pos="2835"/>
                      <w:tab w:val="left" w:pos="3686"/>
                    </w:tabs>
                  </w:pPr>
                </w:p>
                <w:p>
                  <w:pPr>
                    <w:tabs>
                      <w:tab w:val="left" w:pos="2410"/>
                      <w:tab w:val="left" w:pos="2552"/>
                      <w:tab w:val="left" w:pos="2835"/>
                      <w:tab w:val="left" w:pos="3686"/>
                    </w:tabs>
                  </w:pPr>
                </w:p>
                <w:p>
                  <w:pPr>
                    <w:tabs>
                      <w:tab w:val="left" w:pos="2410"/>
                      <w:tab w:val="left" w:pos="2552"/>
                      <w:tab w:val="left" w:pos="2835"/>
                      <w:tab w:val="left" w:pos="3686"/>
                    </w:tabs>
                  </w:pPr>
                </w:p>
                <w:p>
                  <w:pPr>
                    <w:tabs>
                      <w:tab w:val="left" w:pos="2410"/>
                      <w:tab w:val="left" w:pos="2552"/>
                      <w:tab w:val="left" w:pos="2835"/>
                      <w:tab w:val="left" w:pos="3686"/>
                    </w:tabs>
                  </w:pPr>
                </w:p>
                <w:p>
                  <w:pPr>
                    <w:tabs>
                      <w:tab w:val="left" w:pos="2410"/>
                      <w:tab w:val="left" w:pos="2552"/>
                      <w:tab w:val="left" w:pos="2835"/>
                      <w:tab w:val="left" w:pos="3686"/>
                    </w:tabs>
                  </w:pPr>
                </w:p>
                <w:p>
                  <w:pPr>
                    <w:tabs>
                      <w:tab w:val="left" w:pos="2410"/>
                      <w:tab w:val="left" w:pos="2552"/>
                      <w:tab w:val="left" w:pos="2835"/>
                      <w:tab w:val="left" w:pos="3686"/>
                    </w:tabs>
                  </w:pPr>
                </w:p>
                <w:p>
                  <w:pPr>
                    <w:tabs>
                      <w:tab w:val="left" w:pos="2410"/>
                      <w:tab w:val="left" w:pos="2552"/>
                      <w:tab w:val="left" w:pos="2835"/>
                      <w:tab w:val="left" w:pos="3686"/>
                    </w:tabs>
                    <w:jc w:val="both"/>
                    <w:rPr>
                      <w:u w:val="single"/>
                    </w:rPr>
                  </w:pPr>
                  <w:r>
                    <w:rPr>
                      <w:u w:val="single"/>
                    </w:rPr>
                    <w:t>Comptage pour le calcul du CPU :</w:t>
                  </w:r>
                </w:p>
                <w:p>
                  <w:pPr>
                    <w:tabs>
                      <w:tab w:val="left" w:pos="2410"/>
                      <w:tab w:val="left" w:pos="2552"/>
                      <w:tab w:val="left" w:pos="2835"/>
                      <w:tab w:val="left" w:pos="3686"/>
                    </w:tabs>
                    <w:jc w:val="both"/>
                  </w:pPr>
                </w:p>
                <w:p>
                  <w:pPr>
                    <w:numPr>
                      <w:ilvl w:val="0"/>
                      <w:numId w:val="231"/>
                    </w:numPr>
                    <w:tabs>
                      <w:tab w:val="left" w:pos="993"/>
                      <w:tab w:val="left" w:pos="2552"/>
                      <w:tab w:val="left" w:pos="2835"/>
                      <w:tab w:val="left" w:pos="3686"/>
                    </w:tabs>
                    <w:ind w:left="567" w:hanging="425"/>
                    <w:jc w:val="both"/>
                  </w:pPr>
                  <w:r>
                    <w:t>Une dépêche en juillet reprenant les chiffres du comptage au 15/1 et de la moyenne de l’année précédente. 100 + 20 = 120 élèves</w:t>
                  </w:r>
                </w:p>
                <w:p>
                  <w:pPr>
                    <w:numPr>
                      <w:ilvl w:val="0"/>
                      <w:numId w:val="231"/>
                    </w:numPr>
                    <w:tabs>
                      <w:tab w:val="left" w:pos="993"/>
                      <w:tab w:val="left" w:pos="2552"/>
                      <w:tab w:val="left" w:pos="2835"/>
                      <w:tab w:val="left" w:pos="3686"/>
                    </w:tabs>
                    <w:ind w:left="567" w:hanging="425"/>
                    <w:jc w:val="both"/>
                  </w:pPr>
                  <w:r>
                    <w:t>Une dépêche en octobre reprenant les chiffres du comptage au 30/09 (et la variation éventuelle) et de la moyenne de l’année précédente. 105 + 20 = 125 élèves</w:t>
                  </w:r>
                </w:p>
                <w:p>
                  <w:pPr>
                    <w:tabs>
                      <w:tab w:val="left" w:pos="993"/>
                      <w:tab w:val="left" w:pos="2552"/>
                      <w:tab w:val="left" w:pos="2835"/>
                      <w:tab w:val="left" w:pos="3686"/>
                    </w:tabs>
                    <w:jc w:val="both"/>
                  </w:pPr>
                  <w:r>
                    <w:t xml:space="preserve"> </w:t>
                  </w:r>
                </w:p>
                <w:p>
                  <w:pPr>
                    <w:jc w:val="both"/>
                  </w:pPr>
                  <w:r>
                    <w:br w:type="page"/>
                  </w:r>
                </w:p>
                <w:p>
                  <w:pPr>
                    <w:pStyle w:val="Titre2"/>
                  </w:pPr>
                  <w:bookmarkStart w:id="2698" w:name="_Chapitre_13_:"/>
                  <w:bookmarkStart w:id="2699" w:name="_Toc477623774"/>
                  <w:bookmarkStart w:id="2700" w:name="_Toc477767600"/>
                  <w:bookmarkStart w:id="2701" w:name="_Toc18914479"/>
                  <w:bookmarkEnd w:id="2698"/>
                  <w:r>
                    <w:t>Chapitre</w:t>
                  </w:r>
                  <w:bookmarkStart w:id="2702" w:name="_Toc477623775"/>
                  <w:bookmarkStart w:id="2703" w:name="_Toc477767601"/>
                  <w:bookmarkEnd w:id="2699"/>
                  <w:bookmarkEnd w:id="2700"/>
                  <w:r>
                    <w:t xml:space="preserve"> 13 : Intégrations</w:t>
                  </w:r>
                  <w:bookmarkEnd w:id="2702"/>
                  <w:bookmarkEnd w:id="2703"/>
                  <w:bookmarkEnd w:id="2701"/>
                </w:p>
                <w:p>
                  <w:pPr>
                    <w:jc w:val="both"/>
                  </w:pPr>
                </w:p>
                <w:p>
                  <w:pPr>
                    <w:jc w:val="both"/>
                  </w:pPr>
                </w:p>
                <w:p>
                  <w:pPr>
                    <w:pStyle w:val="Sansinterligne"/>
                    <w:jc w:val="both"/>
                    <w:rPr>
                      <w:rFonts w:asciiTheme="majorHAnsi" w:hAnsiTheme="majorHAnsi"/>
                      <w:b/>
                    </w:rPr>
                  </w:pPr>
                  <w:r>
                    <w:rPr>
                      <w:rFonts w:asciiTheme="majorHAnsi" w:hAnsiTheme="majorHAnsi"/>
                      <w:b/>
                      <w:u w:val="single"/>
                    </w:rPr>
                    <w:t>Remarque générale :</w:t>
                  </w:r>
                  <w:r>
                    <w:rPr>
                      <w:rFonts w:asciiTheme="majorHAnsi" w:hAnsiTheme="majorHAnsi"/>
                      <w:b/>
                    </w:rPr>
                    <w:t xml:space="preserve"> </w:t>
                  </w:r>
                </w:p>
                <w:p>
                  <w:pPr>
                    <w:pStyle w:val="Sansinterligne"/>
                    <w:jc w:val="both"/>
                    <w:rPr>
                      <w:rFonts w:asciiTheme="majorHAnsi" w:hAnsiTheme="majorHAnsi"/>
                      <w:b/>
                    </w:rPr>
                  </w:pPr>
                </w:p>
                <w:p>
                  <w:pPr>
                    <w:pStyle w:val="Sansinterligne"/>
                    <w:jc w:val="both"/>
                    <w:rPr>
                      <w:rFonts w:asciiTheme="majorHAnsi" w:hAnsiTheme="majorHAnsi"/>
                      <w:b/>
                    </w:rPr>
                  </w:pPr>
                  <w:r>
                    <w:rPr>
                      <w:rFonts w:asciiTheme="majorHAnsi" w:hAnsiTheme="majorHAnsi"/>
                      <w:b/>
                    </w:rPr>
                    <w:t>Toutes les intégrations doivent être encodées dans SIEL, ProEco et Creos …</w:t>
                  </w:r>
                </w:p>
                <w:p>
                  <w:pPr>
                    <w:jc w:val="both"/>
                  </w:pPr>
                </w:p>
                <w:p>
                  <w:pPr>
                    <w:jc w:val="both"/>
                    <w:rPr>
                      <w:b/>
                      <w:u w:val="single"/>
                    </w:rPr>
                  </w:pPr>
                  <w:r>
                    <w:rPr>
                      <w:b/>
                      <w:u w:val="single"/>
                    </w:rPr>
                    <w:t>Bases légales:</w:t>
                  </w:r>
                </w:p>
                <w:p>
                  <w:pPr>
                    <w:jc w:val="both"/>
                  </w:pPr>
                </w:p>
                <w:p>
                  <w:pPr>
                    <w:numPr>
                      <w:ilvl w:val="0"/>
                      <w:numId w:val="43"/>
                    </w:numPr>
                    <w:suppressAutoHyphens/>
                    <w:jc w:val="both"/>
                  </w:pPr>
                  <w:hyperlink r:id="rId172" w:history="1">
                    <w:r>
                      <w:rPr>
                        <w:rStyle w:val="Lienhypertexte"/>
                        <w:rFonts w:cs="Arial"/>
                      </w:rPr>
                      <w:t>Décret du 3 mars 2004 organisant l'Enseignement spécialisé</w:t>
                    </w:r>
                  </w:hyperlink>
                  <w:r>
                    <w:t> ;</w:t>
                  </w:r>
                </w:p>
                <w:p>
                  <w:pPr>
                    <w:numPr>
                      <w:ilvl w:val="0"/>
                      <w:numId w:val="43"/>
                    </w:numPr>
                    <w:suppressAutoHyphens/>
                    <w:jc w:val="both"/>
                    <w:rPr>
                      <w:rStyle w:val="Lienhypertexte"/>
                      <w:rFonts w:cstheme="minorBidi"/>
                      <w:color w:val="auto"/>
                      <w:u w:val="none"/>
                    </w:rPr>
                  </w:pPr>
                  <w:hyperlink r:id="rId173" w:history="1">
                    <w:r>
                      <w:rPr>
                        <w:rStyle w:val="Lienhypertexte"/>
                        <w:rFonts w:cs="Arial"/>
                      </w:rPr>
                      <w:t>Décret du 24 juillet 1997 du décret définissant les missions prioritaires de l'enseignement fondamental et de l'enseignement secondaire et organisant les structures propres à les atteindre </w:t>
                    </w:r>
                  </w:hyperlink>
                  <w:r>
                    <w:rPr>
                      <w:rFonts w:cs="Arial"/>
                    </w:rPr>
                    <w:t xml:space="preserve">; </w:t>
                  </w:r>
                </w:p>
                <w:p>
                  <w:pPr>
                    <w:numPr>
                      <w:ilvl w:val="0"/>
                      <w:numId w:val="43"/>
                    </w:numPr>
                    <w:suppressAutoHyphens/>
                    <w:jc w:val="both"/>
                  </w:pPr>
                  <w:hyperlink r:id="rId174" w:history="1">
                    <w:r>
                      <w:rPr>
                        <w:rStyle w:val="Lienhypertexte"/>
                        <w:rFonts w:cstheme="minorBidi"/>
                      </w:rPr>
                      <w:t xml:space="preserve">Circulaire </w:t>
                    </w:r>
                    <w:r>
                      <w:rPr>
                        <w:rStyle w:val="Lienhypertexte"/>
                        <w:rFonts w:cstheme="minorHAnsi"/>
                      </w:rPr>
                      <w:t>5948 du 5 novembre 2016 relative au f</w:t>
                    </w:r>
                    <w:r>
                      <w:rPr>
                        <w:rStyle w:val="Lienhypertexte"/>
                        <w:rFonts w:cstheme="minorBidi"/>
                      </w:rPr>
                      <w:t>ormulaire électronique relatif au signalement des intégrations ainsi qu’aux demandes de dérogation(s) – FE intégration</w:t>
                    </w:r>
                  </w:hyperlink>
                  <w:r>
                    <w:t>.</w:t>
                  </w:r>
                </w:p>
                <w:p>
                  <w:pPr>
                    <w:suppressAutoHyphens/>
                    <w:ind w:left="360"/>
                    <w:jc w:val="both"/>
                  </w:pPr>
                </w:p>
                <w:p/>
                <w:p>
                  <w:pPr>
                    <w:pStyle w:val="Titre3"/>
                  </w:pPr>
                  <w:bookmarkStart w:id="2704" w:name="__RefHeading__239_957262308"/>
                  <w:bookmarkStart w:id="2705" w:name="_1._Principes_généraux"/>
                  <w:bookmarkStart w:id="2706" w:name="_Toc291075403"/>
                  <w:bookmarkStart w:id="2707" w:name="_Toc291075827"/>
                  <w:bookmarkStart w:id="2708" w:name="_Toc291076251"/>
                  <w:bookmarkStart w:id="2709" w:name="_Toc291076675"/>
                  <w:bookmarkStart w:id="2710" w:name="_Toc291077099"/>
                  <w:bookmarkStart w:id="2711" w:name="_Toc293651942"/>
                  <w:bookmarkStart w:id="2712" w:name="_Toc293653525"/>
                  <w:bookmarkStart w:id="2713" w:name="_Toc293654136"/>
                  <w:bookmarkStart w:id="2714" w:name="_Toc294004714"/>
                  <w:bookmarkStart w:id="2715" w:name="_Toc294185210"/>
                  <w:bookmarkStart w:id="2716" w:name="_Toc324166028"/>
                  <w:bookmarkStart w:id="2717" w:name="_Toc324767064"/>
                  <w:bookmarkStart w:id="2718" w:name="_Toc453314429"/>
                  <w:bookmarkStart w:id="2719" w:name="_Toc454980464"/>
                  <w:bookmarkStart w:id="2720" w:name="_Toc18914480"/>
                  <w:bookmarkEnd w:id="2704"/>
                  <w:bookmarkEnd w:id="2705"/>
                  <w:r>
                    <w:t>1. Principes généraux</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r>
                    <w:t xml:space="preserve"> </w:t>
                  </w:r>
                </w:p>
                <w:p>
                  <w:pPr>
                    <w:jc w:val="both"/>
                    <w:rPr>
                      <w:b/>
                    </w:rPr>
                  </w:pPr>
                </w:p>
                <w:p>
                  <w:pPr>
                    <w:jc w:val="both"/>
                  </w:pPr>
                  <w:r>
                    <w:t>Lorsque le principe de l’intégration est envisagé pour un élève, les partenaires doivent impérativement, dans un premier temps, déterminer le projet le plus adéquat pour ce dernier.</w:t>
                  </w:r>
                </w:p>
                <w:p>
                  <w:pPr>
                    <w:jc w:val="both"/>
                  </w:pPr>
                </w:p>
                <w:p>
                  <w:pPr>
                    <w:jc w:val="both"/>
                  </w:pPr>
                  <w:r>
                    <w:t>Quels sont ces partenaires ?</w:t>
                  </w:r>
                </w:p>
                <w:p>
                  <w:pPr>
                    <w:jc w:val="both"/>
                  </w:pPr>
                </w:p>
                <w:p>
                  <w:pPr>
                    <w:numPr>
                      <w:ilvl w:val="0"/>
                      <w:numId w:val="129"/>
                    </w:numPr>
                    <w:suppressAutoHyphens/>
                    <w:ind w:left="360"/>
                    <w:jc w:val="both"/>
                  </w:pPr>
                  <w:r>
                    <w:t>l’école d’enseignement spécialisé et l’école d’enseignement ordinaire qui ont accepté de participer au projet ;</w:t>
                  </w:r>
                </w:p>
                <w:p>
                  <w:pPr>
                    <w:numPr>
                      <w:ilvl w:val="0"/>
                      <w:numId w:val="129"/>
                    </w:numPr>
                    <w:pBdr>
                      <w:right w:val="single" w:sz="4" w:space="4" w:color="auto"/>
                    </w:pBdr>
                    <w:suppressAutoHyphens/>
                    <w:ind w:left="360"/>
                    <w:jc w:val="both"/>
                    <w:rPr>
                      <w:b/>
                    </w:rPr>
                  </w:pPr>
                  <w:r>
                    <w:rPr>
                      <w:b/>
                    </w:rPr>
                    <w:t>le centre CPMS qui accompagne l’élève au moment de l’introduction de la proposition d’intégration (il s’agit uniquement d’un avis) ;</w:t>
                  </w:r>
                </w:p>
                <w:p>
                  <w:pPr>
                    <w:numPr>
                      <w:ilvl w:val="0"/>
                      <w:numId w:val="129"/>
                    </w:numPr>
                    <w:suppressAutoHyphens/>
                    <w:ind w:left="360"/>
                    <w:jc w:val="both"/>
                  </w:pPr>
                  <w:r>
                    <w:t>les parents (</w:t>
                  </w:r>
                  <w:r>
                    <w:rPr>
                      <w:color w:val="000000"/>
                    </w:rPr>
                    <w:t>ou la personne investie de l’autorité parentale</w:t>
                  </w:r>
                  <w:r>
                    <w:t>) ;</w:t>
                  </w:r>
                </w:p>
                <w:p>
                  <w:pPr>
                    <w:jc w:val="both"/>
                  </w:pPr>
                </w:p>
                <w:p>
                  <w:pPr>
                    <w:jc w:val="both"/>
                  </w:pPr>
                  <w:r>
                    <w:t>Il existe plusieurs types d’intégration qui génèrent des règles de fonctionnement différentes.</w:t>
                  </w:r>
                </w:p>
                <w:p>
                  <w:pPr>
                    <w:jc w:val="both"/>
                  </w:pPr>
                  <w:r>
                    <w:t xml:space="preserve">Mais pour </w:t>
                  </w:r>
                  <w:r>
                    <w:rPr>
                      <w:u w:val="single"/>
                    </w:rPr>
                    <w:t>tous</w:t>
                  </w:r>
                  <w:r>
                    <w:t xml:space="preserve"> ceux-ci, le principe reste le même : </w:t>
                  </w:r>
                  <w:r>
                    <w:rPr>
                      <w:b/>
                      <w:u w:val="single"/>
                    </w:rPr>
                    <w:t>il faut obligatoirement</w:t>
                  </w:r>
                  <w:r>
                    <w:t xml:space="preserve"> :</w:t>
                  </w:r>
                </w:p>
                <w:p>
                  <w:pPr>
                    <w:jc w:val="both"/>
                  </w:pPr>
                </w:p>
                <w:p>
                  <w:pPr>
                    <w:numPr>
                      <w:ilvl w:val="0"/>
                      <w:numId w:val="132"/>
                    </w:numPr>
                    <w:pBdr>
                      <w:right w:val="single" w:sz="4" w:space="4" w:color="auto"/>
                    </w:pBdr>
                    <w:suppressAutoHyphens/>
                    <w:ind w:left="360"/>
                    <w:jc w:val="both"/>
                  </w:pPr>
                  <w:r>
                    <w:t>que tous les partenaires soient d’accord à l’exception du CPMS qui rend uniquement un avis ;</w:t>
                  </w:r>
                </w:p>
                <w:p>
                  <w:pPr>
                    <w:numPr>
                      <w:ilvl w:val="0"/>
                      <w:numId w:val="132"/>
                    </w:numPr>
                    <w:suppressAutoHyphens/>
                    <w:ind w:left="360"/>
                    <w:jc w:val="both"/>
                  </w:pPr>
                  <w:r>
                    <w:t>qu’un protocole d’intégration soit établi.</w:t>
                  </w:r>
                </w:p>
                <w:p>
                  <w:pPr>
                    <w:jc w:val="both"/>
                  </w:pPr>
                </w:p>
                <w:p>
                  <w:pPr>
                    <w:jc w:val="both"/>
                    <w:rPr>
                      <w:b/>
                    </w:rPr>
                  </w:pPr>
                  <w:r>
                    <w:rPr>
                      <w:b/>
                    </w:rPr>
                    <w:t>Cet accord doit se négocier entre les différents partenaires afin que tout soit mis en œuvre pour permettre une intégration qui réponde au mieux aux besoins spécifiques de l’élève.</w:t>
                  </w:r>
                </w:p>
                <w:p>
                  <w:pPr>
                    <w:jc w:val="both"/>
                    <w:rPr>
                      <w:b/>
                    </w:rPr>
                  </w:pPr>
                </w:p>
                <w:p>
                  <w:pPr>
                    <w:jc w:val="both"/>
                    <w:rPr>
                      <w:b/>
                    </w:rPr>
                  </w:pPr>
                </w:p>
                <w:p>
                  <w:pPr>
                    <w:pStyle w:val="Titre3"/>
                  </w:pPr>
                  <w:bookmarkStart w:id="2721" w:name="__RefHeading__241_957262308"/>
                  <w:bookmarkStart w:id="2722" w:name="_Toc291075404"/>
                  <w:bookmarkStart w:id="2723" w:name="_Toc291075828"/>
                  <w:bookmarkStart w:id="2724" w:name="_Toc291076252"/>
                  <w:bookmarkStart w:id="2725" w:name="_Toc291076676"/>
                  <w:bookmarkStart w:id="2726" w:name="_Toc291077100"/>
                  <w:bookmarkStart w:id="2727" w:name="_Toc293651943"/>
                  <w:bookmarkStart w:id="2728" w:name="_Toc293653526"/>
                  <w:bookmarkStart w:id="2729" w:name="_Toc293654137"/>
                  <w:bookmarkStart w:id="2730" w:name="_Toc294004715"/>
                  <w:bookmarkStart w:id="2731" w:name="_Toc294185211"/>
                  <w:bookmarkStart w:id="2732" w:name="_Toc324166029"/>
                  <w:bookmarkStart w:id="2733" w:name="_Toc324767065"/>
                  <w:bookmarkStart w:id="2734" w:name="_Toc453314430"/>
                  <w:bookmarkStart w:id="2735" w:name="_Toc454980465"/>
                  <w:bookmarkStart w:id="2736" w:name="_Toc18914481"/>
                  <w:bookmarkEnd w:id="2721"/>
                  <w:r>
                    <w:t>2. Quels sont les élèves concernés par l’intégration ?</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r>
                    <w:t xml:space="preserve"> </w:t>
                  </w:r>
                </w:p>
                <w:p>
                  <w:pPr>
                    <w:jc w:val="both"/>
                    <w:rPr>
                      <w:b/>
                      <w:bCs/>
                      <w:iCs/>
                      <w:color w:val="000000"/>
                      <w:u w:val="single"/>
                    </w:rPr>
                  </w:pPr>
                </w:p>
                <w:p>
                  <w:pPr>
                    <w:jc w:val="both"/>
                    <w:rPr>
                      <w:color w:val="000000"/>
                    </w:rPr>
                  </w:pPr>
                  <w:r>
                    <w:rPr>
                      <w:b/>
                      <w:color w:val="000000"/>
                    </w:rPr>
                    <w:t>TOUS</w:t>
                  </w:r>
                  <w:r>
                    <w:rPr>
                      <w:color w:val="000000"/>
                    </w:rPr>
                    <w:t xml:space="preserve"> les élèves à besoins spécifiques</w:t>
                  </w:r>
                  <w:r>
                    <w:rPr>
                      <w:rStyle w:val="Caractresdenotedebasdepage"/>
                      <w:rFonts w:cs="Arial"/>
                      <w:color w:val="000000"/>
                    </w:rPr>
                    <w:footnoteReference w:id="125"/>
                  </w:r>
                  <w:r>
                    <w:rPr>
                      <w:color w:val="000000"/>
                    </w:rPr>
                    <w:t xml:space="preserve">, qu’ils fréquentent l’enseignement ordinaire ou l’enseignement spécialisé, sont susceptibles de pouvoir bénéficier de l’intégration. </w:t>
                  </w:r>
                  <w:r>
                    <w:rPr>
                      <w:b/>
                      <w:color w:val="000000"/>
                      <w:u w:val="single"/>
                    </w:rPr>
                    <w:t>Toutefois,</w:t>
                  </w:r>
                  <w:r>
                    <w:rPr>
                      <w:color w:val="000000"/>
                    </w:rPr>
                    <w:t xml:space="preserve"> certaines conditions particulières sont requises pour l’intégration permanente totale. </w:t>
                  </w:r>
                </w:p>
                <w:p>
                  <w:bookmarkStart w:id="2737" w:name="__RefHeading__243_957262308"/>
                  <w:bookmarkStart w:id="2738" w:name="_3._Quels_sont"/>
                  <w:bookmarkStart w:id="2739" w:name="_Toc291075405"/>
                  <w:bookmarkStart w:id="2740" w:name="_Toc291075829"/>
                  <w:bookmarkStart w:id="2741" w:name="_Toc291076253"/>
                  <w:bookmarkStart w:id="2742" w:name="_Toc291076677"/>
                  <w:bookmarkStart w:id="2743" w:name="_Toc291077101"/>
                  <w:bookmarkStart w:id="2744" w:name="_Toc293651944"/>
                  <w:bookmarkStart w:id="2745" w:name="_Toc293653527"/>
                  <w:bookmarkStart w:id="2746" w:name="_Toc293654138"/>
                  <w:bookmarkStart w:id="2747" w:name="_Toc294004716"/>
                  <w:bookmarkStart w:id="2748" w:name="_Toc294185212"/>
                  <w:bookmarkStart w:id="2749" w:name="_Toc324166030"/>
                  <w:bookmarkStart w:id="2750" w:name="_Toc324767066"/>
                  <w:bookmarkStart w:id="2751" w:name="_Toc453314431"/>
                  <w:bookmarkStart w:id="2752" w:name="_Toc454980466"/>
                  <w:bookmarkEnd w:id="2737"/>
                  <w:bookmarkEnd w:id="2738"/>
                </w:p>
                <w:p>
                  <w:pPr>
                    <w:pStyle w:val="Titre3"/>
                  </w:pPr>
                  <w:bookmarkStart w:id="2753" w:name="_Toc18914482"/>
                  <w:r>
                    <w:t>3. Quels sont les différents types d’intégration ?</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r>
                    <w:t xml:space="preserve"> </w:t>
                  </w:r>
                </w:p>
                <w:p>
                  <w:pPr>
                    <w:jc w:val="both"/>
                    <w:rPr>
                      <w:color w:val="000000"/>
                      <w:u w:val="single"/>
                    </w:rPr>
                  </w:pPr>
                </w:p>
                <w:p>
                  <w:pPr>
                    <w:jc w:val="both"/>
                    <w:rPr>
                      <w:color w:val="000000"/>
                      <w:u w:val="single"/>
                    </w:rPr>
                  </w:pPr>
                  <w:r>
                    <w:rPr>
                      <w:rStyle w:val="StyleArial11pt"/>
                      <w:rFonts w:ascii="Times New Roman" w:hAnsi="Times New Roman"/>
                      <w:color w:val="000000"/>
                    </w:rPr>
                    <w:t>■</w:t>
                  </w:r>
                  <w:r>
                    <w:rPr>
                      <w:color w:val="000000"/>
                    </w:rPr>
                    <w:t xml:space="preserve"> </w:t>
                  </w:r>
                  <w:r>
                    <w:rPr>
                      <w:color w:val="000000"/>
                      <w:u w:val="single"/>
                    </w:rPr>
                    <w:t>Intégration permanente totale</w:t>
                  </w:r>
                </w:p>
                <w:p>
                  <w:pPr>
                    <w:jc w:val="both"/>
                    <w:rPr>
                      <w:color w:val="000000"/>
                      <w:u w:val="single"/>
                    </w:rPr>
                  </w:pPr>
                </w:p>
                <w:p>
                  <w:pPr>
                    <w:pStyle w:val="Corpsdetexte"/>
                  </w:pPr>
                  <w:r>
                    <w:t>L’élève suit tous les cours dans l’enseignement ordinaire, pendant toute l’année scolaire, tout en bénéficiant, en fonction de ses besoins, de la gratuité des transports</w:t>
                  </w:r>
                  <w:r>
                    <w:rPr>
                      <w:rStyle w:val="Appelnotedebasdep1"/>
                      <w:color w:val="000000"/>
                      <w:u w:val="single"/>
                    </w:rPr>
                    <w:footnoteReference w:id="126"/>
                  </w:r>
                  <w:r>
                    <w:t xml:space="preserve"> entre son domicile et l’établissement d’enseignement </w:t>
                  </w:r>
                  <w:r>
                    <w:rPr>
                      <w:u w:val="single"/>
                    </w:rPr>
                    <w:t>ordinaire</w:t>
                  </w:r>
                  <w:r>
                    <w:t xml:space="preserve"> qu’il fréquente et d’un accompagnement assuré par l’enseignement spécialisé.</w:t>
                  </w:r>
                </w:p>
                <w:p>
                  <w:pPr>
                    <w:rPr>
                      <w:lang w:eastAsia="ar-SA"/>
                    </w:rPr>
                  </w:pPr>
                </w:p>
                <w:p>
                  <w:pPr>
                    <w:jc w:val="both"/>
                    <w:rPr>
                      <w:color w:val="000000"/>
                      <w:u w:val="single"/>
                    </w:rPr>
                  </w:pPr>
                  <w:r>
                    <w:rPr>
                      <w:rStyle w:val="StyleArial11pt"/>
                      <w:rFonts w:ascii="Times New Roman" w:hAnsi="Times New Roman"/>
                      <w:color w:val="000000"/>
                    </w:rPr>
                    <w:t>■</w:t>
                  </w:r>
                  <w:r>
                    <w:rPr>
                      <w:color w:val="000000"/>
                    </w:rPr>
                    <w:t xml:space="preserve"> </w:t>
                  </w:r>
                  <w:r>
                    <w:rPr>
                      <w:color w:val="000000"/>
                      <w:u w:val="single"/>
                    </w:rPr>
                    <w:t>AUTRES types d’intégration</w:t>
                  </w:r>
                </w:p>
                <w:p>
                  <w:pPr>
                    <w:jc w:val="both"/>
                    <w:rPr>
                      <w:color w:val="000000"/>
                      <w:u w:val="single"/>
                    </w:rPr>
                  </w:pPr>
                </w:p>
                <w:p>
                  <w:pPr>
                    <w:numPr>
                      <w:ilvl w:val="0"/>
                      <w:numId w:val="12"/>
                    </w:numPr>
                    <w:suppressAutoHyphens/>
                    <w:jc w:val="both"/>
                    <w:rPr>
                      <w:color w:val="000000"/>
                      <w:u w:val="single"/>
                    </w:rPr>
                  </w:pPr>
                  <w:r>
                    <w:rPr>
                      <w:color w:val="000000"/>
                      <w:u w:val="single"/>
                    </w:rPr>
                    <w:t>Intégration permanente partielle</w:t>
                  </w:r>
                </w:p>
                <w:p>
                  <w:pPr>
                    <w:jc w:val="both"/>
                    <w:rPr>
                      <w:color w:val="000000"/>
                      <w:u w:val="single"/>
                    </w:rPr>
                  </w:pPr>
                </w:p>
                <w:p>
                  <w:pPr>
                    <w:pStyle w:val="Corpsdetexte"/>
                  </w:pPr>
                  <w:r>
                    <w:t xml:space="preserve">L’élève suit certains cours dans l’enseignement ordinaire et les autres dans l’enseignement spécialisé pendant toute l’année scolaire. Il continue en outre à bénéficier de la gratuité des transports scolaires de son domicile à l’école d’enseignement </w:t>
                  </w:r>
                  <w:r>
                    <w:rPr>
                      <w:u w:val="single"/>
                    </w:rPr>
                    <w:t>spécialisé</w:t>
                  </w:r>
                  <w:r>
                    <w:t xml:space="preserve"> dans laquelle il est inscrit.</w:t>
                  </w:r>
                </w:p>
                <w:p>
                  <w:pPr>
                    <w:numPr>
                      <w:ilvl w:val="0"/>
                      <w:numId w:val="134"/>
                    </w:numPr>
                    <w:suppressAutoHyphens/>
                    <w:jc w:val="both"/>
                    <w:rPr>
                      <w:color w:val="000000"/>
                      <w:u w:val="single"/>
                    </w:rPr>
                  </w:pPr>
                  <w:r>
                    <w:rPr>
                      <w:color w:val="000000"/>
                      <w:u w:val="single"/>
                    </w:rPr>
                    <w:t>Intégration temporaire totale</w:t>
                  </w:r>
                </w:p>
                <w:p>
                  <w:pPr>
                    <w:jc w:val="both"/>
                    <w:rPr>
                      <w:color w:val="000000"/>
                      <w:u w:val="single"/>
                    </w:rPr>
                  </w:pPr>
                </w:p>
                <w:p>
                  <w:pPr>
                    <w:pStyle w:val="Corpsdetexte"/>
                  </w:pPr>
                  <w:r>
                    <w:t xml:space="preserve">L’élève suit la totalité des cours dans l’enseignement ordinaire pendant une ou des périodes déterminées d’une année scolaire. Il continue en outre à bénéficier de la gratuité des transports scolaires de son domicile à l’école d’enseignement </w:t>
                  </w:r>
                  <w:r>
                    <w:rPr>
                      <w:u w:val="single"/>
                    </w:rPr>
                    <w:t>spécialisé</w:t>
                  </w:r>
                  <w:r>
                    <w:t xml:space="preserve"> dans laquelle il est inscrit.</w:t>
                  </w:r>
                  <w:r>
                    <w:rPr>
                      <w:rStyle w:val="Caractresdenotedebasdepage"/>
                      <w:color w:val="000000"/>
                      <w:sz w:val="22"/>
                    </w:rPr>
                    <w:t xml:space="preserve"> </w:t>
                  </w:r>
                  <w:r>
                    <w:rPr>
                      <w:rStyle w:val="Caractresdenotedebasdepage"/>
                      <w:color w:val="000000"/>
                      <w:sz w:val="22"/>
                    </w:rPr>
                    <w:footnoteReference w:id="127"/>
                  </w:r>
                </w:p>
                <w:p>
                  <w:pPr>
                    <w:numPr>
                      <w:ilvl w:val="0"/>
                      <w:numId w:val="134"/>
                    </w:numPr>
                    <w:suppressAutoHyphens/>
                    <w:jc w:val="both"/>
                    <w:rPr>
                      <w:color w:val="000000"/>
                      <w:u w:val="single"/>
                    </w:rPr>
                  </w:pPr>
                  <w:r>
                    <w:rPr>
                      <w:color w:val="000000"/>
                      <w:u w:val="single"/>
                    </w:rPr>
                    <w:t>Intégration temporaire partielle</w:t>
                  </w:r>
                </w:p>
                <w:p>
                  <w:pPr>
                    <w:jc w:val="both"/>
                    <w:rPr>
                      <w:color w:val="000000"/>
                      <w:u w:val="single"/>
                    </w:rPr>
                  </w:pPr>
                </w:p>
                <w:p>
                  <w:pPr>
                    <w:pStyle w:val="Corpsdetexte"/>
                  </w:pPr>
                  <w:r>
                    <w:t xml:space="preserve">L’élève suit une partie des cours dans l’enseignement ordinaire et les autres dans l’enseignement spécialisé pendant une ou des périodes déterminées d’une année scolaire. Il continue, en outre, à bénéficier de la gratuité des transports scolaires de son domicile à l’école d’enseignement </w:t>
                  </w:r>
                  <w:r>
                    <w:rPr>
                      <w:u w:val="single"/>
                    </w:rPr>
                    <w:t>spécialisé</w:t>
                  </w:r>
                  <w:r>
                    <w:t xml:space="preserve"> dans laquelle il est inscrit.</w:t>
                  </w:r>
                </w:p>
                <w:p>
                  <w:pPr>
                    <w:rPr>
                      <w:lang w:eastAsia="ar-SA"/>
                    </w:rPr>
                  </w:pPr>
                </w:p>
                <w:p>
                  <w:pPr>
                    <w:pStyle w:val="Titre3"/>
                    <w:rPr>
                      <w:lang w:val="fr-FR"/>
                    </w:rPr>
                  </w:pPr>
                  <w:bookmarkStart w:id="2754" w:name="_4._Qui_peut"/>
                  <w:bookmarkStart w:id="2755" w:name="__RefHeading__245_957262308"/>
                  <w:bookmarkStart w:id="2756" w:name="_Toc291075406"/>
                  <w:bookmarkStart w:id="2757" w:name="_Toc291075830"/>
                  <w:bookmarkStart w:id="2758" w:name="_Toc291076254"/>
                  <w:bookmarkStart w:id="2759" w:name="_Toc291076678"/>
                  <w:bookmarkStart w:id="2760" w:name="_Toc291077102"/>
                  <w:bookmarkStart w:id="2761" w:name="_Toc293651945"/>
                  <w:bookmarkStart w:id="2762" w:name="_Toc293653528"/>
                  <w:bookmarkStart w:id="2763" w:name="_Toc293654139"/>
                  <w:bookmarkStart w:id="2764" w:name="_Toc294004717"/>
                  <w:bookmarkStart w:id="2765" w:name="_Toc294185213"/>
                  <w:bookmarkStart w:id="2766" w:name="_Toc324166031"/>
                  <w:bookmarkStart w:id="2767" w:name="_Toc324767067"/>
                  <w:bookmarkStart w:id="2768" w:name="_Toc453314432"/>
                  <w:bookmarkStart w:id="2769" w:name="_Toc454980467"/>
                  <w:bookmarkStart w:id="2770" w:name="_Toc18914483"/>
                  <w:bookmarkEnd w:id="2754"/>
                  <w:bookmarkEnd w:id="2755"/>
                  <w:r>
                    <w:rPr>
                      <w:lang w:val="fr-FR"/>
                    </w:rPr>
                    <w:t>4. Qui peut introduire une proposition d’intégration ?</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r>
                    <w:rPr>
                      <w:lang w:val="fr-FR"/>
                    </w:rPr>
                    <w:t xml:space="preserve"> </w:t>
                  </w:r>
                </w:p>
                <w:p>
                  <w:pPr>
                    <w:autoSpaceDE w:val="0"/>
                    <w:jc w:val="both"/>
                    <w:rPr>
                      <w:color w:val="000000"/>
                      <w:lang w:val="fr-FR"/>
                    </w:rPr>
                  </w:pPr>
                </w:p>
                <w:p>
                  <w:pPr>
                    <w:autoSpaceDE w:val="0"/>
                    <w:jc w:val="both"/>
                    <w:rPr>
                      <w:color w:val="000000"/>
                      <w:lang w:val="fr-FR"/>
                    </w:rPr>
                  </w:pPr>
                  <w:r>
                    <w:rPr>
                      <w:color w:val="000000"/>
                      <w:lang w:val="fr-FR"/>
                    </w:rPr>
                    <w:t>Au moins un des intervenants suivants :</w:t>
                  </w:r>
                </w:p>
                <w:p>
                  <w:pPr>
                    <w:autoSpaceDE w:val="0"/>
                    <w:jc w:val="both"/>
                    <w:rPr>
                      <w:color w:val="000000"/>
                      <w:lang w:val="fr-FR"/>
                    </w:rPr>
                  </w:pPr>
                </w:p>
                <w:p>
                  <w:pPr>
                    <w:numPr>
                      <w:ilvl w:val="1"/>
                      <w:numId w:val="118"/>
                    </w:numPr>
                    <w:tabs>
                      <w:tab w:val="clear" w:pos="1080"/>
                    </w:tabs>
                    <w:suppressAutoHyphens/>
                    <w:autoSpaceDE w:val="0"/>
                    <w:ind w:left="360"/>
                    <w:jc w:val="both"/>
                    <w:rPr>
                      <w:color w:val="000000"/>
                      <w:lang w:val="fr-FR"/>
                    </w:rPr>
                  </w:pPr>
                  <w:r>
                    <w:rPr>
                      <w:color w:val="000000"/>
                      <w:lang w:val="fr-FR"/>
                    </w:rPr>
                    <w:t>Le conseil de classe d'un établissement d'enseignement spécialisé.</w:t>
                  </w:r>
                </w:p>
                <w:p>
                  <w:pPr>
                    <w:numPr>
                      <w:ilvl w:val="1"/>
                      <w:numId w:val="118"/>
                    </w:numPr>
                    <w:tabs>
                      <w:tab w:val="clear" w:pos="1080"/>
                    </w:tabs>
                    <w:suppressAutoHyphens/>
                    <w:autoSpaceDE w:val="0"/>
                    <w:ind w:left="360"/>
                    <w:jc w:val="both"/>
                    <w:rPr>
                      <w:color w:val="000000"/>
                      <w:lang w:val="fr-FR"/>
                    </w:rPr>
                  </w:pPr>
                  <w:r>
                    <w:rPr>
                      <w:color w:val="000000"/>
                      <w:lang w:val="fr-FR"/>
                    </w:rPr>
                    <w:t>L'organisme qui assure la guidance des élèves de l’établissement d’enseignement spécialisé.</w:t>
                  </w:r>
                </w:p>
                <w:p>
                  <w:pPr>
                    <w:numPr>
                      <w:ilvl w:val="1"/>
                      <w:numId w:val="118"/>
                    </w:numPr>
                    <w:tabs>
                      <w:tab w:val="clear" w:pos="1080"/>
                    </w:tabs>
                    <w:suppressAutoHyphens/>
                    <w:autoSpaceDE w:val="0"/>
                    <w:ind w:left="360"/>
                    <w:jc w:val="both"/>
                    <w:rPr>
                      <w:color w:val="000000"/>
                      <w:lang w:val="fr-FR"/>
                    </w:rPr>
                  </w:pPr>
                  <w:r>
                    <w:rPr>
                      <w:color w:val="000000"/>
                      <w:lang w:val="fr-FR"/>
                    </w:rPr>
                    <w:t xml:space="preserve">L’organisme qui assure la guidance des élèves de l’établissement d’enseignement ordinaire. </w:t>
                  </w:r>
                </w:p>
                <w:p>
                  <w:pPr>
                    <w:numPr>
                      <w:ilvl w:val="1"/>
                      <w:numId w:val="118"/>
                    </w:numPr>
                    <w:tabs>
                      <w:tab w:val="clear" w:pos="1080"/>
                    </w:tabs>
                    <w:suppressAutoHyphens/>
                    <w:autoSpaceDE w:val="0"/>
                    <w:ind w:left="360"/>
                    <w:jc w:val="both"/>
                    <w:rPr>
                      <w:color w:val="000000"/>
                      <w:lang w:val="fr-FR"/>
                    </w:rPr>
                  </w:pPr>
                  <w:r>
                    <w:rPr>
                      <w:color w:val="000000"/>
                      <w:lang w:val="fr-FR"/>
                    </w:rPr>
                    <w:t>Les parents, la personne investie de l'autorité parentale.</w:t>
                  </w:r>
                </w:p>
                <w:p>
                  <w:pPr>
                    <w:numPr>
                      <w:ilvl w:val="1"/>
                      <w:numId w:val="118"/>
                    </w:numPr>
                    <w:tabs>
                      <w:tab w:val="clear" w:pos="1080"/>
                    </w:tabs>
                    <w:suppressAutoHyphens/>
                    <w:autoSpaceDE w:val="0"/>
                    <w:ind w:left="360"/>
                    <w:jc w:val="both"/>
                    <w:rPr>
                      <w:color w:val="000000"/>
                      <w:lang w:val="fr-FR"/>
                    </w:rPr>
                  </w:pPr>
                  <w:r>
                    <w:rPr>
                      <w:color w:val="000000"/>
                      <w:lang w:val="fr-FR"/>
                    </w:rPr>
                    <w:t>L'équipe éducative d'un établissement d'enseignement ordinaire sur base d'un avis favorable du conseil de participation dont chaque composante a marqué un accord. Le projet d’établissement doit contenir les éléments favorisant la faisabilité de ladite intégration.</w:t>
                  </w:r>
                </w:p>
                <w:p>
                  <w:pPr>
                    <w:autoSpaceDE w:val="0"/>
                    <w:jc w:val="both"/>
                    <w:rPr>
                      <w:lang w:val="fr-FR"/>
                    </w:rPr>
                  </w:pPr>
                </w:p>
                <w:p>
                  <w:pPr>
                    <w:pStyle w:val="Titre3"/>
                  </w:pPr>
                  <w:bookmarkStart w:id="2771" w:name="_5._Quelle_est"/>
                  <w:bookmarkStart w:id="2772" w:name="__RefHeading__247_957262308"/>
                  <w:bookmarkStart w:id="2773" w:name="_Toc291075407"/>
                  <w:bookmarkStart w:id="2774" w:name="_Toc291075831"/>
                  <w:bookmarkStart w:id="2775" w:name="_Toc291076255"/>
                  <w:bookmarkStart w:id="2776" w:name="_Toc291076679"/>
                  <w:bookmarkStart w:id="2777" w:name="_Toc291077103"/>
                  <w:bookmarkStart w:id="2778" w:name="_Toc293651946"/>
                  <w:bookmarkStart w:id="2779" w:name="_Toc293653529"/>
                  <w:bookmarkStart w:id="2780" w:name="_Toc293654140"/>
                  <w:bookmarkStart w:id="2781" w:name="_Toc294004718"/>
                  <w:bookmarkStart w:id="2782" w:name="_Toc294185214"/>
                  <w:bookmarkStart w:id="2783" w:name="_Toc324166032"/>
                  <w:bookmarkStart w:id="2784" w:name="_Toc324767068"/>
                  <w:bookmarkStart w:id="2785" w:name="_Toc453314433"/>
                  <w:bookmarkStart w:id="2786" w:name="_Toc454980468"/>
                  <w:bookmarkStart w:id="2787" w:name="_Toc18914484"/>
                  <w:bookmarkEnd w:id="2771"/>
                  <w:bookmarkEnd w:id="2772"/>
                  <w:r>
                    <w:t>5. Quelle est la procédure à suivre pour débuter une intégration?</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r>
                    <w:t xml:space="preserve"> </w:t>
                  </w:r>
                </w:p>
                <w:p>
                  <w:pPr>
                    <w:autoSpaceDE w:val="0"/>
                    <w:jc w:val="both"/>
                    <w:rPr>
                      <w:lang w:val="fr-FR"/>
                    </w:rPr>
                  </w:pPr>
                </w:p>
                <w:p>
                  <w:pPr>
                    <w:numPr>
                      <w:ilvl w:val="0"/>
                      <w:numId w:val="138"/>
                    </w:numPr>
                    <w:tabs>
                      <w:tab w:val="left" w:pos="-589"/>
                    </w:tabs>
                    <w:ind w:left="567" w:hanging="567"/>
                    <w:jc w:val="both"/>
                  </w:pPr>
                  <w:r>
                    <w:rPr>
                      <w:lang w:val="fr-FR"/>
                    </w:rPr>
                    <w:t>La proposition est introduite auprès du chef d'établissement d'enseignement spécialisé.</w:t>
                  </w:r>
                </w:p>
                <w:p>
                  <w:pPr>
                    <w:numPr>
                      <w:ilvl w:val="0"/>
                      <w:numId w:val="138"/>
                    </w:numPr>
                    <w:tabs>
                      <w:tab w:val="left" w:pos="-589"/>
                    </w:tabs>
                    <w:ind w:left="567" w:hanging="567"/>
                    <w:jc w:val="both"/>
                  </w:pPr>
                  <w:r>
                    <w:rPr>
                      <w:lang w:val="fr-FR"/>
                    </w:rPr>
                    <w:t xml:space="preserve">La direction ou le pouvoir organisateur de l'établissement </w:t>
                  </w:r>
                  <w:r>
                    <w:rPr>
                      <w:b/>
                      <w:u w:val="single"/>
                      <w:lang w:val="fr-FR"/>
                    </w:rPr>
                    <w:t>d'enseignement</w:t>
                  </w:r>
                  <w:r>
                    <w:rPr>
                      <w:b/>
                      <w:u w:val="single"/>
                    </w:rPr>
                    <w:t xml:space="preserve"> </w:t>
                  </w:r>
                  <w:r>
                    <w:rPr>
                      <w:b/>
                      <w:u w:val="single"/>
                      <w:lang w:val="fr-FR"/>
                    </w:rPr>
                    <w:t>spécialisé</w:t>
                  </w:r>
                  <w:r>
                    <w:rPr>
                      <w:b/>
                      <w:lang w:val="fr-FR"/>
                    </w:rPr>
                    <w:t xml:space="preserve"> </w:t>
                  </w:r>
                  <w:r>
                    <w:rPr>
                      <w:lang w:val="fr-FR"/>
                    </w:rPr>
                    <w:t>concerné concerte tous les intervenants.</w:t>
                  </w:r>
                </w:p>
                <w:p>
                  <w:pPr>
                    <w:numPr>
                      <w:ilvl w:val="0"/>
                      <w:numId w:val="138"/>
                    </w:numPr>
                    <w:tabs>
                      <w:tab w:val="left" w:pos="-589"/>
                    </w:tabs>
                    <w:ind w:left="567" w:hanging="567"/>
                    <w:rPr>
                      <w:b/>
                      <w:u w:val="single"/>
                    </w:rPr>
                  </w:pPr>
                  <w:r>
                    <w:rPr>
                      <w:lang w:val="fr-FR"/>
                    </w:rPr>
                    <w:t xml:space="preserve">Pour poursuivre la procédure, la concertation doit déboucher sur un avis favorable </w:t>
                  </w:r>
                  <w:r>
                    <w:rPr>
                      <w:b/>
                      <w:u w:val="single"/>
                      <w:lang w:val="fr-FR"/>
                    </w:rPr>
                    <w:t>signé par tous les intervenants.</w:t>
                  </w:r>
                </w:p>
                <w:p>
                  <w:pPr>
                    <w:numPr>
                      <w:ilvl w:val="0"/>
                      <w:numId w:val="138"/>
                    </w:numPr>
                    <w:tabs>
                      <w:tab w:val="left" w:pos="-589"/>
                    </w:tabs>
                    <w:ind w:left="567" w:hanging="567"/>
                    <w:jc w:val="both"/>
                    <w:rPr>
                      <w:lang w:val="fr-FR"/>
                    </w:rPr>
                  </w:pPr>
                  <w:r>
                    <w:rPr>
                      <w:lang w:val="fr-FR"/>
                    </w:rPr>
                    <w:t>Si la concertation débouche sur un avis défavorable, chaque partenaire ayant marqué son désaccord motivera par écrit sa position au chef d’établissement dans le cadre d’un établissement d’enseignement spécialisé organisé par la Fédération Wallonie-Bruxelles ou au pouvoir organisateur dans le cadre d’un établissement d’enseignement spécialisé subventionné par la Fédération Wallonie-Bruxelles. Les motivations doivent être conservées dans l’école d’enseignement spécialisé.</w:t>
                  </w:r>
                </w:p>
                <w:p>
                  <w:pPr>
                    <w:numPr>
                      <w:ilvl w:val="0"/>
                      <w:numId w:val="138"/>
                    </w:numPr>
                    <w:tabs>
                      <w:tab w:val="left" w:pos="-589"/>
                    </w:tabs>
                    <w:ind w:left="567" w:hanging="567"/>
                    <w:jc w:val="both"/>
                    <w:rPr>
                      <w:lang w:val="fr-FR"/>
                    </w:rPr>
                  </w:pPr>
                  <w:r>
                    <w:rPr>
                      <w:lang w:val="fr-FR"/>
                    </w:rPr>
                    <w:t xml:space="preserve">Dès l'acceptation </w:t>
                  </w:r>
                  <w:r>
                    <w:rPr>
                      <w:color w:val="000000"/>
                      <w:lang w:val="fr-FR"/>
                    </w:rPr>
                    <w:t>de la proposition</w:t>
                  </w:r>
                  <w:r>
                    <w:rPr>
                      <w:lang w:val="fr-FR"/>
                    </w:rPr>
                    <w:t xml:space="preserve"> d’une intégration, la définition d'un projet d'intégration adapté aux besoins de l’élève est recherchée conjointement par :</w:t>
                  </w:r>
                </w:p>
                <w:p>
                  <w:pPr>
                    <w:autoSpaceDE w:val="0"/>
                    <w:autoSpaceDN w:val="0"/>
                    <w:adjustRightInd w:val="0"/>
                    <w:ind w:left="1134"/>
                    <w:jc w:val="both"/>
                    <w:rPr>
                      <w:lang w:val="fr-FR"/>
                    </w:rPr>
                  </w:pPr>
                  <w:r>
                    <w:rPr>
                      <w:lang w:val="fr-FR"/>
                    </w:rPr>
                    <w:t>1° le conseil de classe de l'établissement d'enseignement spécialisé ;</w:t>
                  </w:r>
                </w:p>
                <w:p>
                  <w:pPr>
                    <w:autoSpaceDE w:val="0"/>
                    <w:autoSpaceDN w:val="0"/>
                    <w:adjustRightInd w:val="0"/>
                    <w:ind w:left="1134"/>
                    <w:jc w:val="both"/>
                    <w:rPr>
                      <w:lang w:val="fr-FR"/>
                    </w:rPr>
                  </w:pPr>
                  <w:r>
                    <w:rPr>
                      <w:lang w:val="fr-FR"/>
                    </w:rPr>
                    <w:t>2° le conseil de classe de l'établissement d'enseignement ordinaire concerné, assisté par le centre psycho-médico-social qui assure la guidance des élèves de l'établissement.</w:t>
                  </w:r>
                </w:p>
                <w:p>
                  <w:pPr>
                    <w:numPr>
                      <w:ilvl w:val="0"/>
                      <w:numId w:val="138"/>
                    </w:numPr>
                    <w:suppressAutoHyphens/>
                    <w:autoSpaceDE w:val="0"/>
                    <w:autoSpaceDN w:val="0"/>
                    <w:adjustRightInd w:val="0"/>
                    <w:ind w:left="567" w:hanging="567"/>
                    <w:jc w:val="both"/>
                    <w:rPr>
                      <w:lang w:val="fr-FR"/>
                    </w:rPr>
                  </w:pPr>
                  <w:r>
                    <w:rPr>
                      <w:lang w:val="fr-FR"/>
                    </w:rPr>
                    <w:t>A ce stade, l’école d’enseignement spécialisé encode dans le « formulaire électronique intégration » les renseignements concernant l’intégration.</w:t>
                  </w:r>
                </w:p>
                <w:p>
                  <w:pPr>
                    <w:numPr>
                      <w:ilvl w:val="0"/>
                      <w:numId w:val="138"/>
                    </w:numPr>
                    <w:suppressAutoHyphens/>
                    <w:autoSpaceDE w:val="0"/>
                    <w:autoSpaceDN w:val="0"/>
                    <w:adjustRightInd w:val="0"/>
                    <w:ind w:left="567" w:hanging="567"/>
                    <w:jc w:val="both"/>
                    <w:rPr>
                      <w:lang w:val="fr-FR"/>
                    </w:rPr>
                  </w:pPr>
                  <w:r>
                    <w:rPr>
                      <w:lang w:val="fr-FR"/>
                    </w:rPr>
                    <w:t>Le « formulaire électronique intégration » génère un document PDF qui sera utilisé comme première partie pour établir le protocole d’intégration.</w:t>
                  </w:r>
                </w:p>
                <w:p>
                  <w:pPr>
                    <w:numPr>
                      <w:ilvl w:val="0"/>
                      <w:numId w:val="138"/>
                    </w:numPr>
                    <w:suppressAutoHyphens/>
                    <w:autoSpaceDE w:val="0"/>
                    <w:autoSpaceDN w:val="0"/>
                    <w:adjustRightInd w:val="0"/>
                    <w:ind w:left="567" w:hanging="567"/>
                    <w:jc w:val="both"/>
                    <w:rPr>
                      <w:lang w:val="fr-FR"/>
                    </w:rPr>
                  </w:pPr>
                  <w:r>
                    <w:rPr>
                      <w:lang w:val="fr-FR"/>
                    </w:rPr>
                    <w:t>Quand la 2</w:t>
                  </w:r>
                  <w:r>
                    <w:rPr>
                      <w:vertAlign w:val="superscript"/>
                      <w:lang w:val="fr-FR"/>
                    </w:rPr>
                    <w:t>ème</w:t>
                  </w:r>
                  <w:r>
                    <w:rPr>
                      <w:lang w:val="fr-FR"/>
                    </w:rPr>
                    <w:t xml:space="preserve"> partie est complétée et que la 3</w:t>
                  </w:r>
                  <w:r>
                    <w:rPr>
                      <w:vertAlign w:val="superscript"/>
                      <w:lang w:val="fr-FR"/>
                    </w:rPr>
                    <w:t>ème</w:t>
                  </w:r>
                  <w:r>
                    <w:rPr>
                      <w:lang w:val="fr-FR"/>
                    </w:rPr>
                    <w:t xml:space="preserve"> partie du protocole d’intégration est signée par tous les partenaires, l’école d’enseignement spécialisé peut valider le signalement de l’intégration dans le « formulaire électronique intégration ». L’école d’enseignement spécialisé doit alors transmettre une copie du protocole d’intégration à l’école d’enseignement ordinaire partenaire.</w:t>
                  </w:r>
                </w:p>
                <w:p>
                  <w:pPr>
                    <w:numPr>
                      <w:ilvl w:val="0"/>
                      <w:numId w:val="138"/>
                    </w:numPr>
                    <w:suppressAutoHyphens/>
                    <w:autoSpaceDE w:val="0"/>
                    <w:autoSpaceDN w:val="0"/>
                    <w:adjustRightInd w:val="0"/>
                    <w:ind w:left="567" w:hanging="567"/>
                    <w:jc w:val="both"/>
                    <w:rPr>
                      <w:lang w:val="fr-FR"/>
                    </w:rPr>
                  </w:pPr>
                  <w:r>
                    <w:rPr>
                      <w:lang w:val="fr-FR"/>
                    </w:rPr>
                    <w:t>Le protocole d’intégration original se trouvera dans l’école d’enseignement spécialisé à disposition des services de l’inspection et de la vérification population-scolaire.  Une copie doit être conservée dans l’établissement d’enseignement ordinaire.</w:t>
                  </w:r>
                </w:p>
                <w:p>
                  <w:pPr>
                    <w:numPr>
                      <w:ilvl w:val="0"/>
                      <w:numId w:val="138"/>
                    </w:numPr>
                    <w:suppressAutoHyphens/>
                    <w:autoSpaceDE w:val="0"/>
                    <w:autoSpaceDN w:val="0"/>
                    <w:adjustRightInd w:val="0"/>
                    <w:ind w:left="567" w:hanging="567"/>
                    <w:jc w:val="both"/>
                    <w:rPr>
                      <w:lang w:val="fr-FR"/>
                    </w:rPr>
                  </w:pPr>
                  <w:r>
                    <w:rPr>
                      <w:lang w:val="fr-FR"/>
                    </w:rPr>
                    <w:t>L’Administration sera informée de l’intégration via les données renseignées dans le « formulaire électronique intégration ».</w:t>
                  </w:r>
                </w:p>
                <w:p>
                  <w:pPr>
                    <w:numPr>
                      <w:ilvl w:val="0"/>
                      <w:numId w:val="138"/>
                    </w:numPr>
                    <w:pBdr>
                      <w:right w:val="single" w:sz="4" w:space="4" w:color="auto"/>
                    </w:pBdr>
                    <w:suppressAutoHyphens/>
                    <w:autoSpaceDE w:val="0"/>
                    <w:autoSpaceDN w:val="0"/>
                    <w:adjustRightInd w:val="0"/>
                    <w:ind w:left="567" w:hanging="567"/>
                    <w:jc w:val="both"/>
                    <w:rPr>
                      <w:lang w:val="fr-FR"/>
                    </w:rPr>
                  </w:pPr>
                  <w:r>
                    <w:rPr>
                      <w:lang w:val="fr-FR"/>
                    </w:rPr>
                    <w:t>L’intégration doit, à présent, débuter à la date prévue sur le protocole.</w:t>
                  </w:r>
                </w:p>
                <w:p>
                  <w:pPr>
                    <w:autoSpaceDE w:val="0"/>
                    <w:autoSpaceDN w:val="0"/>
                    <w:adjustRightInd w:val="0"/>
                    <w:rPr>
                      <w:lang w:val="fr-FR"/>
                    </w:rPr>
                  </w:pPr>
                </w:p>
                <w:p>
                  <w:pPr>
                    <w:pStyle w:val="Titre3"/>
                  </w:pPr>
                  <w:bookmarkStart w:id="2788" w:name="__RefHeading__249_957262308"/>
                  <w:bookmarkStart w:id="2789" w:name="_6._Que_doit"/>
                  <w:bookmarkStart w:id="2790" w:name="_Toc291075408"/>
                  <w:bookmarkStart w:id="2791" w:name="_Toc291075832"/>
                  <w:bookmarkStart w:id="2792" w:name="_Toc291076256"/>
                  <w:bookmarkStart w:id="2793" w:name="_Toc291076680"/>
                  <w:bookmarkStart w:id="2794" w:name="_Toc291077104"/>
                  <w:bookmarkStart w:id="2795" w:name="_Toc293651947"/>
                  <w:bookmarkStart w:id="2796" w:name="_Toc293653530"/>
                  <w:bookmarkStart w:id="2797" w:name="_Toc293654141"/>
                  <w:bookmarkStart w:id="2798" w:name="_Toc294004719"/>
                  <w:bookmarkStart w:id="2799" w:name="_Toc294185215"/>
                  <w:bookmarkStart w:id="2800" w:name="_Toc324166033"/>
                  <w:bookmarkStart w:id="2801" w:name="_Toc324767069"/>
                  <w:bookmarkStart w:id="2802" w:name="_Toc453314434"/>
                  <w:bookmarkStart w:id="2803" w:name="_Toc454980469"/>
                  <w:bookmarkStart w:id="2804" w:name="_Toc18914485"/>
                  <w:bookmarkEnd w:id="2788"/>
                  <w:bookmarkEnd w:id="2789"/>
                  <w:r>
                    <w:t>6. Que doit contenir le protocole ?</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r>
                    <w:t xml:space="preserve"> </w:t>
                  </w:r>
                </w:p>
                <w:p/>
                <w:p>
                  <w:pPr>
                    <w:autoSpaceDE w:val="0"/>
                    <w:jc w:val="both"/>
                    <w:rPr>
                      <w:lang w:val="fr-FR"/>
                    </w:rPr>
                  </w:pPr>
                  <w:r>
                    <w:rPr>
                      <w:lang w:val="fr-FR"/>
                    </w:rPr>
                    <w:t xml:space="preserve">Les différents éléments sont explicités en </w:t>
                  </w:r>
                  <w:hyperlink w:anchor="_Annexe_1_:_13" w:history="1">
                    <w:r>
                      <w:rPr>
                        <w:rStyle w:val="Lienhypertexte"/>
                        <w:rFonts w:cs="Arial"/>
                        <w:lang w:val="fr-FR"/>
                      </w:rPr>
                      <w:t>Annexe 1.</w:t>
                    </w:r>
                  </w:hyperlink>
                  <w:r>
                    <w:rPr>
                      <w:rStyle w:val="Lienhypertexte"/>
                      <w:rFonts w:cs="Arial"/>
                      <w:lang w:val="fr-FR"/>
                    </w:rPr>
                    <w:t xml:space="preserve"> </w:t>
                  </w:r>
                </w:p>
                <w:p>
                  <w:pPr>
                    <w:autoSpaceDE w:val="0"/>
                    <w:jc w:val="both"/>
                    <w:rPr>
                      <w:i/>
                      <w:iCs/>
                      <w:lang w:val="fr-FR"/>
                    </w:rPr>
                  </w:pPr>
                </w:p>
                <w:p>
                  <w:pPr>
                    <w:autoSpaceDE w:val="0"/>
                    <w:jc w:val="both"/>
                    <w:rPr>
                      <w:lang w:val="fr-FR"/>
                    </w:rPr>
                  </w:pPr>
                  <w:r>
                    <w:rPr>
                      <w:lang w:val="fr-FR"/>
                    </w:rPr>
                    <w:t xml:space="preserve">L’original de ce protocole se trouve dans l’école d’enseignement spécialisé et une copie de celui-ci  est conservée dans l’école d’enseignement ordinaire à disposition des services de l'inspection et de la vérification. </w:t>
                  </w:r>
                </w:p>
                <w:p>
                  <w:pPr>
                    <w:autoSpaceDE w:val="0"/>
                    <w:jc w:val="both"/>
                    <w:rPr>
                      <w:lang w:val="fr-FR"/>
                    </w:rPr>
                  </w:pPr>
                </w:p>
                <w:p>
                  <w:pPr>
                    <w:pStyle w:val="Titre3"/>
                  </w:pPr>
                  <w:bookmarkStart w:id="2805" w:name="_7._Récapitulatif_des_1"/>
                  <w:bookmarkStart w:id="2806" w:name="_7._Récapitulatif_des_2"/>
                  <w:bookmarkStart w:id="2807" w:name="_Toc453314435"/>
                  <w:bookmarkStart w:id="2808" w:name="_Toc454980470"/>
                  <w:bookmarkStart w:id="2809" w:name="_Toc18914486"/>
                  <w:bookmarkEnd w:id="2805"/>
                  <w:bookmarkEnd w:id="2806"/>
                  <w:r>
                    <w:t>7. Récapitulatif des modalités de fonctionnement (suivant le type d’intégration)</w:t>
                  </w:r>
                  <w:bookmarkEnd w:id="2807"/>
                  <w:bookmarkEnd w:id="2808"/>
                  <w:bookmarkEnd w:id="2809"/>
                  <w:r>
                    <w:t xml:space="preserve"> </w:t>
                  </w:r>
                </w:p>
                <w:p>
                  <w:pPr>
                    <w:autoSpaceDE w:val="0"/>
                  </w:pPr>
                </w:p>
                <w:tbl>
                  <w:tblPr>
                    <w:tblW w:w="9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3"/>
                    <w:gridCol w:w="4706"/>
                  </w:tblGrid>
                  <w:tr>
                    <w:trPr>
                      <w:tblHeader/>
                    </w:trPr>
                    <w:tc>
                      <w:tcPr>
                        <w:tcW w:w="4673" w:type="dxa"/>
                        <w:shd w:val="pct10" w:color="auto" w:fill="auto"/>
                      </w:tcPr>
                      <w:p>
                        <w:pPr>
                          <w:tabs>
                            <w:tab w:val="left" w:pos="-1908"/>
                            <w:tab w:val="left" w:pos="1134"/>
                            <w:tab w:val="left" w:pos="1872"/>
                            <w:tab w:val="left" w:pos="2003"/>
                            <w:tab w:val="left" w:pos="6323"/>
                          </w:tabs>
                          <w:jc w:val="center"/>
                          <w:rPr>
                            <w:b/>
                          </w:rPr>
                        </w:pPr>
                        <w:r>
                          <w:rPr>
                            <w:b/>
                          </w:rPr>
                          <w:t>Intégrations permanentes totales</w:t>
                        </w:r>
                      </w:p>
                      <w:p>
                        <w:pPr>
                          <w:tabs>
                            <w:tab w:val="left" w:pos="-1908"/>
                            <w:tab w:val="left" w:pos="1134"/>
                            <w:tab w:val="left" w:pos="1872"/>
                            <w:tab w:val="left" w:pos="2003"/>
                            <w:tab w:val="left" w:pos="6323"/>
                          </w:tabs>
                          <w:jc w:val="center"/>
                          <w:rPr>
                            <w:b/>
                          </w:rPr>
                        </w:pPr>
                        <w:r>
                          <w:rPr>
                            <w:b/>
                          </w:rPr>
                          <w:t>(Articles 131 à 145)</w:t>
                        </w:r>
                      </w:p>
                      <w:p>
                        <w:pPr>
                          <w:jc w:val="center"/>
                        </w:pPr>
                      </w:p>
                    </w:tc>
                    <w:tc>
                      <w:tcPr>
                        <w:tcW w:w="4706" w:type="dxa"/>
                        <w:shd w:val="pct10" w:color="auto" w:fill="auto"/>
                      </w:tcPr>
                      <w:p>
                        <w:pPr>
                          <w:tabs>
                            <w:tab w:val="left" w:pos="-1908"/>
                            <w:tab w:val="left" w:pos="1134"/>
                            <w:tab w:val="left" w:pos="1872"/>
                            <w:tab w:val="left" w:pos="2003"/>
                            <w:tab w:val="left" w:pos="6323"/>
                          </w:tabs>
                          <w:jc w:val="center"/>
                          <w:rPr>
                            <w:b/>
                          </w:rPr>
                        </w:pPr>
                        <w:r>
                          <w:rPr>
                            <w:b/>
                          </w:rPr>
                          <w:t>Intégrations permanentes partielles</w:t>
                        </w:r>
                      </w:p>
                      <w:p>
                        <w:pPr>
                          <w:jc w:val="center"/>
                          <w:rPr>
                            <w:b/>
                          </w:rPr>
                        </w:pPr>
                        <w:r>
                          <w:rPr>
                            <w:b/>
                          </w:rPr>
                          <w:t>Intégrations temporaires, totales ou partielles</w:t>
                        </w:r>
                      </w:p>
                      <w:p>
                        <w:pPr>
                          <w:jc w:val="center"/>
                          <w:rPr>
                            <w:b/>
                          </w:rPr>
                        </w:pPr>
                        <w:r>
                          <w:rPr>
                            <w:b/>
                          </w:rPr>
                          <w:t>(Articles 146 à 158)</w:t>
                        </w:r>
                      </w:p>
                      <w:p>
                        <w:pPr>
                          <w:jc w:val="center"/>
                          <w:rPr>
                            <w:b/>
                          </w:rPr>
                        </w:pPr>
                      </w:p>
                      <w:p>
                        <w:pPr>
                          <w:jc w:val="center"/>
                        </w:pPr>
                        <w:r>
                          <w:rPr>
                            <w:noProof/>
                            <w:lang w:eastAsia="fr-BE"/>
                          </w:rPr>
                          <mc:AlternateContent>
                            <mc:Choice Requires="wps">
                              <w:drawing>
                                <wp:anchor distT="0" distB="0" distL="114300" distR="114300" simplePos="0" relativeHeight="252006400" behindDoc="0" locked="0" layoutInCell="1" allowOverlap="1">
                                  <wp:simplePos x="0" y="0"/>
                                  <wp:positionH relativeFrom="column">
                                    <wp:posOffset>6897370</wp:posOffset>
                                  </wp:positionH>
                                  <wp:positionV relativeFrom="paragraph">
                                    <wp:posOffset>918210</wp:posOffset>
                                  </wp:positionV>
                                  <wp:extent cx="9525" cy="523875"/>
                                  <wp:effectExtent l="0" t="0" r="28575" b="28575"/>
                                  <wp:wrapNone/>
                                  <wp:docPr id="465" name="Connecteur droit 465"/>
                                  <wp:cNvGraphicFramePr/>
                                  <a:graphic xmlns:a="http://schemas.openxmlformats.org/drawingml/2006/main">
                                    <a:graphicData uri="http://schemas.microsoft.com/office/word/2010/wordprocessingShape">
                                      <wps:wsp>
                                        <wps:cNvCnPr/>
                                        <wps:spPr>
                                          <a:xfrm flipH="1">
                                            <a:off x="0" y="0"/>
                                            <a:ext cx="9525" cy="52387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5FCB762" id="Connecteur droit 465" o:spid="_x0000_s1026" style="position:absolute;flip:x;z-index:252006400;visibility:visible;mso-wrap-style:square;mso-wrap-distance-left:9pt;mso-wrap-distance-top:0;mso-wrap-distance-right:9pt;mso-wrap-distance-bottom:0;mso-position-horizontal:absolute;mso-position-horizontal-relative:text;mso-position-vertical:absolute;mso-position-vertical-relative:text" from="543.1pt,72.3pt" to="543.85pt,1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" strokecolor="black [3213]" strokeweight="1.5pt"/>
                              </w:pict>
                            </mc:Fallback>
                          </mc:AlternateContent>
                        </w:r>
                      </w:p>
                    </w:tc>
                  </w:tr>
                  <w:tr>
                    <w:tc>
                      <w:tcPr>
                        <w:tcW w:w="9379" w:type="dxa"/>
                        <w:gridSpan w:val="2"/>
                      </w:tcPr>
                      <w:p>
                        <w:pPr>
                          <w:tabs>
                            <w:tab w:val="left" w:pos="-1908"/>
                            <w:tab w:val="left" w:pos="1134"/>
                            <w:tab w:val="left" w:pos="1872"/>
                            <w:tab w:val="left" w:pos="2003"/>
                            <w:tab w:val="left" w:pos="6323"/>
                          </w:tabs>
                          <w:jc w:val="center"/>
                          <w:rPr>
                            <w:b/>
                          </w:rPr>
                        </w:pPr>
                        <w:r>
                          <w:rPr>
                            <w:b/>
                          </w:rPr>
                          <w:t>1. Dès que le protocole est signé, quand commence l’intégration ?</w:t>
                        </w:r>
                      </w:p>
                    </w:tc>
                  </w:tr>
                  <w:tr>
                    <w:tc>
                      <w:tcPr>
                        <w:tcW w:w="4673" w:type="dxa"/>
                      </w:tcPr>
                      <w:p>
                        <w:pPr>
                          <w:tabs>
                            <w:tab w:val="left" w:pos="-1908"/>
                            <w:tab w:val="left" w:pos="1134"/>
                            <w:tab w:val="left" w:pos="1872"/>
                            <w:tab w:val="left" w:pos="2003"/>
                            <w:tab w:val="left" w:pos="6323"/>
                          </w:tabs>
                        </w:pPr>
                      </w:p>
                      <w:p>
                        <w:pPr>
                          <w:tabs>
                            <w:tab w:val="left" w:pos="-1908"/>
                            <w:tab w:val="left" w:pos="1134"/>
                            <w:tab w:val="left" w:pos="1872"/>
                            <w:tab w:val="left" w:pos="2003"/>
                            <w:tab w:val="left" w:pos="6323"/>
                          </w:tabs>
                          <w:rPr>
                            <w:b/>
                          </w:rPr>
                        </w:pPr>
                        <w:r>
                          <w:t>Au 1</w:t>
                        </w:r>
                        <w:r>
                          <w:rPr>
                            <w:vertAlign w:val="superscript"/>
                          </w:rPr>
                          <w:t>er</w:t>
                        </w:r>
                        <w:r>
                          <w:t xml:space="preserve"> septembre.</w:t>
                        </w:r>
                      </w:p>
                    </w:tc>
                    <w:tc>
                      <w:tcPr>
                        <w:tcW w:w="4706" w:type="dxa"/>
                      </w:tcPr>
                      <w:p>
                        <w:pPr>
                          <w:tabs>
                            <w:tab w:val="left" w:pos="-1908"/>
                            <w:tab w:val="left" w:pos="1134"/>
                            <w:tab w:val="left" w:pos="1872"/>
                            <w:tab w:val="left" w:pos="2003"/>
                            <w:tab w:val="left" w:pos="6323"/>
                          </w:tabs>
                        </w:pPr>
                      </w:p>
                      <w:p>
                        <w:pPr>
                          <w:tabs>
                            <w:tab w:val="left" w:pos="-1908"/>
                            <w:tab w:val="left" w:pos="1134"/>
                            <w:tab w:val="left" w:pos="1872"/>
                            <w:tab w:val="left" w:pos="2003"/>
                            <w:tab w:val="left" w:pos="6323"/>
                          </w:tabs>
                          <w:jc w:val="both"/>
                        </w:pPr>
                        <w:r>
                          <w:t>Les intégrations débutent à tout moment de l’année, selon la date prévue dans le protocole sauf pour les intégrations permanentes partielles qui débutent également au 1</w:t>
                        </w:r>
                        <w:r>
                          <w:rPr>
                            <w:vertAlign w:val="superscript"/>
                          </w:rPr>
                          <w:t>er</w:t>
                        </w:r>
                        <w:r>
                          <w:t xml:space="preserve"> septembre.</w:t>
                        </w:r>
                      </w:p>
                      <w:p>
                        <w:pPr>
                          <w:tabs>
                            <w:tab w:val="left" w:pos="-1908"/>
                            <w:tab w:val="left" w:pos="1134"/>
                            <w:tab w:val="left" w:pos="1872"/>
                            <w:tab w:val="left" w:pos="2003"/>
                            <w:tab w:val="left" w:pos="6323"/>
                          </w:tabs>
                          <w:rPr>
                            <w:b/>
                          </w:rPr>
                        </w:pPr>
                      </w:p>
                    </w:tc>
                  </w:tr>
                  <w:tr>
                    <w:tc>
                      <w:tcPr>
                        <w:tcW w:w="9379" w:type="dxa"/>
                        <w:gridSpan w:val="2"/>
                      </w:tcPr>
                      <w:p>
                        <w:pPr>
                          <w:tabs>
                            <w:tab w:val="left" w:pos="-1908"/>
                            <w:tab w:val="left" w:pos="1134"/>
                            <w:tab w:val="left" w:pos="1872"/>
                            <w:tab w:val="left" w:pos="2003"/>
                            <w:tab w:val="left" w:pos="6323"/>
                          </w:tabs>
                          <w:jc w:val="center"/>
                          <w:rPr>
                            <w:b/>
                          </w:rPr>
                        </w:pPr>
                        <w:r>
                          <w:rPr>
                            <w:b/>
                          </w:rPr>
                          <w:t>2. Quels sont les élèves concernés ?</w:t>
                        </w:r>
                      </w:p>
                    </w:tc>
                  </w:tr>
                  <w:tr>
                    <w:tc>
                      <w:tcPr>
                        <w:tcW w:w="4673" w:type="dxa"/>
                      </w:tcPr>
                      <w:p>
                        <w:pPr>
                          <w:pStyle w:val="Normalcentr1"/>
                          <w:tabs>
                            <w:tab w:val="left" w:pos="-1908"/>
                            <w:tab w:val="left" w:pos="1872"/>
                          </w:tabs>
                          <w:snapToGrid w:val="0"/>
                          <w:ind w:left="0" w:right="-5"/>
                          <w:jc w:val="both"/>
                          <w:rPr>
                            <w:rFonts w:asciiTheme="majorHAnsi" w:hAnsiTheme="majorHAnsi"/>
                            <w:szCs w:val="22"/>
                          </w:rPr>
                        </w:pPr>
                      </w:p>
                      <w:p>
                        <w:pPr>
                          <w:pStyle w:val="Normalcentr1"/>
                          <w:tabs>
                            <w:tab w:val="left" w:pos="-1908"/>
                            <w:tab w:val="left" w:pos="1872"/>
                          </w:tabs>
                          <w:snapToGrid w:val="0"/>
                          <w:ind w:left="0" w:right="-5"/>
                          <w:jc w:val="both"/>
                          <w:rPr>
                            <w:rFonts w:asciiTheme="majorHAnsi" w:hAnsiTheme="majorHAnsi"/>
                            <w:szCs w:val="22"/>
                          </w:rPr>
                        </w:pPr>
                        <w:r>
                          <w:rPr>
                            <w:rFonts w:asciiTheme="majorHAnsi" w:hAnsiTheme="majorHAnsi"/>
                            <w:szCs w:val="22"/>
                          </w:rPr>
                          <w:t xml:space="preserve">Les élèves régulièrement inscrits dans l’enseignement spécialisé au plus tard le </w:t>
                        </w:r>
                        <w:r>
                          <w:rPr>
                            <w:rFonts w:asciiTheme="majorHAnsi" w:hAnsiTheme="majorHAnsi"/>
                            <w:b/>
                            <w:szCs w:val="22"/>
                          </w:rPr>
                          <w:t>15 janvier précédant</w:t>
                        </w:r>
                        <w:r>
                          <w:rPr>
                            <w:rFonts w:asciiTheme="majorHAnsi" w:hAnsiTheme="majorHAnsi"/>
                            <w:szCs w:val="22"/>
                          </w:rPr>
                          <w:t xml:space="preserve"> le début de l’intégration.</w:t>
                        </w:r>
                      </w:p>
                      <w:p>
                        <w:pPr>
                          <w:pStyle w:val="Normalcentr1"/>
                          <w:tabs>
                            <w:tab w:val="left" w:pos="-1908"/>
                            <w:tab w:val="left" w:pos="1872"/>
                          </w:tabs>
                          <w:snapToGrid w:val="0"/>
                          <w:ind w:left="0" w:right="-5"/>
                          <w:jc w:val="both"/>
                          <w:rPr>
                            <w:rFonts w:asciiTheme="majorHAnsi" w:hAnsiTheme="majorHAnsi"/>
                            <w:szCs w:val="22"/>
                          </w:rPr>
                        </w:pPr>
                      </w:p>
                      <w:p>
                        <w:pPr>
                          <w:pStyle w:val="Normalcentr1"/>
                          <w:tabs>
                            <w:tab w:val="left" w:pos="-1908"/>
                            <w:tab w:val="left" w:pos="1872"/>
                          </w:tabs>
                          <w:ind w:left="0" w:right="-5"/>
                          <w:jc w:val="both"/>
                          <w:rPr>
                            <w:rFonts w:asciiTheme="majorHAnsi" w:hAnsiTheme="majorHAnsi"/>
                            <w:szCs w:val="22"/>
                          </w:rPr>
                        </w:pPr>
                        <w:r>
                          <w:rPr>
                            <w:rFonts w:asciiTheme="majorHAnsi" w:hAnsiTheme="majorHAnsi"/>
                            <w:szCs w:val="22"/>
                          </w:rPr>
                          <w:t xml:space="preserve">Les élèves régulièrement inscrits dans une école d’enseignement ordinaire organisant l’apprentissage par immersion en langue des signes en classe bilingue français-langue des signes au 15 janvier précédant le début de l’intégration. </w:t>
                        </w:r>
                      </w:p>
                      <w:p>
                        <w:pPr>
                          <w:pStyle w:val="Normalcentr1"/>
                          <w:tabs>
                            <w:tab w:val="left" w:pos="-1908"/>
                            <w:tab w:val="left" w:pos="1872"/>
                          </w:tabs>
                          <w:ind w:left="0" w:right="-5"/>
                          <w:jc w:val="both"/>
                          <w:rPr>
                            <w:rFonts w:asciiTheme="majorHAnsi" w:hAnsiTheme="majorHAnsi"/>
                            <w:szCs w:val="22"/>
                          </w:rPr>
                        </w:pPr>
                      </w:p>
                      <w:p>
                        <w:pPr>
                          <w:pStyle w:val="Normalcentr1"/>
                          <w:tabs>
                            <w:tab w:val="left" w:pos="-1908"/>
                            <w:tab w:val="left" w:pos="1872"/>
                          </w:tabs>
                          <w:ind w:left="0" w:right="-5"/>
                          <w:jc w:val="both"/>
                          <w:rPr>
                            <w:rFonts w:asciiTheme="majorHAnsi" w:hAnsiTheme="majorHAnsi"/>
                            <w:szCs w:val="22"/>
                          </w:rPr>
                        </w:pPr>
                        <w:r>
                          <w:rPr>
                            <w:rFonts w:asciiTheme="majorHAnsi" w:hAnsiTheme="majorHAnsi"/>
                            <w:szCs w:val="22"/>
                          </w:rPr>
                          <w:t>Dans ce cas l’accompagnement sera assuré par un membre du personnel de l’école d’enseignement spécialisé de type 7 chargé de l’immersion en langue des signes.</w:t>
                        </w:r>
                      </w:p>
                      <w:p>
                        <w:pPr>
                          <w:pStyle w:val="Normalcentr1"/>
                          <w:tabs>
                            <w:tab w:val="left" w:pos="-1908"/>
                            <w:tab w:val="left" w:pos="1872"/>
                          </w:tabs>
                          <w:ind w:left="0" w:right="-5"/>
                          <w:jc w:val="both"/>
                          <w:rPr>
                            <w:rFonts w:asciiTheme="majorHAnsi" w:hAnsiTheme="majorHAnsi"/>
                            <w:b/>
                            <w:szCs w:val="22"/>
                          </w:rPr>
                        </w:pPr>
                      </w:p>
                    </w:tc>
                    <w:tc>
                      <w:tcPr>
                        <w:tcW w:w="4706" w:type="dxa"/>
                      </w:tcPr>
                      <w:p>
                        <w:pPr>
                          <w:tabs>
                            <w:tab w:val="left" w:pos="-1908"/>
                            <w:tab w:val="left" w:pos="1872"/>
                          </w:tabs>
                          <w:snapToGrid w:val="0"/>
                          <w:jc w:val="both"/>
                        </w:pPr>
                      </w:p>
                      <w:p>
                        <w:pPr>
                          <w:tabs>
                            <w:tab w:val="left" w:pos="-1908"/>
                            <w:tab w:val="left" w:pos="1872"/>
                          </w:tabs>
                          <w:snapToGrid w:val="0"/>
                          <w:jc w:val="both"/>
                        </w:pPr>
                        <w:r>
                          <w:t>Tous les élèves à besoins spécifiques, qu’ils soient scolarisés dans l’enseignement ordinaire ou dans l’enseignement spécialisé.</w:t>
                        </w:r>
                      </w:p>
                      <w:p>
                        <w:pPr>
                          <w:tabs>
                            <w:tab w:val="left" w:pos="-1908"/>
                            <w:tab w:val="left" w:pos="1872"/>
                          </w:tabs>
                          <w:jc w:val="both"/>
                        </w:pPr>
                        <w:r>
                          <w:t>Toutefois, seuls les élèves régulièrement inscrits dans l’enseignement spécialisé peuvent bénéficier de ces types d’intégration.</w:t>
                        </w:r>
                      </w:p>
                      <w:p>
                        <w:pPr>
                          <w:tabs>
                            <w:tab w:val="left" w:pos="-1908"/>
                            <w:tab w:val="left" w:pos="1872"/>
                          </w:tabs>
                          <w:jc w:val="both"/>
                        </w:pPr>
                      </w:p>
                      <w:p>
                        <w:pPr>
                          <w:tabs>
                            <w:tab w:val="left" w:pos="-1908"/>
                            <w:tab w:val="left" w:pos="1872"/>
                          </w:tabs>
                          <w:jc w:val="both"/>
                        </w:pPr>
                        <w:r>
                          <w:t>Dans le cadre de l’intégration temporaire totale, la fréquentation physique d’une école d’enseignement spécialisé n’est pas obligatoire.</w:t>
                        </w:r>
                      </w:p>
                      <w:p>
                        <w:pPr>
                          <w:tabs>
                            <w:tab w:val="left" w:pos="-1908"/>
                            <w:tab w:val="left" w:pos="1134"/>
                            <w:tab w:val="left" w:pos="1872"/>
                            <w:tab w:val="left" w:pos="2003"/>
                            <w:tab w:val="left" w:pos="6323"/>
                          </w:tabs>
                          <w:jc w:val="both"/>
                          <w:rPr>
                            <w:b/>
                          </w:rPr>
                        </w:pPr>
                      </w:p>
                    </w:tc>
                  </w:tr>
                  <w:tr>
                    <w:tc>
                      <w:tcPr>
                        <w:tcW w:w="9379" w:type="dxa"/>
                        <w:gridSpan w:val="2"/>
                      </w:tcPr>
                      <w:p>
                        <w:pPr>
                          <w:tabs>
                            <w:tab w:val="left" w:pos="-1908"/>
                            <w:tab w:val="left" w:pos="1134"/>
                            <w:tab w:val="left" w:pos="1872"/>
                            <w:tab w:val="left" w:pos="2003"/>
                            <w:tab w:val="left" w:pos="6323"/>
                          </w:tabs>
                          <w:jc w:val="center"/>
                          <w:rPr>
                            <w:b/>
                          </w:rPr>
                        </w:pPr>
                        <w:r>
                          <w:rPr>
                            <w:b/>
                          </w:rPr>
                          <w:t>3. Où l’élève est-il inscrit et comptabilisé ?</w:t>
                        </w:r>
                      </w:p>
                    </w:tc>
                  </w:tr>
                  <w:tr>
                    <w:trPr>
                      <w:trHeight w:val="1345"/>
                    </w:trPr>
                    <w:tc>
                      <w:tcPr>
                        <w:tcW w:w="4673" w:type="dxa"/>
                      </w:tcPr>
                      <w:p>
                        <w:pPr>
                          <w:tabs>
                            <w:tab w:val="left" w:pos="-1908"/>
                            <w:tab w:val="left" w:pos="1134"/>
                            <w:tab w:val="left" w:pos="1872"/>
                            <w:tab w:val="left" w:pos="2003"/>
                            <w:tab w:val="left" w:pos="6323"/>
                          </w:tabs>
                          <w:snapToGrid w:val="0"/>
                          <w:jc w:val="both"/>
                        </w:pPr>
                      </w:p>
                      <w:p>
                        <w:pPr>
                          <w:tabs>
                            <w:tab w:val="left" w:pos="-1908"/>
                            <w:tab w:val="left" w:pos="1134"/>
                            <w:tab w:val="left" w:pos="1872"/>
                            <w:tab w:val="left" w:pos="2003"/>
                            <w:tab w:val="left" w:pos="6323"/>
                          </w:tabs>
                          <w:snapToGrid w:val="0"/>
                          <w:jc w:val="both"/>
                        </w:pPr>
                        <w:r>
                          <w:t>Inscrit et comptabilisé au 1</w:t>
                        </w:r>
                        <w:r>
                          <w:rPr>
                            <w:vertAlign w:val="superscript"/>
                          </w:rPr>
                          <w:t>er</w:t>
                        </w:r>
                        <w:r>
                          <w:t xml:space="preserve"> septembre dans l’école d’enseignement ordinaire.</w:t>
                        </w:r>
                      </w:p>
                      <w:p>
                        <w:pPr>
                          <w:tabs>
                            <w:tab w:val="left" w:pos="-1908"/>
                            <w:tab w:val="left" w:pos="1134"/>
                            <w:tab w:val="left" w:pos="1872"/>
                            <w:tab w:val="left" w:pos="2003"/>
                            <w:tab w:val="left" w:pos="6323"/>
                          </w:tabs>
                          <w:snapToGrid w:val="0"/>
                          <w:jc w:val="both"/>
                        </w:pPr>
                      </w:p>
                      <w:p>
                        <w:pPr>
                          <w:tabs>
                            <w:tab w:val="left" w:pos="-1908"/>
                            <w:tab w:val="left" w:pos="1134"/>
                            <w:tab w:val="left" w:pos="1872"/>
                            <w:tab w:val="left" w:pos="2003"/>
                            <w:tab w:val="left" w:pos="6323"/>
                          </w:tabs>
                          <w:jc w:val="both"/>
                          <w:rPr>
                            <w:b/>
                          </w:rPr>
                        </w:pPr>
                      </w:p>
                    </w:tc>
                    <w:tc>
                      <w:tcPr>
                        <w:tcW w:w="4706" w:type="dxa"/>
                      </w:tcPr>
                      <w:p>
                        <w:pPr>
                          <w:tabs>
                            <w:tab w:val="left" w:pos="-1908"/>
                            <w:tab w:val="left" w:pos="1134"/>
                            <w:tab w:val="left" w:pos="1872"/>
                            <w:tab w:val="left" w:pos="2003"/>
                            <w:tab w:val="left" w:pos="6323"/>
                          </w:tabs>
                          <w:jc w:val="both"/>
                        </w:pPr>
                      </w:p>
                      <w:p>
                        <w:pPr>
                          <w:tabs>
                            <w:tab w:val="left" w:pos="-1908"/>
                            <w:tab w:val="left" w:pos="1134"/>
                            <w:tab w:val="left" w:pos="1872"/>
                            <w:tab w:val="left" w:pos="2003"/>
                            <w:tab w:val="left" w:pos="6323"/>
                          </w:tabs>
                          <w:jc w:val="both"/>
                          <w:rPr>
                            <w:b/>
                          </w:rPr>
                        </w:pPr>
                        <w:r>
                          <w:t>Inscrit et comptabilisé dans l’école d’enseignement spécialisé.</w:t>
                        </w:r>
                      </w:p>
                    </w:tc>
                  </w:tr>
                  <w:tr>
                    <w:tc>
                      <w:tcPr>
                        <w:tcW w:w="9379" w:type="dxa"/>
                        <w:gridSpan w:val="2"/>
                      </w:tcPr>
                      <w:p>
                        <w:pPr>
                          <w:tabs>
                            <w:tab w:val="left" w:pos="-1908"/>
                            <w:tab w:val="left" w:pos="1134"/>
                            <w:tab w:val="left" w:pos="1872"/>
                            <w:tab w:val="left" w:pos="2003"/>
                            <w:tab w:val="left" w:pos="6323"/>
                          </w:tabs>
                          <w:jc w:val="center"/>
                          <w:rPr>
                            <w:b/>
                          </w:rPr>
                        </w:pPr>
                        <w:r>
                          <w:rPr>
                            <w:b/>
                          </w:rPr>
                          <w:t>4. Où se trouve physiquement l’élève ?</w:t>
                        </w:r>
                      </w:p>
                    </w:tc>
                  </w:tr>
                  <w:tr>
                    <w:tc>
                      <w:tcPr>
                        <w:tcW w:w="4673" w:type="dxa"/>
                      </w:tcPr>
                      <w:p>
                        <w:pPr>
                          <w:tabs>
                            <w:tab w:val="left" w:pos="-1908"/>
                            <w:tab w:val="left" w:pos="1134"/>
                            <w:tab w:val="left" w:pos="1872"/>
                            <w:tab w:val="left" w:pos="2003"/>
                            <w:tab w:val="left" w:pos="6323"/>
                          </w:tabs>
                          <w:snapToGrid w:val="0"/>
                          <w:jc w:val="both"/>
                        </w:pPr>
                      </w:p>
                      <w:p>
                        <w:pPr>
                          <w:tabs>
                            <w:tab w:val="left" w:pos="-1908"/>
                            <w:tab w:val="left" w:pos="1134"/>
                            <w:tab w:val="left" w:pos="1872"/>
                            <w:tab w:val="left" w:pos="2003"/>
                            <w:tab w:val="left" w:pos="6323"/>
                          </w:tabs>
                          <w:snapToGrid w:val="0"/>
                          <w:jc w:val="both"/>
                        </w:pPr>
                        <w:r>
                          <w:t>Dans l’école d’enseignement ordinaire.</w:t>
                        </w:r>
                      </w:p>
                      <w:p>
                        <w:pPr>
                          <w:tabs>
                            <w:tab w:val="left" w:pos="-1908"/>
                            <w:tab w:val="left" w:pos="1134"/>
                            <w:tab w:val="left" w:pos="1872"/>
                            <w:tab w:val="left" w:pos="2003"/>
                            <w:tab w:val="left" w:pos="6323"/>
                          </w:tabs>
                          <w:jc w:val="both"/>
                          <w:rPr>
                            <w:b/>
                          </w:rPr>
                        </w:pPr>
                      </w:p>
                    </w:tc>
                    <w:tc>
                      <w:tcPr>
                        <w:tcW w:w="4706" w:type="dxa"/>
                      </w:tcPr>
                      <w:p>
                        <w:pPr>
                          <w:tabs>
                            <w:tab w:val="left" w:pos="-1908"/>
                            <w:tab w:val="left" w:pos="1134"/>
                            <w:tab w:val="left" w:pos="1872"/>
                            <w:tab w:val="left" w:pos="2003"/>
                            <w:tab w:val="left" w:pos="6323"/>
                          </w:tabs>
                          <w:jc w:val="both"/>
                        </w:pPr>
                      </w:p>
                      <w:p>
                        <w:pPr>
                          <w:tabs>
                            <w:tab w:val="left" w:pos="-1908"/>
                            <w:tab w:val="left" w:pos="1134"/>
                            <w:tab w:val="left" w:pos="1872"/>
                            <w:tab w:val="left" w:pos="2003"/>
                            <w:tab w:val="left" w:pos="6323"/>
                          </w:tabs>
                          <w:jc w:val="both"/>
                        </w:pPr>
                        <w:r>
                          <w:t>Dans l’école d’enseignement ordinaire (et spécialisé s’il s’agit d’une intégration partielle).</w:t>
                        </w:r>
                      </w:p>
                      <w:p>
                        <w:pPr>
                          <w:tabs>
                            <w:tab w:val="left" w:pos="-1908"/>
                            <w:tab w:val="left" w:pos="1134"/>
                            <w:tab w:val="left" w:pos="1872"/>
                            <w:tab w:val="left" w:pos="2003"/>
                            <w:tab w:val="left" w:pos="6323"/>
                          </w:tabs>
                          <w:jc w:val="both"/>
                          <w:rPr>
                            <w:b/>
                          </w:rPr>
                        </w:pPr>
                      </w:p>
                    </w:tc>
                  </w:tr>
                  <w:tr>
                    <w:tc>
                      <w:tcPr>
                        <w:tcW w:w="9379" w:type="dxa"/>
                        <w:gridSpan w:val="2"/>
                      </w:tcPr>
                      <w:p>
                        <w:pPr>
                          <w:tabs>
                            <w:tab w:val="left" w:pos="-1908"/>
                            <w:tab w:val="left" w:pos="1134"/>
                            <w:tab w:val="left" w:pos="1872"/>
                            <w:tab w:val="left" w:pos="2003"/>
                            <w:tab w:val="left" w:pos="6323"/>
                          </w:tabs>
                          <w:jc w:val="center"/>
                          <w:rPr>
                            <w:b/>
                          </w:rPr>
                        </w:pPr>
                        <w:r>
                          <w:rPr>
                            <w:b/>
                          </w:rPr>
                          <w:t>5. Qui assure l’accompagnement de l’élève ?</w:t>
                        </w:r>
                      </w:p>
                    </w:tc>
                  </w:tr>
                  <w:tr>
                    <w:tc>
                      <w:tcPr>
                        <w:tcW w:w="4673" w:type="dxa"/>
                      </w:tcPr>
                      <w:p>
                        <w:pPr>
                          <w:tabs>
                            <w:tab w:val="left" w:pos="-1908"/>
                            <w:tab w:val="left" w:pos="1872"/>
                          </w:tabs>
                          <w:snapToGrid w:val="0"/>
                          <w:jc w:val="both"/>
                        </w:pPr>
                      </w:p>
                      <w:p>
                        <w:pPr>
                          <w:tabs>
                            <w:tab w:val="left" w:pos="-1908"/>
                            <w:tab w:val="left" w:pos="1872"/>
                          </w:tabs>
                          <w:snapToGrid w:val="0"/>
                          <w:jc w:val="both"/>
                        </w:pPr>
                        <w:r>
                          <w:t>Un (ou des) membre(s) du personnel de l’école d’enseignement spécialisé tel(s) que prévu(s) par le protocole d’intégration (enseignant, psychologue, puéricultrice, assistant social, logopède,…) et en plus, pour les élèves des types 4, 5, 6, 7 intégrés dans le 3</w:t>
                        </w:r>
                        <w:r>
                          <w:rPr>
                            <w:vertAlign w:val="superscript"/>
                          </w:rPr>
                          <w:t>ème</w:t>
                        </w:r>
                        <w:r>
                          <w:t xml:space="preserve"> degré, un (ou des) membre(s) du personnel de l’école d’enseignement secondaire ordinaire.</w:t>
                        </w:r>
                      </w:p>
                      <w:p>
                        <w:pPr>
                          <w:tabs>
                            <w:tab w:val="left" w:pos="-1908"/>
                            <w:tab w:val="left" w:pos="1872"/>
                          </w:tabs>
                          <w:snapToGrid w:val="0"/>
                          <w:jc w:val="both"/>
                        </w:pPr>
                      </w:p>
                      <w:p>
                        <w:pPr>
                          <w:tabs>
                            <w:tab w:val="left" w:pos="-1908"/>
                            <w:tab w:val="left" w:pos="1134"/>
                            <w:tab w:val="left" w:pos="1872"/>
                            <w:tab w:val="left" w:pos="2003"/>
                            <w:tab w:val="left" w:pos="6323"/>
                          </w:tabs>
                          <w:jc w:val="both"/>
                        </w:pPr>
                        <w:r>
                          <w:t>Dans le cas d’un élève provenant d’une école d’enseignement ordinaire organisant l’apprentissage par immersion en langue des signes en classe bilingue français-langue des signes, l’accompagnement sera assuré par un membre du personnel de l’école d’enseignement spécialisé de type 7 chargé de l’immersion en langue des signes.</w:t>
                        </w:r>
                      </w:p>
                      <w:p>
                        <w:pPr>
                          <w:tabs>
                            <w:tab w:val="left" w:pos="-1908"/>
                            <w:tab w:val="left" w:pos="1134"/>
                            <w:tab w:val="left" w:pos="1872"/>
                            <w:tab w:val="left" w:pos="2003"/>
                            <w:tab w:val="left" w:pos="6323"/>
                          </w:tabs>
                          <w:jc w:val="both"/>
                          <w:rPr>
                            <w:b/>
                          </w:rPr>
                        </w:pPr>
                      </w:p>
                      <w:p>
                        <w:pPr>
                          <w:tabs>
                            <w:tab w:val="left" w:pos="-1908"/>
                            <w:tab w:val="left" w:pos="1134"/>
                            <w:tab w:val="left" w:pos="1872"/>
                            <w:tab w:val="left" w:pos="2003"/>
                            <w:tab w:val="left" w:pos="6323"/>
                          </w:tabs>
                          <w:jc w:val="both"/>
                          <w:rPr>
                            <w:b/>
                          </w:rPr>
                        </w:pPr>
                      </w:p>
                      <w:p>
                        <w:pPr>
                          <w:tabs>
                            <w:tab w:val="left" w:pos="-1908"/>
                            <w:tab w:val="left" w:pos="1134"/>
                            <w:tab w:val="left" w:pos="1872"/>
                            <w:tab w:val="left" w:pos="2003"/>
                            <w:tab w:val="left" w:pos="6323"/>
                          </w:tabs>
                          <w:jc w:val="both"/>
                          <w:rPr>
                            <w:b/>
                          </w:rPr>
                        </w:pPr>
                      </w:p>
                      <w:p>
                        <w:pPr>
                          <w:tabs>
                            <w:tab w:val="left" w:pos="-1908"/>
                            <w:tab w:val="left" w:pos="1134"/>
                            <w:tab w:val="left" w:pos="1872"/>
                            <w:tab w:val="left" w:pos="2003"/>
                            <w:tab w:val="left" w:pos="6323"/>
                          </w:tabs>
                          <w:jc w:val="both"/>
                          <w:rPr>
                            <w:b/>
                          </w:rPr>
                        </w:pPr>
                      </w:p>
                    </w:tc>
                    <w:tc>
                      <w:tcPr>
                        <w:tcW w:w="4706" w:type="dxa"/>
                      </w:tcPr>
                      <w:p>
                        <w:pPr>
                          <w:tabs>
                            <w:tab w:val="left" w:pos="-1908"/>
                            <w:tab w:val="left" w:pos="1872"/>
                          </w:tabs>
                          <w:snapToGrid w:val="0"/>
                          <w:jc w:val="both"/>
                        </w:pPr>
                      </w:p>
                      <w:p>
                        <w:pPr>
                          <w:tabs>
                            <w:tab w:val="left" w:pos="-1908"/>
                            <w:tab w:val="left" w:pos="1872"/>
                          </w:tabs>
                          <w:snapToGrid w:val="0"/>
                          <w:jc w:val="both"/>
                        </w:pPr>
                        <w:r>
                          <w:t>Un (ou des) membre(s) du personnel de l’école d’enseignement spécialisé tel(s) que prévu(s) par le protocole d’intégration (enseignant, psychologue, puéricultrice, assistant social, logopède,…).</w:t>
                        </w:r>
                      </w:p>
                      <w:p>
                        <w:pPr>
                          <w:jc w:val="both"/>
                        </w:pPr>
                      </w:p>
                      <w:p>
                        <w:pPr>
                          <w:jc w:val="both"/>
                        </w:pPr>
                      </w:p>
                      <w:p>
                        <w:pPr>
                          <w:jc w:val="both"/>
                        </w:pPr>
                      </w:p>
                      <w:p>
                        <w:pPr>
                          <w:tabs>
                            <w:tab w:val="left" w:pos="-1908"/>
                            <w:tab w:val="left" w:pos="1134"/>
                            <w:tab w:val="left" w:pos="1872"/>
                            <w:tab w:val="left" w:pos="2003"/>
                            <w:tab w:val="left" w:pos="6323"/>
                          </w:tabs>
                          <w:jc w:val="both"/>
                        </w:pPr>
                        <w:r>
                          <w:t>Pour rappel, pour les élèves en intégration temporaire totale, l’accompagnement est obligatoire.</w:t>
                        </w:r>
                      </w:p>
                      <w:p>
                        <w:pPr>
                          <w:tabs>
                            <w:tab w:val="left" w:pos="-1908"/>
                            <w:tab w:val="left" w:pos="1134"/>
                            <w:tab w:val="left" w:pos="1872"/>
                            <w:tab w:val="left" w:pos="2003"/>
                            <w:tab w:val="left" w:pos="6323"/>
                          </w:tabs>
                          <w:jc w:val="both"/>
                        </w:pPr>
                      </w:p>
                      <w:p>
                        <w:pPr>
                          <w:tabs>
                            <w:tab w:val="left" w:pos="-1908"/>
                            <w:tab w:val="left" w:pos="1134"/>
                            <w:tab w:val="left" w:pos="1872"/>
                            <w:tab w:val="left" w:pos="2003"/>
                            <w:tab w:val="left" w:pos="6323"/>
                          </w:tabs>
                          <w:jc w:val="both"/>
                          <w:rPr>
                            <w:b/>
                          </w:rPr>
                        </w:pPr>
                        <w:r>
                          <w:rPr>
                            <w:noProof/>
                            <w:lang w:eastAsia="fr-BE"/>
                          </w:rPr>
                          <mc:AlternateContent>
                            <mc:Choice Requires="wps">
                              <w:drawing>
                                <wp:anchor distT="0" distB="0" distL="114300" distR="114300" simplePos="0" relativeHeight="252106752" behindDoc="0" locked="0" layoutInCell="1" allowOverlap="1">
                                  <wp:simplePos x="0" y="0"/>
                                  <wp:positionH relativeFrom="column">
                                    <wp:posOffset>3070860</wp:posOffset>
                                  </wp:positionH>
                                  <wp:positionV relativeFrom="paragraph">
                                    <wp:posOffset>71119</wp:posOffset>
                                  </wp:positionV>
                                  <wp:extent cx="0" cy="257175"/>
                                  <wp:effectExtent l="0" t="0" r="19050" b="28575"/>
                                  <wp:wrapNone/>
                                  <wp:docPr id="4933" name="Connecteur droit 4933"/>
                                  <wp:cNvGraphicFramePr/>
                                  <a:graphic xmlns:a="http://schemas.openxmlformats.org/drawingml/2006/main">
                                    <a:graphicData uri="http://schemas.microsoft.com/office/word/2010/wordprocessingShape">
                                      <wps:wsp>
                                        <wps:cNvCnPr/>
                                        <wps:spPr>
                                          <a:xfrm>
                                            <a:off x="0" y="0"/>
                                            <a:ext cx="0" cy="2571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4A812481" id="Connecteur droit 4933" o:spid="_x0000_s1026" style="position:absolute;z-index:252106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41.8pt,5.6pt" to="241.8pt,2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" strokecolor="black [3040]"/>
                              </w:pict>
                            </mc:Fallback>
                          </mc:AlternateContent>
                        </w:r>
                        <w:r>
                          <w:t xml:space="preserve">Dans le cadre d’une intégration partielle, l’accompagnement n’est pas obligatoire. </w:t>
                        </w:r>
                      </w:p>
                    </w:tc>
                  </w:tr>
                  <w:tr>
                    <w:tc>
                      <w:tcPr>
                        <w:tcW w:w="9379" w:type="dxa"/>
                        <w:gridSpan w:val="2"/>
                      </w:tcPr>
                      <w:p>
                        <w:pPr>
                          <w:tabs>
                            <w:tab w:val="left" w:pos="-1908"/>
                            <w:tab w:val="left" w:pos="1134"/>
                            <w:tab w:val="left" w:pos="1872"/>
                            <w:tab w:val="left" w:pos="2003"/>
                            <w:tab w:val="left" w:pos="6323"/>
                          </w:tabs>
                          <w:jc w:val="center"/>
                          <w:rPr>
                            <w:b/>
                          </w:rPr>
                        </w:pPr>
                        <w:r>
                          <w:rPr>
                            <w:b/>
                          </w:rPr>
                          <w:t>6. Comment accompagner l’élève ?</w:t>
                        </w:r>
                      </w:p>
                    </w:tc>
                  </w:tr>
                  <w:tr>
                    <w:tc>
                      <w:tcPr>
                        <w:tcW w:w="9379" w:type="dxa"/>
                        <w:gridSpan w:val="2"/>
                      </w:tcPr>
                      <w:p>
                        <w:pPr>
                          <w:tabs>
                            <w:tab w:val="left" w:pos="-1908"/>
                            <w:tab w:val="left" w:pos="1872"/>
                          </w:tabs>
                          <w:snapToGrid w:val="0"/>
                        </w:pPr>
                      </w:p>
                      <w:p>
                        <w:pPr>
                          <w:tabs>
                            <w:tab w:val="left" w:pos="-1908"/>
                            <w:tab w:val="left" w:pos="1872"/>
                          </w:tabs>
                          <w:snapToGrid w:val="0"/>
                          <w:jc w:val="both"/>
                        </w:pPr>
                        <w:r>
                          <w:t>L’intégration étant par définition un projet personnalisé, il s’agit d’adapter l’accompagnement aux besoins de l’élève.</w:t>
                        </w:r>
                      </w:p>
                      <w:p>
                        <w:pPr>
                          <w:tabs>
                            <w:tab w:val="left" w:pos="-1908"/>
                            <w:tab w:val="left" w:pos="1872"/>
                          </w:tabs>
                          <w:jc w:val="both"/>
                        </w:pPr>
                        <w:r>
                          <w:t>Ce travail doit se réaliser en collaboration avec les partenaires concernés.</w:t>
                        </w:r>
                      </w:p>
                      <w:p>
                        <w:pPr>
                          <w:jc w:val="both"/>
                          <w:rPr>
                            <w:lang w:val="fr-FR" w:eastAsia="fr-FR"/>
                          </w:rPr>
                        </w:pPr>
                        <w:r>
                          <w:rPr>
                            <w:lang w:val="fr-FR" w:eastAsia="fr-FR"/>
                          </w:rPr>
                          <w:t>Les modalités de l’accompagnement sont définies dans le protocole d’intégration de l’élève.</w:t>
                        </w:r>
                      </w:p>
                      <w:p>
                        <w:pPr>
                          <w:tabs>
                            <w:tab w:val="left" w:pos="-1908"/>
                            <w:tab w:val="left" w:pos="1872"/>
                          </w:tabs>
                          <w:jc w:val="both"/>
                          <w:rPr>
                            <w:lang w:val="fr-FR"/>
                          </w:rPr>
                        </w:pPr>
                      </w:p>
                      <w:p>
                        <w:pPr>
                          <w:tabs>
                            <w:tab w:val="left" w:pos="-1908"/>
                            <w:tab w:val="left" w:pos="1872"/>
                          </w:tabs>
                          <w:jc w:val="both"/>
                        </w:pPr>
                        <w:r>
                          <w:rPr>
                            <w:i/>
                            <w:iCs/>
                            <w:u w:val="single"/>
                          </w:rPr>
                          <w:t>Exemples</w:t>
                        </w:r>
                        <w:r>
                          <w:t> : travail de différenciation, remédiation disciplinaire en classe et hors classe, aide à la méthode de travail, accompagnement paramédical, participation aux conseils de classe, production d’outils pédagogiques adaptés, rencontres enseignants-parents, …</w:t>
                        </w:r>
                      </w:p>
                      <w:p>
                        <w:pPr>
                          <w:tabs>
                            <w:tab w:val="left" w:pos="-1908"/>
                            <w:tab w:val="left" w:pos="1872"/>
                          </w:tabs>
                          <w:jc w:val="both"/>
                        </w:pPr>
                        <w:r>
                          <w:t>L’accompagnement des élèves en intégration peut comprendre un temps de coordination pour autant que ce dispositif soit précisé dans le protocole.</w:t>
                        </w:r>
                      </w:p>
                      <w:p>
                        <w:pPr>
                          <w:tabs>
                            <w:tab w:val="left" w:pos="-1908"/>
                            <w:tab w:val="left" w:pos="1134"/>
                            <w:tab w:val="left" w:pos="1872"/>
                            <w:tab w:val="left" w:pos="2003"/>
                            <w:tab w:val="left" w:pos="6323"/>
                          </w:tabs>
                          <w:jc w:val="center"/>
                          <w:rPr>
                            <w:b/>
                          </w:rPr>
                        </w:pPr>
                      </w:p>
                    </w:tc>
                  </w:tr>
                  <w:tr>
                    <w:tc>
                      <w:tcPr>
                        <w:tcW w:w="9379" w:type="dxa"/>
                        <w:gridSpan w:val="2"/>
                      </w:tcPr>
                      <w:p>
                        <w:pPr>
                          <w:jc w:val="center"/>
                          <w:rPr>
                            <w:b/>
                            <w:lang w:val="fr-FR"/>
                          </w:rPr>
                        </w:pPr>
                        <w:r>
                          <w:rPr>
                            <w:b/>
                            <w:lang w:val="fr-FR" w:eastAsia="fr-FR"/>
                          </w:rPr>
                          <w:t>7. Quand l’accompagnement est-il organisé ?</w:t>
                        </w:r>
                      </w:p>
                    </w:tc>
                  </w:tr>
                  <w:tr>
                    <w:tc>
                      <w:tcPr>
                        <w:tcW w:w="9379" w:type="dxa"/>
                        <w:gridSpan w:val="2"/>
                      </w:tcPr>
                      <w:p>
                        <w:pPr>
                          <w:rPr>
                            <w:lang w:val="fr-FR" w:eastAsia="fr-FR"/>
                          </w:rPr>
                        </w:pPr>
                        <w:r>
                          <w:rPr>
                            <w:rFonts w:cs="Arial"/>
                            <w:noProof/>
                            <w:lang w:eastAsia="fr-BE"/>
                          </w:rPr>
                          <mc:AlternateContent>
                            <mc:Choice Requires="wps">
                              <w:drawing>
                                <wp:anchor distT="0" distB="0" distL="114300" distR="114300" simplePos="0" relativeHeight="252044288" behindDoc="0" locked="0" layoutInCell="1" allowOverlap="1">
                                  <wp:simplePos x="0" y="0"/>
                                  <wp:positionH relativeFrom="column">
                                    <wp:posOffset>6003925</wp:posOffset>
                                  </wp:positionH>
                                  <wp:positionV relativeFrom="page">
                                    <wp:posOffset>78740</wp:posOffset>
                                  </wp:positionV>
                                  <wp:extent cx="0" cy="505460"/>
                                  <wp:effectExtent l="0" t="0" r="19050" b="27940"/>
                                  <wp:wrapNone/>
                                  <wp:docPr id="4931" name="Connecteur droit 4931"/>
                                  <wp:cNvGraphicFramePr/>
                                  <a:graphic xmlns:a="http://schemas.openxmlformats.org/drawingml/2006/main">
                                    <a:graphicData uri="http://schemas.microsoft.com/office/word/2010/wordprocessingShape">
                                      <wps:wsp>
                                        <wps:cNvCnPr/>
                                        <wps:spPr>
                                          <a:xfrm flipH="1">
                                            <a:off x="0" y="0"/>
                                            <a:ext cx="0" cy="50546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D41C9D" id="Connecteur droit 4931" o:spid="_x0000_s1026" style="position:absolute;flip:x;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from="472.75pt,6.2pt" to="472.75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" strokecolor="black [3040]">
                                  <w10:wrap anchory="page"/>
                                </v:line>
                              </w:pict>
                            </mc:Fallback>
                          </mc:AlternateContent>
                        </w:r>
                      </w:p>
                      <w:p>
                        <w:pPr>
                          <w:jc w:val="both"/>
                          <w:rPr>
                            <w:lang w:val="fr-FR" w:eastAsia="fr-FR"/>
                          </w:rPr>
                        </w:pPr>
                        <w:r>
                          <w:rPr>
                            <w:lang w:val="fr-FR" w:eastAsia="fr-FR"/>
                          </w:rPr>
                          <w:t xml:space="preserve">Pendant les heures d’ouverture de l’établissement scolaire de l’enseignement ordinaire, le mercredi après-midi compris. </w:t>
                        </w:r>
                      </w:p>
                      <w:p>
                        <w:pPr>
                          <w:tabs>
                            <w:tab w:val="left" w:pos="-1908"/>
                            <w:tab w:val="left" w:pos="1134"/>
                            <w:tab w:val="left" w:pos="1872"/>
                            <w:tab w:val="left" w:pos="2003"/>
                            <w:tab w:val="left" w:pos="6323"/>
                          </w:tabs>
                          <w:jc w:val="center"/>
                          <w:rPr>
                            <w:b/>
                            <w:lang w:val="fr-FR"/>
                          </w:rPr>
                        </w:pPr>
                      </w:p>
                    </w:tc>
                  </w:tr>
                  <w:tr>
                    <w:tc>
                      <w:tcPr>
                        <w:tcW w:w="9379" w:type="dxa"/>
                        <w:gridSpan w:val="2"/>
                      </w:tcPr>
                      <w:p>
                        <w:pPr>
                          <w:tabs>
                            <w:tab w:val="left" w:pos="-1908"/>
                            <w:tab w:val="left" w:pos="1134"/>
                            <w:tab w:val="left" w:pos="1872"/>
                            <w:tab w:val="left" w:pos="2003"/>
                            <w:tab w:val="left" w:pos="6323"/>
                          </w:tabs>
                          <w:jc w:val="center"/>
                          <w:rPr>
                            <w:b/>
                          </w:rPr>
                        </w:pPr>
                        <w:r>
                          <w:rPr>
                            <w:b/>
                          </w:rPr>
                          <w:t>8. Qui est responsable du personnel d’accompagnement ?</w:t>
                        </w:r>
                      </w:p>
                    </w:tc>
                  </w:tr>
                  <w:tr>
                    <w:tc>
                      <w:tcPr>
                        <w:tcW w:w="9379" w:type="dxa"/>
                        <w:gridSpan w:val="2"/>
                      </w:tcPr>
                      <w:p>
                        <w:pPr>
                          <w:tabs>
                            <w:tab w:val="left" w:pos="-1908"/>
                            <w:tab w:val="left" w:pos="1872"/>
                          </w:tabs>
                          <w:snapToGrid w:val="0"/>
                        </w:pPr>
                      </w:p>
                      <w:p>
                        <w:pPr>
                          <w:tabs>
                            <w:tab w:val="left" w:pos="-1908"/>
                            <w:tab w:val="left" w:pos="1872"/>
                          </w:tabs>
                          <w:snapToGrid w:val="0"/>
                          <w:jc w:val="both"/>
                        </w:pPr>
                        <w:r>
                          <w:t xml:space="preserve">Le personnel reste sous l’autorité administrative de la direction de l’école d’enseignement spécialisé. Par contre, la gestion de la vie scolaire est sous la responsabilité de la direction de l’école d’enseignement ordinaire selon les modalités définies dans le protocole d’intégration. </w:t>
                        </w:r>
                      </w:p>
                      <w:p>
                        <w:pPr>
                          <w:tabs>
                            <w:tab w:val="left" w:pos="-1908"/>
                            <w:tab w:val="left" w:pos="1872"/>
                          </w:tabs>
                          <w:jc w:val="both"/>
                        </w:pPr>
                        <w:r>
                          <w:t>Le personnel est désigné après consultation des organes de concertation sociale.</w:t>
                        </w:r>
                      </w:p>
                      <w:p>
                        <w:pPr>
                          <w:tabs>
                            <w:tab w:val="left" w:pos="-1908"/>
                            <w:tab w:val="left" w:pos="1134"/>
                            <w:tab w:val="left" w:pos="1872"/>
                            <w:tab w:val="left" w:pos="2003"/>
                            <w:tab w:val="left" w:pos="6323"/>
                          </w:tabs>
                          <w:jc w:val="center"/>
                          <w:rPr>
                            <w:b/>
                          </w:rPr>
                        </w:pPr>
                      </w:p>
                    </w:tc>
                  </w:tr>
                  <w:tr>
                    <w:tc>
                      <w:tcPr>
                        <w:tcW w:w="9379" w:type="dxa"/>
                        <w:gridSpan w:val="2"/>
                      </w:tcPr>
                      <w:p>
                        <w:pPr>
                          <w:tabs>
                            <w:tab w:val="left" w:pos="-1908"/>
                            <w:tab w:val="left" w:pos="1134"/>
                            <w:tab w:val="left" w:pos="1872"/>
                            <w:tab w:val="left" w:pos="2003"/>
                            <w:tab w:val="left" w:pos="6323"/>
                          </w:tabs>
                          <w:jc w:val="center"/>
                          <w:rPr>
                            <w:b/>
                            <w:color w:val="FF0000"/>
                          </w:rPr>
                        </w:pPr>
                        <w:r>
                          <w:rPr>
                            <w:b/>
                          </w:rPr>
                          <w:t>9. Qui est responsable de la certification de l’élève ?</w:t>
                        </w:r>
                      </w:p>
                    </w:tc>
                  </w:tr>
                  <w:tr>
                    <w:tc>
                      <w:tcPr>
                        <w:tcW w:w="4673" w:type="dxa"/>
                      </w:tcPr>
                      <w:p>
                        <w:pPr>
                          <w:tabs>
                            <w:tab w:val="left" w:pos="-589"/>
                            <w:tab w:val="left" w:pos="131"/>
                            <w:tab w:val="left" w:pos="1134"/>
                            <w:tab w:val="left" w:pos="5703"/>
                            <w:tab w:val="left" w:pos="6323"/>
                          </w:tabs>
                          <w:snapToGrid w:val="0"/>
                          <w:jc w:val="both"/>
                        </w:pPr>
                      </w:p>
                      <w:p>
                        <w:pPr>
                          <w:tabs>
                            <w:tab w:val="left" w:pos="-589"/>
                            <w:tab w:val="left" w:pos="131"/>
                            <w:tab w:val="left" w:pos="1134"/>
                            <w:tab w:val="left" w:pos="5703"/>
                            <w:tab w:val="left" w:pos="6323"/>
                          </w:tabs>
                          <w:snapToGrid w:val="0"/>
                          <w:jc w:val="both"/>
                        </w:pPr>
                        <w:r>
                          <w:t>L’école d’enseignement ordinaire.</w:t>
                        </w:r>
                      </w:p>
                      <w:p>
                        <w:pPr>
                          <w:tabs>
                            <w:tab w:val="left" w:pos="-1908"/>
                            <w:tab w:val="left" w:pos="1134"/>
                            <w:tab w:val="left" w:pos="1872"/>
                            <w:tab w:val="left" w:pos="2003"/>
                            <w:tab w:val="left" w:pos="6323"/>
                          </w:tabs>
                          <w:jc w:val="both"/>
                          <w:rPr>
                            <w:color w:val="FF0000"/>
                          </w:rPr>
                        </w:pPr>
                        <w:r>
                          <w:t>Les certificats et attestations sont délivrés selon la réglementation en vigueur afférente à l’enseignement ordinaire, dans le respect des conditions d’admission de l’enseignement ordinaire et du tableau des conditions de passage de l’enseignement spécialisé vers l’enseignement ordinaire.</w:t>
                        </w:r>
                      </w:p>
                      <w:p>
                        <w:pPr>
                          <w:tabs>
                            <w:tab w:val="left" w:pos="-1908"/>
                            <w:tab w:val="left" w:pos="1134"/>
                            <w:tab w:val="left" w:pos="1872"/>
                            <w:tab w:val="left" w:pos="2003"/>
                            <w:tab w:val="left" w:pos="6323"/>
                          </w:tabs>
                          <w:jc w:val="both"/>
                          <w:rPr>
                            <w:b/>
                            <w:color w:val="FF0000"/>
                          </w:rPr>
                        </w:pPr>
                      </w:p>
                    </w:tc>
                    <w:tc>
                      <w:tcPr>
                        <w:tcW w:w="4706" w:type="dxa"/>
                      </w:tcPr>
                      <w:p>
                        <w:pPr>
                          <w:tabs>
                            <w:tab w:val="left" w:pos="-1908"/>
                            <w:tab w:val="left" w:pos="1872"/>
                          </w:tabs>
                          <w:snapToGrid w:val="0"/>
                          <w:jc w:val="both"/>
                        </w:pPr>
                      </w:p>
                      <w:p>
                        <w:pPr>
                          <w:tabs>
                            <w:tab w:val="left" w:pos="-1908"/>
                            <w:tab w:val="left" w:pos="1872"/>
                          </w:tabs>
                          <w:snapToGrid w:val="0"/>
                          <w:jc w:val="both"/>
                        </w:pPr>
                        <w:r>
                          <w:t>L’école d’enseignement spécialisé.</w:t>
                        </w:r>
                      </w:p>
                      <w:p>
                        <w:pPr>
                          <w:tabs>
                            <w:tab w:val="left" w:pos="-1908"/>
                            <w:tab w:val="left" w:pos="1872"/>
                          </w:tabs>
                          <w:snapToGrid w:val="0"/>
                          <w:jc w:val="both"/>
                        </w:pPr>
                        <w:r>
                          <w:t>Les certificats et attestations sont délivrés selon la réglementation en vigueur afférente à l’enseignement spécialisé.</w:t>
                        </w:r>
                      </w:p>
                      <w:p>
                        <w:pPr>
                          <w:tabs>
                            <w:tab w:val="left" w:pos="-1908"/>
                            <w:tab w:val="left" w:pos="1872"/>
                          </w:tabs>
                          <w:snapToGrid w:val="0"/>
                          <w:jc w:val="both"/>
                        </w:pPr>
                      </w:p>
                      <w:p>
                        <w:pPr>
                          <w:jc w:val="both"/>
                          <w:rPr>
                            <w:color w:val="000000"/>
                            <w:lang w:eastAsia="fr-FR"/>
                          </w:rPr>
                        </w:pPr>
                        <w:r>
                          <w:t>Sauf pour les élèves inscrits en intégration temporaire totale</w:t>
                        </w:r>
                        <w:r>
                          <w:rPr>
                            <w:color w:val="000000"/>
                            <w:lang w:eastAsia="fr-FR"/>
                          </w:rPr>
                          <w:t xml:space="preserve"> qui suivent la totalité de leurs cours dans l’enseignement ordinaire qui </w:t>
                        </w:r>
                        <w:r>
                          <w:rPr>
                            <w:b/>
                            <w:color w:val="000000"/>
                            <w:lang w:eastAsia="fr-FR"/>
                          </w:rPr>
                          <w:t>sont automatiquement inscrits</w:t>
                        </w:r>
                        <w:r>
                          <w:rPr>
                            <w:color w:val="000000"/>
                            <w:lang w:eastAsia="fr-FR"/>
                          </w:rPr>
                          <w:t xml:space="preserve"> en intégration permanente totale dans l’école d’enseignement ordinaire le dernier jour ouvrable du mois de mai de la même année.</w:t>
                        </w:r>
                      </w:p>
                      <w:p>
                        <w:pPr>
                          <w:jc w:val="both"/>
                          <w:rPr>
                            <w:color w:val="000000"/>
                            <w:lang w:eastAsia="fr-FR"/>
                          </w:rPr>
                        </w:pPr>
                        <w:r>
                          <w:rPr>
                            <w:lang w:eastAsia="fr-FR"/>
                          </w:rPr>
                          <w:t>Cette mesure vise à permettre à l’école d’enseignement ordinaire qui a suivi l’élève pendant l’année scolaire en cours,</w:t>
                        </w:r>
                        <w:r>
                          <w:rPr>
                            <w:color w:val="000000"/>
                            <w:lang w:eastAsia="fr-FR"/>
                          </w:rPr>
                          <w:t xml:space="preserve"> de sanctionner l’année d’études atteinte par l’élève concerné.</w:t>
                        </w:r>
                      </w:p>
                      <w:p>
                        <w:pPr>
                          <w:tabs>
                            <w:tab w:val="left" w:pos="-1908"/>
                            <w:tab w:val="left" w:pos="1872"/>
                          </w:tabs>
                          <w:snapToGrid w:val="0"/>
                          <w:jc w:val="both"/>
                        </w:pPr>
                      </w:p>
                      <w:p>
                        <w:pPr>
                          <w:tabs>
                            <w:tab w:val="left" w:pos="-1908"/>
                            <w:tab w:val="left" w:pos="1872"/>
                          </w:tabs>
                          <w:jc w:val="both"/>
                          <w:rPr>
                            <w:b/>
                          </w:rPr>
                        </w:pPr>
                      </w:p>
                    </w:tc>
                  </w:tr>
                  <w:tr>
                    <w:tc>
                      <w:tcPr>
                        <w:tcW w:w="9379" w:type="dxa"/>
                        <w:gridSpan w:val="2"/>
                      </w:tcPr>
                      <w:p>
                        <w:pPr>
                          <w:tabs>
                            <w:tab w:val="left" w:pos="-1908"/>
                            <w:tab w:val="left" w:pos="1134"/>
                            <w:tab w:val="left" w:pos="1872"/>
                            <w:tab w:val="left" w:pos="2003"/>
                            <w:tab w:val="left" w:pos="6323"/>
                          </w:tabs>
                          <w:jc w:val="center"/>
                          <w:rPr>
                            <w:b/>
                          </w:rPr>
                        </w:pPr>
                        <w:r>
                          <w:rPr>
                            <w:b/>
                          </w:rPr>
                          <w:t>10. Quel encadrement pour l’école d’enseignement spécialisé ?</w:t>
                        </w:r>
                      </w:p>
                    </w:tc>
                  </w:tr>
                  <w:tr>
                    <w:tc>
                      <w:tcPr>
                        <w:tcW w:w="4673" w:type="dxa"/>
                      </w:tcPr>
                      <w:p>
                        <w:pPr>
                          <w:tabs>
                            <w:tab w:val="left" w:pos="-1908"/>
                            <w:tab w:val="left" w:pos="1872"/>
                          </w:tabs>
                          <w:snapToGrid w:val="0"/>
                          <w:jc w:val="both"/>
                          <w:rPr>
                            <w:strike/>
                          </w:rPr>
                        </w:pPr>
                      </w:p>
                      <w:p>
                        <w:pPr>
                          <w:tabs>
                            <w:tab w:val="left" w:pos="-1908"/>
                            <w:tab w:val="left" w:pos="1134"/>
                            <w:tab w:val="left" w:pos="1872"/>
                            <w:tab w:val="left" w:pos="2003"/>
                            <w:tab w:val="left" w:pos="6323"/>
                          </w:tabs>
                          <w:jc w:val="both"/>
                          <w:rPr>
                            <w:strike/>
                          </w:rPr>
                        </w:pPr>
                        <w:r>
                          <w:t>4 périodes.</w:t>
                        </w:r>
                        <w:r>
                          <w:rPr>
                            <w:strike/>
                          </w:rPr>
                          <w:t xml:space="preserve"> </w:t>
                        </w:r>
                      </w:p>
                      <w:p>
                        <w:pPr>
                          <w:tabs>
                            <w:tab w:val="left" w:pos="-1908"/>
                            <w:tab w:val="left" w:pos="1134"/>
                            <w:tab w:val="left" w:pos="1872"/>
                            <w:tab w:val="left" w:pos="2003"/>
                            <w:tab w:val="left" w:pos="6323"/>
                          </w:tabs>
                          <w:jc w:val="both"/>
                          <w:rPr>
                            <w:strike/>
                          </w:rPr>
                        </w:pPr>
                      </w:p>
                      <w:p>
                        <w:pPr>
                          <w:jc w:val="both"/>
                        </w:pPr>
                      </w:p>
                      <w:p>
                        <w:pPr>
                          <w:tabs>
                            <w:tab w:val="left" w:pos="-1908"/>
                          </w:tabs>
                          <w:jc w:val="both"/>
                        </w:pPr>
                        <w:r>
                          <w:t xml:space="preserve">Au niveau de la charge d’enseignement des directeurs, les élèves intégrés en IPT sont ajoutés aux élèves régulièrement inscrits pour déterminer le nombre de périodes d’enseignement à prester par la direction. Cette disposition est précisée au </w:t>
                        </w:r>
                        <w:r>
                          <w:rPr>
                            <w:rFonts w:cs="Arial"/>
                          </w:rPr>
                          <w:t>chapitre 5 de la présente circulaire</w:t>
                        </w:r>
                        <w:r>
                          <w:t>.</w:t>
                        </w:r>
                      </w:p>
                      <w:p>
                        <w:pPr>
                          <w:tabs>
                            <w:tab w:val="left" w:pos="-1908"/>
                            <w:tab w:val="left" w:pos="1134"/>
                            <w:tab w:val="left" w:pos="1872"/>
                            <w:tab w:val="left" w:pos="2003"/>
                            <w:tab w:val="left" w:pos="6323"/>
                          </w:tabs>
                          <w:jc w:val="both"/>
                        </w:pPr>
                      </w:p>
                      <w:p>
                        <w:pPr>
                          <w:tabs>
                            <w:tab w:val="left" w:pos="-1908"/>
                            <w:tab w:val="left" w:pos="1134"/>
                            <w:tab w:val="left" w:pos="1872"/>
                            <w:tab w:val="left" w:pos="2003"/>
                            <w:tab w:val="left" w:pos="6323"/>
                          </w:tabs>
                          <w:jc w:val="both"/>
                        </w:pPr>
                      </w:p>
                      <w:p>
                        <w:pPr>
                          <w:tabs>
                            <w:tab w:val="left" w:pos="-1908"/>
                            <w:tab w:val="left" w:pos="1134"/>
                            <w:tab w:val="left" w:pos="1872"/>
                            <w:tab w:val="left" w:pos="2003"/>
                            <w:tab w:val="left" w:pos="6323"/>
                          </w:tabs>
                          <w:jc w:val="both"/>
                        </w:pPr>
                        <w:r>
                          <w:t xml:space="preserve">Les emplois créés sur base de ces périodes peuvent donner lieu à une nomination ou à un engagement à titre définitif (pour le personnel de l’école d’enseignement spécialisé). </w:t>
                        </w:r>
                      </w:p>
                      <w:p>
                        <w:pPr>
                          <w:tabs>
                            <w:tab w:val="left" w:pos="-1908"/>
                            <w:tab w:val="left" w:pos="1134"/>
                            <w:tab w:val="left" w:pos="1872"/>
                            <w:tab w:val="left" w:pos="2003"/>
                            <w:tab w:val="left" w:pos="6323"/>
                          </w:tabs>
                          <w:jc w:val="both"/>
                        </w:pPr>
                      </w:p>
                    </w:tc>
                    <w:tc>
                      <w:tcPr>
                        <w:tcW w:w="4706" w:type="dxa"/>
                      </w:tcPr>
                      <w:p>
                        <w:pPr>
                          <w:tabs>
                            <w:tab w:val="left" w:pos="-1908"/>
                            <w:tab w:val="left" w:pos="1872"/>
                          </w:tabs>
                          <w:snapToGrid w:val="0"/>
                          <w:jc w:val="both"/>
                        </w:pPr>
                      </w:p>
                      <w:p>
                        <w:pPr>
                          <w:tabs>
                            <w:tab w:val="left" w:pos="-1908"/>
                            <w:tab w:val="left" w:pos="1872"/>
                          </w:tabs>
                          <w:snapToGrid w:val="0"/>
                          <w:jc w:val="both"/>
                        </w:pPr>
                        <w:r>
                          <w:t>Dans le cadre des intégrations partielles, la direction de l’école d’enseignement spécialisé peut prélever des périodes d’accompagnement selon les modalités prévues par le protocole sur le capital-périodes utilisable.</w:t>
                        </w:r>
                      </w:p>
                      <w:p>
                        <w:pPr>
                          <w:tabs>
                            <w:tab w:val="left" w:pos="-1908"/>
                            <w:tab w:val="left" w:pos="1872"/>
                          </w:tabs>
                          <w:snapToGrid w:val="0"/>
                          <w:jc w:val="both"/>
                        </w:pPr>
                      </w:p>
                      <w:p>
                        <w:pPr>
                          <w:tabs>
                            <w:tab w:val="left" w:pos="-1908"/>
                            <w:tab w:val="left" w:pos="1872"/>
                          </w:tabs>
                          <w:snapToGrid w:val="0"/>
                          <w:jc w:val="both"/>
                        </w:pPr>
                        <w:r>
                          <w:t>Dans le cadre des intégrations temporaires totales, la direction de l’école d’enseignement spécialisé doit prélever au moins 1 période d’accompagnement, et selon des modalités prévues par le protocole, sur le capital-périodes utilisable, si des périodes dérogatoires n’ont pas été accordées dans le cadre de l’article 148.</w:t>
                        </w:r>
                      </w:p>
                      <w:p>
                        <w:pPr>
                          <w:tabs>
                            <w:tab w:val="left" w:pos="-1908"/>
                            <w:tab w:val="left" w:pos="1872"/>
                          </w:tabs>
                          <w:snapToGrid w:val="0"/>
                          <w:jc w:val="both"/>
                        </w:pPr>
                      </w:p>
                      <w:p>
                        <w:pPr>
                          <w:tabs>
                            <w:tab w:val="left" w:pos="-1908"/>
                            <w:tab w:val="left" w:pos="1872"/>
                          </w:tabs>
                          <w:snapToGrid w:val="0"/>
                          <w:jc w:val="both"/>
                        </w:pPr>
                        <w:r>
                          <w:t>Seuls les emplois ainsi créés sur base du CPU peuvent donner lieu à une nomination ou à un engagement définitif.</w:t>
                        </w:r>
                      </w:p>
                      <w:p>
                        <w:pPr>
                          <w:tabs>
                            <w:tab w:val="left" w:pos="-1908"/>
                            <w:tab w:val="left" w:pos="1134"/>
                            <w:tab w:val="left" w:pos="1872"/>
                            <w:tab w:val="left" w:pos="2003"/>
                            <w:tab w:val="left" w:pos="6323"/>
                          </w:tabs>
                          <w:jc w:val="both"/>
                          <w:rPr>
                            <w:b/>
                          </w:rPr>
                        </w:pPr>
                      </w:p>
                    </w:tc>
                  </w:tr>
                  <w:tr>
                    <w:tc>
                      <w:tcPr>
                        <w:tcW w:w="9379" w:type="dxa"/>
                        <w:gridSpan w:val="2"/>
                      </w:tcPr>
                      <w:p>
                        <w:pPr>
                          <w:tabs>
                            <w:tab w:val="left" w:pos="-1908"/>
                            <w:tab w:val="left" w:pos="1872"/>
                          </w:tabs>
                          <w:snapToGrid w:val="0"/>
                          <w:jc w:val="center"/>
                        </w:pPr>
                        <w:r>
                          <w:rPr>
                            <w:b/>
                          </w:rPr>
                          <w:t>11. Quel encadrement pour l’école d’enseignement ordinaire ?</w:t>
                        </w:r>
                      </w:p>
                    </w:tc>
                  </w:tr>
                  <w:tr>
                    <w:trPr>
                      <w:trHeight w:val="942"/>
                    </w:trPr>
                    <w:tc>
                      <w:tcPr>
                        <w:tcW w:w="4673" w:type="dxa"/>
                      </w:tcPr>
                      <w:p>
                        <w:pPr>
                          <w:tabs>
                            <w:tab w:val="left" w:pos="-1908"/>
                            <w:tab w:val="left" w:pos="1872"/>
                          </w:tabs>
                          <w:snapToGrid w:val="0"/>
                          <w:jc w:val="both"/>
                        </w:pPr>
                        <w:r>
                          <w:t>- l’élève compte pour 1 unité.</w:t>
                        </w:r>
                      </w:p>
                      <w:p>
                        <w:pPr>
                          <w:tabs>
                            <w:tab w:val="left" w:pos="-1908"/>
                            <w:tab w:val="left" w:pos="1872"/>
                          </w:tabs>
                          <w:jc w:val="both"/>
                        </w:pPr>
                      </w:p>
                      <w:p>
                        <w:pPr>
                          <w:jc w:val="both"/>
                        </w:pPr>
                      </w:p>
                      <w:p>
                        <w:pPr>
                          <w:jc w:val="both"/>
                        </w:pPr>
                      </w:p>
                    </w:tc>
                    <w:tc>
                      <w:tcPr>
                        <w:tcW w:w="4706" w:type="dxa"/>
                      </w:tcPr>
                      <w:p>
                        <w:pPr>
                          <w:tabs>
                            <w:tab w:val="left" w:pos="-1908"/>
                            <w:tab w:val="left" w:pos="1872"/>
                          </w:tabs>
                          <w:snapToGrid w:val="0"/>
                          <w:jc w:val="both"/>
                        </w:pPr>
                        <w:r>
                          <w:t>Rien en dehors de l’accompagnement organisé par l’école d’enseignement spécialisé.</w:t>
                        </w:r>
                      </w:p>
                    </w:tc>
                  </w:tr>
                  <w:tr>
                    <w:tc>
                      <w:tcPr>
                        <w:tcW w:w="9379" w:type="dxa"/>
                        <w:gridSpan w:val="2"/>
                      </w:tcPr>
                      <w:p>
                        <w:pPr>
                          <w:tabs>
                            <w:tab w:val="left" w:pos="-1908"/>
                            <w:tab w:val="left" w:pos="1872"/>
                          </w:tabs>
                          <w:jc w:val="center"/>
                          <w:rPr>
                            <w:b/>
                          </w:rPr>
                        </w:pPr>
                        <w:r>
                          <w:rPr>
                            <w:b/>
                          </w:rPr>
                          <w:t>12. Un encadrement complémentaire est-il possible pour les grandes distances ?</w:t>
                        </w:r>
                      </w:p>
                      <w:p>
                        <w:pPr>
                          <w:tabs>
                            <w:tab w:val="left" w:pos="-1908"/>
                            <w:tab w:val="left" w:pos="1872"/>
                          </w:tabs>
                          <w:jc w:val="center"/>
                          <w:rPr>
                            <w:b/>
                          </w:rPr>
                        </w:pPr>
                        <w:r>
                          <w:t xml:space="preserve"> </w:t>
                        </w:r>
                        <w:r>
                          <w:rPr>
                            <w:bCs/>
                          </w:rPr>
                          <w:t>(Article 133 §3, article 148)</w:t>
                        </w:r>
                      </w:p>
                    </w:tc>
                  </w:tr>
                  <w:tr>
                    <w:tc>
                      <w:tcPr>
                        <w:tcW w:w="4673" w:type="dxa"/>
                      </w:tcPr>
                      <w:p>
                        <w:pPr>
                          <w:tabs>
                            <w:tab w:val="left" w:pos="-1908"/>
                            <w:tab w:val="left" w:pos="1872"/>
                          </w:tabs>
                          <w:snapToGrid w:val="0"/>
                          <w:jc w:val="both"/>
                        </w:pPr>
                      </w:p>
                      <w:p>
                        <w:pPr>
                          <w:tabs>
                            <w:tab w:val="left" w:pos="-1908"/>
                            <w:tab w:val="left" w:pos="1872"/>
                          </w:tabs>
                          <w:snapToGrid w:val="0"/>
                          <w:jc w:val="both"/>
                          <w:rPr>
                            <w:i/>
                            <w:iCs/>
                          </w:rPr>
                        </w:pPr>
                        <w:r>
                          <w:t>En fonction de la distance et du temps de déplacement des membres du personnel chargés de l’accompagnement, des périodes complémentaires peuvent être accordées sur base d’une demande de dérogation via le « formulaire électronique intégration ».</w:t>
                        </w:r>
                      </w:p>
                      <w:p>
                        <w:pPr>
                          <w:tabs>
                            <w:tab w:val="left" w:pos="-1908"/>
                            <w:tab w:val="left" w:pos="1872"/>
                          </w:tabs>
                          <w:snapToGrid w:val="0"/>
                          <w:jc w:val="both"/>
                          <w:rPr>
                            <w:i/>
                            <w:iCs/>
                          </w:rPr>
                        </w:pPr>
                      </w:p>
                      <w:p>
                        <w:pPr>
                          <w:tabs>
                            <w:tab w:val="left" w:pos="-1908"/>
                            <w:tab w:val="left" w:pos="1134"/>
                            <w:tab w:val="left" w:pos="1872"/>
                            <w:tab w:val="left" w:pos="2003"/>
                            <w:tab w:val="left" w:pos="6323"/>
                          </w:tabs>
                          <w:jc w:val="both"/>
                          <w:rPr>
                            <w:b/>
                          </w:rPr>
                        </w:pPr>
                        <w:r>
                          <w:t xml:space="preserve">Les emplois crées sur base de ces périodes </w:t>
                        </w:r>
                        <w:r>
                          <w:rPr>
                            <w:u w:val="single"/>
                          </w:rPr>
                          <w:t>ne peuvent pas</w:t>
                        </w:r>
                        <w:r>
                          <w:t xml:space="preserve"> donner lieu à une nomination ou à un engagement à titre définitif.</w:t>
                        </w:r>
                      </w:p>
                    </w:tc>
                    <w:tc>
                      <w:tcPr>
                        <w:tcW w:w="4706" w:type="dxa"/>
                      </w:tcPr>
                      <w:p>
                        <w:pPr>
                          <w:tabs>
                            <w:tab w:val="left" w:pos="-1908"/>
                            <w:tab w:val="left" w:pos="1872"/>
                          </w:tabs>
                          <w:snapToGrid w:val="0"/>
                          <w:jc w:val="both"/>
                        </w:pPr>
                      </w:p>
                      <w:p>
                        <w:pPr>
                          <w:tabs>
                            <w:tab w:val="left" w:pos="-1908"/>
                            <w:tab w:val="left" w:pos="1872"/>
                          </w:tabs>
                          <w:snapToGrid w:val="0"/>
                          <w:jc w:val="both"/>
                        </w:pPr>
                        <w:r>
                          <w:t xml:space="preserve">En fonction de la distance et du temps de déplacement des membres du personnel chargés de l’accompagnement, des périodes complémentaires peuvent être accordées sur base d’une demande de dérogation via le « formulaire électronique intégration ». </w:t>
                        </w:r>
                      </w:p>
                      <w:p>
                        <w:pPr>
                          <w:tabs>
                            <w:tab w:val="left" w:pos="-1908"/>
                            <w:tab w:val="left" w:pos="1872"/>
                          </w:tabs>
                          <w:snapToGrid w:val="0"/>
                          <w:jc w:val="both"/>
                        </w:pPr>
                      </w:p>
                      <w:p>
                        <w:pPr>
                          <w:jc w:val="both"/>
                        </w:pPr>
                        <w:r>
                          <w:t xml:space="preserve">Les emplois créés sur base de ces périodes </w:t>
                        </w:r>
                        <w:r>
                          <w:rPr>
                            <w:u w:val="single"/>
                          </w:rPr>
                          <w:t>ne peuvent pas</w:t>
                        </w:r>
                        <w:r>
                          <w:t xml:space="preserve"> donner lieu à une nomination ou à un engagement à titre définitif.</w:t>
                        </w:r>
                      </w:p>
                      <w:p>
                        <w:pPr>
                          <w:jc w:val="both"/>
                        </w:pPr>
                      </w:p>
                    </w:tc>
                  </w:tr>
                  <w:tr>
                    <w:tc>
                      <w:tcPr>
                        <w:tcW w:w="9379" w:type="dxa"/>
                        <w:gridSpan w:val="2"/>
                      </w:tcPr>
                      <w:p>
                        <w:pPr>
                          <w:tabs>
                            <w:tab w:val="left" w:pos="-1908"/>
                            <w:tab w:val="left" w:pos="1872"/>
                          </w:tabs>
                          <w:snapToGrid w:val="0"/>
                          <w:jc w:val="both"/>
                        </w:pPr>
                        <w:r>
                          <w:t xml:space="preserve">Ces dérogations sont accordées selon les moyens budgétaires pour les élèves de type 4, 6 ou 7 pour lesquels il y a une distance d’au moins de 40 km entre les 2 écoles partenaires. </w:t>
                        </w:r>
                      </w:p>
                      <w:p>
                        <w:pPr>
                          <w:tabs>
                            <w:tab w:val="left" w:pos="-1908"/>
                            <w:tab w:val="left" w:pos="1872"/>
                          </w:tabs>
                          <w:snapToGrid w:val="0"/>
                          <w:jc w:val="both"/>
                        </w:pPr>
                      </w:p>
                      <w:p>
                        <w:pPr>
                          <w:tabs>
                            <w:tab w:val="left" w:pos="-1908"/>
                            <w:tab w:val="left" w:pos="1872"/>
                          </w:tabs>
                          <w:snapToGrid w:val="0"/>
                          <w:jc w:val="both"/>
                        </w:pPr>
                        <w:r>
                          <w:t xml:space="preserve">Pour toutes les </w:t>
                        </w:r>
                        <w:r>
                          <w:rPr>
                            <w:b/>
                          </w:rPr>
                          <w:t>intégrations</w:t>
                        </w:r>
                        <w:r>
                          <w:t xml:space="preserve"> qui débuteront à partir du 1</w:t>
                        </w:r>
                        <w:r>
                          <w:rPr>
                            <w:vertAlign w:val="superscript"/>
                          </w:rPr>
                          <w:t>er</w:t>
                        </w:r>
                        <w:r>
                          <w:t xml:space="preserve"> septembre, la demande de dérogation « grande distance » sera introduite directement via le « </w:t>
                        </w:r>
                        <w:r>
                          <w:rPr>
                            <w:b/>
                          </w:rPr>
                          <w:t>formulaire électronique intégration</w:t>
                        </w:r>
                        <w:r>
                          <w:t xml:space="preserve"> ». </w:t>
                        </w:r>
                      </w:p>
                      <w:p>
                        <w:pPr>
                          <w:tabs>
                            <w:tab w:val="left" w:pos="-1908"/>
                            <w:tab w:val="left" w:pos="1872"/>
                          </w:tabs>
                          <w:snapToGrid w:val="0"/>
                          <w:jc w:val="both"/>
                        </w:pPr>
                      </w:p>
                      <w:p>
                        <w:pPr>
                          <w:tabs>
                            <w:tab w:val="left" w:pos="-1908"/>
                            <w:tab w:val="left" w:pos="1872"/>
                          </w:tabs>
                          <w:snapToGrid w:val="0"/>
                          <w:jc w:val="both"/>
                        </w:pPr>
                        <w:r>
                          <w:t xml:space="preserve">Attention, pour les élèves déjà intégrés pendant </w:t>
                        </w:r>
                        <w:r>
                          <w:rPr>
                            <w:b/>
                          </w:rPr>
                          <w:t>l’année scolaire 2018-2019</w:t>
                        </w:r>
                        <w:r>
                          <w:t xml:space="preserve">, il faut compléter une annexe 6a ou  6b et la renvoyer par mail sur la boite générique : </w:t>
                        </w:r>
                        <w:hyperlink r:id="rId175" w:history="1">
                          <w:r>
                            <w:rPr>
                              <w:rStyle w:val="Lienhypertexte"/>
                              <w:rFonts w:cstheme="minorBidi"/>
                              <w:color w:val="auto"/>
                            </w:rPr>
                            <w:t>integration_specialise@cfwb.be</w:t>
                          </w:r>
                        </w:hyperlink>
                        <w:r>
                          <w:t xml:space="preserve"> </w:t>
                        </w:r>
                      </w:p>
                      <w:p>
                        <w:pPr>
                          <w:tabs>
                            <w:tab w:val="left" w:pos="-1908"/>
                            <w:tab w:val="left" w:pos="1872"/>
                          </w:tabs>
                          <w:snapToGrid w:val="0"/>
                        </w:pPr>
                      </w:p>
                    </w:tc>
                  </w:tr>
                  <w:tr>
                    <w:tc>
                      <w:tcPr>
                        <w:tcW w:w="9379" w:type="dxa"/>
                        <w:gridSpan w:val="2"/>
                      </w:tcPr>
                      <w:p>
                        <w:pPr>
                          <w:tabs>
                            <w:tab w:val="left" w:pos="-1908"/>
                            <w:tab w:val="left" w:pos="1872"/>
                          </w:tabs>
                          <w:jc w:val="center"/>
                          <w:rPr>
                            <w:b/>
                          </w:rPr>
                        </w:pPr>
                        <w:r>
                          <w:rPr>
                            <w:b/>
                          </w:rPr>
                          <w:t>13. Un encadrement complémentaire est-il possible pour les élèves qui n’ont pas pu être comptabilisés dans l’école d’enseignement spécialisé?</w:t>
                        </w:r>
                        <w:r>
                          <w:rPr>
                            <w:bCs/>
                          </w:rPr>
                          <w:t xml:space="preserve"> (Article 148)</w:t>
                        </w:r>
                      </w:p>
                    </w:tc>
                  </w:tr>
                  <w:tr>
                    <w:tc>
                      <w:tcPr>
                        <w:tcW w:w="4673" w:type="dxa"/>
                      </w:tcPr>
                      <w:p>
                        <w:pPr>
                          <w:tabs>
                            <w:tab w:val="left" w:pos="-1908"/>
                            <w:tab w:val="left" w:pos="1872"/>
                          </w:tabs>
                          <w:snapToGrid w:val="0"/>
                          <w:jc w:val="both"/>
                        </w:pPr>
                        <w:r>
                          <w:t xml:space="preserve">Pas concernée par cette question. </w:t>
                        </w:r>
                      </w:p>
                    </w:tc>
                    <w:tc>
                      <w:tcPr>
                        <w:tcW w:w="4706" w:type="dxa"/>
                      </w:tcPr>
                      <w:p>
                        <w:pPr>
                          <w:tabs>
                            <w:tab w:val="left" w:pos="-1908"/>
                            <w:tab w:val="left" w:pos="1872"/>
                          </w:tabs>
                          <w:snapToGrid w:val="0"/>
                          <w:jc w:val="both"/>
                          <w:rPr>
                            <w:iCs/>
                          </w:rPr>
                        </w:pPr>
                        <w:r>
                          <w:t xml:space="preserve">Des périodes complémentaires peuvent être accordées en fonction d’une demande dûment justifiée </w:t>
                        </w:r>
                        <w:r>
                          <w:rPr>
                            <w:iCs/>
                          </w:rPr>
                          <w:t>(</w:t>
                        </w:r>
                        <w:hyperlink w:anchor="_Annexe_7_:_1" w:history="1">
                          <w:r>
                            <w:rPr>
                              <w:rStyle w:val="Lienhypertexte"/>
                              <w:rFonts w:cs="Arial"/>
                            </w:rPr>
                            <w:t>Annexe 7</w:t>
                          </w:r>
                        </w:hyperlink>
                        <w:r>
                          <w:rPr>
                            <w:iCs/>
                          </w:rPr>
                          <w:t xml:space="preserve">) pour les élèves inscrits et intégrés après le 15 janvier 2019. </w:t>
                        </w:r>
                      </w:p>
                      <w:p>
                        <w:pPr>
                          <w:tabs>
                            <w:tab w:val="left" w:pos="-1908"/>
                            <w:tab w:val="left" w:pos="1872"/>
                          </w:tabs>
                          <w:snapToGrid w:val="0"/>
                          <w:jc w:val="both"/>
                          <w:rPr>
                            <w:iCs/>
                          </w:rPr>
                        </w:pPr>
                        <w:r>
                          <w:rPr>
                            <w:iCs/>
                          </w:rPr>
                          <w:t>Pour toutes les intégrations qui débuteront le 1</w:t>
                        </w:r>
                        <w:r>
                          <w:rPr>
                            <w:iCs/>
                            <w:vertAlign w:val="superscript"/>
                          </w:rPr>
                          <w:t>er</w:t>
                        </w:r>
                        <w:r>
                          <w:rPr>
                            <w:iCs/>
                          </w:rPr>
                          <w:t xml:space="preserve"> septembre, la demande de dérogation est directement introduite via le signalement de l’intégration dans le « formulaire électronique intégration ».</w:t>
                        </w:r>
                      </w:p>
                      <w:p>
                        <w:pPr>
                          <w:tabs>
                            <w:tab w:val="left" w:pos="-1908"/>
                            <w:tab w:val="left" w:pos="1872"/>
                          </w:tabs>
                          <w:snapToGrid w:val="0"/>
                          <w:jc w:val="both"/>
                          <w:rPr>
                            <w:iCs/>
                          </w:rPr>
                        </w:pPr>
                      </w:p>
                      <w:p>
                        <w:pPr>
                          <w:jc w:val="both"/>
                        </w:pPr>
                        <w:r>
                          <w:t xml:space="preserve">Les emplois créés sur base de ces périodes </w:t>
                        </w:r>
                        <w:r>
                          <w:rPr>
                            <w:u w:val="single"/>
                          </w:rPr>
                          <w:t>ne peuvent pas</w:t>
                        </w:r>
                        <w:r>
                          <w:t xml:space="preserve"> donner lieu à une nomination ou à un engagement à titre définitif.</w:t>
                        </w:r>
                      </w:p>
                      <w:p>
                        <w:pPr>
                          <w:jc w:val="both"/>
                        </w:pPr>
                      </w:p>
                      <w:p>
                        <w:pPr>
                          <w:jc w:val="both"/>
                        </w:pPr>
                        <w:r>
                          <w:t>Les périodes complémentaires octroyées par la Ministre ayant l’enseignement spécialisé dans ses attributions dans le cadre de l’article 148 sont rétrocédées à ladite Ministre en cas de recomptage à la hausse au 30 septembre (+ 5 %). La rétrocession est effective dès le 1</w:t>
                        </w:r>
                        <w:r>
                          <w:rPr>
                            <w:vertAlign w:val="superscript"/>
                          </w:rPr>
                          <w:t>er</w:t>
                        </w:r>
                        <w:r>
                          <w:t xml:space="preserve"> octobre de l’année scolaire en cours.</w:t>
                        </w:r>
                      </w:p>
                      <w:p>
                        <w:pPr>
                          <w:tabs>
                            <w:tab w:val="left" w:pos="-1908"/>
                            <w:tab w:val="left" w:pos="1872"/>
                          </w:tabs>
                          <w:jc w:val="both"/>
                          <w:rPr>
                            <w:iCs/>
                          </w:rPr>
                        </w:pPr>
                      </w:p>
                    </w:tc>
                  </w:tr>
                  <w:tr>
                    <w:tc>
                      <w:tcPr>
                        <w:tcW w:w="9379" w:type="dxa"/>
                        <w:gridSpan w:val="2"/>
                      </w:tcPr>
                      <w:p>
                        <w:pPr>
                          <w:tabs>
                            <w:tab w:val="left" w:pos="-1908"/>
                            <w:tab w:val="left" w:pos="1872"/>
                          </w:tabs>
                          <w:jc w:val="center"/>
                          <w:rPr>
                            <w:b/>
                            <w:bCs/>
                          </w:rPr>
                        </w:pPr>
                        <w:r>
                          <w:rPr>
                            <w:b/>
                            <w:bCs/>
                          </w:rPr>
                          <w:t>14. Combien de périodes complémentaires (article 148)</w:t>
                        </w:r>
                      </w:p>
                      <w:p>
                        <w:pPr>
                          <w:tabs>
                            <w:tab w:val="left" w:pos="-1908"/>
                            <w:tab w:val="left" w:pos="1872"/>
                          </w:tabs>
                          <w:jc w:val="center"/>
                          <w:rPr>
                            <w:b/>
                          </w:rPr>
                        </w:pPr>
                        <w:r>
                          <w:rPr>
                            <w:b/>
                            <w:bCs/>
                            <w:szCs w:val="24"/>
                          </w:rPr>
                          <w:t xml:space="preserve"> </w:t>
                        </w:r>
                        <w:r>
                          <w:rPr>
                            <w:b/>
                            <w:bCs/>
                          </w:rPr>
                          <w:t>peuvent être octroyées aux écoles ?</w:t>
                        </w:r>
                      </w:p>
                    </w:tc>
                  </w:tr>
                  <w:tr>
                    <w:tc>
                      <w:tcPr>
                        <w:tcW w:w="4673" w:type="dxa"/>
                      </w:tcPr>
                      <w:p>
                        <w:pPr>
                          <w:tabs>
                            <w:tab w:val="left" w:pos="-1908"/>
                            <w:tab w:val="left" w:pos="1872"/>
                          </w:tabs>
                          <w:snapToGrid w:val="0"/>
                          <w:jc w:val="both"/>
                        </w:pPr>
                      </w:p>
                      <w:p>
                        <w:pPr>
                          <w:tabs>
                            <w:tab w:val="left" w:pos="-1908"/>
                            <w:tab w:val="left" w:pos="1872"/>
                          </w:tabs>
                          <w:snapToGrid w:val="0"/>
                          <w:jc w:val="both"/>
                        </w:pPr>
                        <w:r>
                          <w:t>Pas concernée par cette question.</w:t>
                        </w:r>
                      </w:p>
                    </w:tc>
                    <w:tc>
                      <w:tcPr>
                        <w:tcW w:w="4706" w:type="dxa"/>
                      </w:tcPr>
                      <w:p>
                        <w:pPr>
                          <w:snapToGrid w:val="0"/>
                          <w:jc w:val="both"/>
                        </w:pPr>
                      </w:p>
                      <w:p>
                        <w:pPr>
                          <w:snapToGrid w:val="0"/>
                          <w:jc w:val="both"/>
                        </w:pPr>
                        <w:r>
                          <w:t>Les périodes complémentaires sont déterminées en fonction des disponibilités budgétaires.</w:t>
                        </w:r>
                        <w:r>
                          <w:rPr>
                            <w:szCs w:val="24"/>
                          </w:rPr>
                          <w:t xml:space="preserve"> </w:t>
                        </w:r>
                      </w:p>
                      <w:p>
                        <w:pPr>
                          <w:snapToGrid w:val="0"/>
                          <w:jc w:val="both"/>
                        </w:pPr>
                      </w:p>
                      <w:p>
                        <w:pPr>
                          <w:pBdr>
                            <w:right w:val="single" w:sz="18" w:space="4" w:color="FF0000"/>
                          </w:pBdr>
                          <w:snapToGrid w:val="0"/>
                          <w:jc w:val="both"/>
                        </w:pPr>
                        <w:r>
                          <w:t xml:space="preserve">En outre, elles sont attribuées par élève mais elles peuvent être mutualisées par </w:t>
                        </w:r>
                        <w:r>
                          <w:rPr>
                            <w:b/>
                          </w:rPr>
                          <w:t>établissement</w:t>
                        </w:r>
                        <w:r>
                          <w:t xml:space="preserve">. </w:t>
                        </w:r>
                      </w:p>
                      <w:p>
                        <w:pPr>
                          <w:snapToGrid w:val="0"/>
                          <w:jc w:val="both"/>
                        </w:pPr>
                      </w:p>
                    </w:tc>
                  </w:tr>
                  <w:tr>
                    <w:tc>
                      <w:tcPr>
                        <w:tcW w:w="9379" w:type="dxa"/>
                        <w:gridSpan w:val="2"/>
                      </w:tcPr>
                      <w:p>
                        <w:pPr>
                          <w:tabs>
                            <w:tab w:val="left" w:pos="-1908"/>
                            <w:tab w:val="left" w:pos="1872"/>
                          </w:tabs>
                          <w:jc w:val="center"/>
                          <w:rPr>
                            <w:b/>
                          </w:rPr>
                        </w:pPr>
                        <w:r>
                          <w:rPr>
                            <w:b/>
                          </w:rPr>
                          <w:t>15. A qui sont attribuées les dotations/subventions de fonctionnement ?</w:t>
                        </w:r>
                      </w:p>
                    </w:tc>
                  </w:tr>
                  <w:tr>
                    <w:tc>
                      <w:tcPr>
                        <w:tcW w:w="4673" w:type="dxa"/>
                      </w:tcPr>
                      <w:p>
                        <w:pPr>
                          <w:tabs>
                            <w:tab w:val="left" w:pos="-1908"/>
                            <w:tab w:val="left" w:pos="1872"/>
                          </w:tabs>
                          <w:snapToGrid w:val="0"/>
                          <w:jc w:val="both"/>
                        </w:pPr>
                      </w:p>
                      <w:p>
                        <w:pPr>
                          <w:tabs>
                            <w:tab w:val="left" w:pos="-1908"/>
                            <w:tab w:val="left" w:pos="1872"/>
                          </w:tabs>
                          <w:jc w:val="both"/>
                        </w:pPr>
                        <w:r>
                          <w:t>Les dotations/subventions sont versées à l’école d’enseignement ordinaire.</w:t>
                        </w:r>
                      </w:p>
                    </w:tc>
                    <w:tc>
                      <w:tcPr>
                        <w:tcW w:w="4706" w:type="dxa"/>
                      </w:tcPr>
                      <w:p>
                        <w:pPr>
                          <w:tabs>
                            <w:tab w:val="left" w:pos="-1908"/>
                            <w:tab w:val="left" w:pos="1872"/>
                          </w:tabs>
                          <w:jc w:val="both"/>
                        </w:pPr>
                        <w:r>
                          <w:t>Les dotations/subventions sont versées à l’école d’enseignement spécialisé qui subvient aux besoins de l’élève intégré en fonction du protocole d’intégration.</w:t>
                        </w:r>
                      </w:p>
                    </w:tc>
                  </w:tr>
                  <w:tr>
                    <w:tc>
                      <w:tcPr>
                        <w:tcW w:w="9379" w:type="dxa"/>
                        <w:gridSpan w:val="2"/>
                      </w:tcPr>
                      <w:p>
                        <w:pPr>
                          <w:tabs>
                            <w:tab w:val="left" w:pos="-1908"/>
                            <w:tab w:val="left" w:pos="1134"/>
                            <w:tab w:val="left" w:pos="1872"/>
                            <w:tab w:val="left" w:pos="2003"/>
                            <w:tab w:val="left" w:pos="6323"/>
                          </w:tabs>
                          <w:jc w:val="center"/>
                          <w:rPr>
                            <w:b/>
                          </w:rPr>
                        </w:pPr>
                        <w:r>
                          <w:rPr>
                            <w:b/>
                          </w:rPr>
                          <w:t>16. Et le transport scolaire ?</w:t>
                        </w:r>
                      </w:p>
                    </w:tc>
                  </w:tr>
                  <w:tr>
                    <w:tc>
                      <w:tcPr>
                        <w:tcW w:w="4673" w:type="dxa"/>
                      </w:tcPr>
                      <w:p>
                        <w:pPr>
                          <w:tabs>
                            <w:tab w:val="left" w:pos="-589"/>
                            <w:tab w:val="left" w:pos="131"/>
                            <w:tab w:val="left" w:pos="1134"/>
                            <w:tab w:val="left" w:pos="5703"/>
                            <w:tab w:val="left" w:pos="6323"/>
                          </w:tabs>
                          <w:snapToGrid w:val="0"/>
                          <w:jc w:val="both"/>
                        </w:pPr>
                        <w:r>
                          <w:t>Il est gratuit entre le domicile de l’élève et l’école d’enseignement ordinaire.</w:t>
                        </w:r>
                      </w:p>
                      <w:p>
                        <w:pPr>
                          <w:tabs>
                            <w:tab w:val="left" w:pos="-1908"/>
                            <w:tab w:val="left" w:pos="1872"/>
                          </w:tabs>
                          <w:jc w:val="both"/>
                        </w:pPr>
                      </w:p>
                    </w:tc>
                    <w:tc>
                      <w:tcPr>
                        <w:tcW w:w="4706" w:type="dxa"/>
                      </w:tcPr>
                      <w:p>
                        <w:pPr>
                          <w:tabs>
                            <w:tab w:val="left" w:pos="-589"/>
                            <w:tab w:val="left" w:pos="131"/>
                            <w:tab w:val="left" w:pos="1134"/>
                            <w:tab w:val="left" w:pos="2003"/>
                            <w:tab w:val="left" w:pos="6323"/>
                          </w:tabs>
                          <w:snapToGrid w:val="0"/>
                          <w:jc w:val="both"/>
                        </w:pPr>
                        <w:r>
                          <w:t>Il est gratuit entre le domicile de l’élève et l’école d’enseignement spécialisé.</w:t>
                        </w:r>
                      </w:p>
                      <w:p>
                        <w:pPr>
                          <w:tabs>
                            <w:tab w:val="left" w:pos="-589"/>
                            <w:tab w:val="left" w:pos="131"/>
                            <w:tab w:val="left" w:pos="1134"/>
                            <w:tab w:val="left" w:pos="2003"/>
                            <w:tab w:val="left" w:pos="6323"/>
                          </w:tabs>
                          <w:snapToGrid w:val="0"/>
                          <w:jc w:val="both"/>
                        </w:pPr>
                      </w:p>
                      <w:p>
                        <w:pPr>
                          <w:tabs>
                            <w:tab w:val="left" w:pos="-1908"/>
                            <w:tab w:val="left" w:pos="1872"/>
                          </w:tabs>
                          <w:jc w:val="both"/>
                        </w:pPr>
                        <w:r>
                          <w:t>Il n’est pas prévu entre le domicile de l’élève et l’école d’enseignement ordinaire, ni entre l’école d’enseignement spécialisé et l’école d’enseignement ordinaire.</w:t>
                        </w:r>
                      </w:p>
                    </w:tc>
                  </w:tr>
                  <w:tr>
                    <w:tc>
                      <w:tcPr>
                        <w:tcW w:w="9379" w:type="dxa"/>
                        <w:gridSpan w:val="2"/>
                      </w:tcPr>
                      <w:p>
                        <w:pPr>
                          <w:tabs>
                            <w:tab w:val="left" w:pos="-589"/>
                            <w:tab w:val="left" w:pos="131"/>
                            <w:tab w:val="left" w:pos="1134"/>
                            <w:tab w:val="left" w:pos="2003"/>
                            <w:tab w:val="left" w:pos="6323"/>
                          </w:tabs>
                          <w:jc w:val="center"/>
                          <w:rPr>
                            <w:b/>
                          </w:rPr>
                        </w:pPr>
                        <w:r>
                          <w:rPr>
                            <w:b/>
                          </w:rPr>
                          <w:t>17. Quelles sont les démarches administratives ?</w:t>
                        </w:r>
                      </w:p>
                    </w:tc>
                  </w:tr>
                  <w:tr>
                    <w:tc>
                      <w:tcPr>
                        <w:tcW w:w="4673" w:type="dxa"/>
                      </w:tcPr>
                      <w:p>
                        <w:pPr>
                          <w:tabs>
                            <w:tab w:val="left" w:pos="-589"/>
                          </w:tabs>
                          <w:jc w:val="both"/>
                        </w:pPr>
                      </w:p>
                      <w:p>
                        <w:pPr>
                          <w:tabs>
                            <w:tab w:val="left" w:pos="-589"/>
                          </w:tabs>
                          <w:jc w:val="both"/>
                        </w:pPr>
                        <w:r>
                          <w:t xml:space="preserve">Le signalement des </w:t>
                        </w:r>
                        <w:r>
                          <w:rPr>
                            <w:b/>
                          </w:rPr>
                          <w:t>nouvelles intégrations</w:t>
                        </w:r>
                        <w:r>
                          <w:t xml:space="preserve"> s’effectue via le « </w:t>
                        </w:r>
                        <w:r>
                          <w:rPr>
                            <w:b/>
                          </w:rPr>
                          <w:t>formulaire électronique intégration </w:t>
                        </w:r>
                        <w:r>
                          <w:t xml:space="preserve">». </w:t>
                        </w:r>
                      </w:p>
                      <w:p>
                        <w:pPr>
                          <w:tabs>
                            <w:tab w:val="left" w:pos="-589"/>
                          </w:tabs>
                          <w:jc w:val="both"/>
                        </w:pPr>
                      </w:p>
                      <w:p>
                        <w:pPr>
                          <w:tabs>
                            <w:tab w:val="left" w:pos="-589"/>
                          </w:tabs>
                          <w:jc w:val="both"/>
                        </w:pPr>
                        <w:r>
                          <w:t>Attention, les intégrations permanentes totales qui débuteront à partir du 1</w:t>
                        </w:r>
                        <w:r>
                          <w:rPr>
                            <w:vertAlign w:val="superscript"/>
                          </w:rPr>
                          <w:t>er</w:t>
                        </w:r>
                        <w:r>
                          <w:t xml:space="preserve"> septembre doivent être signalées et validées via le « formulaire électronique intégration » au plus tard pour le 30 septembre. </w:t>
                        </w:r>
                      </w:p>
                      <w:p>
                        <w:pPr>
                          <w:tabs>
                            <w:tab w:val="left" w:pos="-589"/>
                          </w:tabs>
                          <w:jc w:val="both"/>
                        </w:pPr>
                      </w:p>
                      <w:p>
                        <w:pPr>
                          <w:tabs>
                            <w:tab w:val="left" w:pos="-589"/>
                          </w:tabs>
                          <w:jc w:val="both"/>
                        </w:pPr>
                        <w:r>
                          <w:t>L’intégration permanente totale peut seulement débuter quand le protocole d’intégration a été signé par tous les partenaires. La validation via le « formulaire électronique intégration » confirme que le protocole a été signé par tous les partenaires.</w:t>
                        </w:r>
                      </w:p>
                      <w:p>
                        <w:pPr>
                          <w:tabs>
                            <w:tab w:val="left" w:pos="-589"/>
                          </w:tabs>
                          <w:jc w:val="both"/>
                        </w:pPr>
                      </w:p>
                      <w:p>
                        <w:pPr>
                          <w:tabs>
                            <w:tab w:val="left" w:pos="-589"/>
                          </w:tabs>
                          <w:jc w:val="both"/>
                        </w:pPr>
                        <w:r>
                          <w:t>Les bilans d’intégrations (annexes 4) des élèves intégrés l’année scolaire précédente  sont à transmettre à l’administration via la boite mail générique au plus tard pour le 30 septembre.</w:t>
                        </w:r>
                      </w:p>
                      <w:p>
                        <w:pPr>
                          <w:jc w:val="both"/>
                        </w:pPr>
                      </w:p>
                    </w:tc>
                    <w:tc>
                      <w:tcPr>
                        <w:tcW w:w="4706" w:type="dxa"/>
                      </w:tcPr>
                      <w:p>
                        <w:pPr>
                          <w:tabs>
                            <w:tab w:val="left" w:pos="-589"/>
                            <w:tab w:val="left" w:pos="131"/>
                            <w:tab w:val="left" w:pos="1134"/>
                            <w:tab w:val="left" w:pos="2003"/>
                            <w:tab w:val="left" w:pos="6323"/>
                          </w:tabs>
                          <w:jc w:val="both"/>
                        </w:pPr>
                      </w:p>
                      <w:p>
                        <w:pPr>
                          <w:tabs>
                            <w:tab w:val="left" w:pos="-589"/>
                            <w:tab w:val="left" w:pos="131"/>
                            <w:tab w:val="left" w:pos="1134"/>
                            <w:tab w:val="left" w:pos="2003"/>
                            <w:tab w:val="left" w:pos="6323"/>
                          </w:tabs>
                          <w:jc w:val="both"/>
                        </w:pPr>
                        <w:r>
                          <w:t xml:space="preserve">Le signalement des nouvelles intégrations s’effectue via le « formulaire électronique intégration ». </w:t>
                        </w:r>
                      </w:p>
                      <w:p>
                        <w:pPr>
                          <w:tabs>
                            <w:tab w:val="left" w:pos="-589"/>
                            <w:tab w:val="left" w:pos="131"/>
                            <w:tab w:val="left" w:pos="1134"/>
                            <w:tab w:val="left" w:pos="2003"/>
                            <w:tab w:val="left" w:pos="6323"/>
                          </w:tabs>
                          <w:jc w:val="both"/>
                        </w:pPr>
                      </w:p>
                      <w:p>
                        <w:pPr>
                          <w:tabs>
                            <w:tab w:val="left" w:pos="-589"/>
                            <w:tab w:val="left" w:pos="131"/>
                            <w:tab w:val="left" w:pos="1134"/>
                            <w:tab w:val="left" w:pos="2003"/>
                            <w:tab w:val="left" w:pos="6323"/>
                          </w:tabs>
                          <w:jc w:val="both"/>
                          <w:rPr>
                            <w:b/>
                          </w:rPr>
                        </w:pPr>
                        <w:r>
                          <w:rPr>
                            <w:b/>
                          </w:rPr>
                          <w:t>L’intégration peut seulement débuter quand le protocole d’intégration a été signé par tous les partenaires. La validation via « le formulaire électronique intégration » confirme que le protocole a été signé par tous les partenaires.</w:t>
                        </w:r>
                      </w:p>
                      <w:p>
                        <w:pPr>
                          <w:tabs>
                            <w:tab w:val="left" w:pos="-589"/>
                            <w:tab w:val="left" w:pos="131"/>
                            <w:tab w:val="left" w:pos="1134"/>
                            <w:tab w:val="left" w:pos="2003"/>
                            <w:tab w:val="left" w:pos="6323"/>
                          </w:tabs>
                          <w:jc w:val="both"/>
                        </w:pPr>
                      </w:p>
                      <w:p>
                        <w:pPr>
                          <w:tabs>
                            <w:tab w:val="left" w:pos="-589"/>
                            <w:tab w:val="left" w:pos="131"/>
                            <w:tab w:val="left" w:pos="1134"/>
                            <w:tab w:val="left" w:pos="2003"/>
                            <w:tab w:val="left" w:pos="6323"/>
                          </w:tabs>
                          <w:jc w:val="both"/>
                          <w:rPr>
                            <w:b/>
                          </w:rPr>
                        </w:pPr>
                        <w:r>
                          <w:rPr>
                            <w:b/>
                          </w:rPr>
                          <w:t>Les bilans d’intégrations (annexes 4) des élèves intégrés l’année scolaire précédente  sont à transmettre à l’administration via la boite mail générique au plus tard le 30 septembre.</w:t>
                        </w:r>
                      </w:p>
                      <w:p>
                        <w:pPr>
                          <w:tabs>
                            <w:tab w:val="left" w:pos="-589"/>
                            <w:tab w:val="left" w:pos="131"/>
                            <w:tab w:val="left" w:pos="1134"/>
                            <w:tab w:val="left" w:pos="2003"/>
                            <w:tab w:val="left" w:pos="6323"/>
                          </w:tabs>
                          <w:jc w:val="both"/>
                        </w:pPr>
                      </w:p>
                      <w:p>
                        <w:pPr>
                          <w:tabs>
                            <w:tab w:val="left" w:pos="-589"/>
                            <w:tab w:val="left" w:pos="131"/>
                            <w:tab w:val="left" w:pos="1134"/>
                            <w:tab w:val="left" w:pos="2003"/>
                            <w:tab w:val="left" w:pos="6323"/>
                          </w:tabs>
                          <w:jc w:val="both"/>
                        </w:pPr>
                      </w:p>
                    </w:tc>
                  </w:tr>
                  <w:tr>
                    <w:tc>
                      <w:tcPr>
                        <w:tcW w:w="9379" w:type="dxa"/>
                        <w:gridSpan w:val="2"/>
                      </w:tcPr>
                      <w:p>
                        <w:pPr>
                          <w:tabs>
                            <w:tab w:val="left" w:pos="-589"/>
                          </w:tabs>
                        </w:pPr>
                      </w:p>
                      <w:p>
                        <w:pPr>
                          <w:tabs>
                            <w:tab w:val="left" w:pos="-589"/>
                          </w:tabs>
                          <w:jc w:val="both"/>
                        </w:pPr>
                        <w:r>
                          <w:t>Les demandes de dérogations « autre type » (annexe 8) sont à transmettre à l’administration par mail. Dès réception de l’autorisation ministérielle, il convient de remplir le « formulaire électronique intégration ».</w:t>
                        </w:r>
                      </w:p>
                      <w:p>
                        <w:pPr>
                          <w:tabs>
                            <w:tab w:val="left" w:pos="-589"/>
                          </w:tabs>
                          <w:jc w:val="both"/>
                          <w:rPr>
                            <w:color w:val="000000"/>
                            <w:lang w:eastAsia="fr-FR"/>
                          </w:rPr>
                        </w:pPr>
                        <w:r>
                          <w:rPr>
                            <w:b/>
                          </w:rPr>
                          <w:t>Rappel :</w:t>
                        </w:r>
                        <w:r>
                          <w:t xml:space="preserve"> </w:t>
                        </w:r>
                        <w:r>
                          <w:rPr>
                            <w:color w:val="000000"/>
                            <w:lang w:eastAsia="fr-FR"/>
                          </w:rPr>
                          <w:t>toute dérogation « autre type » accordée à un élève demeure valable pendant toute sa scolarité pour autant que les conditions, en vertu desquelles  ladite dérogation a été octroyée, demeurent inchangées.</w:t>
                        </w:r>
                      </w:p>
                      <w:p>
                        <w:pPr>
                          <w:tabs>
                            <w:tab w:val="left" w:pos="-589"/>
                          </w:tabs>
                          <w:rPr>
                            <w:noProof/>
                            <w:lang w:eastAsia="fr-BE"/>
                          </w:rPr>
                        </w:pPr>
                      </w:p>
                    </w:tc>
                  </w:tr>
                  <w:tr>
                    <w:tc>
                      <w:tcPr>
                        <w:tcW w:w="9379" w:type="dxa"/>
                        <w:gridSpan w:val="2"/>
                      </w:tcPr>
                      <w:p>
                        <w:pPr>
                          <w:tabs>
                            <w:tab w:val="left" w:pos="-589"/>
                            <w:tab w:val="left" w:pos="131"/>
                            <w:tab w:val="left" w:pos="1134"/>
                            <w:tab w:val="left" w:pos="2003"/>
                            <w:tab w:val="left" w:pos="6323"/>
                          </w:tabs>
                          <w:jc w:val="center"/>
                          <w:rPr>
                            <w:b/>
                            <w:lang w:val="fr-FR"/>
                          </w:rPr>
                        </w:pPr>
                        <w:r>
                          <w:rPr>
                            <w:b/>
                            <w:bCs/>
                            <w:lang w:val="fr-FR" w:eastAsia="fr-FR"/>
                          </w:rPr>
                          <w:t>18. Quand l’intégration se termine-t-elle ?</w:t>
                        </w:r>
                      </w:p>
                    </w:tc>
                  </w:tr>
                  <w:tr>
                    <w:trPr>
                      <w:trHeight w:val="70"/>
                    </w:trPr>
                    <w:tc>
                      <w:tcPr>
                        <w:tcW w:w="4673" w:type="dxa"/>
                      </w:tcPr>
                      <w:p>
                        <w:pPr>
                          <w:autoSpaceDE w:val="0"/>
                          <w:snapToGrid w:val="0"/>
                          <w:jc w:val="both"/>
                          <w:rPr>
                            <w:bCs/>
                          </w:rPr>
                        </w:pPr>
                      </w:p>
                      <w:p>
                        <w:pPr>
                          <w:pBdr>
                            <w:right w:val="single" w:sz="18" w:space="4" w:color="auto"/>
                          </w:pBdr>
                          <w:autoSpaceDE w:val="0"/>
                          <w:snapToGrid w:val="0"/>
                          <w:jc w:val="both"/>
                        </w:pPr>
                        <w:r>
                          <w:rPr>
                            <w:bCs/>
                          </w:rPr>
                          <w:t>Au terme de chaque année scolaire (30 juin)</w:t>
                        </w:r>
                        <w:r>
                          <w:t xml:space="preserve">, chacun des </w:t>
                        </w:r>
                        <w:r>
                          <w:rPr>
                            <w:b/>
                          </w:rPr>
                          <w:t>partenaires actuels</w:t>
                        </w:r>
                        <w:r>
                          <w:t xml:space="preserve"> du protocole peut demander de mettre fin à l'intégration et le retour à temps plein de l’élève dans l’enseignement spécialisé.</w:t>
                        </w:r>
                      </w:p>
                      <w:p>
                        <w:pPr>
                          <w:pBdr>
                            <w:right w:val="single" w:sz="18" w:space="4" w:color="auto"/>
                          </w:pBdr>
                          <w:spacing w:line="76" w:lineRule="atLeast"/>
                          <w:jc w:val="both"/>
                        </w:pPr>
                      </w:p>
                    </w:tc>
                    <w:tc>
                      <w:tcPr>
                        <w:tcW w:w="4706" w:type="dxa"/>
                      </w:tcPr>
                      <w:p>
                        <w:pPr>
                          <w:snapToGrid w:val="0"/>
                          <w:jc w:val="both"/>
                          <w:rPr>
                            <w:bCs/>
                          </w:rPr>
                        </w:pPr>
                      </w:p>
                      <w:p>
                        <w:pPr>
                          <w:snapToGrid w:val="0"/>
                          <w:jc w:val="both"/>
                          <w:rPr>
                            <w:bCs/>
                          </w:rPr>
                        </w:pPr>
                        <w:r>
                          <w:rPr>
                            <w:bCs/>
                          </w:rPr>
                          <w:t>Au terme de chaque période d’intégration.</w:t>
                        </w:r>
                      </w:p>
                      <w:p>
                        <w:pPr>
                          <w:snapToGrid w:val="0"/>
                          <w:jc w:val="both"/>
                          <w:rPr>
                            <w:bCs/>
                          </w:rPr>
                        </w:pPr>
                      </w:p>
                      <w:p>
                        <w:pPr>
                          <w:snapToGrid w:val="0"/>
                          <w:spacing w:line="76" w:lineRule="atLeast"/>
                          <w:jc w:val="both"/>
                          <w:rPr>
                            <w:bCs/>
                          </w:rPr>
                        </w:pPr>
                      </w:p>
                    </w:tc>
                  </w:tr>
                  <w:tr>
                    <w:trPr>
                      <w:trHeight w:val="70"/>
                    </w:trPr>
                    <w:tc>
                      <w:tcPr>
                        <w:tcW w:w="9379" w:type="dxa"/>
                        <w:gridSpan w:val="2"/>
                      </w:tcPr>
                      <w:p>
                        <w:pPr>
                          <w:snapToGrid w:val="0"/>
                          <w:jc w:val="both"/>
                        </w:pPr>
                        <w:r>
                          <w:t>L’école d’enseignement spécialisé informe l’Administration de l’arrêt de l’intégration via</w:t>
                        </w:r>
                        <w:r>
                          <w:rPr>
                            <w:rStyle w:val="Lienhypertexte"/>
                            <w:rFonts w:cs="Arial"/>
                          </w:rPr>
                          <w:t xml:space="preserve"> </w:t>
                        </w:r>
                        <w:hyperlink w:anchor="_Annexe_4_:_2" w:history="1">
                          <w:r>
                            <w:rPr>
                              <w:rStyle w:val="Lienhypertexte"/>
                              <w:rFonts w:cs="Arial"/>
                            </w:rPr>
                            <w:t>l’Annexe 4</w:t>
                          </w:r>
                        </w:hyperlink>
                        <w:r>
                          <w:t xml:space="preserve"> (préremplie par l’Administration</w:t>
                        </w:r>
                        <w:r>
                          <w:rPr>
                            <w:rStyle w:val="Lienhypertexte"/>
                            <w:rFonts w:cs="Arial"/>
                            <w:color w:val="auto"/>
                          </w:rPr>
                          <w:t>)</w:t>
                        </w:r>
                        <w:r>
                          <w:t>.</w:t>
                        </w:r>
                      </w:p>
                      <w:p>
                        <w:pPr>
                          <w:snapToGrid w:val="0"/>
                          <w:jc w:val="both"/>
                          <w:rPr>
                            <w:bCs/>
                          </w:rPr>
                        </w:pPr>
                      </w:p>
                    </w:tc>
                  </w:tr>
                  <w:tr>
                    <w:trPr>
                      <w:trHeight w:val="70"/>
                    </w:trPr>
                    <w:tc>
                      <w:tcPr>
                        <w:tcW w:w="9379" w:type="dxa"/>
                        <w:gridSpan w:val="2"/>
                      </w:tcPr>
                      <w:p>
                        <w:pPr>
                          <w:jc w:val="center"/>
                          <w:rPr>
                            <w:bCs/>
                          </w:rPr>
                        </w:pPr>
                        <w:r>
                          <w:rPr>
                            <w:b/>
                          </w:rPr>
                          <w:t>19. Quelles sont les règles de présence et de registre ?</w:t>
                        </w:r>
                      </w:p>
                    </w:tc>
                  </w:tr>
                  <w:tr>
                    <w:trPr>
                      <w:trHeight w:val="70"/>
                    </w:trPr>
                    <w:tc>
                      <w:tcPr>
                        <w:tcW w:w="9379" w:type="dxa"/>
                        <w:gridSpan w:val="2"/>
                      </w:tcPr>
                      <w:p>
                        <w:pPr>
                          <w:tabs>
                            <w:tab w:val="left" w:pos="-1908"/>
                            <w:tab w:val="left" w:pos="1872"/>
                          </w:tabs>
                          <w:jc w:val="both"/>
                        </w:pPr>
                      </w:p>
                      <w:p>
                        <w:pPr>
                          <w:tabs>
                            <w:tab w:val="left" w:pos="-1908"/>
                            <w:tab w:val="left" w:pos="1872"/>
                          </w:tabs>
                          <w:jc w:val="both"/>
                        </w:pPr>
                        <w:r>
                          <w:t>La réglementation applicable est celle de l’école où l’élève est régulièrement inscrit (cfr 3</w:t>
                        </w:r>
                        <w:r>
                          <w:rPr>
                            <w:vertAlign w:val="superscript"/>
                          </w:rPr>
                          <w:t>ème</w:t>
                        </w:r>
                        <w:r>
                          <w:t xml:space="preserve"> point du récapitulatif des modalités de fonctionnement : Où l’élève est-il inscrit et comptabilisé ?)</w:t>
                        </w:r>
                      </w:p>
                      <w:p>
                        <w:pPr>
                          <w:jc w:val="both"/>
                        </w:pPr>
                        <w:r>
                          <w:t>Il est toutefois évident que les présences sont prises dans l’école où se trouve l’élève (en même temps que celles des autres élèves de la classe) avec un transfert d’information vers l’école d’enseignement spécialisé.</w:t>
                        </w:r>
                      </w:p>
                      <w:p>
                        <w:pPr>
                          <w:jc w:val="both"/>
                        </w:pPr>
                      </w:p>
                      <w:p>
                        <w:pPr>
                          <w:jc w:val="both"/>
                        </w:pPr>
                        <w:r>
                          <w:t xml:space="preserve">Ces modalités seront prévues dans le protocole d’intégration, à la rubrique : « Règles de présence et registre ». </w:t>
                        </w:r>
                      </w:p>
                      <w:p>
                        <w:pPr>
                          <w:jc w:val="both"/>
                        </w:pPr>
                      </w:p>
                      <w:p>
                        <w:pPr>
                          <w:tabs>
                            <w:tab w:val="left" w:pos="-1908"/>
                          </w:tabs>
                          <w:jc w:val="both"/>
                        </w:pPr>
                        <w:r>
                          <w:t xml:space="preserve">Dans ce contexte il est important que l’école d’enseignement spécialisé s’assure que les données du registre de l’école partenaire correspondent à celles requises par le </w:t>
                        </w:r>
                        <w:r>
                          <w:rPr>
                            <w:rFonts w:cs="Arial"/>
                          </w:rPr>
                          <w:t xml:space="preserve">point 3 du chapitre 15 </w:t>
                        </w:r>
                        <w:r>
                          <w:t>des directives et recommandations de l’enseignement spécialisé : « Rappel des conditions d’admission, de maintien et de passage dans l’enseignement spécialisé ».</w:t>
                        </w:r>
                      </w:p>
                      <w:p>
                        <w:pPr>
                          <w:snapToGrid w:val="0"/>
                          <w:jc w:val="both"/>
                          <w:rPr>
                            <w:bCs/>
                          </w:rPr>
                        </w:pPr>
                      </w:p>
                    </w:tc>
                  </w:tr>
                  <w:tr>
                    <w:trPr>
                      <w:trHeight w:val="70"/>
                    </w:trPr>
                    <w:tc>
                      <w:tcPr>
                        <w:tcW w:w="9379" w:type="dxa"/>
                        <w:gridSpan w:val="2"/>
                      </w:tcPr>
                      <w:p>
                        <w:pPr>
                          <w:jc w:val="center"/>
                        </w:pPr>
                        <w:r>
                          <w:rPr>
                            <w:b/>
                          </w:rPr>
                          <w:t>20. Que faire en cas de prolongation du projet d’intégration?</w:t>
                        </w:r>
                      </w:p>
                    </w:tc>
                  </w:tr>
                  <w:tr>
                    <w:trPr>
                      <w:trHeight w:val="70"/>
                    </w:trPr>
                    <w:tc>
                      <w:tcPr>
                        <w:tcW w:w="9379" w:type="dxa"/>
                        <w:gridSpan w:val="2"/>
                      </w:tcPr>
                      <w:p>
                        <w:pPr>
                          <w:tabs>
                            <w:tab w:val="left" w:pos="-589"/>
                            <w:tab w:val="left" w:pos="131"/>
                            <w:tab w:val="left" w:pos="1134"/>
                            <w:tab w:val="left" w:pos="2003"/>
                            <w:tab w:val="left" w:pos="6323"/>
                          </w:tabs>
                        </w:pPr>
                      </w:p>
                      <w:p>
                        <w:pPr>
                          <w:tabs>
                            <w:tab w:val="left" w:pos="-589"/>
                            <w:tab w:val="left" w:pos="131"/>
                            <w:tab w:val="left" w:pos="1134"/>
                            <w:tab w:val="left" w:pos="2003"/>
                            <w:tab w:val="left" w:pos="6323"/>
                          </w:tabs>
                          <w:jc w:val="both"/>
                        </w:pPr>
                        <w:r>
                          <w:t xml:space="preserve">Il faut compléter une </w:t>
                        </w:r>
                        <w:hyperlink w:anchor="_Annexe_4_:_2" w:history="1">
                          <w:r>
                            <w:rPr>
                              <w:rStyle w:val="Lienhypertexte"/>
                              <w:rFonts w:cs="Arial"/>
                            </w:rPr>
                            <w:t>Annexe 4</w:t>
                          </w:r>
                        </w:hyperlink>
                        <w:r>
                          <w:t xml:space="preserve"> (préremplie par l’Administration</w:t>
                        </w:r>
                        <w:r>
                          <w:rPr>
                            <w:rStyle w:val="Lienhypertexte"/>
                            <w:rFonts w:cs="Arial"/>
                            <w:color w:val="auto"/>
                          </w:rPr>
                          <w:t>)</w:t>
                        </w:r>
                        <w:r>
                          <w:t xml:space="preserve"> et la faire signer par tous les partenaires. Ensuite, l’école d’enseignement spécialisé envoie une copie du document à l’Administration sur la boîte mail générique : </w:t>
                        </w:r>
                        <w:hyperlink r:id="rId176" w:history="1">
                          <w:r>
                            <w:rPr>
                              <w:rStyle w:val="Lienhypertexte"/>
                              <w:rFonts w:cs="Arial"/>
                              <w:color w:val="1F497D" w:themeColor="text2"/>
                              <w:u w:val="none"/>
                            </w:rPr>
                            <w:t>integration_specialise@cfwb.be</w:t>
                          </w:r>
                        </w:hyperlink>
                        <w:r>
                          <w:rPr>
                            <w:color w:val="1F497D" w:themeColor="text2"/>
                          </w:rPr>
                          <w:t xml:space="preserve"> </w:t>
                        </w:r>
                      </w:p>
                      <w:p>
                        <w:pPr>
                          <w:tabs>
                            <w:tab w:val="left" w:pos="-589"/>
                            <w:tab w:val="left" w:pos="131"/>
                            <w:tab w:val="left" w:pos="1134"/>
                            <w:tab w:val="left" w:pos="2003"/>
                            <w:tab w:val="left" w:pos="6323"/>
                          </w:tabs>
                        </w:pPr>
                      </w:p>
                      <w:p>
                        <w:pPr>
                          <w:tabs>
                            <w:tab w:val="left" w:pos="-589"/>
                            <w:tab w:val="left" w:pos="131"/>
                            <w:tab w:val="left" w:pos="1134"/>
                            <w:tab w:val="left" w:pos="2003"/>
                            <w:tab w:val="left" w:pos="6323"/>
                          </w:tabs>
                        </w:pPr>
                      </w:p>
                      <w:p>
                        <w:pPr>
                          <w:tabs>
                            <w:tab w:val="left" w:pos="-589"/>
                            <w:tab w:val="left" w:pos="131"/>
                            <w:tab w:val="left" w:pos="1134"/>
                            <w:tab w:val="left" w:pos="2003"/>
                            <w:tab w:val="left" w:pos="6323"/>
                          </w:tabs>
                        </w:pPr>
                      </w:p>
                      <w:p>
                        <w:pPr>
                          <w:tabs>
                            <w:tab w:val="left" w:pos="-589"/>
                            <w:tab w:val="left" w:pos="131"/>
                            <w:tab w:val="left" w:pos="1134"/>
                            <w:tab w:val="left" w:pos="2003"/>
                            <w:tab w:val="left" w:pos="6323"/>
                          </w:tabs>
                        </w:pPr>
                      </w:p>
                    </w:tc>
                  </w:tr>
                  <w:tr>
                    <w:trPr>
                      <w:trHeight w:val="70"/>
                    </w:trPr>
                    <w:tc>
                      <w:tcPr>
                        <w:tcW w:w="9379" w:type="dxa"/>
                        <w:gridSpan w:val="2"/>
                      </w:tcPr>
                      <w:p>
                        <w:pPr>
                          <w:tabs>
                            <w:tab w:val="left" w:pos="-589"/>
                            <w:tab w:val="left" w:pos="131"/>
                            <w:tab w:val="left" w:pos="1134"/>
                            <w:tab w:val="left" w:pos="2003"/>
                            <w:tab w:val="left" w:pos="6323"/>
                          </w:tabs>
                          <w:jc w:val="center"/>
                        </w:pPr>
                        <w:r>
                          <w:rPr>
                            <w:b/>
                          </w:rPr>
                          <w:t>21. Quand doit-on établir un nouveau protocole d’intégration?</w:t>
                        </w:r>
                      </w:p>
                    </w:tc>
                  </w:tr>
                  <w:tr>
                    <w:trPr>
                      <w:trHeight w:val="1180"/>
                    </w:trPr>
                    <w:tc>
                      <w:tcPr>
                        <w:tcW w:w="9379" w:type="dxa"/>
                        <w:gridSpan w:val="2"/>
                      </w:tcPr>
                      <w:p>
                        <w:pPr>
                          <w:tabs>
                            <w:tab w:val="left" w:pos="-1908"/>
                            <w:tab w:val="left" w:pos="1134"/>
                            <w:tab w:val="left" w:pos="1872"/>
                            <w:tab w:val="left" w:pos="2003"/>
                            <w:tab w:val="left" w:pos="6323"/>
                          </w:tabs>
                        </w:pPr>
                      </w:p>
                      <w:p>
                        <w:pPr>
                          <w:tabs>
                            <w:tab w:val="left" w:pos="-1908"/>
                            <w:tab w:val="left" w:pos="1134"/>
                            <w:tab w:val="left" w:pos="1872"/>
                            <w:tab w:val="left" w:pos="2003"/>
                            <w:tab w:val="left" w:pos="6323"/>
                          </w:tabs>
                          <w:jc w:val="both"/>
                        </w:pPr>
                        <w:r>
                          <w:t>Lors de tout changement de partenaire ou lors d’un changement de niveau (du fondamental vers le secondaire).</w:t>
                        </w:r>
                      </w:p>
                      <w:p>
                        <w:pPr>
                          <w:tabs>
                            <w:tab w:val="left" w:pos="-1908"/>
                            <w:tab w:val="left" w:pos="1134"/>
                            <w:tab w:val="left" w:pos="1872"/>
                            <w:tab w:val="left" w:pos="2003"/>
                            <w:tab w:val="left" w:pos="6323"/>
                          </w:tabs>
                        </w:pPr>
                      </w:p>
                      <w:p>
                        <w:pPr>
                          <w:tabs>
                            <w:tab w:val="left" w:pos="-1908"/>
                            <w:tab w:val="left" w:pos="1134"/>
                            <w:tab w:val="left" w:pos="1872"/>
                            <w:tab w:val="left" w:pos="2003"/>
                            <w:tab w:val="left" w:pos="6323"/>
                          </w:tabs>
                        </w:pPr>
                      </w:p>
                    </w:tc>
                  </w:tr>
                  <w:tr>
                    <w:trPr>
                      <w:trHeight w:val="70"/>
                    </w:trPr>
                    <w:tc>
                      <w:tcPr>
                        <w:tcW w:w="9379" w:type="dxa"/>
                        <w:gridSpan w:val="2"/>
                      </w:tcPr>
                      <w:p>
                        <w:pPr>
                          <w:tabs>
                            <w:tab w:val="left" w:pos="709"/>
                          </w:tabs>
                          <w:jc w:val="center"/>
                          <w:rPr>
                            <w:b/>
                          </w:rPr>
                        </w:pPr>
                        <w:r>
                          <w:rPr>
                            <w:b/>
                          </w:rPr>
                          <w:t xml:space="preserve">22. Que se passe-t-il si l’intégration échoue ? Qui doit-on prévenir ? </w:t>
                        </w:r>
                      </w:p>
                      <w:p>
                        <w:pPr>
                          <w:tabs>
                            <w:tab w:val="left" w:pos="709"/>
                          </w:tabs>
                          <w:jc w:val="center"/>
                        </w:pPr>
                        <w:r>
                          <w:rPr>
                            <w:b/>
                          </w:rPr>
                          <w:t>Que se passe-t-il avec les périodes octroyées ?</w:t>
                        </w:r>
                      </w:p>
                    </w:tc>
                  </w:tr>
                  <w:tr>
                    <w:trPr>
                      <w:trHeight w:val="70"/>
                    </w:trPr>
                    <w:tc>
                      <w:tcPr>
                        <w:tcW w:w="9379" w:type="dxa"/>
                        <w:gridSpan w:val="2"/>
                      </w:tcPr>
                      <w:p>
                        <w:pPr>
                          <w:tabs>
                            <w:tab w:val="left" w:pos="0"/>
                          </w:tabs>
                          <w:jc w:val="both"/>
                        </w:pPr>
                      </w:p>
                      <w:p>
                        <w:pPr>
                          <w:jc w:val="both"/>
                        </w:pPr>
                        <w:r>
                          <w:t xml:space="preserve">Les </w:t>
                        </w:r>
                        <w:r>
                          <w:rPr>
                            <w:b/>
                          </w:rPr>
                          <w:t>partenaires actuels</w:t>
                        </w:r>
                        <w:r>
                          <w:t xml:space="preserve"> du protocole d’intégration peuvent, par décision collégiale</w:t>
                        </w:r>
                        <w:r>
                          <w:rPr>
                            <w:rStyle w:val="Appelnotedebasdep"/>
                          </w:rPr>
                          <w:footnoteReference w:id="128"/>
                        </w:r>
                        <w:r>
                          <w:t xml:space="preserve"> motivée, mettre fin à l'intégration et autoriser le retour à temps plein de l'élève dans l'enseignement spécialisé en cours d'année scolaire. La décision doit être communiquée à l’administration dans les 30 jours calendrier de la dite-décision. </w:t>
                        </w:r>
                      </w:p>
                      <w:p>
                        <w:pPr>
                          <w:jc w:val="both"/>
                        </w:pPr>
                      </w:p>
                      <w:p>
                        <w:pPr>
                          <w:jc w:val="both"/>
                        </w:pPr>
                        <w:r>
                          <w:t>Le procès-verbal de cette décision actant la fin de l’intégration est tenu à la disposition de l’Administration.</w:t>
                        </w:r>
                      </w:p>
                      <w:p>
                        <w:pPr>
                          <w:suppressAutoHyphens/>
                          <w:jc w:val="both"/>
                        </w:pPr>
                      </w:p>
                      <w:p>
                        <w:pPr>
                          <w:suppressAutoHyphens/>
                          <w:jc w:val="both"/>
                        </w:pPr>
                        <w:r>
                          <w:t xml:space="preserve">Dès que la décision est prise, l’élève retourne à temps plein dans l’école d’enseignement spécialisé. Un retour vers l’enseignement ordinaire est possible moyennant la procédure ad hoc (voir points 1.1.8.4 et 1.1.8.5 du chapitre 1). </w:t>
                        </w:r>
                      </w:p>
                      <w:p>
                        <w:pPr>
                          <w:suppressAutoHyphens/>
                          <w:jc w:val="both"/>
                        </w:pPr>
                        <w:r>
                          <w:t xml:space="preserve">Dans l’école d’enseignement ordinaire, les périodes générées par l’inscription de l’élève lui restent acquises. Dans l’école d’enseignement spécialisé, les périodes complémentaires attribuées pour l’accompagnement de l’élève en enseignement ordinaire lui restent acquises. </w:t>
                        </w:r>
                      </w:p>
                      <w:p>
                        <w:pPr>
                          <w:ind w:left="567" w:hanging="567"/>
                          <w:jc w:val="both"/>
                        </w:pPr>
                      </w:p>
                      <w:p>
                        <w:pPr>
                          <w:jc w:val="both"/>
                        </w:pPr>
                        <w:r>
                          <w:t xml:space="preserve">Si l’intégration d’un élève est arrêtée en cours d’année scolaire, les périodes dérogatoires obtenues doivent être obligatoirement utilisées pour accompagner d’autres élèves intégrés. </w:t>
                        </w:r>
                      </w:p>
                      <w:p>
                        <w:pPr>
                          <w:jc w:val="both"/>
                        </w:pPr>
                        <w:r>
                          <w:rPr>
                            <w:b/>
                            <w:color w:val="000000"/>
                            <w:u w:val="single"/>
                          </w:rPr>
                          <w:t>Attention :</w:t>
                        </w:r>
                        <w:r>
                          <w:rPr>
                            <w:color w:val="000000"/>
                          </w:rPr>
                          <w:t xml:space="preserve"> si l’école a obtenu des périodes complémentaires pour un élève et que l’intégration s’arrête avant le 30 septembre, ces périodes dérogatoires sont restituées dès le 1</w:t>
                        </w:r>
                        <w:r>
                          <w:rPr>
                            <w:color w:val="000000"/>
                            <w:vertAlign w:val="superscript"/>
                          </w:rPr>
                          <w:t>er</w:t>
                        </w:r>
                        <w:r>
                          <w:rPr>
                            <w:color w:val="000000"/>
                          </w:rPr>
                          <w:t xml:space="preserve"> octobre.</w:t>
                        </w:r>
                      </w:p>
                    </w:tc>
                  </w:tr>
                </w:tbl>
                <w:p>
                  <w:r>
                    <w:rPr>
                      <w:noProof/>
                      <w:lang w:eastAsia="fr-BE"/>
                    </w:rPr>
                    <mc:AlternateContent>
                      <mc:Choice Requires="wps">
                        <w:drawing>
                          <wp:anchor distT="0" distB="0" distL="114300" distR="114300" simplePos="0" relativeHeight="252088320" behindDoc="0" locked="0" layoutInCell="1" allowOverlap="1">
                            <wp:simplePos x="0" y="0"/>
                            <wp:positionH relativeFrom="column">
                              <wp:posOffset>6100445</wp:posOffset>
                            </wp:positionH>
                            <wp:positionV relativeFrom="paragraph">
                              <wp:posOffset>-3030220</wp:posOffset>
                            </wp:positionV>
                            <wp:extent cx="0" cy="295275"/>
                            <wp:effectExtent l="0" t="0" r="19050" b="28575"/>
                            <wp:wrapNone/>
                            <wp:docPr id="466" name="Connecteur droit 466"/>
                            <wp:cNvGraphicFramePr/>
                            <a:graphic xmlns:a="http://schemas.openxmlformats.org/drawingml/2006/main">
                              <a:graphicData uri="http://schemas.microsoft.com/office/word/2010/wordprocessingShape">
                                <wps:wsp>
                                  <wps:cNvCnPr/>
                                  <wps:spPr>
                                    <a:xfrm flipH="1">
                                      <a:off x="0" y="0"/>
                                      <a:ext cx="0" cy="2952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F8540A8" id="Connecteur droit 466" o:spid="_x0000_s1026" style="position:absolute;flip:x;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0.35pt,-238.6pt" to="480.35pt,-2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" strokecolor="black [3040]"/>
                        </w:pict>
                      </mc:Fallback>
                    </mc:AlternateContent>
                  </w:r>
                  <w:r>
                    <w:rPr>
                      <w:noProof/>
                      <w:lang w:eastAsia="fr-BE"/>
                    </w:rPr>
                    <mc:AlternateContent>
                      <mc:Choice Requires="wps">
                        <w:drawing>
                          <wp:anchor distT="0" distB="0" distL="114300" distR="114300" simplePos="0" relativeHeight="252107776" behindDoc="0" locked="0" layoutInCell="1" allowOverlap="1">
                            <wp:simplePos x="0" y="0"/>
                            <wp:positionH relativeFrom="column">
                              <wp:posOffset>6081395</wp:posOffset>
                            </wp:positionH>
                            <wp:positionV relativeFrom="paragraph">
                              <wp:posOffset>-1709420</wp:posOffset>
                            </wp:positionV>
                            <wp:extent cx="0" cy="276225"/>
                            <wp:effectExtent l="0" t="0" r="19050" b="28575"/>
                            <wp:wrapNone/>
                            <wp:docPr id="4959" name="Connecteur droit 4959"/>
                            <wp:cNvGraphicFramePr/>
                            <a:graphic xmlns:a="http://schemas.openxmlformats.org/drawingml/2006/main">
                              <a:graphicData uri="http://schemas.microsoft.com/office/word/2010/wordprocessingShape">
                                <wps:wsp>
                                  <wps:cNvCnPr/>
                                  <wps:spPr>
                                    <a:xfrm>
                                      <a:off x="0" y="0"/>
                                      <a:ext cx="0" cy="2762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7B9449F" id="Connecteur droit 4959" o:spid="_x0000_s1026" style="position:absolute;z-index:252107776;visibility:visible;mso-wrap-style:square;mso-wrap-distance-left:9pt;mso-wrap-distance-top:0;mso-wrap-distance-right:9pt;mso-wrap-distance-bottom:0;mso-position-horizontal:absolute;mso-position-horizontal-relative:text;mso-position-vertical:absolute;mso-position-vertical-relative:text" from="478.85pt,-134.6pt" to="478.85pt,-1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" strokecolor="black [3040]"/>
                        </w:pict>
                      </mc:Fallback>
                    </mc:AlternateContent>
                  </w:r>
                </w:p>
                <w:p>
                  <w:pPr>
                    <w:jc w:val="both"/>
                  </w:pPr>
                </w:p>
                <w:p>
                  <w:pPr>
                    <w:pStyle w:val="Titre3"/>
                  </w:pPr>
                  <w:bookmarkStart w:id="2810" w:name="_7._Récapitulatif_des"/>
                  <w:bookmarkStart w:id="2811" w:name="__RefHeading__251_957262308"/>
                  <w:bookmarkStart w:id="2812" w:name="__RefHeading__253_957262308"/>
                  <w:bookmarkStart w:id="2813" w:name="_8._Foire_aux"/>
                  <w:bookmarkStart w:id="2814" w:name="_Toc18914487"/>
                  <w:bookmarkStart w:id="2815" w:name="_Toc291075410"/>
                  <w:bookmarkStart w:id="2816" w:name="_Toc291075834"/>
                  <w:bookmarkStart w:id="2817" w:name="_Toc291076258"/>
                  <w:bookmarkStart w:id="2818" w:name="_Toc291076682"/>
                  <w:bookmarkStart w:id="2819" w:name="_Toc291077106"/>
                  <w:bookmarkStart w:id="2820" w:name="_Toc293651949"/>
                  <w:bookmarkStart w:id="2821" w:name="_Toc293653532"/>
                  <w:bookmarkStart w:id="2822" w:name="_Toc293654143"/>
                  <w:bookmarkStart w:id="2823" w:name="_Toc294004721"/>
                  <w:bookmarkStart w:id="2824" w:name="_Toc294185217"/>
                  <w:bookmarkStart w:id="2825" w:name="_Toc324166035"/>
                  <w:bookmarkStart w:id="2826" w:name="_Toc324767071"/>
                  <w:bookmarkStart w:id="2827" w:name="_Toc453314436"/>
                  <w:bookmarkStart w:id="2828" w:name="_Toc454980471"/>
                  <w:bookmarkEnd w:id="2810"/>
                  <w:bookmarkEnd w:id="2811"/>
                  <w:bookmarkEnd w:id="2812"/>
                  <w:bookmarkEnd w:id="2813"/>
                  <w:r>
                    <w:t>8. Foire aux questions</w:t>
                  </w:r>
                  <w:bookmarkEnd w:id="2814"/>
                  <w:r>
                    <w:t xml:space="preserve"> </w:t>
                  </w:r>
                </w:p>
                <w:p>
                  <w:pPr>
                    <w:jc w:val="both"/>
                  </w:pPr>
                </w:p>
                <w:p>
                  <w:pPr>
                    <w:jc w:val="both"/>
                  </w:pPr>
                  <w:r>
                    <w:t>Afin d’aider au mieux les écoles qui décident d’accueillir ou d’accompagner des élèves en intégration, une liste des questions les plus souvent posées à l’Administration est reprise ci-après avec pour chaque question, la réponse adéquate s’y rapportant.</w:t>
                  </w:r>
                </w:p>
                <w:p>
                  <w:pPr>
                    <w:jc w:val="both"/>
                  </w:pPr>
                </w:p>
                <w:p>
                  <w:pPr>
                    <w:jc w:val="both"/>
                    <w:rPr>
                      <w:b/>
                      <w:bCs/>
                    </w:rPr>
                  </w:pPr>
                  <w:r>
                    <w:rPr>
                      <w:b/>
                      <w:bCs/>
                    </w:rPr>
                    <w:t>1) Un élève de l’enseignement ordinaire qui n’a jamais été inscrit dans l’enseignement spécialisé peut-il bénéficier de l’intégration ?</w:t>
                  </w:r>
                </w:p>
                <w:p>
                  <w:pPr>
                    <w:jc w:val="both"/>
                    <w:rPr>
                      <w:bCs/>
                    </w:rPr>
                  </w:pPr>
                </w:p>
                <w:p>
                  <w:pPr>
                    <w:jc w:val="both"/>
                  </w:pPr>
                  <w:r>
                    <w:t>Oui, mais il ne pourra pas bénéficier de l’intégration permanente totale directement. Il devra débuter soit par une intégration soit temporaire totale, une intégration permanente partielle ou une intégration temporaire partielle.</w:t>
                  </w:r>
                </w:p>
                <w:p>
                  <w:pPr>
                    <w:jc w:val="both"/>
                  </w:pPr>
                </w:p>
                <w:p>
                  <w:pPr>
                    <w:jc w:val="both"/>
                  </w:pPr>
                  <w:r>
                    <w:t xml:space="preserve">En outre, l’élève devra être inscrit administrativement dans l’enseignement spécialisé en suivant la procédure d’orientation habituelle. </w:t>
                  </w:r>
                </w:p>
                <w:p>
                  <w:pPr>
                    <w:jc w:val="both"/>
                  </w:pPr>
                </w:p>
                <w:p>
                  <w:pPr>
                    <w:jc w:val="both"/>
                  </w:pPr>
                  <w:r>
                    <w:t>Les élèves régulièrement inscrits dans une école d’enseignement ordinaire organisant l’apprentissage par immersion en langue des signes en classe bilingue français-langue des signes au 15 janvier peuvent débuter une intégration permanente totale au 1</w:t>
                  </w:r>
                  <w:r>
                    <w:rPr>
                      <w:vertAlign w:val="superscript"/>
                    </w:rPr>
                    <w:t>er</w:t>
                  </w:r>
                  <w:r>
                    <w:t xml:space="preserve"> septembre de l’année scolaire suivante. Dans ce cas l’accompagnement sera assuré par un membre du personnel de l’école d’enseignement spécialisé de type 7 chargé de l’immersion en langue des signes.</w:t>
                  </w:r>
                </w:p>
                <w:p>
                  <w:pPr>
                    <w:jc w:val="both"/>
                  </w:pPr>
                </w:p>
                <w:p>
                  <w:pPr>
                    <w:jc w:val="both"/>
                    <w:rPr>
                      <w:b/>
                      <w:bCs/>
                    </w:rPr>
                  </w:pPr>
                  <w:r>
                    <w:rPr>
                      <w:b/>
                      <w:bCs/>
                    </w:rPr>
                    <w:t>2) Quelques exemples d’accompagnement ?</w:t>
                  </w:r>
                </w:p>
                <w:p>
                  <w:pPr>
                    <w:jc w:val="both"/>
                    <w:rPr>
                      <w:bCs/>
                    </w:rPr>
                  </w:pPr>
                </w:p>
                <w:p>
                  <w:pPr>
                    <w:numPr>
                      <w:ilvl w:val="1"/>
                      <w:numId w:val="135"/>
                    </w:numPr>
                    <w:tabs>
                      <w:tab w:val="clear" w:pos="1497"/>
                    </w:tabs>
                    <w:suppressAutoHyphens/>
                    <w:ind w:left="0" w:firstLine="0"/>
                    <w:jc w:val="both"/>
                  </w:pPr>
                  <w:r>
                    <w:t>instituteur (trice) primaire pour un co-titulariat ;</w:t>
                  </w:r>
                </w:p>
                <w:p>
                  <w:pPr>
                    <w:numPr>
                      <w:ilvl w:val="1"/>
                      <w:numId w:val="135"/>
                    </w:numPr>
                    <w:tabs>
                      <w:tab w:val="clear" w:pos="1497"/>
                    </w:tabs>
                    <w:suppressAutoHyphens/>
                    <w:ind w:left="0" w:firstLine="0"/>
                    <w:jc w:val="both"/>
                  </w:pPr>
                  <w:r>
                    <w:t>logopède ;</w:t>
                  </w:r>
                </w:p>
                <w:p>
                  <w:pPr>
                    <w:numPr>
                      <w:ilvl w:val="1"/>
                      <w:numId w:val="135"/>
                    </w:numPr>
                    <w:tabs>
                      <w:tab w:val="clear" w:pos="1497"/>
                    </w:tabs>
                    <w:suppressAutoHyphens/>
                    <w:ind w:left="0" w:firstLine="0"/>
                    <w:jc w:val="both"/>
                  </w:pPr>
                  <w:r>
                    <w:t>instituteur (trice) primaire pour de la remédiation ;</w:t>
                  </w:r>
                </w:p>
                <w:p>
                  <w:pPr>
                    <w:numPr>
                      <w:ilvl w:val="1"/>
                      <w:numId w:val="135"/>
                    </w:numPr>
                    <w:tabs>
                      <w:tab w:val="clear" w:pos="1497"/>
                    </w:tabs>
                    <w:suppressAutoHyphens/>
                    <w:ind w:left="0" w:firstLine="0"/>
                    <w:jc w:val="both"/>
                  </w:pPr>
                  <w:r>
                    <w:t>puériculteur (trice) pour des soins ;</w:t>
                  </w:r>
                </w:p>
                <w:p>
                  <w:pPr>
                    <w:numPr>
                      <w:ilvl w:val="1"/>
                      <w:numId w:val="135"/>
                    </w:numPr>
                    <w:tabs>
                      <w:tab w:val="clear" w:pos="1497"/>
                    </w:tabs>
                    <w:suppressAutoHyphens/>
                    <w:ind w:left="0" w:firstLine="0"/>
                    <w:jc w:val="both"/>
                  </w:pPr>
                  <w:r>
                    <w:t>kinésithérapeute ;</w:t>
                  </w:r>
                </w:p>
                <w:p>
                  <w:pPr>
                    <w:numPr>
                      <w:ilvl w:val="1"/>
                      <w:numId w:val="135"/>
                    </w:numPr>
                    <w:tabs>
                      <w:tab w:val="clear" w:pos="1497"/>
                    </w:tabs>
                    <w:suppressAutoHyphens/>
                    <w:ind w:left="0" w:firstLine="0"/>
                    <w:jc w:val="both"/>
                  </w:pPr>
                  <w:r>
                    <w:t>ergothérapeute ;</w:t>
                  </w:r>
                </w:p>
                <w:p>
                  <w:pPr>
                    <w:numPr>
                      <w:ilvl w:val="1"/>
                      <w:numId w:val="135"/>
                    </w:numPr>
                    <w:tabs>
                      <w:tab w:val="clear" w:pos="1497"/>
                    </w:tabs>
                    <w:suppressAutoHyphens/>
                    <w:ind w:left="0" w:firstLine="0"/>
                    <w:jc w:val="both"/>
                  </w:pPr>
                  <w:r>
                    <w:t>enseignant(e) ou autre membre du personnel spécialisé dans l’adaptation du PC de l’élève ;</w:t>
                  </w:r>
                </w:p>
                <w:p>
                  <w:pPr>
                    <w:numPr>
                      <w:ilvl w:val="1"/>
                      <w:numId w:val="135"/>
                    </w:numPr>
                    <w:tabs>
                      <w:tab w:val="clear" w:pos="1497"/>
                    </w:tabs>
                    <w:suppressAutoHyphens/>
                    <w:ind w:left="0" w:firstLine="0"/>
                    <w:jc w:val="both"/>
                  </w:pPr>
                  <w:r>
                    <w:t>enseignant(e) chargé(e) de la traduction en langue des signes ;</w:t>
                  </w:r>
                </w:p>
                <w:p>
                  <w:pPr>
                    <w:numPr>
                      <w:ilvl w:val="1"/>
                      <w:numId w:val="135"/>
                    </w:numPr>
                    <w:tabs>
                      <w:tab w:val="clear" w:pos="1497"/>
                    </w:tabs>
                    <w:suppressAutoHyphens/>
                    <w:ind w:left="0" w:firstLine="0"/>
                    <w:jc w:val="both"/>
                  </w:pPr>
                  <w:r>
                    <w:t>enseignant(e) chargé(e) de la traduction en Braille ;</w:t>
                  </w:r>
                </w:p>
                <w:p>
                  <w:pPr>
                    <w:numPr>
                      <w:ilvl w:val="1"/>
                      <w:numId w:val="135"/>
                    </w:numPr>
                    <w:tabs>
                      <w:tab w:val="clear" w:pos="1497"/>
                    </w:tabs>
                    <w:suppressAutoHyphens/>
                    <w:ind w:left="0" w:firstLine="0"/>
                    <w:jc w:val="both"/>
                  </w:pPr>
                  <w:r>
                    <w:t>professeur de mathématiques chargé d’expliquer les graphiques du cours de math         (malvoyant) ;</w:t>
                  </w:r>
                </w:p>
                <w:p>
                  <w:pPr>
                    <w:numPr>
                      <w:ilvl w:val="1"/>
                      <w:numId w:val="135"/>
                    </w:numPr>
                    <w:tabs>
                      <w:tab w:val="clear" w:pos="1497"/>
                    </w:tabs>
                    <w:suppressAutoHyphens/>
                    <w:ind w:left="0" w:firstLine="0"/>
                    <w:jc w:val="both"/>
                  </w:pPr>
                  <w:r>
                    <w:t>éducateur(trice) ;</w:t>
                  </w:r>
                </w:p>
                <w:p>
                  <w:pPr>
                    <w:numPr>
                      <w:ilvl w:val="1"/>
                      <w:numId w:val="135"/>
                    </w:numPr>
                    <w:tabs>
                      <w:tab w:val="clear" w:pos="1497"/>
                    </w:tabs>
                    <w:suppressAutoHyphens/>
                    <w:ind w:left="0" w:firstLine="0"/>
                    <w:jc w:val="both"/>
                  </w:pPr>
                  <w:r>
                    <w:t>…</w:t>
                  </w:r>
                </w:p>
                <w:p>
                  <w:pPr>
                    <w:jc w:val="both"/>
                  </w:pPr>
                  <w:r>
                    <w:t>Il est évident que le type d’accompagnement sera adapté à chaque élève, à chaque situation.  Il est tout à fait possible de répartir les périodes d’accompagnement destinées à un élève entre plusieurs fonctions.</w:t>
                  </w:r>
                </w:p>
                <w:p>
                  <w:pPr>
                    <w:jc w:val="both"/>
                  </w:pPr>
                  <w:r>
                    <w:t>L’accompagnement des élèves en intégration peut comprendre un temps de coordination pour autant que ce dispositif soit précisé dans le protocole.</w:t>
                  </w:r>
                </w:p>
                <w:p>
                  <w:pPr>
                    <w:jc w:val="both"/>
                  </w:pPr>
                  <w:r>
                    <w:t xml:space="preserve">Par ailleurs, la coordination des projets d’intégration peut être assurée en utilisant soit les périodes d’accompagnement accordées dans le cadre de l’intégration soit le capital-périodes utilisable conformément à l’article 44ter. </w:t>
                  </w:r>
                </w:p>
                <w:p/>
                <w:p>
                  <w:pPr>
                    <w:jc w:val="both"/>
                    <w:rPr>
                      <w:b/>
                      <w:bCs/>
                    </w:rPr>
                  </w:pPr>
                  <w:r>
                    <w:rPr>
                      <w:b/>
                      <w:bCs/>
                    </w:rPr>
                    <w:t>3) Un directeur d’une école d’enseignement spécialisé peut-il refuser une intégration ? Qu’en est-il des autres partenaires ?</w:t>
                  </w:r>
                </w:p>
                <w:p>
                  <w:pPr>
                    <w:jc w:val="both"/>
                    <w:rPr>
                      <w:bCs/>
                    </w:rPr>
                  </w:pPr>
                </w:p>
                <w:p>
                  <w:pPr>
                    <w:jc w:val="both"/>
                  </w:pPr>
                  <w:r>
                    <w:t>Si une école n’est pas prête à organiser un accompagnement à l’intégration, nul ne peut l’y contraindre.  Le volontariat est une nécessité pour une intégration réussie.</w:t>
                  </w:r>
                </w:p>
                <w:p>
                  <w:pPr>
                    <w:jc w:val="both"/>
                    <w:rPr>
                      <w:lang w:val="fr-FR"/>
                    </w:rPr>
                  </w:pPr>
                  <w:r>
                    <w:t xml:space="preserve">Chaque partenaire ayant marqué son désaccord lors de la concertation doit motiver par écrit sa position au chef d’établissement dans le cadre d’un établissement d’enseignement spécialisé organisé par la Fédération Wallonie-Bruxelles ou au pouvoir organisateur dans le cadre d’un établissement d’enseignement spécialisé subventionné par la Fédération Wallonie-Bruxelles. </w:t>
                  </w:r>
                  <w:r>
                    <w:rPr>
                      <w:lang w:val="fr-FR"/>
                    </w:rPr>
                    <w:t>Les motivations doivent être conservées dans l’école d’enseignement spécialisé à disposition du service de l’inspection.</w:t>
                  </w:r>
                </w:p>
                <w:p>
                  <w:pPr>
                    <w:jc w:val="both"/>
                    <w:rPr>
                      <w:lang w:val="fr-FR"/>
                    </w:rPr>
                  </w:pPr>
                </w:p>
                <w:p>
                  <w:pPr>
                    <w:jc w:val="both"/>
                    <w:rPr>
                      <w:lang w:val="fr-FR"/>
                    </w:rPr>
                  </w:pPr>
                  <w:r>
                    <w:rPr>
                      <w:lang w:val="fr-FR"/>
                    </w:rPr>
                    <w:t>Il n’y a pas de recours possible si un partenaire refuse le projet d’intégration.</w:t>
                  </w:r>
                </w:p>
                <w:p>
                  <w:pPr>
                    <w:jc w:val="both"/>
                  </w:pPr>
                </w:p>
                <w:p>
                  <w:pPr>
                    <w:jc w:val="both"/>
                  </w:pPr>
                  <w:r>
                    <w:t xml:space="preserve">Il est, néanmoins, toujours possible d’envisager une intégration avec d’autres partenaires. </w:t>
                  </w:r>
                </w:p>
                <w:p>
                  <w:pPr>
                    <w:jc w:val="both"/>
                  </w:pPr>
                </w:p>
                <w:p>
                  <w:pPr>
                    <w:pBdr>
                      <w:right w:val="single" w:sz="4" w:space="4" w:color="auto"/>
                    </w:pBdr>
                    <w:jc w:val="both"/>
                    <w:rPr>
                      <w:b/>
                      <w:bCs/>
                    </w:rPr>
                  </w:pPr>
                  <w:r>
                    <w:rPr>
                      <w:b/>
                    </w:rPr>
                    <w:t>3bis)</w:t>
                  </w:r>
                  <w:r>
                    <w:t xml:space="preserve"> </w:t>
                  </w:r>
                  <w:r>
                    <w:rPr>
                      <w:b/>
                      <w:bCs/>
                    </w:rPr>
                    <w:t xml:space="preserve">Un directeur d’un centre PMS peut-il refuser une intégration ? </w:t>
                  </w:r>
                </w:p>
                <w:p>
                  <w:pPr>
                    <w:pBdr>
                      <w:right w:val="single" w:sz="4" w:space="4" w:color="auto"/>
                    </w:pBdr>
                    <w:jc w:val="both"/>
                    <w:rPr>
                      <w:b/>
                      <w:bCs/>
                    </w:rPr>
                  </w:pPr>
                </w:p>
                <w:p>
                  <w:pPr>
                    <w:pBdr>
                      <w:right w:val="single" w:sz="4" w:space="4" w:color="auto"/>
                    </w:pBdr>
                    <w:jc w:val="both"/>
                    <w:rPr>
                      <w:bCs/>
                    </w:rPr>
                  </w:pPr>
                  <w:r>
                    <w:rPr>
                      <w:bCs/>
                    </w:rPr>
                    <w:t xml:space="preserve">Non. Il peut uniquement rendre un avis défavorable. </w:t>
                  </w:r>
                </w:p>
                <w:p>
                  <w:pPr>
                    <w:jc w:val="both"/>
                  </w:pPr>
                </w:p>
                <w:p>
                  <w:pPr>
                    <w:jc w:val="both"/>
                    <w:rPr>
                      <w:b/>
                      <w:bCs/>
                    </w:rPr>
                  </w:pPr>
                  <w:r>
                    <w:rPr>
                      <w:b/>
                      <w:bCs/>
                    </w:rPr>
                    <w:t>4) Y-a-t-il une liste d’écoles d’enseignement ordinaire où l’on pourrait intégrer mon enfant ?</w:t>
                  </w:r>
                </w:p>
                <w:p>
                  <w:pPr>
                    <w:jc w:val="both"/>
                    <w:rPr>
                      <w:bCs/>
                    </w:rPr>
                  </w:pPr>
                </w:p>
                <w:p>
                  <w:pPr>
                    <w:jc w:val="both"/>
                    <w:rPr>
                      <w:lang w:val="fr-FR" w:eastAsia="fr-FR"/>
                    </w:rPr>
                  </w:pPr>
                  <w:r>
                    <w:rPr>
                      <w:lang w:val="fr-FR" w:eastAsia="fr-FR"/>
                    </w:rPr>
                    <w:t>Toutes les écoles d’enseignement ordinaire sont susceptibles d’accueillir un élève dans le cadre d’un projet d’intégration.</w:t>
                  </w:r>
                </w:p>
                <w:p>
                  <w:pPr>
                    <w:jc w:val="both"/>
                    <w:rPr>
                      <w:lang w:val="fr-FR" w:eastAsia="fr-FR"/>
                    </w:rPr>
                  </w:pPr>
                </w:p>
                <w:p>
                  <w:pPr>
                    <w:jc w:val="both"/>
                    <w:rPr>
                      <w:lang w:val="fr-FR" w:eastAsia="fr-FR"/>
                    </w:rPr>
                  </w:pPr>
                  <w:r>
                    <w:rPr>
                      <w:iCs/>
                      <w:lang w:val="fr-FR"/>
                    </w:rPr>
                    <w:t xml:space="preserve">Dans tout établissement d’enseignement </w:t>
                  </w:r>
                  <w:r>
                    <w:rPr>
                      <w:iCs/>
                      <w:u w:val="single"/>
                      <w:lang w:val="fr-FR"/>
                    </w:rPr>
                    <w:t>ordinaire</w:t>
                  </w:r>
                  <w:r>
                    <w:rPr>
                      <w:iCs/>
                      <w:lang w:val="fr-FR"/>
                    </w:rPr>
                    <w:t>, le projet d’établissement fixe les choix pédagogiques et les actions prioritaires mises en œuvre pour favoriser l’intégration des élèves à besoins spécifiques</w:t>
                  </w:r>
                </w:p>
                <w:p>
                  <w:pPr>
                    <w:jc w:val="both"/>
                    <w:rPr>
                      <w:lang w:val="fr-FR"/>
                    </w:rPr>
                  </w:pPr>
                </w:p>
                <w:p>
                  <w:pPr>
                    <w:jc w:val="both"/>
                    <w:rPr>
                      <w:b/>
                      <w:bCs/>
                    </w:rPr>
                  </w:pPr>
                  <w:r>
                    <w:rPr>
                      <w:b/>
                      <w:bCs/>
                    </w:rPr>
                    <w:t>5) Comment s’inscrire dans une école d’enseignement spécialisé ?</w:t>
                  </w:r>
                </w:p>
                <w:p>
                  <w:pPr>
                    <w:jc w:val="both"/>
                    <w:rPr>
                      <w:bCs/>
                    </w:rPr>
                  </w:pPr>
                </w:p>
                <w:p>
                  <w:pPr>
                    <w:jc w:val="both"/>
                  </w:pPr>
                  <w:r>
                    <w:t>À la demande des parents ou de la personne investie de l’autorité parentale qui souhaite(nt) inscrire son enfant dans l’enseignement spécialisé, un examen pluridisciplinaire est réalisé par :</w:t>
                  </w:r>
                </w:p>
                <w:p>
                  <w:pPr>
                    <w:jc w:val="both"/>
                  </w:pPr>
                </w:p>
                <w:p>
                  <w:pPr>
                    <w:ind w:left="284" w:hanging="142"/>
                    <w:jc w:val="both"/>
                  </w:pPr>
                  <w:r>
                    <w:t>- le centre psycho-médico-social (CPMS) de l’école d’origine ou l’organisme agréé (types 1, 2, 3, 4, 5 et 8) ;</w:t>
                  </w:r>
                </w:p>
                <w:p>
                  <w:pPr>
                    <w:ind w:left="284" w:hanging="142"/>
                    <w:jc w:val="both"/>
                  </w:pPr>
                  <w:r>
                    <w:t>- un examen médical par un médecin spécialiste ou le centre psycho-médico-social de l’école d’origine (types 6 et 7).</w:t>
                  </w:r>
                </w:p>
                <w:p>
                  <w:pPr>
                    <w:jc w:val="both"/>
                  </w:pPr>
                </w:p>
                <w:p>
                  <w:pPr>
                    <w:jc w:val="both"/>
                  </w:pPr>
                  <w:r>
                    <w:t>L’inscription est subordonnée à la production d’une attestation. Cette attestation doit émaner du CPMS de l’école d’enseignement ordinaire d’origine ou de l’organisme habilité. Elle précise le type d’enseignement spécialisé qui correspond aux besoins de l’élève.</w:t>
                  </w:r>
                </w:p>
                <w:p>
                  <w:pPr>
                    <w:jc w:val="both"/>
                  </w:pPr>
                  <w:r>
                    <w:t>L’inscription d’un élève dans l’enseignement spécialisé peut se faire à n’importe quel moment de l’année scolaire.</w:t>
                  </w:r>
                </w:p>
                <w:p>
                  <w:pPr>
                    <w:jc w:val="both"/>
                    <w:rPr>
                      <w:b/>
                      <w:bCs/>
                    </w:rPr>
                  </w:pPr>
                </w:p>
                <w:p>
                  <w:pPr>
                    <w:jc w:val="both"/>
                    <w:rPr>
                      <w:b/>
                      <w:bCs/>
                    </w:rPr>
                  </w:pPr>
                  <w:r>
                    <w:rPr>
                      <w:b/>
                      <w:bCs/>
                    </w:rPr>
                    <w:t xml:space="preserve">6) Un parent d’un élève inscrit dans l’enseignement ordinaire début septembre sollicite l’aide de l’enseignement spécialisé. A quel moment l’intégration peut-elle débuter? </w:t>
                  </w:r>
                </w:p>
                <w:p>
                  <w:pPr>
                    <w:jc w:val="both"/>
                    <w:rPr>
                      <w:bCs/>
                    </w:rPr>
                  </w:pPr>
                </w:p>
                <w:p>
                  <w:pPr>
                    <w:jc w:val="both"/>
                  </w:pPr>
                  <w:r>
                    <w:t xml:space="preserve">La première étape obligatoire est la proposition d’intégration. Celle-ci peut intervenir en cours d’année scolaire mais il s’agira alors d’une intégration temporaire. L’intégration débutera dès la signature du protocole d’intégration.  </w:t>
                  </w:r>
                </w:p>
                <w:p>
                  <w:pPr>
                    <w:jc w:val="both"/>
                    <w:rPr>
                      <w:bCs/>
                    </w:rPr>
                  </w:pPr>
                </w:p>
                <w:p>
                  <w:pPr>
                    <w:tabs>
                      <w:tab w:val="left" w:pos="709"/>
                    </w:tabs>
                    <w:jc w:val="both"/>
                    <w:rPr>
                      <w:b/>
                      <w:bCs/>
                    </w:rPr>
                  </w:pPr>
                  <w:r>
                    <w:rPr>
                      <w:b/>
                      <w:bCs/>
                    </w:rPr>
                    <w:t xml:space="preserve">7) Un parent d’élève de l’enseignement ordinaire sollicite l’aide de l’enseignement spécialisé pour une intégration.  Peut-il se rendre dans un CPMS de son choix ou doit-il se rendre dans celui de l’école ? </w:t>
                  </w:r>
                </w:p>
                <w:p>
                  <w:pPr>
                    <w:tabs>
                      <w:tab w:val="left" w:pos="709"/>
                    </w:tabs>
                    <w:jc w:val="both"/>
                    <w:rPr>
                      <w:bCs/>
                    </w:rPr>
                  </w:pPr>
                </w:p>
                <w:p>
                  <w:pPr>
                    <w:pBdr>
                      <w:right w:val="single" w:sz="4" w:space="4" w:color="auto"/>
                    </w:pBdr>
                    <w:tabs>
                      <w:tab w:val="left" w:pos="709"/>
                    </w:tabs>
                    <w:jc w:val="both"/>
                    <w:rPr>
                      <w:strike/>
                    </w:rPr>
                  </w:pPr>
                  <w:r>
                    <w:rPr>
                      <w:bCs/>
                    </w:rPr>
                    <w:t>Oui, en effet, e</w:t>
                  </w:r>
                  <w:r>
                    <w:t xml:space="preserve">n matière d’orientation vers l’enseignement spécialisé les parents doivent consulter le Centre PMS  d’une école d’enseignement ordinaire de leur choix (il ne doit pas s’agir nécessairement du CPMS de l’école ordinaire dans laquelle l’élève est inscrit). Il est aussi possible de contacter un organisme habilité à délivrer l’attestation d’orientation vers l’enseignement spécialisé. </w:t>
                  </w:r>
                </w:p>
                <w:p>
                  <w:pPr>
                    <w:jc w:val="both"/>
                  </w:pPr>
                </w:p>
                <w:p>
                  <w:pPr>
                    <w:jc w:val="both"/>
                    <w:rPr>
                      <w:b/>
                      <w:bCs/>
                    </w:rPr>
                  </w:pPr>
                  <w:r>
                    <w:rPr>
                      <w:b/>
                      <w:bCs/>
                    </w:rPr>
                    <w:t>8) Que faire si un élève intégré doit déménager et donc changer d’école ?</w:t>
                  </w:r>
                </w:p>
                <w:p>
                  <w:pPr>
                    <w:jc w:val="both"/>
                    <w:rPr>
                      <w:b/>
                      <w:bCs/>
                    </w:rPr>
                  </w:pPr>
                </w:p>
                <w:p>
                  <w:pPr>
                    <w:jc w:val="both"/>
                  </w:pPr>
                  <w:r>
                    <w:t>Il faut choisir deux nouvelles écoles partenaires et donc établir un nouveau protocole d’intégration (Annexe 2).  La transmission de l’ancien protocole d’intégration pourrait certainement aider les écoles (celle qui accueille et celle qui accompagne l’élève) à établir ce nouveau protocole d’intégration.</w:t>
                  </w:r>
                </w:p>
                <w:p>
                  <w:pPr>
                    <w:jc w:val="both"/>
                  </w:pPr>
                  <w:r>
                    <w:t xml:space="preserve">Si l’élève est en intégration permanente totale, il faut envoyer une </w:t>
                  </w:r>
                  <w:hyperlink w:anchor="_Annexe_10_:_3" w:history="1">
                    <w:r>
                      <w:rPr>
                        <w:rStyle w:val="Lienhypertexte"/>
                        <w:rFonts w:cs="Arial"/>
                      </w:rPr>
                      <w:t>Annexe 10</w:t>
                    </w:r>
                  </w:hyperlink>
                  <w:r>
                    <w:rPr>
                      <w:rStyle w:val="Lienhypertexte"/>
                      <w:rFonts w:cs="Arial"/>
                    </w:rPr>
                    <w:t xml:space="preserve"> </w:t>
                  </w:r>
                  <w:r>
                    <w:t>au Cabinet du Ministre qui a l’Enseignement spécialisé dans ses attributions.</w:t>
                  </w:r>
                </w:p>
                <w:p>
                  <w:pPr>
                    <w:jc w:val="both"/>
                  </w:pPr>
                </w:p>
                <w:p>
                  <w:pPr>
                    <w:jc w:val="both"/>
                    <w:rPr>
                      <w:b/>
                      <w:bCs/>
                    </w:rPr>
                  </w:pPr>
                  <w:r>
                    <w:rPr>
                      <w:b/>
                      <w:bCs/>
                    </w:rPr>
                    <w:t>9) Une intégration temporaire totale peut-elle durer toute une année scolaire ?</w:t>
                  </w:r>
                </w:p>
                <w:p>
                  <w:pPr>
                    <w:jc w:val="both"/>
                    <w:rPr>
                      <w:b/>
                      <w:bCs/>
                    </w:rPr>
                  </w:pPr>
                </w:p>
                <w:p>
                  <w:pPr>
                    <w:jc w:val="both"/>
                    <w:rPr>
                      <w:bCs/>
                    </w:rPr>
                  </w:pPr>
                  <w:r>
                    <w:rPr>
                      <w:bCs/>
                    </w:rPr>
                    <w:t xml:space="preserve">Non.  </w:t>
                  </w:r>
                </w:p>
                <w:p>
                  <w:pPr>
                    <w:jc w:val="both"/>
                    <w:rPr>
                      <w:color w:val="000000"/>
                      <w:lang w:eastAsia="fr-FR"/>
                    </w:rPr>
                  </w:pPr>
                  <w:r>
                    <w:rPr>
                      <w:color w:val="000000"/>
                      <w:lang w:eastAsia="fr-FR"/>
                    </w:rPr>
                    <w:t xml:space="preserve">En vertu du paragraphe 1er de l’article 133 du décret du 3 mars 2004 organisant l’enseignement spécialisé, les élèves inscrits dans l’enseignement spécialisé en intégration temporaire totale qui suivent la totalité de leurs cours dans l’enseignement ordinaire </w:t>
                  </w:r>
                  <w:r>
                    <w:rPr>
                      <w:b/>
                      <w:color w:val="000000"/>
                      <w:lang w:eastAsia="fr-FR"/>
                    </w:rPr>
                    <w:t>sont automatiquement inscrits</w:t>
                  </w:r>
                  <w:r>
                    <w:rPr>
                      <w:color w:val="000000"/>
                      <w:lang w:eastAsia="fr-FR"/>
                    </w:rPr>
                    <w:t xml:space="preserve"> en intégration permanente totale dans l’école d’enseignement ordinaire le dernier jour ouvrable du mois de mai de la même année.</w:t>
                  </w:r>
                </w:p>
                <w:p/>
                <w:p/>
                <w:p>
                  <w:pPr>
                    <w:jc w:val="both"/>
                    <w:rPr>
                      <w:b/>
                      <w:bCs/>
                    </w:rPr>
                  </w:pPr>
                  <w:r>
                    <w:rPr>
                      <w:b/>
                      <w:bCs/>
                    </w:rPr>
                    <w:t>10) Faut-il prévenir l’Administration si un élève en intégration retourne dans l’enseignement ordinaire ?</w:t>
                  </w:r>
                </w:p>
                <w:p>
                  <w:pPr>
                    <w:jc w:val="both"/>
                    <w:rPr>
                      <w:bCs/>
                    </w:rPr>
                  </w:pPr>
                </w:p>
                <w:p>
                  <w:pPr>
                    <w:pBdr>
                      <w:right w:val="single" w:sz="4" w:space="4" w:color="auto"/>
                    </w:pBdr>
                    <w:jc w:val="both"/>
                  </w:pPr>
                  <w:r>
                    <w:t>Oui.</w:t>
                  </w:r>
                </w:p>
                <w:p>
                  <w:pPr>
                    <w:pBdr>
                      <w:right w:val="single" w:sz="4" w:space="4" w:color="auto"/>
                    </w:pBdr>
                    <w:jc w:val="both"/>
                  </w:pPr>
                  <w:r>
                    <w:t xml:space="preserve">L’Administration est informée de l’arrêt de l’intégration via </w:t>
                  </w:r>
                  <w:hyperlink w:anchor="_Annexe_4_:_2" w:history="1">
                    <w:r>
                      <w:rPr>
                        <w:rStyle w:val="Lienhypertexte"/>
                        <w:rFonts w:cstheme="minorBidi"/>
                      </w:rPr>
                      <w:t>l’Annexe 4.</w:t>
                    </w:r>
                  </w:hyperlink>
                  <w:r>
                    <w:t xml:space="preserve"> </w:t>
                  </w:r>
                </w:p>
                <w:p>
                  <w:pPr>
                    <w:jc w:val="both"/>
                  </w:pPr>
                </w:p>
                <w:p>
                  <w:pPr>
                    <w:jc w:val="both"/>
                    <w:rPr>
                      <w:bCs/>
                    </w:rPr>
                  </w:pPr>
                  <w:r>
                    <w:rPr>
                      <w:b/>
                      <w:bCs/>
                    </w:rPr>
                    <w:t>11) Que se passe-t-il si le chef d’établissement ne prévient pas l’Administration qu’un élève est intégré</w:t>
                  </w:r>
                  <w:r>
                    <w:rPr>
                      <w:bCs/>
                    </w:rPr>
                    <w:t> ?</w:t>
                  </w:r>
                </w:p>
                <w:p>
                  <w:pPr>
                    <w:jc w:val="both"/>
                    <w:rPr>
                      <w:bCs/>
                    </w:rPr>
                  </w:pPr>
                </w:p>
                <w:p>
                  <w:pPr>
                    <w:numPr>
                      <w:ilvl w:val="0"/>
                      <w:numId w:val="133"/>
                    </w:numPr>
                    <w:tabs>
                      <w:tab w:val="clear" w:pos="1307"/>
                    </w:tabs>
                    <w:suppressAutoHyphens/>
                    <w:ind w:left="426" w:hanging="426"/>
                    <w:jc w:val="both"/>
                  </w:pPr>
                  <w:r>
                    <w:t>Aucun encadrement spécifique pour l’intégration ne sera calculé pour cet élève.</w:t>
                  </w:r>
                </w:p>
                <w:p>
                  <w:pPr>
                    <w:numPr>
                      <w:ilvl w:val="0"/>
                      <w:numId w:val="133"/>
                    </w:numPr>
                    <w:tabs>
                      <w:tab w:val="clear" w:pos="1307"/>
                    </w:tabs>
                    <w:suppressAutoHyphens/>
                    <w:ind w:left="426" w:hanging="426"/>
                    <w:jc w:val="both"/>
                  </w:pPr>
                  <w:r>
                    <w:t>Les membres du personnel de l’enseignement spécialisé ne sont pas autorisés à se déplacer dans l’école d’enseignement  ordinaire pour accompagner cet élève.</w:t>
                  </w:r>
                </w:p>
                <w:p>
                  <w:pPr>
                    <w:numPr>
                      <w:ilvl w:val="0"/>
                      <w:numId w:val="133"/>
                    </w:numPr>
                    <w:tabs>
                      <w:tab w:val="clear" w:pos="1307"/>
                    </w:tabs>
                    <w:suppressAutoHyphens/>
                    <w:ind w:left="426" w:hanging="426"/>
                    <w:jc w:val="both"/>
                  </w:pPr>
                  <w:r>
                    <w:t>Aucune période complémentaire ne peut être sollicitée.</w:t>
                  </w:r>
                </w:p>
                <w:p>
                  <w:pPr>
                    <w:numPr>
                      <w:ilvl w:val="0"/>
                      <w:numId w:val="133"/>
                    </w:numPr>
                    <w:tabs>
                      <w:tab w:val="clear" w:pos="1307"/>
                    </w:tabs>
                    <w:suppressAutoHyphens/>
                    <w:ind w:left="426" w:hanging="426"/>
                    <w:jc w:val="both"/>
                  </w:pPr>
                  <w:r>
                    <w:t xml:space="preserve">L’élève devra </w:t>
                  </w:r>
                  <w:r>
                    <w:rPr>
                      <w:u w:val="single"/>
                    </w:rPr>
                    <w:t>obligatoirement</w:t>
                  </w:r>
                  <w:r>
                    <w:t xml:space="preserve"> se trouver dans l’école dans laquelle il est régulièrement inscrit.</w:t>
                  </w:r>
                </w:p>
                <w:p>
                  <w:pPr>
                    <w:jc w:val="both"/>
                  </w:pPr>
                </w:p>
                <w:p>
                  <w:pPr>
                    <w:tabs>
                      <w:tab w:val="left" w:pos="709"/>
                    </w:tabs>
                    <w:jc w:val="both"/>
                    <w:rPr>
                      <w:b/>
                      <w:bCs/>
                    </w:rPr>
                  </w:pPr>
                  <w:r>
                    <w:rPr>
                      <w:b/>
                      <w:bCs/>
                    </w:rPr>
                    <w:t>12) Un élève inscrit dans l’enseignement maternel ordinaire peut-il bénéficier de l’intégration avec l’aide d’une école d’enseignement spécialisé qui n’organise pas le niveau maternel ?</w:t>
                  </w:r>
                </w:p>
                <w:p>
                  <w:pPr>
                    <w:tabs>
                      <w:tab w:val="left" w:pos="709"/>
                    </w:tabs>
                    <w:jc w:val="both"/>
                    <w:rPr>
                      <w:bCs/>
                    </w:rPr>
                  </w:pPr>
                </w:p>
                <w:p>
                  <w:pPr>
                    <w:jc w:val="both"/>
                  </w:pPr>
                  <w:r>
                    <w:t>L’accompagnement en intégration d’un élève dans l’enseignement maternel ordinaire peut être confié à un instituteur(trice) maternel(le).</w:t>
                  </w:r>
                </w:p>
                <w:p>
                  <w:pPr>
                    <w:jc w:val="both"/>
                  </w:pPr>
                </w:p>
                <w:p>
                  <w:pPr>
                    <w:jc w:val="both"/>
                  </w:pPr>
                  <w:r>
                    <w:t>Dans l’hypothèse où il n’y aurait pas d’</w:t>
                  </w:r>
                  <w:r>
                    <w:rPr>
                      <w:iCs/>
                    </w:rPr>
                    <w:t>instituteur (trice) maternel (le), u</w:t>
                  </w:r>
                  <w:r>
                    <w:t>n instituteur (trice) primaire « maître d’enseignement individualisé » ou « maître d’activités éducatives », un membre du personnel paramédical ou exerçant une autre fonction prévue dans le niveau fondamental peut assurer cet accompagnement.</w:t>
                  </w:r>
                </w:p>
                <w:p>
                  <w:pPr>
                    <w:tabs>
                      <w:tab w:val="left" w:pos="709"/>
                    </w:tabs>
                    <w:jc w:val="both"/>
                    <w:rPr>
                      <w:b/>
                      <w:bCs/>
                    </w:rPr>
                  </w:pPr>
                </w:p>
                <w:p>
                  <w:pPr>
                    <w:tabs>
                      <w:tab w:val="left" w:pos="709"/>
                    </w:tabs>
                    <w:jc w:val="both"/>
                    <w:rPr>
                      <w:b/>
                      <w:bCs/>
                    </w:rPr>
                  </w:pPr>
                  <w:r>
                    <w:rPr>
                      <w:b/>
                      <w:bCs/>
                    </w:rPr>
                    <w:t>13) Comment faire s’il n’y a pas d’établissement d’enseignement spécialisé organisant le type d’enseignement souhaité à une distance raisonnable du domicile de l’élève?</w:t>
                  </w:r>
                </w:p>
                <w:p>
                  <w:pPr>
                    <w:tabs>
                      <w:tab w:val="left" w:pos="709"/>
                    </w:tabs>
                    <w:jc w:val="both"/>
                    <w:rPr>
                      <w:bCs/>
                    </w:rPr>
                  </w:pPr>
                </w:p>
                <w:p>
                  <w:pPr>
                    <w:jc w:val="both"/>
                  </w:pPr>
                  <w:r>
                    <w:t>Le Ministre peut autoriser un établissement d’enseignement spécialisé à accompagner l’élève, même si il n’organise pas le type d’enseignement mentionné sur son attestation d’orientation pour deux raisons :  l’absence d’offre d’enseignement à une distance raisonnable du domicile de l’élève (4 kilomètres) dans le respect du libre choix des parents ou le refus d’un ou plusieurs partenaires de participer à l’intégration.</w:t>
                  </w:r>
                </w:p>
                <w:p>
                  <w:pPr>
                    <w:jc w:val="both"/>
                  </w:pPr>
                  <w:r>
                    <w:t>Cette autorisation se fait sur base d’un avis motivé du Conseil général de l’enseignement fondamental.</w:t>
                  </w:r>
                </w:p>
                <w:p>
                  <w:pPr>
                    <w:jc w:val="both"/>
                  </w:pPr>
                </w:p>
                <w:p>
                  <w:pPr>
                    <w:jc w:val="both"/>
                  </w:pPr>
                  <w:r>
                    <w:t xml:space="preserve">Le dossier motivé (Cf. document figurant en </w:t>
                  </w:r>
                  <w:hyperlink w:anchor="_Annexe_8_:" w:history="1">
                    <w:r>
                      <w:rPr>
                        <w:rStyle w:val="Lienhypertexte"/>
                        <w:rFonts w:cs="Arial"/>
                      </w:rPr>
                      <w:t>annexe 8</w:t>
                    </w:r>
                  </w:hyperlink>
                  <w:r>
                    <w:t xml:space="preserve">) doit être introduit par le chef d’établissement dans l’enseignement spécialisé organisé par la Fédération Wallonie-Bruxelles ou le pouvoir organisateur dans l’enseignement spécialisé subventionné par la Fédération Wallonie Bruxelles. </w:t>
                  </w:r>
                </w:p>
                <w:p>
                  <w:pPr>
                    <w:jc w:val="both"/>
                    <w:rPr>
                      <w:b/>
                      <w:bCs/>
                    </w:rPr>
                  </w:pPr>
                </w:p>
                <w:p>
                  <w:pPr>
                    <w:jc w:val="both"/>
                    <w:rPr>
                      <w:b/>
                      <w:bCs/>
                    </w:rPr>
                  </w:pPr>
                  <w:r>
                    <w:rPr>
                      <w:b/>
                      <w:bCs/>
                    </w:rPr>
                    <w:t>14) Le personnel accompagnant peut-il être nommé dans les périodes d’accompagnement de l’intégration ?</w:t>
                  </w:r>
                </w:p>
                <w:p>
                  <w:pPr>
                    <w:jc w:val="both"/>
                    <w:rPr>
                      <w:bCs/>
                    </w:rPr>
                  </w:pPr>
                </w:p>
                <w:p>
                  <w:pPr>
                    <w:tabs>
                      <w:tab w:val="left" w:pos="360"/>
                      <w:tab w:val="left" w:pos="709"/>
                    </w:tabs>
                    <w:jc w:val="both"/>
                    <w:rPr>
                      <w:bCs/>
                    </w:rPr>
                  </w:pPr>
                  <w:r>
                    <w:rPr>
                      <w:bCs/>
                    </w:rPr>
                    <w:t xml:space="preserve">Le personnel de l’enseignement spécialisé peut être nommé dans les heures qui lui sont attribuées pour effectuer de l’accompagnement à </w:t>
                  </w:r>
                  <w:r>
                    <w:t>l’intégration (intégration permanente totale, intégration tempo</w:t>
                  </w:r>
                  <w:r>
                    <w:rPr>
                      <w:bCs/>
                    </w:rPr>
                    <w:t xml:space="preserve">raire totale, intégration temporaire partielle, intégration permanente partielle) excepté pour les heures dérogatoires ou issues de reliquats. </w:t>
                  </w:r>
                </w:p>
                <w:p>
                  <w:pPr>
                    <w:tabs>
                      <w:tab w:val="left" w:pos="360"/>
                      <w:tab w:val="left" w:pos="709"/>
                    </w:tabs>
                    <w:jc w:val="both"/>
                    <w:rPr>
                      <w:bCs/>
                    </w:rPr>
                  </w:pPr>
                </w:p>
                <w:p>
                  <w:pPr>
                    <w:tabs>
                      <w:tab w:val="left" w:pos="360"/>
                      <w:tab w:val="left" w:pos="709"/>
                    </w:tabs>
                    <w:jc w:val="both"/>
                    <w:rPr>
                      <w:bCs/>
                    </w:rPr>
                  </w:pPr>
                  <w:r>
                    <w:rPr>
                      <w:bCs/>
                    </w:rPr>
                    <w:t xml:space="preserve">Cela signifie qu’outre les heures prélevées du CPU pour effectuer de l’accompagnement à l’intégration et pour lesquelles une nomination était déjà possible, les membres du personnel peuvent être nommés pour les périodes issues des 4 périodes attribuées pour les élèves en intégration permanente totale au niveau primaire. </w:t>
                  </w:r>
                </w:p>
                <w:p>
                  <w:pPr>
                    <w:tabs>
                      <w:tab w:val="left" w:pos="360"/>
                      <w:tab w:val="left" w:pos="709"/>
                    </w:tabs>
                    <w:jc w:val="both"/>
                    <w:rPr>
                      <w:bCs/>
                    </w:rPr>
                  </w:pPr>
                </w:p>
                <w:p>
                  <w:pPr>
                    <w:tabs>
                      <w:tab w:val="left" w:pos="360"/>
                      <w:tab w:val="left" w:pos="709"/>
                    </w:tabs>
                    <w:jc w:val="both"/>
                    <w:rPr>
                      <w:bCs/>
                    </w:rPr>
                  </w:pPr>
                  <w:r>
                    <w:rPr>
                      <w:bCs/>
                    </w:rPr>
                    <w:t xml:space="preserve">Par contre les heures issues des périodes complémentaires acquises sur base dérogatoire ne peuvent mener à une nomination. Il s’agit principalement des périodes « Article 148 » et « Article 133 ». </w:t>
                  </w:r>
                </w:p>
                <w:p>
                  <w:pPr>
                    <w:tabs>
                      <w:tab w:val="left" w:pos="360"/>
                      <w:tab w:val="left" w:pos="709"/>
                    </w:tabs>
                    <w:jc w:val="both"/>
                    <w:rPr>
                      <w:bCs/>
                    </w:rPr>
                  </w:pPr>
                </w:p>
                <w:p>
                  <w:pPr>
                    <w:tabs>
                      <w:tab w:val="left" w:pos="360"/>
                      <w:tab w:val="left" w:pos="709"/>
                    </w:tabs>
                    <w:jc w:val="both"/>
                    <w:rPr>
                      <w:bCs/>
                    </w:rPr>
                  </w:pPr>
                  <w:r>
                    <w:rPr>
                      <w:bCs/>
                    </w:rPr>
                    <w:t xml:space="preserve">Pour rappel, les heures issues de transfert de reliquat ne peuvent pas mener à une nomination, même dans le cadre de l’accompagnement à l’intégration. </w:t>
                  </w:r>
                </w:p>
                <w:p>
                  <w:pPr>
                    <w:jc w:val="both"/>
                    <w:rPr>
                      <w:b/>
                      <w:bCs/>
                    </w:rPr>
                  </w:pPr>
                </w:p>
                <w:p>
                  <w:pPr>
                    <w:jc w:val="both"/>
                    <w:rPr>
                      <w:b/>
                      <w:bCs/>
                    </w:rPr>
                  </w:pPr>
                  <w:r>
                    <w:rPr>
                      <w:b/>
                      <w:bCs/>
                    </w:rPr>
                    <w:t>15) Est-ce qu’un élève peut être intégré dans une école d’enseignement ordinaire située dans une commune à facilités relevant de la Communauté flamande ?</w:t>
                  </w:r>
                </w:p>
                <w:p>
                  <w:pPr>
                    <w:jc w:val="both"/>
                    <w:rPr>
                      <w:bCs/>
                    </w:rPr>
                  </w:pP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Cs/>
                    </w:rPr>
                  </w:pPr>
                  <w:r>
                    <w:rPr>
                      <w:bCs/>
                    </w:rPr>
                    <w:t xml:space="preserve">Non, les écoles situées dans ces communes ne sont pas soumises au </w:t>
                  </w:r>
                  <w:r>
                    <w:t>Décret du 3 mars 2004 organisant l’enseignement spécialisé</w:t>
                  </w:r>
                  <w:r>
                    <w:rPr>
                      <w:bCs/>
                    </w:rPr>
                    <w:t xml:space="preserve"> et ne peuvent donc pas être partenaires d’un projet d’intégration. (A l’exception des écoles francophones sises sur le territoire de la commune de RENAIX).</w:t>
                  </w:r>
                </w:p>
                <w:p>
                  <w:pPr>
                    <w:jc w:val="both"/>
                  </w:pPr>
                </w:p>
                <w:p>
                  <w:pPr>
                    <w:jc w:val="both"/>
                    <w:rPr>
                      <w:b/>
                    </w:rPr>
                  </w:pPr>
                  <w:r>
                    <w:rPr>
                      <w:b/>
                    </w:rPr>
                    <w:t>16) Les élèves en intégration permanente totale doivent-ils avoir un plan individuel d’apprentissage (P.I.A) ?</w:t>
                  </w:r>
                </w:p>
                <w:p>
                  <w:pPr>
                    <w:jc w:val="both"/>
                  </w:pPr>
                </w:p>
                <w:p>
                  <w:pPr>
                    <w:jc w:val="both"/>
                  </w:pPr>
                  <w:r>
                    <w:t>Oui, même si ces élèves sont inscrits dans l’enseignement ordinaire, le décret prévoit qu’un P.I.A. est élaboré et ajusté par le ou les membre(s) du personnel de l’enseignement spécialisé qui assurent l’accompagnement en concertation avec le conseil de classe dans l’enseignement secondaire ordinaire ou l’équipe éducative dans l’enseignement fondamental ordinaire.</w:t>
                  </w:r>
                </w:p>
                <w:p>
                  <w:pPr>
                    <w:jc w:val="both"/>
                  </w:pPr>
                </w:p>
                <w:p>
                  <w:pPr>
                    <w:jc w:val="both"/>
                    <w:rPr>
                      <w:b/>
                    </w:rPr>
                  </w:pPr>
                  <w:r>
                    <w:rPr>
                      <w:b/>
                    </w:rPr>
                    <w:t>17) Quand et comment sont calculés les différents accompagnements relatifs à l’intégration ?</w:t>
                  </w:r>
                </w:p>
                <w:p>
                  <w:pPr>
                    <w:jc w:val="both"/>
                    <w:rPr>
                      <w:b/>
                    </w:rPr>
                  </w:pPr>
                </w:p>
                <w:p>
                  <w:pPr>
                    <w:jc w:val="both"/>
                  </w:pPr>
                  <w:r>
                    <w:t>On peut différencier trois types de périodes attribuées dans le cadre de l’intégration.</w:t>
                  </w:r>
                </w:p>
                <w:p/>
                <w:p>
                  <w:pPr>
                    <w:jc w:val="both"/>
                  </w:pPr>
                  <w:r>
                    <w:t>1) Les périodes organiques pour les élèves en intégration temporaire et/ou partielle :</w:t>
                  </w:r>
                </w:p>
                <w:p>
                  <w:pPr>
                    <w:jc w:val="both"/>
                  </w:pPr>
                </w:p>
                <w:p>
                  <w:pPr>
                    <w:jc w:val="both"/>
                  </w:pPr>
                  <w:r>
                    <w:t>Ces élèves sont comptabilisés comme tous les élèves régulièrement inscrits en enseignement spécialisé. Ils sont pris en compte aux différentes dates de comptage ou de recomptage (15 janvier, 30 septembre, 10%). Les périodes qu’ils génèrent sont comprises dans les capitaux-périodes utilisables des différentes catégories de personnel.</w:t>
                  </w:r>
                </w:p>
                <w:p>
                  <w:pPr>
                    <w:jc w:val="both"/>
                  </w:pPr>
                </w:p>
                <w:p>
                  <w:pPr>
                    <w:jc w:val="both"/>
                  </w:pPr>
                  <w:r>
                    <w:t>Conséquences :</w:t>
                  </w:r>
                </w:p>
                <w:p>
                  <w:pPr>
                    <w:numPr>
                      <w:ilvl w:val="0"/>
                      <w:numId w:val="139"/>
                    </w:numPr>
                    <w:tabs>
                      <w:tab w:val="clear" w:pos="357"/>
                      <w:tab w:val="num" w:pos="540"/>
                    </w:tabs>
                    <w:suppressAutoHyphens/>
                    <w:ind w:left="993" w:hanging="426"/>
                    <w:jc w:val="both"/>
                  </w:pPr>
                  <w:r>
                    <w:t>un élève en intégration temporaire totale inscrit au 15 janvier fait partie du nombre d’élèves pris en compte pour le CPU appliqué à partir du 1</w:t>
                  </w:r>
                  <w:r>
                    <w:rPr>
                      <w:vertAlign w:val="superscript"/>
                    </w:rPr>
                    <w:t>er</w:t>
                  </w:r>
                  <w:r>
                    <w:t xml:space="preserve"> septembre, même s’il n’est plus inscrit dans l’établissement au 1</w:t>
                  </w:r>
                  <w:r>
                    <w:rPr>
                      <w:vertAlign w:val="superscript"/>
                    </w:rPr>
                    <w:t>er</w:t>
                  </w:r>
                  <w:r>
                    <w:t xml:space="preserve"> septembre.</w:t>
                  </w:r>
                </w:p>
                <w:p>
                  <w:pPr>
                    <w:numPr>
                      <w:ilvl w:val="0"/>
                      <w:numId w:val="139"/>
                    </w:numPr>
                    <w:tabs>
                      <w:tab w:val="clear" w:pos="357"/>
                      <w:tab w:val="num" w:pos="540"/>
                    </w:tabs>
                    <w:suppressAutoHyphens/>
                    <w:ind w:left="993" w:hanging="426"/>
                    <w:jc w:val="both"/>
                  </w:pPr>
                  <w:r>
                    <w:t xml:space="preserve">un élève qui débute son intégration temporaire totale en septembre ne sera pris en compte pour le calcul du CPU que si l’école a un recomptage suite à une variation de 5% au 30 septembre. </w:t>
                  </w:r>
                </w:p>
                <w:p>
                  <w:pPr>
                    <w:numPr>
                      <w:ilvl w:val="0"/>
                      <w:numId w:val="139"/>
                    </w:numPr>
                    <w:tabs>
                      <w:tab w:val="clear" w:pos="357"/>
                      <w:tab w:val="num" w:pos="540"/>
                    </w:tabs>
                    <w:suppressAutoHyphens/>
                    <w:ind w:left="993" w:hanging="426"/>
                    <w:jc w:val="both"/>
                  </w:pPr>
                  <w:r>
                    <w:t>un élève qui débute une intégration temporaire totale en cours d’année ne sera pris en compte dans le CPU qu’en cas d’une augmentation de la population de 10%.</w:t>
                  </w:r>
                </w:p>
                <w:p>
                  <w:pPr>
                    <w:jc w:val="both"/>
                  </w:pPr>
                </w:p>
                <w:p>
                  <w:pPr>
                    <w:jc w:val="both"/>
                  </w:pPr>
                  <w:r>
                    <w:t>2) Les 4 périodes pour les intégrations permanentes totales :</w:t>
                  </w:r>
                </w:p>
                <w:p>
                  <w:pPr>
                    <w:jc w:val="both"/>
                  </w:pPr>
                </w:p>
                <w:p>
                  <w:pPr>
                    <w:jc w:val="both"/>
                  </w:pPr>
                  <w:r>
                    <w:t>Ces périodes sont attribuées annuellement pour les élèves en intégration permanente totale dont le dossier est en ordre. Ce nombre de périodes est recalculé en début de chaque année scolaire, sans prendre en compte le nombre d’IPT de l’année scolaire précédente.</w:t>
                  </w:r>
                </w:p>
                <w:p>
                  <w:pPr>
                    <w:jc w:val="both"/>
                  </w:pPr>
                </w:p>
                <w:p>
                  <w:pPr>
                    <w:jc w:val="both"/>
                  </w:pPr>
                  <w:r>
                    <w:t>Conséquences :</w:t>
                  </w:r>
                </w:p>
                <w:p>
                  <w:pPr>
                    <w:numPr>
                      <w:ilvl w:val="0"/>
                      <w:numId w:val="140"/>
                    </w:numPr>
                    <w:tabs>
                      <w:tab w:val="clear" w:pos="357"/>
                      <w:tab w:val="num" w:pos="540"/>
                    </w:tabs>
                    <w:suppressAutoHyphens/>
                    <w:ind w:left="1134" w:hanging="567"/>
                    <w:jc w:val="both"/>
                  </w:pPr>
                  <w:r>
                    <w:t>un élève en intégration permanente totale au 15 janvier ne génère pas 4 périodes pour l’année scolaire suivante.</w:t>
                  </w:r>
                </w:p>
                <w:p>
                  <w:pPr>
                    <w:numPr>
                      <w:ilvl w:val="0"/>
                      <w:numId w:val="140"/>
                    </w:numPr>
                    <w:tabs>
                      <w:tab w:val="clear" w:pos="357"/>
                      <w:tab w:val="num" w:pos="540"/>
                    </w:tabs>
                    <w:suppressAutoHyphens/>
                    <w:ind w:left="1134" w:hanging="567"/>
                    <w:jc w:val="both"/>
                  </w:pPr>
                  <w:r>
                    <w:t xml:space="preserve">un élève qui débute ou poursuit une intégration permanente totale en septembre génère les  4 périodes pour l’année scolaire en cours. </w:t>
                  </w:r>
                </w:p>
                <w:p>
                  <w:pPr>
                    <w:jc w:val="both"/>
                  </w:pPr>
                </w:p>
                <w:p>
                  <w:pPr>
                    <w:jc w:val="both"/>
                  </w:pPr>
                </w:p>
                <w:p>
                  <w:pPr>
                    <w:jc w:val="both"/>
                  </w:pPr>
                  <w:r>
                    <w:t>3) Les périodes dérogatoires («capital-périodes complémentaire », « grande distance ») :</w:t>
                  </w:r>
                </w:p>
                <w:p>
                  <w:pPr>
                    <w:jc w:val="both"/>
                  </w:pPr>
                </w:p>
                <w:p>
                  <w:pPr>
                    <w:jc w:val="both"/>
                  </w:pPr>
                  <w:r>
                    <w:t>Ces périodes sont facultatives. Elles sont attribuées à différents moments de l’année. Le courrier annonçant la décision du Ministre ayant l’enseignement spécialisé dans ses attributions précise la durée de validité. Pour les périodes attribuées avant le 30 septembre, si l’école a un recomptage à cette date, elle doit rendre les périodes dérogatoires au 1</w:t>
                  </w:r>
                  <w:r>
                    <w:rPr>
                      <w:vertAlign w:val="superscript"/>
                    </w:rPr>
                    <w:t>er</w:t>
                  </w:r>
                  <w:r>
                    <w:t xml:space="preserve"> octobre.  Cette disposition ne concerne que les périodes dérogatoires «capital-périodes complémentaire ».</w:t>
                  </w:r>
                </w:p>
                <w:p>
                  <w:pPr>
                    <w:jc w:val="both"/>
                  </w:pPr>
                </w:p>
                <w:p>
                  <w:pPr>
                    <w:jc w:val="both"/>
                    <w:rPr>
                      <w:b/>
                    </w:rPr>
                  </w:pPr>
                  <w:r>
                    <w:rPr>
                      <w:b/>
                    </w:rPr>
                    <w:t>18) Comment se déroule le passage du niveau fondamental au niveau secondaire ?</w:t>
                  </w:r>
                </w:p>
                <w:p>
                  <w:pPr>
                    <w:jc w:val="both"/>
                  </w:pPr>
                </w:p>
                <w:p>
                  <w:pPr>
                    <w:tabs>
                      <w:tab w:val="left" w:pos="-1908"/>
                      <w:tab w:val="left" w:pos="1872"/>
                    </w:tabs>
                    <w:jc w:val="both"/>
                  </w:pPr>
                  <w:r>
                    <w:t>L’école d’enseignement fondamental spécialisé doit transmettre à l’Administration l’annexe 4. L’école d’enseignement secondaire spécialisé doit signaler la nouvelle intégration via le formulaire électronique intégration. Il faut donc établir un nouveau protocole d’intégration car il y a un changement de partenaires.</w:t>
                  </w:r>
                </w:p>
                <w:p/>
                <w:p>
                  <w:pPr>
                    <w:jc w:val="both"/>
                    <w:rPr>
                      <w:b/>
                      <w:bCs/>
                      <w:lang w:val="fr-FR" w:eastAsia="fr-FR"/>
                    </w:rPr>
                  </w:pPr>
                  <w:r>
                    <w:rPr>
                      <w:b/>
                      <w:bCs/>
                      <w:lang w:val="fr-FR" w:eastAsia="fr-FR"/>
                    </w:rPr>
                    <w:t xml:space="preserve">19) Comment interrompre une intégration en cours de processus ? </w:t>
                  </w:r>
                </w:p>
                <w:p>
                  <w:pPr>
                    <w:snapToGrid w:val="0"/>
                    <w:jc w:val="both"/>
                  </w:pPr>
                </w:p>
                <w:p>
                  <w:pPr>
                    <w:jc w:val="both"/>
                  </w:pPr>
                  <w:r>
                    <w:t xml:space="preserve">L’intégration prend fin à la date connue de l’évènement par les </w:t>
                  </w:r>
                  <w:r>
                    <w:rPr>
                      <w:b/>
                    </w:rPr>
                    <w:t>partenaires actuels</w:t>
                  </w:r>
                  <w:r>
                    <w:t xml:space="preserve"> du protocole d’intégration pour les motifs suivants : </w:t>
                  </w:r>
                </w:p>
                <w:p>
                  <w:pPr>
                    <w:jc w:val="both"/>
                  </w:pPr>
                  <w:r>
                    <w:t xml:space="preserve">1° une mesure de placement prise soit par un magistrat, soit par le conseiller ou le (la) directeur(trice) d’aide à la jeunesse ; </w:t>
                  </w:r>
                </w:p>
                <w:p>
                  <w:pPr>
                    <w:jc w:val="both"/>
                  </w:pPr>
                  <w:r>
                    <w:t xml:space="preserve">2° un changement de domicile ; </w:t>
                  </w:r>
                </w:p>
                <w:p>
                  <w:pPr>
                    <w:jc w:val="both"/>
                  </w:pPr>
                  <w:r>
                    <w:t xml:space="preserve">3° une séparation des parents entraînant un changement de lieu d’hébergement de l’élève ; </w:t>
                  </w:r>
                </w:p>
                <w:p>
                  <w:pPr>
                    <w:jc w:val="both"/>
                  </w:pPr>
                  <w:r>
                    <w:t xml:space="preserve">4° le passage de l’élève d’une école à régime d’externat vers un internat et vice versa ; </w:t>
                  </w:r>
                </w:p>
                <w:p>
                  <w:pPr>
                    <w:jc w:val="both"/>
                  </w:pPr>
                  <w:r>
                    <w:t xml:space="preserve">5° l’accueil de l’élève, sur l’initiative des parents, dans une autre famille ou dans un centre pour raison de maladie, de voyage ; </w:t>
                  </w:r>
                </w:p>
                <w:p>
                  <w:pPr>
                    <w:jc w:val="both"/>
                  </w:pPr>
                  <w:r>
                    <w:t>6° l’exclusion définitive de l’élève d’un autre établissement.</w:t>
                  </w:r>
                </w:p>
                <w:p>
                  <w:pPr>
                    <w:jc w:val="both"/>
                  </w:pPr>
                </w:p>
                <w:p>
                  <w:pPr>
                    <w:jc w:val="both"/>
                  </w:pPr>
                  <w:r>
                    <w:t xml:space="preserve">En cas de circonstances exceptionnelles, les </w:t>
                  </w:r>
                  <w:r>
                    <w:rPr>
                      <w:b/>
                    </w:rPr>
                    <w:t>partenaires actuels</w:t>
                  </w:r>
                  <w:r>
                    <w:t xml:space="preserve"> du protocole d’intégration peuvent, par décision collégiale</w:t>
                  </w:r>
                  <w:r>
                    <w:rPr>
                      <w:rStyle w:val="Appelnotedebasdep"/>
                    </w:rPr>
                    <w:footnoteReference w:id="129"/>
                  </w:r>
                  <w:r>
                    <w:t xml:space="preserve"> motivée, mettre fin à l'intégration et autoriser le retour à temps plein de l'élève dans l'enseignement spécialisé en cours d'année scolaire. </w:t>
                  </w:r>
                </w:p>
                <w:p>
                  <w:pPr>
                    <w:pBdr>
                      <w:right w:val="single" w:sz="4" w:space="4" w:color="auto"/>
                    </w:pBdr>
                    <w:jc w:val="both"/>
                  </w:pPr>
                  <w:r>
                    <w:t xml:space="preserve">La décision doit être communiquée à l’Administration dans les 30 jours calendrier de la dite-décision via </w:t>
                  </w:r>
                  <w:hyperlink w:anchor="_Annexe_4_:_2" w:history="1">
                    <w:r>
                      <w:rPr>
                        <w:rStyle w:val="Lienhypertexte"/>
                        <w:rFonts w:cstheme="minorBidi"/>
                      </w:rPr>
                      <w:t>l’Annexe 4</w:t>
                    </w:r>
                  </w:hyperlink>
                  <w:r>
                    <w:t xml:space="preserve">. </w:t>
                  </w:r>
                </w:p>
                <w:p>
                  <w:pPr>
                    <w:jc w:val="both"/>
                  </w:pPr>
                </w:p>
                <w:p>
                  <w:pPr>
                    <w:jc w:val="both"/>
                    <w:rPr>
                      <w:b/>
                    </w:rPr>
                  </w:pPr>
                  <w:r>
                    <w:rPr>
                      <w:b/>
                    </w:rPr>
                    <w:t>20) Puis-je intégrer un élève pour lequel je n’ai pas encore reçu l’attestation d’orientation précisant le type d’enseignement spécialisé correspondant aux besoins de l’élève ?</w:t>
                  </w:r>
                </w:p>
                <w:p>
                  <w:pPr>
                    <w:jc w:val="both"/>
                    <w:rPr>
                      <w:b/>
                    </w:rPr>
                  </w:pPr>
                </w:p>
                <w:p>
                  <w:pPr>
                    <w:tabs>
                      <w:tab w:val="left" w:pos="-1908"/>
                      <w:tab w:val="left" w:pos="1872"/>
                    </w:tabs>
                    <w:jc w:val="both"/>
                  </w:pPr>
                  <w:r>
                    <w:t>Non, sans ce document, aucun projet d’intégration ne peut débuter.</w:t>
                  </w:r>
                </w:p>
                <w:p>
                  <w:pPr>
                    <w:jc w:val="both"/>
                    <w:rPr>
                      <w:b/>
                    </w:rPr>
                  </w:pPr>
                </w:p>
                <w:p>
                  <w:pPr>
                    <w:jc w:val="both"/>
                    <w:rPr>
                      <w:b/>
                    </w:rPr>
                  </w:pPr>
                  <w:r>
                    <w:rPr>
                      <w:b/>
                    </w:rPr>
                    <w:t>21) Lorsqu’une intégration permanente totale n’est pas prolongée car l’élève n’a plus besoin d’accompagnement, l’élève doit-il retourner dans l’enseignement spécialisé ?</w:t>
                  </w:r>
                </w:p>
                <w:p>
                  <w:pPr>
                    <w:jc w:val="both"/>
                    <w:rPr>
                      <w:b/>
                    </w:rPr>
                  </w:pPr>
                </w:p>
                <w:p>
                  <w:pPr>
                    <w:tabs>
                      <w:tab w:val="left" w:pos="-1908"/>
                      <w:tab w:val="left" w:pos="1872"/>
                    </w:tabs>
                    <w:jc w:val="both"/>
                  </w:pPr>
                  <w:r>
                    <w:t>En principe, oui. Toutefois, le CPMS de l’école d’enseignement spécialisé doit rédiger un avis afin que l’élève puisse poursuivre sa scolarité dans l’enseignement ordinaire.</w:t>
                  </w:r>
                </w:p>
                <w:p>
                  <w:pPr>
                    <w:rPr>
                      <w:b/>
                    </w:rPr>
                  </w:pPr>
                </w:p>
                <w:p>
                  <w:pPr>
                    <w:jc w:val="both"/>
                    <w:rPr>
                      <w:b/>
                    </w:rPr>
                  </w:pPr>
                  <w:r>
                    <w:rPr>
                      <w:b/>
                    </w:rPr>
                    <w:t>22) Un élève de l’enseignement spécialisé pour lequel une intégration permanente est envisagée, peut-il faire valoir une priorité à l’inscription en 1</w:t>
                  </w:r>
                  <w:r>
                    <w:rPr>
                      <w:b/>
                      <w:vertAlign w:val="superscript"/>
                    </w:rPr>
                    <w:t>ère</w:t>
                  </w:r>
                  <w:r>
                    <w:rPr>
                      <w:b/>
                    </w:rPr>
                    <w:t xml:space="preserve"> année commune du 1</w:t>
                  </w:r>
                  <w:r>
                    <w:rPr>
                      <w:b/>
                      <w:vertAlign w:val="superscript"/>
                    </w:rPr>
                    <w:t>er</w:t>
                  </w:r>
                  <w:r>
                    <w:rPr>
                      <w:b/>
                    </w:rPr>
                    <w:t xml:space="preserve"> degré de l’enseignement secondaire ordinaire ?</w:t>
                  </w:r>
                </w:p>
                <w:p>
                  <w:pPr>
                    <w:jc w:val="both"/>
                    <w:rPr>
                      <w:b/>
                    </w:rPr>
                  </w:pPr>
                </w:p>
                <w:p>
                  <w:pPr>
                    <w:jc w:val="both"/>
                  </w:pPr>
                  <w:r>
                    <w:t>Oui, conformément à l’article 79/10, §1</w:t>
                  </w:r>
                  <w:r>
                    <w:rPr>
                      <w:vertAlign w:val="superscript"/>
                    </w:rPr>
                    <w:t>er</w:t>
                  </w:r>
                  <w:r>
                    <w:t>, 3° du Décret « Missions », sont considérés comme prioritaires, les élèves qui ont des besoins spécifiques et pour lesquels une intégration permanente est envisagée pour la première année du premier degré de l’enseignement secondaire.</w:t>
                  </w:r>
                </w:p>
                <w:p>
                  <w:pPr>
                    <w:jc w:val="both"/>
                    <w:rPr>
                      <w:b/>
                    </w:rPr>
                  </w:pPr>
                </w:p>
                <w:p>
                  <w:pPr>
                    <w:jc w:val="both"/>
                    <w:rPr>
                      <w:b/>
                    </w:rPr>
                  </w:pPr>
                  <w:r>
                    <w:rPr>
                      <w:b/>
                    </w:rPr>
                    <w:t>23) Si l’intégration d’un élève doit s’arrêter en cours d’année scolaire que se passe-t-il avec le personnel qui a été engagé ?</w:t>
                  </w:r>
                </w:p>
                <w:p>
                  <w:pPr>
                    <w:jc w:val="both"/>
                    <w:rPr>
                      <w:b/>
                    </w:rPr>
                  </w:pPr>
                </w:p>
                <w:p>
                  <w:pPr>
                    <w:tabs>
                      <w:tab w:val="left" w:pos="-1908"/>
                      <w:tab w:val="left" w:pos="1872"/>
                    </w:tabs>
                    <w:jc w:val="both"/>
                  </w:pPr>
                  <w:r>
                    <w:t xml:space="preserve">Lorsque les </w:t>
                  </w:r>
                  <w:r>
                    <w:rPr>
                      <w:b/>
                    </w:rPr>
                    <w:t>partenaires actuels</w:t>
                  </w:r>
                  <w:r>
                    <w:t xml:space="preserve"> du protocole d’intégration ont autorisé l’arrêt de l’intégration, les périodes octroyées pour l’intégration restent acquises. </w:t>
                  </w:r>
                </w:p>
                <w:p>
                  <w:pPr>
                    <w:tabs>
                      <w:tab w:val="left" w:pos="-1908"/>
                      <w:tab w:val="left" w:pos="1872"/>
                    </w:tabs>
                    <w:jc w:val="both"/>
                    <w:rPr>
                      <w:b/>
                    </w:rPr>
                  </w:pPr>
                  <w:r>
                    <w:t>Toutefois, s’il s’agit de périodes dérogatoires et que l’intégration de l’élève s’arrête avant le 30 septembre, les périodes dérogatoires sont restituées dès le 1er octobre.</w:t>
                  </w:r>
                </w:p>
                <w:p>
                  <w:pPr>
                    <w:jc w:val="both"/>
                    <w:rPr>
                      <w:b/>
                    </w:rPr>
                  </w:pPr>
                </w:p>
                <w:p>
                  <w:pPr>
                    <w:jc w:val="both"/>
                    <w:rPr>
                      <w:b/>
                    </w:rPr>
                  </w:pPr>
                  <w:r>
                    <w:rPr>
                      <w:b/>
                    </w:rPr>
                    <w:t>24) Comment assurer une continuité dans l’accompagnement d’un élève intégré qui passe du niveau primaire au niveau secondaire ?</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r>
                    <w:rPr>
                      <w:b/>
                    </w:rPr>
                    <w:t xml:space="preserve"> </w:t>
                  </w:r>
                </w:p>
                <w:p>
                  <w:pPr>
                    <w:jc w:val="both"/>
                  </w:pPr>
                </w:p>
                <w:p>
                  <w:pPr>
                    <w:jc w:val="both"/>
                  </w:pPr>
                  <w:r>
                    <w:t xml:space="preserve">Le changement de niveau implique automatiquement deux nouvelles écoles partenaires du niveau secondaire, et donc un NOUVEAU PROTOCOLE.  </w:t>
                  </w:r>
                </w:p>
                <w:p>
                  <w:pPr>
                    <w:jc w:val="both"/>
                  </w:pPr>
                  <w:r>
                    <w:t>Les informations contenues dans le PIA et dans le protocole d’intégration du niveau fondamental seront certainement indispensables à l’élaboration du nouveau projet et à la constitution de ce protocole.</w:t>
                  </w:r>
                </w:p>
                <w:p>
                  <w:pPr>
                    <w:jc w:val="both"/>
                  </w:pPr>
                  <w:r>
                    <w:t>Néanmoins, afin d’assurer la transition et permettre aux enseignants du niveau secondaire, tant ordinaire que spécialisé, de mieux connaître l’élève, il est recommandé aux deux nouvelles écoles partenaires d’inviter l’école fondamentale spécialisée (et éventuellement ordinaire) à participer aux premières réunions de concertation quant aux modalités de mise en place de l’accompagnement.</w:t>
                  </w:r>
                </w:p>
                <w:p>
                  <w:pPr>
                    <w:autoSpaceDE w:val="0"/>
                    <w:autoSpaceDN w:val="0"/>
                    <w:adjustRightInd w:val="0"/>
                    <w:jc w:val="both"/>
                  </w:pPr>
                  <w:r>
                    <w:t>Cette disposition s’inscrit parfaitement dans la logique du continuum pédagogique prévu par le Décret du 24 juillet 1997 définissant les missions prioritaires de l'enseignement fondamental et de l'enseignement secondaire et organisant les structures propres à les atteindre et par la circulaire n° 2955 du 11 décembre 2009 relative au continuum pédagogique dans l’enseignement spécialisé.</w:t>
                  </w:r>
                </w:p>
                <w:p>
                  <w:pPr>
                    <w:autoSpaceDE w:val="0"/>
                    <w:autoSpaceDN w:val="0"/>
                    <w:adjustRightInd w:val="0"/>
                    <w:jc w:val="both"/>
                  </w:pPr>
                </w:p>
                <w:p>
                  <w:pPr>
                    <w:autoSpaceDE w:val="0"/>
                    <w:autoSpaceDN w:val="0"/>
                    <w:adjustRightInd w:val="0"/>
                    <w:jc w:val="both"/>
                    <w:rPr>
                      <w:b/>
                    </w:rPr>
                  </w:pPr>
                  <w:r>
                    <w:rPr>
                      <w:b/>
                    </w:rPr>
                    <w:t xml:space="preserve">25) Quelles sont les dispositions applicables aux élèves en IPT et aux autres types d’intégration dans l’enseignement ordinaire ? </w:t>
                  </w:r>
                </w:p>
                <w:p>
                  <w:pPr>
                    <w:autoSpaceDE w:val="0"/>
                    <w:autoSpaceDN w:val="0"/>
                    <w:adjustRightInd w:val="0"/>
                    <w:jc w:val="both"/>
                  </w:pPr>
                </w:p>
                <w:p>
                  <w:pPr>
                    <w:pStyle w:val="Paragraphedeliste"/>
                    <w:numPr>
                      <w:ilvl w:val="1"/>
                      <w:numId w:val="95"/>
                    </w:numPr>
                    <w:autoSpaceDE w:val="0"/>
                    <w:autoSpaceDN w:val="0"/>
                    <w:adjustRightInd w:val="0"/>
                    <w:jc w:val="both"/>
                    <w:rPr>
                      <w:rFonts w:asciiTheme="majorHAnsi" w:hAnsiTheme="majorHAnsi"/>
                      <w:sz w:val="22"/>
                      <w:szCs w:val="22"/>
                    </w:rPr>
                  </w:pPr>
                  <w:r>
                    <w:rPr>
                      <w:rFonts w:asciiTheme="majorHAnsi" w:hAnsiTheme="majorHAnsi"/>
                      <w:sz w:val="22"/>
                      <w:szCs w:val="22"/>
                    </w:rPr>
                    <w:t>IPT</w:t>
                  </w:r>
                </w:p>
                <w:p>
                  <w:pPr>
                    <w:autoSpaceDE w:val="0"/>
                    <w:autoSpaceDN w:val="0"/>
                    <w:adjustRightInd w:val="0"/>
                    <w:jc w:val="both"/>
                  </w:pPr>
                </w:p>
                <w:p>
                  <w:pPr>
                    <w:autoSpaceDE w:val="0"/>
                    <w:autoSpaceDN w:val="0"/>
                    <w:adjustRightInd w:val="0"/>
                    <w:jc w:val="both"/>
                  </w:pPr>
                  <w:r>
                    <w:t>L’élève intégré de manière permanente totale est un élève de l’enseignement ordinaire.  En conséquence, la réglementation régissant l’enseignement ordinaire est applicable aux élèves en IPT.</w:t>
                  </w:r>
                </w:p>
                <w:p>
                  <w:pPr>
                    <w:autoSpaceDE w:val="0"/>
                    <w:autoSpaceDN w:val="0"/>
                    <w:adjustRightInd w:val="0"/>
                    <w:jc w:val="both"/>
                  </w:pPr>
                </w:p>
                <w:p>
                  <w:pPr>
                    <w:autoSpaceDE w:val="0"/>
                    <w:autoSpaceDN w:val="0"/>
                    <w:adjustRightInd w:val="0"/>
                    <w:jc w:val="both"/>
                  </w:pPr>
                  <w:r>
                    <w:t>Ainsi, dans le cadre d’un maintien en 3</w:t>
                  </w:r>
                  <w:r>
                    <w:rPr>
                      <w:vertAlign w:val="superscript"/>
                    </w:rPr>
                    <w:t>ème</w:t>
                  </w:r>
                  <w:r>
                    <w:t xml:space="preserve"> maternelle dans l’enseignement ordinaire des élèves de l’enseignement spécialisé qui sont en IPT, c’est le décret du 13 juillet 1998 relatif portant organisation de l’enseignement maternel et primaire ordinaire et modifiant la réglementation de l’enseignement qui est d’application.</w:t>
                  </w:r>
                </w:p>
                <w:p>
                  <w:pPr>
                    <w:autoSpaceDE w:val="0"/>
                    <w:autoSpaceDN w:val="0"/>
                    <w:adjustRightInd w:val="0"/>
                    <w:jc w:val="both"/>
                  </w:pPr>
                </w:p>
                <w:p>
                  <w:pPr>
                    <w:pStyle w:val="Paragraphedeliste"/>
                    <w:numPr>
                      <w:ilvl w:val="1"/>
                      <w:numId w:val="95"/>
                    </w:numPr>
                    <w:autoSpaceDE w:val="0"/>
                    <w:autoSpaceDN w:val="0"/>
                    <w:adjustRightInd w:val="0"/>
                    <w:jc w:val="both"/>
                    <w:rPr>
                      <w:rFonts w:asciiTheme="majorHAnsi" w:hAnsiTheme="majorHAnsi"/>
                      <w:sz w:val="22"/>
                      <w:szCs w:val="22"/>
                    </w:rPr>
                  </w:pPr>
                  <w:r>
                    <w:rPr>
                      <w:rFonts w:asciiTheme="majorHAnsi" w:hAnsiTheme="majorHAnsi"/>
                      <w:sz w:val="22"/>
                      <w:szCs w:val="22"/>
                    </w:rPr>
                    <w:t>Autres types d’intégration</w:t>
                  </w:r>
                </w:p>
                <w:p>
                  <w:pPr>
                    <w:autoSpaceDE w:val="0"/>
                    <w:autoSpaceDN w:val="0"/>
                    <w:adjustRightInd w:val="0"/>
                    <w:jc w:val="both"/>
                  </w:pPr>
                </w:p>
                <w:p>
                  <w:pPr>
                    <w:autoSpaceDE w:val="0"/>
                    <w:autoSpaceDN w:val="0"/>
                    <w:adjustRightInd w:val="0"/>
                    <w:jc w:val="both"/>
                  </w:pPr>
                  <w:r>
                    <w:t>La réglementation régissant l’enseignement spécialisé est applicable.</w:t>
                  </w:r>
                </w:p>
                <w:p>
                  <w:pPr>
                    <w:autoSpaceDE w:val="0"/>
                    <w:autoSpaceDN w:val="0"/>
                    <w:adjustRightInd w:val="0"/>
                    <w:jc w:val="both"/>
                  </w:pPr>
                </w:p>
                <w:p>
                  <w:pPr>
                    <w:pBdr>
                      <w:right w:val="single" w:sz="4" w:space="4" w:color="auto"/>
                    </w:pBdr>
                    <w:autoSpaceDE w:val="0"/>
                    <w:autoSpaceDN w:val="0"/>
                    <w:adjustRightInd w:val="0"/>
                    <w:jc w:val="both"/>
                    <w:rPr>
                      <w:b/>
                    </w:rPr>
                  </w:pPr>
                  <w:r>
                    <w:rPr>
                      <w:b/>
                    </w:rPr>
                    <w:t xml:space="preserve">26) En cas de passage d’un élève en I.P.T. dans l’enseignement primaire ordinaire vers l’enseignement secondaire ordinaire, quel est le CPMS compétent pour rendre son avis dans le cadre du nouveau protocole ?  </w:t>
                  </w:r>
                </w:p>
                <w:p>
                  <w:pPr>
                    <w:pBdr>
                      <w:right w:val="single" w:sz="4" w:space="4" w:color="auto"/>
                    </w:pBdr>
                    <w:autoSpaceDE w:val="0"/>
                    <w:autoSpaceDN w:val="0"/>
                    <w:adjustRightInd w:val="0"/>
                    <w:jc w:val="both"/>
                    <w:rPr>
                      <w:b/>
                    </w:rPr>
                  </w:pPr>
                </w:p>
                <w:p>
                  <w:pPr>
                    <w:pBdr>
                      <w:right w:val="single" w:sz="4" w:space="4" w:color="auto"/>
                    </w:pBdr>
                    <w:autoSpaceDE w:val="0"/>
                    <w:autoSpaceDN w:val="0"/>
                    <w:adjustRightInd w:val="0"/>
                    <w:jc w:val="both"/>
                  </w:pPr>
                  <w:r>
                    <w:t xml:space="preserve">C’est le CPMS de l’école primaire ordinaire. </w:t>
                  </w:r>
                </w:p>
                <w:p/>
                <w:p>
                  <w:pPr>
                    <w:pStyle w:val="Titre3"/>
                  </w:pPr>
                  <w:bookmarkStart w:id="2829" w:name="__RefHeading__255_957262308"/>
                  <w:bookmarkStart w:id="2830" w:name="_Toc291075411"/>
                  <w:bookmarkStart w:id="2831" w:name="_Toc291075835"/>
                  <w:bookmarkStart w:id="2832" w:name="_Toc291076259"/>
                  <w:bookmarkStart w:id="2833" w:name="_Toc291076683"/>
                  <w:bookmarkStart w:id="2834" w:name="_Toc291077107"/>
                  <w:bookmarkStart w:id="2835" w:name="_Toc293651950"/>
                  <w:bookmarkStart w:id="2836" w:name="_Toc293653533"/>
                  <w:bookmarkStart w:id="2837" w:name="_Toc293654144"/>
                  <w:bookmarkStart w:id="2838" w:name="_Toc294004722"/>
                  <w:bookmarkStart w:id="2839" w:name="_Toc294185218"/>
                  <w:bookmarkStart w:id="2840" w:name="_Toc324166036"/>
                  <w:bookmarkStart w:id="2841" w:name="_Toc324767072"/>
                  <w:bookmarkStart w:id="2842" w:name="_Toc453314437"/>
                  <w:bookmarkStart w:id="2843" w:name="_Toc454980472"/>
                  <w:bookmarkStart w:id="2844" w:name="_Toc18914488"/>
                  <w:bookmarkEnd w:id="2829"/>
                  <w:r>
                    <w:t>9. Articulation entre l’accompagnement par le personnel de l’établissement d’enseignement spécialisé et les services d’accompagnement ou SAI</w:t>
                  </w:r>
                  <w:bookmarkEnd w:id="2830"/>
                  <w:bookmarkEnd w:id="2831"/>
                  <w:bookmarkEnd w:id="2832"/>
                  <w:bookmarkEnd w:id="2833"/>
                  <w:bookmarkEnd w:id="2834"/>
                  <w:bookmarkEnd w:id="2835"/>
                  <w:bookmarkEnd w:id="2836"/>
                  <w:bookmarkEnd w:id="2837"/>
                  <w:bookmarkEnd w:id="2838"/>
                  <w:bookmarkEnd w:id="2839"/>
                  <w:bookmarkEnd w:id="2840"/>
                  <w:bookmarkEnd w:id="2841"/>
                  <w:r>
                    <w:t>.</w:t>
                  </w:r>
                  <w:bookmarkEnd w:id="2842"/>
                  <w:bookmarkEnd w:id="2843"/>
                  <w:bookmarkEnd w:id="2844"/>
                </w:p>
                <w:p>
                  <w:pPr>
                    <w:jc w:val="both"/>
                    <w:rPr>
                      <w:bCs/>
                      <w:iCs/>
                      <w:u w:val="single"/>
                    </w:rPr>
                  </w:pPr>
                </w:p>
                <w:p>
                  <w:pPr>
                    <w:jc w:val="both"/>
                  </w:pPr>
                  <w:r>
                    <w:t>Les accords de coopération conclus entre la Fédération Wallonie-Bruxelles et la Région wallonne et la COCOF prévoient une forme de complémentarité dans les différentes actions d’aide à l’intégration d’élèves à besoins spécifiques.</w:t>
                  </w:r>
                </w:p>
                <w:p>
                  <w:pPr>
                    <w:jc w:val="both"/>
                  </w:pPr>
                  <w:r>
                    <w:t>Il est évident qu’il ne peut être question de confondre les deux types d’actions :</w:t>
                  </w:r>
                </w:p>
                <w:p>
                  <w:pPr>
                    <w:jc w:val="both"/>
                  </w:pPr>
                </w:p>
                <w:p>
                  <w:pPr>
                    <w:numPr>
                      <w:ilvl w:val="0"/>
                      <w:numId w:val="131"/>
                    </w:numPr>
                    <w:suppressAutoHyphens/>
                    <w:ind w:left="454"/>
                    <w:jc w:val="both"/>
                  </w:pPr>
                  <w:r>
                    <w:t>Mission pédagogique réservée aux deux écoles partenaires.</w:t>
                  </w:r>
                </w:p>
                <w:p>
                  <w:pPr>
                    <w:numPr>
                      <w:ilvl w:val="0"/>
                      <w:numId w:val="131"/>
                    </w:numPr>
                    <w:suppressAutoHyphens/>
                    <w:ind w:left="454"/>
                    <w:jc w:val="both"/>
                  </w:pPr>
                  <w:r>
                    <w:t>Mission plus globale réservée aux services d’accompagnements (pour Bruxelles) ou aux S.A.I. (pour la RW)</w:t>
                  </w:r>
                </w:p>
                <w:p>
                  <w:pPr>
                    <w:suppressAutoHyphens/>
                    <w:ind w:left="454"/>
                    <w:jc w:val="both"/>
                  </w:pPr>
                </w:p>
                <w:p>
                  <w:pPr>
                    <w:jc w:val="both"/>
                  </w:pPr>
                </w:p>
                <w:p>
                  <w:pPr>
                    <w:jc w:val="both"/>
                    <w:rPr>
                      <w:u w:val="single"/>
                    </w:rPr>
                  </w:pPr>
                  <w:r>
                    <w:rPr>
                      <w:rFonts w:ascii="Times New Roman" w:hAnsi="Times New Roman" w:cs="Times New Roman"/>
                    </w:rPr>
                    <w:t>■</w:t>
                  </w:r>
                  <w:r>
                    <w:t xml:space="preserve"> </w:t>
                  </w:r>
                  <w:r>
                    <w:rPr>
                      <w:u w:val="single"/>
                    </w:rPr>
                    <w:t>Extrait de l’accord de coopération avec la RW par le décret du 30 avril 2009 :</w:t>
                  </w:r>
                </w:p>
                <w:p>
                  <w:pPr>
                    <w:jc w:val="both"/>
                    <w:rPr>
                      <w:u w:val="single"/>
                    </w:rPr>
                  </w:pPr>
                </w:p>
                <w:p>
                  <w:pPr>
                    <w:autoSpaceDE w:val="0"/>
                    <w:ind w:right="4"/>
                    <w:jc w:val="both"/>
                    <w:rPr>
                      <w:bCs/>
                      <w:lang w:val="fr-FR"/>
                    </w:rPr>
                  </w:pPr>
                  <w:r>
                    <w:rPr>
                      <w:bCs/>
                      <w:lang w:val="fr-FR"/>
                    </w:rPr>
                    <w:t xml:space="preserve">Article 2. </w:t>
                  </w:r>
                </w:p>
                <w:p>
                  <w:pPr>
                    <w:autoSpaceDE w:val="0"/>
                    <w:ind w:right="4"/>
                    <w:jc w:val="both"/>
                    <w:rPr>
                      <w:i/>
                      <w:lang w:val="fr-FR"/>
                    </w:rPr>
                  </w:pPr>
                  <w:r>
                    <w:rPr>
                      <w:i/>
                      <w:lang w:val="fr-FR"/>
                    </w:rPr>
                    <w:t>Le présent accord a pour objet</w:t>
                  </w:r>
                </w:p>
                <w:p>
                  <w:pPr>
                    <w:autoSpaceDE w:val="0"/>
                    <w:ind w:right="4"/>
                    <w:jc w:val="both"/>
                    <w:rPr>
                      <w:i/>
                      <w:lang w:val="fr-FR"/>
                    </w:rPr>
                  </w:pPr>
                  <w:r>
                    <w:rPr>
                      <w:i/>
                      <w:lang w:val="fr-FR"/>
                    </w:rPr>
                    <w:t>1° d’apporter un soutien spécialisé résiduaire à l’action de l’établissement scolaire au jeune dont la scolarisation dans l’enseignement ordinaire ou dans l’enseignement spécialisé est rendue difficile en raison de son handicap;</w:t>
                  </w:r>
                </w:p>
                <w:p>
                  <w:pPr>
                    <w:autoSpaceDE w:val="0"/>
                    <w:ind w:right="4"/>
                    <w:jc w:val="both"/>
                    <w:rPr>
                      <w:i/>
                      <w:lang w:val="fr-FR"/>
                    </w:rPr>
                  </w:pPr>
                  <w:r>
                    <w:rPr>
                      <w:i/>
                      <w:lang w:val="fr-FR"/>
                    </w:rPr>
                    <w:t>2° de répondre à un besoin ponctuel et/ou d’atteindre progressivement une scolarité à horaire complet pour les jeunes en situation de handicap et en décrochage scolaire ou non scolarisés.</w:t>
                  </w:r>
                </w:p>
                <w:p>
                  <w:pPr>
                    <w:autoSpaceDE w:val="0"/>
                    <w:ind w:right="4"/>
                    <w:jc w:val="both"/>
                    <w:rPr>
                      <w:i/>
                      <w:lang w:val="fr-FR"/>
                    </w:rPr>
                  </w:pPr>
                </w:p>
                <w:p>
                  <w:pPr>
                    <w:autoSpaceDE w:val="0"/>
                    <w:ind w:right="4"/>
                    <w:jc w:val="both"/>
                    <w:rPr>
                      <w:bCs/>
                      <w:lang w:val="fr-FR"/>
                    </w:rPr>
                  </w:pPr>
                  <w:r>
                    <w:rPr>
                      <w:bCs/>
                      <w:lang w:val="fr-FR"/>
                    </w:rPr>
                    <w:t xml:space="preserve">Article 3. </w:t>
                  </w:r>
                </w:p>
                <w:p>
                  <w:pPr>
                    <w:autoSpaceDE w:val="0"/>
                    <w:ind w:right="4"/>
                    <w:jc w:val="both"/>
                    <w:rPr>
                      <w:i/>
                      <w:lang w:val="fr-FR"/>
                    </w:rPr>
                  </w:pPr>
                  <w:r>
                    <w:rPr>
                      <w:i/>
                      <w:lang w:val="fr-FR"/>
                    </w:rPr>
                    <w:t>§ 1er. Chaque partie contractante s’engage, sous les conditions et dans les limites définies par le présent accord, à permettre au jeune une scolarité adaptée et un accompagnement spécialisé.</w:t>
                  </w:r>
                </w:p>
                <w:p>
                  <w:pPr>
                    <w:autoSpaceDE w:val="0"/>
                    <w:ind w:right="4"/>
                    <w:jc w:val="both"/>
                    <w:rPr>
                      <w:i/>
                      <w:lang w:val="fr-FR"/>
                    </w:rPr>
                  </w:pPr>
                  <w:r>
                    <w:rPr>
                      <w:i/>
                      <w:lang w:val="fr-FR"/>
                    </w:rPr>
                    <w:t>§ 2. Les modalités d’action des équipes respectives de l’établissement scolaire et du service sont déterminées dans la convention visée à l’article 5.</w:t>
                  </w:r>
                </w:p>
                <w:p>
                  <w:pPr>
                    <w:autoSpaceDE w:val="0"/>
                    <w:ind w:right="4"/>
                    <w:jc w:val="both"/>
                    <w:rPr>
                      <w:i/>
                      <w:lang w:val="fr-FR"/>
                    </w:rPr>
                  </w:pPr>
                  <w:r>
                    <w:rPr>
                      <w:i/>
                      <w:lang w:val="fr-FR"/>
                    </w:rPr>
                    <w:t>§ 3. La Région wallonne autorise, dans les limites fixées à l’article 2 du présent chapitre, les services de l’Agence à accompagner des jeunes ou à intervenir auprès de ceux-ci pendant le temps scolaire.</w:t>
                  </w:r>
                </w:p>
                <w:p>
                  <w:pPr>
                    <w:autoSpaceDE w:val="0"/>
                    <w:ind w:right="4"/>
                    <w:jc w:val="both"/>
                    <w:rPr>
                      <w:i/>
                      <w:lang w:val="fr-FR"/>
                    </w:rPr>
                  </w:pPr>
                  <w:r>
                    <w:rPr>
                      <w:i/>
                      <w:lang w:val="fr-FR"/>
                    </w:rPr>
                    <w:t>§ 4. La Communauté française autorise la collaboration entre les équipes de l’établissement scolaire et du service dans le respect des compétences et des responsabilités spécifiques à chaque équipe. Cette organisation est conçue de manière souple et adaptée conformément au projet individuel et au projet de convention visés à l’article 5.</w:t>
                  </w:r>
                </w:p>
                <w:p>
                  <w:pPr>
                    <w:autoSpaceDE w:val="0"/>
                    <w:ind w:right="713"/>
                    <w:jc w:val="both"/>
                    <w:rPr>
                      <w:bCs/>
                      <w:lang w:val="fr-FR"/>
                    </w:rPr>
                  </w:pPr>
                </w:p>
                <w:p>
                  <w:pPr>
                    <w:autoSpaceDE w:val="0"/>
                    <w:ind w:right="4"/>
                    <w:jc w:val="both"/>
                    <w:rPr>
                      <w:bCs/>
                      <w:lang w:val="fr-FR"/>
                    </w:rPr>
                  </w:pPr>
                  <w:r>
                    <w:rPr>
                      <w:bCs/>
                      <w:lang w:val="fr-FR"/>
                    </w:rPr>
                    <w:t xml:space="preserve">Article 4. </w:t>
                  </w:r>
                </w:p>
                <w:p>
                  <w:pPr>
                    <w:autoSpaceDE w:val="0"/>
                    <w:ind w:right="4"/>
                    <w:jc w:val="both"/>
                    <w:rPr>
                      <w:i/>
                      <w:lang w:val="fr-FR"/>
                    </w:rPr>
                  </w:pPr>
                  <w:r>
                    <w:rPr>
                      <w:i/>
                      <w:lang w:val="fr-FR"/>
                    </w:rPr>
                    <w:t>Les parties contractantes se communiquent réciproquement des informations sur les mesures qu’elles adoptent dans les matières concernées par le présent accord.</w:t>
                  </w:r>
                </w:p>
                <w:p>
                  <w:pPr>
                    <w:jc w:val="both"/>
                  </w:pPr>
                </w:p>
                <w:p>
                  <w:pPr>
                    <w:ind w:right="713"/>
                    <w:jc w:val="both"/>
                  </w:pPr>
                  <w:r>
                    <w:rPr>
                      <w:rFonts w:ascii="Times New Roman" w:hAnsi="Times New Roman" w:cs="Times New Roman"/>
                    </w:rPr>
                    <w:t>■</w:t>
                  </w:r>
                  <w:r>
                    <w:t xml:space="preserve"> </w:t>
                  </w:r>
                  <w:r>
                    <w:rPr>
                      <w:u w:val="single"/>
                    </w:rPr>
                    <w:t>Extrait de l’accord de coopération avec la COCOF par le Décret du 30 avril 2009 :</w:t>
                  </w:r>
                </w:p>
                <w:p>
                  <w:pPr>
                    <w:autoSpaceDE w:val="0"/>
                    <w:ind w:right="4"/>
                    <w:jc w:val="both"/>
                    <w:rPr>
                      <w:lang w:val="fr-FR"/>
                    </w:rPr>
                  </w:pPr>
                  <w:r>
                    <w:rPr>
                      <w:bCs/>
                      <w:lang w:val="fr-FR"/>
                    </w:rPr>
                    <w:t>Article 2</w:t>
                  </w:r>
                  <w:r>
                    <w:rPr>
                      <w:lang w:val="fr-FR"/>
                    </w:rPr>
                    <w:t xml:space="preserve">. </w:t>
                  </w:r>
                </w:p>
                <w:p>
                  <w:pPr>
                    <w:autoSpaceDE w:val="0"/>
                    <w:ind w:right="4"/>
                    <w:jc w:val="both"/>
                    <w:rPr>
                      <w:i/>
                      <w:lang w:val="fr-FR"/>
                    </w:rPr>
                  </w:pPr>
                  <w:r>
                    <w:rPr>
                      <w:i/>
                      <w:lang w:val="fr-FR"/>
                    </w:rPr>
                    <w:t>Le présent accord a pour objet d’apporter un soutien spécialisé résiduaire à l’action de l’établissement scolaire au jeune dont la scolarisation dans l’enseignement ordinaire est rendue difficile en raison de son handicap.</w:t>
                  </w:r>
                </w:p>
                <w:p>
                  <w:pPr>
                    <w:autoSpaceDE w:val="0"/>
                    <w:ind w:right="4"/>
                    <w:jc w:val="both"/>
                    <w:rPr>
                      <w:lang w:val="fr-FR"/>
                    </w:rPr>
                  </w:pPr>
                </w:p>
                <w:p>
                  <w:pPr>
                    <w:autoSpaceDE w:val="0"/>
                    <w:ind w:right="4"/>
                    <w:jc w:val="both"/>
                    <w:rPr>
                      <w:lang w:val="fr-FR"/>
                    </w:rPr>
                  </w:pPr>
                  <w:r>
                    <w:rPr>
                      <w:bCs/>
                      <w:lang w:val="fr-FR"/>
                    </w:rPr>
                    <w:t>Article 3</w:t>
                  </w:r>
                  <w:r>
                    <w:rPr>
                      <w:lang w:val="fr-FR"/>
                    </w:rPr>
                    <w:t xml:space="preserve">. </w:t>
                  </w:r>
                </w:p>
                <w:p>
                  <w:pPr>
                    <w:autoSpaceDE w:val="0"/>
                    <w:ind w:right="4"/>
                    <w:jc w:val="both"/>
                    <w:rPr>
                      <w:i/>
                      <w:lang w:val="fr-FR"/>
                    </w:rPr>
                  </w:pPr>
                  <w:r>
                    <w:rPr>
                      <w:i/>
                      <w:lang w:val="fr-FR"/>
                    </w:rPr>
                    <w:t>§ 1er. Chaque partie contractante s’engage, sous les conditions et dans les limites définies par le présent accord, à permettre au jeune une scolarité adaptée et un accompagnement spécialisé.</w:t>
                  </w:r>
                </w:p>
                <w:p>
                  <w:pPr>
                    <w:autoSpaceDE w:val="0"/>
                    <w:ind w:right="4"/>
                    <w:jc w:val="both"/>
                    <w:rPr>
                      <w:i/>
                      <w:lang w:val="fr-FR"/>
                    </w:rPr>
                  </w:pPr>
                  <w:r>
                    <w:rPr>
                      <w:i/>
                      <w:lang w:val="fr-FR"/>
                    </w:rPr>
                    <w:t>§ 2. Les modalités d’action des équipes respectives de l’établissement scolaire et de l’intervenant sont déterminées dans la convention citée à l’article 5.</w:t>
                  </w:r>
                </w:p>
                <w:p>
                  <w:pPr>
                    <w:autoSpaceDE w:val="0"/>
                    <w:ind w:right="4"/>
                    <w:jc w:val="both"/>
                    <w:rPr>
                      <w:i/>
                      <w:lang w:val="fr-FR"/>
                    </w:rPr>
                  </w:pPr>
                  <w:r>
                    <w:rPr>
                      <w:i/>
                      <w:lang w:val="fr-FR"/>
                    </w:rPr>
                    <w:t>§ 3. La Commission communautaire française autorise les intervenants à accompagner le jeune ou à intervenir auprès de celui-ci pendant le temps scolaire.</w:t>
                  </w:r>
                </w:p>
                <w:p>
                  <w:pPr>
                    <w:autoSpaceDE w:val="0"/>
                    <w:ind w:right="4"/>
                    <w:jc w:val="both"/>
                    <w:rPr>
                      <w:i/>
                      <w:lang w:val="fr-FR"/>
                    </w:rPr>
                  </w:pPr>
                  <w:r>
                    <w:rPr>
                      <w:i/>
                      <w:lang w:val="fr-FR"/>
                    </w:rPr>
                    <w:t>§ 4. La Communauté française autorise la collaboration entre les équipes de l’établissement scolaire et de l’intervenant dans le respect des compétences et des responsabilités spécifiques de chaque partie.</w:t>
                  </w:r>
                </w:p>
                <w:p>
                  <w:pPr>
                    <w:autoSpaceDE w:val="0"/>
                    <w:ind w:right="4"/>
                    <w:jc w:val="both"/>
                    <w:rPr>
                      <w:i/>
                      <w:lang w:val="fr-FR"/>
                    </w:rPr>
                  </w:pPr>
                  <w:r>
                    <w:rPr>
                      <w:i/>
                      <w:lang w:val="fr-FR"/>
                    </w:rPr>
                    <w:t>Cette organisation est conçue de manière souple et adaptée conformément au projet individuel et au projet de convention visés à l’article 5.</w:t>
                  </w:r>
                </w:p>
                <w:p>
                  <w:pPr>
                    <w:autoSpaceDE w:val="0"/>
                    <w:ind w:right="4"/>
                    <w:jc w:val="both"/>
                    <w:rPr>
                      <w:bCs/>
                      <w:lang w:val="fr-FR"/>
                    </w:rPr>
                  </w:pPr>
                </w:p>
                <w:p>
                  <w:pPr>
                    <w:autoSpaceDE w:val="0"/>
                    <w:ind w:right="4"/>
                    <w:jc w:val="both"/>
                    <w:rPr>
                      <w:lang w:val="fr-FR"/>
                    </w:rPr>
                  </w:pPr>
                  <w:r>
                    <w:rPr>
                      <w:bCs/>
                      <w:lang w:val="fr-FR"/>
                    </w:rPr>
                    <w:t>Article 4.</w:t>
                  </w:r>
                  <w:r>
                    <w:rPr>
                      <w:lang w:val="fr-FR"/>
                    </w:rPr>
                    <w:t xml:space="preserve"> </w:t>
                  </w:r>
                </w:p>
                <w:p>
                  <w:pPr>
                    <w:autoSpaceDE w:val="0"/>
                    <w:ind w:right="4"/>
                    <w:jc w:val="both"/>
                  </w:pPr>
                  <w:r>
                    <w:rPr>
                      <w:i/>
                      <w:lang w:val="fr-FR"/>
                    </w:rPr>
                    <w:t>Les parties contractantes se communiquent réciproquement des informations sur les mesures qu’elles adoptent dans les matières concernées par le présent accord.</w:t>
                  </w:r>
                </w:p>
                <w:p>
                  <w:pPr>
                    <w:jc w:val="both"/>
                  </w:pPr>
                  <w:r>
                    <w:t xml:space="preserve">Dans ce contexte, </w:t>
                  </w:r>
                  <w:r>
                    <w:rPr>
                      <w:bCs/>
                    </w:rPr>
                    <w:t>et si les partenaires de l’intégration sont d’accord</w:t>
                  </w:r>
                  <w:r>
                    <w:t>, il est recommandé d’inviter le service régional à participer à certains débats afin de mettre au point une articulation entre les deux types d’aide.</w:t>
                  </w:r>
                </w:p>
                <w:p>
                  <w:pPr>
                    <w:jc w:val="both"/>
                  </w:pPr>
                </w:p>
                <w:p>
                  <w:pPr>
                    <w:jc w:val="both"/>
                  </w:pPr>
                  <w:r>
                    <w:t>Par exemple, SI TOUTES LES PARTIES SONT D’ACCORD :</w:t>
                  </w:r>
                </w:p>
                <w:p>
                  <w:pPr>
                    <w:jc w:val="both"/>
                  </w:pPr>
                </w:p>
                <w:p>
                  <w:pPr>
                    <w:numPr>
                      <w:ilvl w:val="0"/>
                      <w:numId w:val="130"/>
                    </w:numPr>
                    <w:suppressAutoHyphens/>
                    <w:ind w:left="284" w:hanging="284"/>
                    <w:jc w:val="both"/>
                  </w:pPr>
                  <w:r>
                    <w:t>la répartition des tâches peut être inscrite dans le protocole d’intégration ;</w:t>
                  </w:r>
                </w:p>
                <w:p>
                  <w:pPr>
                    <w:numPr>
                      <w:ilvl w:val="0"/>
                      <w:numId w:val="130"/>
                    </w:numPr>
                    <w:suppressAutoHyphens/>
                    <w:ind w:left="284" w:hanging="284"/>
                    <w:jc w:val="both"/>
                  </w:pPr>
                  <w:r>
                    <w:t>l’évaluation de l’intégration peut  être réalisée en commun lors de moments convenus ;</w:t>
                  </w:r>
                </w:p>
                <w:p>
                  <w:pPr>
                    <w:numPr>
                      <w:ilvl w:val="0"/>
                      <w:numId w:val="130"/>
                    </w:numPr>
                    <w:suppressAutoHyphens/>
                    <w:ind w:left="284" w:hanging="284"/>
                    <w:jc w:val="both"/>
                  </w:pPr>
                  <w:r>
                    <w:t>les représentants des services régionaux peuvent être des partenaires supplémentaires dudit protocole ;</w:t>
                  </w:r>
                </w:p>
                <w:p>
                  <w:pPr>
                    <w:numPr>
                      <w:ilvl w:val="0"/>
                      <w:numId w:val="130"/>
                    </w:numPr>
                    <w:suppressAutoHyphens/>
                    <w:ind w:left="284" w:hanging="284"/>
                    <w:jc w:val="both"/>
                  </w:pPr>
                  <w:r>
                    <w:t>la convention de soutien du service régional peut être annexée au protocole d’intégration ;</w:t>
                  </w:r>
                </w:p>
                <w:p>
                  <w:pPr>
                    <w:numPr>
                      <w:ilvl w:val="0"/>
                      <w:numId w:val="130"/>
                    </w:numPr>
                    <w:suppressAutoHyphens/>
                    <w:ind w:left="284" w:hanging="284"/>
                    <w:jc w:val="both"/>
                  </w:pPr>
                  <w:r>
                    <w:t>…</w:t>
                  </w:r>
                </w:p>
                <w:p>
                  <w:pPr>
                    <w:jc w:val="both"/>
                    <w:rPr>
                      <w:bCs/>
                      <w:iCs/>
                    </w:rPr>
                  </w:pPr>
                </w:p>
                <w:p>
                  <w:pPr>
                    <w:pStyle w:val="Titre3"/>
                  </w:pPr>
                  <w:bookmarkStart w:id="2845" w:name="_10._Mémo_administratif"/>
                  <w:bookmarkStart w:id="2846" w:name="_10._Certification_des"/>
                  <w:bookmarkStart w:id="2847" w:name="_Toc453314438"/>
                  <w:bookmarkStart w:id="2848" w:name="_Toc454980473"/>
                  <w:bookmarkStart w:id="2849" w:name="_Toc18914489"/>
                  <w:bookmarkStart w:id="2850" w:name="_Toc291075412"/>
                  <w:bookmarkStart w:id="2851" w:name="_Toc291075836"/>
                  <w:bookmarkStart w:id="2852" w:name="_Toc291076260"/>
                  <w:bookmarkStart w:id="2853" w:name="_Toc291076684"/>
                  <w:bookmarkStart w:id="2854" w:name="_Toc291077108"/>
                  <w:bookmarkStart w:id="2855" w:name="_Toc293651951"/>
                  <w:bookmarkStart w:id="2856" w:name="_Toc293653534"/>
                  <w:bookmarkStart w:id="2857" w:name="_Toc293654145"/>
                  <w:bookmarkStart w:id="2858" w:name="_Toc294004723"/>
                  <w:bookmarkStart w:id="2859" w:name="_Toc294185219"/>
                  <w:bookmarkStart w:id="2860" w:name="_Toc324767073"/>
                  <w:bookmarkStart w:id="2861" w:name="_Toc324166037"/>
                  <w:bookmarkEnd w:id="2845"/>
                  <w:bookmarkEnd w:id="2846"/>
                  <w:r>
                    <w:t>10. Certification des élèves inscrits en intégration temporaire totale</w:t>
                  </w:r>
                  <w:bookmarkEnd w:id="2847"/>
                  <w:bookmarkEnd w:id="2848"/>
                  <w:bookmarkEnd w:id="2849"/>
                </w:p>
                <w:p>
                  <w:pPr>
                    <w:jc w:val="both"/>
                    <w:rPr>
                      <w:color w:val="000000"/>
                    </w:rPr>
                  </w:pPr>
                </w:p>
                <w:p>
                  <w:pPr>
                    <w:jc w:val="both"/>
                    <w:rPr>
                      <w:color w:val="000000"/>
                      <w:lang w:eastAsia="fr-FR"/>
                    </w:rPr>
                  </w:pPr>
                  <w:r>
                    <w:rPr>
                      <w:color w:val="000000"/>
                      <w:lang w:eastAsia="fr-FR"/>
                    </w:rPr>
                    <w:t xml:space="preserve">En vertu du paragraphe 1er de l’article 133 du décret du 3 mars 2004 organisant l’enseignement spécialisé, les élèves inscrits dans l’enseignement spécialisé en intégration temporaire totale qui suivent la totalité de leurs cours dans l’enseignement ordinaire </w:t>
                  </w:r>
                  <w:r>
                    <w:rPr>
                      <w:b/>
                      <w:color w:val="000000"/>
                      <w:lang w:eastAsia="fr-FR"/>
                    </w:rPr>
                    <w:t>sont automatiquement inscrits</w:t>
                  </w:r>
                  <w:r>
                    <w:rPr>
                      <w:color w:val="000000"/>
                      <w:lang w:eastAsia="fr-FR"/>
                    </w:rPr>
                    <w:t xml:space="preserve"> en intégration permanente totale dans l’école d’enseignement ordinaire le dernier jour ouvrable du mois de mai de la même année.</w:t>
                  </w:r>
                </w:p>
                <w:p>
                  <w:pPr>
                    <w:jc w:val="both"/>
                    <w:rPr>
                      <w:lang w:eastAsia="fr-FR"/>
                    </w:rPr>
                  </w:pPr>
                </w:p>
                <w:p>
                  <w:pPr>
                    <w:pBdr>
                      <w:right w:val="single" w:sz="4" w:space="4" w:color="auto"/>
                    </w:pBdr>
                    <w:jc w:val="both"/>
                    <w:rPr>
                      <w:b/>
                      <w:color w:val="000000"/>
                      <w:lang w:eastAsia="fr-FR"/>
                    </w:rPr>
                  </w:pPr>
                  <w:r>
                    <w:rPr>
                      <w:b/>
                      <w:lang w:eastAsia="fr-FR"/>
                    </w:rPr>
                    <w:t>La mesure visée, ci-dessus, concerne tous les élèves</w:t>
                  </w:r>
                  <w:r>
                    <w:rPr>
                      <w:b/>
                      <w:color w:val="000000"/>
                      <w:lang w:eastAsia="fr-FR"/>
                    </w:rPr>
                    <w:t xml:space="preserve">. </w:t>
                  </w:r>
                </w:p>
                <w:p>
                  <w:pPr>
                    <w:jc w:val="both"/>
                    <w:rPr>
                      <w:color w:val="000000"/>
                      <w:lang w:eastAsia="fr-FR"/>
                    </w:rPr>
                  </w:pPr>
                </w:p>
                <w:p>
                  <w:pPr>
                    <w:jc w:val="both"/>
                    <w:rPr>
                      <w:color w:val="000000"/>
                      <w:lang w:eastAsia="fr-FR"/>
                    </w:rPr>
                  </w:pPr>
                  <w:r>
                    <w:rPr>
                      <w:color w:val="000000"/>
                      <w:lang w:eastAsia="fr-FR"/>
                    </w:rPr>
                    <w:t>Toutefois, l’élève inscrit en intégration permanente totale conformément à l’article 133, §1er modifié ne peut en aucun cas bénéficier des périodes d’accompagnement telles que prévues à l’article 132 du décret du 3 mars 2004 pour l’année scolaire en cours.</w:t>
                  </w:r>
                </w:p>
                <w:p>
                  <w:pPr>
                    <w:jc w:val="both"/>
                    <w:rPr>
                      <w:color w:val="000000"/>
                      <w:lang w:eastAsia="fr-FR"/>
                    </w:rPr>
                  </w:pPr>
                </w:p>
                <w:p>
                  <w:pPr>
                    <w:pBdr>
                      <w:right w:val="single" w:sz="4" w:space="4" w:color="auto"/>
                    </w:pBdr>
                    <w:jc w:val="both"/>
                    <w:rPr>
                      <w:lang w:eastAsia="fr-FR"/>
                    </w:rPr>
                  </w:pPr>
                  <w:r>
                    <w:rPr>
                      <w:color w:val="000000"/>
                      <w:lang w:eastAsia="fr-FR"/>
                    </w:rPr>
                    <w:t xml:space="preserve">Au plus tard le 7 juin de l’année scolaire au cours de laquelle l’élève est passé en intégration permanente totale en application des alinéas précédents, la direction dans l’établissement </w:t>
                  </w:r>
                  <w:r>
                    <w:rPr>
                      <w:lang w:eastAsia="fr-FR"/>
                    </w:rPr>
                    <w:t>d’enseignement spécialisé organisé par la Fédération Wallonie-Bruxelles ou le pouvoir organisateur dans l’établissement d’enseignement spécialisé subventionné</w:t>
                  </w:r>
                  <w:r>
                    <w:rPr>
                      <w:color w:val="000000"/>
                      <w:lang w:eastAsia="fr-FR"/>
                    </w:rPr>
                    <w:t xml:space="preserve"> transmet la liste des élèves concernés à l’adresse mail générique suivante : </w:t>
                  </w:r>
                  <w:r>
                    <w:rPr>
                      <w:color w:val="0000FF"/>
                      <w:lang w:eastAsia="fr-FR"/>
                    </w:rPr>
                    <w:t>integration_specialise@cfwb.be</w:t>
                  </w:r>
                </w:p>
                <w:p>
                  <w:pPr>
                    <w:jc w:val="both"/>
                    <w:rPr>
                      <w:lang w:eastAsia="fr-FR"/>
                    </w:rPr>
                  </w:pPr>
                </w:p>
                <w:p>
                  <w:pPr>
                    <w:jc w:val="both"/>
                    <w:rPr>
                      <w:color w:val="000000"/>
                      <w:lang w:eastAsia="fr-FR"/>
                    </w:rPr>
                  </w:pPr>
                  <w:r>
                    <w:rPr>
                      <w:lang w:eastAsia="fr-FR"/>
                    </w:rPr>
                    <w:t>Lorsqu’il est fait application des dispositions susmentionnées, il n’y a pas lieu de rédiger un nouveau protocole d’intégration. En effet, ces dispositions n’ont aucun impact sur les modalités d’accompagnement</w:t>
                  </w:r>
                  <w:r>
                    <w:rPr>
                      <w:color w:val="000000"/>
                      <w:lang w:eastAsia="fr-FR"/>
                    </w:rPr>
                    <w:t xml:space="preserve"> du jeune en intégration.</w:t>
                  </w:r>
                </w:p>
                <w:p/>
                <w:p>
                  <w:pPr>
                    <w:pStyle w:val="Titre3"/>
                  </w:pPr>
                  <w:bookmarkStart w:id="2862" w:name="_11._Mémo_administratif"/>
                  <w:bookmarkStart w:id="2863" w:name="_Toc453314439"/>
                  <w:bookmarkStart w:id="2864" w:name="_Toc454980474"/>
                  <w:bookmarkStart w:id="2865" w:name="_Toc18914490"/>
                  <w:bookmarkEnd w:id="2862"/>
                  <w:r>
                    <w:t>11. Mémo administratif</w:t>
                  </w:r>
                  <w:bookmarkEnd w:id="2850"/>
                  <w:bookmarkEnd w:id="2851"/>
                  <w:bookmarkEnd w:id="2852"/>
                  <w:bookmarkEnd w:id="2853"/>
                  <w:bookmarkEnd w:id="2854"/>
                  <w:bookmarkEnd w:id="2855"/>
                  <w:bookmarkEnd w:id="2856"/>
                  <w:bookmarkEnd w:id="2857"/>
                  <w:bookmarkEnd w:id="2858"/>
                  <w:bookmarkEnd w:id="2859"/>
                  <w:bookmarkEnd w:id="2860"/>
                  <w:bookmarkEnd w:id="2863"/>
                  <w:bookmarkEnd w:id="2864"/>
                  <w:bookmarkEnd w:id="2865"/>
                  <w:r>
                    <w:t xml:space="preserve"> </w:t>
                  </w:r>
                  <w:bookmarkEnd w:id="2861"/>
                </w:p>
                <w:p>
                  <w:pPr>
                    <w:tabs>
                      <w:tab w:val="left" w:pos="1260"/>
                    </w:tabs>
                    <w:jc w:val="both"/>
                  </w:pPr>
                </w:p>
                <w:p>
                  <w:pPr>
                    <w:tabs>
                      <w:tab w:val="left" w:pos="1260"/>
                    </w:tabs>
                    <w:jc w:val="both"/>
                    <w:rPr>
                      <w:b/>
                    </w:rPr>
                  </w:pPr>
                  <w:r>
                    <w:rPr>
                      <w:b/>
                    </w:rPr>
                    <w:t>Attention: TOUS vos mails DOIVENT être envoyés de la boîte mail administrative de l’école ou du PO (</w:t>
                  </w:r>
                  <w:hyperlink r:id="rId177" w:history="1">
                    <w:r>
                      <w:rPr>
                        <w:rStyle w:val="Lienhypertexte"/>
                        <w:rFonts w:cs="Arial"/>
                        <w:u w:val="none"/>
                      </w:rPr>
                      <w:t>ecxxxxxx@adm.cfwb.be</w:t>
                    </w:r>
                  </w:hyperlink>
                  <w:r>
                    <w:t xml:space="preserve"> </w:t>
                  </w:r>
                  <w:r>
                    <w:rPr>
                      <w:b/>
                    </w:rPr>
                    <w:t xml:space="preserve">ou </w:t>
                  </w:r>
                  <w:hyperlink r:id="rId178" w:history="1">
                    <w:r>
                      <w:rPr>
                        <w:rStyle w:val="Lienhypertexte"/>
                        <w:rFonts w:cstheme="minorBidi"/>
                        <w:u w:val="none"/>
                      </w:rPr>
                      <w:t>poxxxxxx@adm.cfwb.be</w:t>
                    </w:r>
                  </w:hyperlink>
                  <w:r>
                    <w:rPr>
                      <w:b/>
                    </w:rPr>
                    <w:t xml:space="preserve"> ), UNIQUEMENT.</w:t>
                  </w:r>
                </w:p>
                <w:p>
                  <w:pPr>
                    <w:tabs>
                      <w:tab w:val="left" w:pos="1260"/>
                    </w:tabs>
                    <w:jc w:val="both"/>
                  </w:pPr>
                </w:p>
                <w:p>
                  <w:pPr>
                    <w:tabs>
                      <w:tab w:val="left" w:pos="1260"/>
                    </w:tabs>
                    <w:jc w:val="both"/>
                    <w:rPr>
                      <w:b/>
                      <w:color w:val="000000"/>
                    </w:rPr>
                  </w:pPr>
                  <w:r>
                    <w:t xml:space="preserve">Les Annexes </w:t>
                  </w:r>
                  <w:hyperlink w:anchor="_Annexe_4_:_2" w:history="1">
                    <w:r>
                      <w:rPr>
                        <w:rStyle w:val="Lienhypertexte"/>
                        <w:rFonts w:cstheme="minorBidi"/>
                      </w:rPr>
                      <w:t>4</w:t>
                    </w:r>
                  </w:hyperlink>
                  <w:r>
                    <w:rPr>
                      <w:rStyle w:val="Lienhypertexte"/>
                      <w:rFonts w:cs="Arial"/>
                      <w:b/>
                      <w:highlight w:val="yellow"/>
                    </w:rPr>
                    <w:fldChar w:fldCharType="begin"/>
                  </w:r>
                  <w:r>
                    <w:rPr>
                      <w:highlight w:val="yellow"/>
                    </w:rPr>
                    <w:instrText xml:space="preserve"> REF _Ref11405302 \h </w:instrText>
                  </w:r>
                  <w:r>
                    <w:rPr>
                      <w:rStyle w:val="Lienhypertexte"/>
                      <w:rFonts w:cs="Arial"/>
                      <w:b/>
                      <w:highlight w:val="yellow"/>
                    </w:rPr>
                    <w:instrText xml:space="preserve"> \* MERGEFORMAT </w:instrText>
                  </w:r>
                  <w:r>
                    <w:rPr>
                      <w:rStyle w:val="Lienhypertexte"/>
                      <w:rFonts w:cs="Arial"/>
                      <w:b/>
                      <w:highlight w:val="yellow"/>
                    </w:rPr>
                  </w:r>
                  <w:r>
                    <w:rPr>
                      <w:rStyle w:val="Lienhypertexte"/>
                      <w:rFonts w:cs="Arial"/>
                      <w:b/>
                      <w:highlight w:val="yellow"/>
                    </w:rPr>
                    <w:fldChar w:fldCharType="separate"/>
                  </w:r>
                  <w:r>
                    <w:t>Annexe 4 : Bilan de l’intégration</w:t>
                  </w:r>
                  <w:r>
                    <w:rPr>
                      <w:rStyle w:val="Lienhypertexte"/>
                      <w:rFonts w:cs="Arial"/>
                      <w:b/>
                      <w:highlight w:val="yellow"/>
                    </w:rPr>
                    <w:fldChar w:fldCharType="end"/>
                  </w:r>
                  <w:r>
                    <w:t xml:space="preserve"> et</w:t>
                  </w:r>
                  <w:r>
                    <w:rPr>
                      <w:b/>
                    </w:rPr>
                    <w:t xml:space="preserve"> </w:t>
                  </w:r>
                  <w:hyperlink w:anchor="_Annexe_8_:" w:history="1">
                    <w:r>
                      <w:rPr>
                        <w:rStyle w:val="Lienhypertexte"/>
                        <w:rFonts w:cs="Arial"/>
                        <w:b/>
                      </w:rPr>
                      <w:t>8</w:t>
                    </w:r>
                  </w:hyperlink>
                  <w:r>
                    <w:rPr>
                      <w:b/>
                    </w:rPr>
                    <w:t>,</w:t>
                  </w:r>
                  <w:r>
                    <w:rPr>
                      <w:b/>
                      <w:bCs/>
                      <w:iCs/>
                    </w:rPr>
                    <w:t xml:space="preserve"> </w:t>
                  </w:r>
                  <w:r>
                    <w:rPr>
                      <w:color w:val="000000"/>
                    </w:rPr>
                    <w:t>sont à envoyer</w:t>
                  </w:r>
                  <w:r>
                    <w:rPr>
                      <w:b/>
                      <w:color w:val="000000"/>
                    </w:rPr>
                    <w:t xml:space="preserve"> UNIQUEMENT sur la boîte mail générique: </w:t>
                  </w:r>
                </w:p>
                <w:p>
                  <w:pPr>
                    <w:tabs>
                      <w:tab w:val="left" w:pos="1260"/>
                    </w:tabs>
                    <w:jc w:val="center"/>
                    <w:rPr>
                      <w:color w:val="0000FF"/>
                    </w:rPr>
                  </w:pPr>
                  <w:r>
                    <w:rPr>
                      <w:color w:val="0000FF"/>
                    </w:rPr>
                    <w:t>integration_specialise@cfwb.be</w:t>
                  </w:r>
                </w:p>
                <w:p>
                  <w:pPr>
                    <w:tabs>
                      <w:tab w:val="left" w:pos="1260"/>
                    </w:tabs>
                    <w:jc w:val="both"/>
                    <w:rPr>
                      <w:b/>
                    </w:rPr>
                  </w:pPr>
                </w:p>
                <w:p>
                  <w:pPr>
                    <w:tabs>
                      <w:tab w:val="left" w:pos="1260"/>
                    </w:tabs>
                    <w:jc w:val="both"/>
                    <w:rPr>
                      <w:b/>
                    </w:rPr>
                  </w:pPr>
                  <w:r>
                    <w:rPr>
                      <w:b/>
                    </w:rPr>
                    <w:t xml:space="preserve">Remarques : </w:t>
                  </w:r>
                  <w:r>
                    <w:rPr>
                      <w:b/>
                    </w:rPr>
                    <w:br/>
                  </w:r>
                </w:p>
                <w:p>
                  <w:pPr>
                    <w:pStyle w:val="Paragraphedeliste"/>
                    <w:numPr>
                      <w:ilvl w:val="0"/>
                      <w:numId w:val="201"/>
                    </w:numPr>
                    <w:jc w:val="both"/>
                    <w:rPr>
                      <w:rFonts w:asciiTheme="majorHAnsi" w:hAnsiTheme="majorHAnsi"/>
                      <w:color w:val="000000"/>
                      <w:sz w:val="22"/>
                      <w:szCs w:val="22"/>
                      <w:lang w:eastAsia="fr-FR"/>
                    </w:rPr>
                  </w:pPr>
                  <w:r>
                    <w:rPr>
                      <w:rFonts w:asciiTheme="majorHAnsi" w:hAnsiTheme="majorHAnsi"/>
                      <w:color w:val="000000"/>
                      <w:sz w:val="22"/>
                      <w:szCs w:val="22"/>
                      <w:lang w:eastAsia="fr-FR"/>
                    </w:rPr>
                    <w:t>Annexes 4 (bilan) doivent être renvoyées par mail à l’administration dès que possible ou au plus tard le 30 septembre.</w:t>
                  </w:r>
                </w:p>
                <w:p>
                  <w:pPr>
                    <w:pStyle w:val="Paragraphedeliste"/>
                    <w:jc w:val="both"/>
                    <w:rPr>
                      <w:rFonts w:asciiTheme="majorHAnsi" w:hAnsiTheme="majorHAnsi"/>
                      <w:color w:val="000000"/>
                      <w:sz w:val="22"/>
                      <w:szCs w:val="22"/>
                      <w:lang w:eastAsia="fr-FR"/>
                    </w:rPr>
                  </w:pPr>
                </w:p>
                <w:p>
                  <w:pPr>
                    <w:pStyle w:val="Paragraphedeliste"/>
                    <w:numPr>
                      <w:ilvl w:val="0"/>
                      <w:numId w:val="201"/>
                    </w:numPr>
                    <w:jc w:val="both"/>
                    <w:rPr>
                      <w:rFonts w:asciiTheme="majorHAnsi" w:hAnsiTheme="majorHAnsi"/>
                      <w:color w:val="000000"/>
                      <w:sz w:val="22"/>
                      <w:szCs w:val="22"/>
                      <w:lang w:eastAsia="fr-FR"/>
                    </w:rPr>
                  </w:pPr>
                  <w:r>
                    <w:rPr>
                      <w:rFonts w:asciiTheme="majorHAnsi" w:hAnsiTheme="majorHAnsi"/>
                      <w:color w:val="000000"/>
                      <w:sz w:val="22"/>
                      <w:szCs w:val="22"/>
                      <w:lang w:eastAsia="fr-FR"/>
                    </w:rPr>
                    <w:t>Annexes 8 (dérogation autre type) : à transmettre par mail à l’administration. Il faut attendre l’accord du Ministre qui a l’Enseignement spécialisé dans ses attributions afin de pouvoir débuter une intégration.</w:t>
                  </w:r>
                </w:p>
                <w:p>
                  <w:pPr>
                    <w:pStyle w:val="Paragraphedeliste"/>
                    <w:jc w:val="both"/>
                    <w:rPr>
                      <w:rFonts w:asciiTheme="majorHAnsi" w:hAnsiTheme="majorHAnsi"/>
                      <w:color w:val="000000"/>
                      <w:sz w:val="22"/>
                      <w:szCs w:val="22"/>
                      <w:lang w:eastAsia="fr-FR"/>
                    </w:rPr>
                  </w:pPr>
                </w:p>
                <w:p>
                  <w:pPr>
                    <w:pStyle w:val="Corpsdetexte"/>
                  </w:pPr>
                </w:p>
                <w:p>
                  <w:pPr>
                    <w:pStyle w:val="Corpsdetexte"/>
                  </w:pPr>
                  <w:r>
                    <w:t xml:space="preserve">En cas de nouvelles demandes d’intégration : </w:t>
                  </w:r>
                </w:p>
                <w:p>
                  <w:pPr>
                    <w:pStyle w:val="Corpsdetexte"/>
                  </w:pPr>
                  <w:r>
                    <w:t xml:space="preserve">Concernant les annexes 2 (1ère partie), 6a, 6b et 7 sont à compléter via le « formulaire électronique intégration », à l’adresse suivante : </w:t>
                  </w:r>
                  <w:hyperlink r:id="rId179" w:history="1">
                    <w:r>
                      <w:rPr>
                        <w:rStyle w:val="Lienhypertexte"/>
                        <w:rFonts w:cs="Arial"/>
                      </w:rPr>
                      <w:t>http:/www.am.cfwb.be/</w:t>
                    </w:r>
                  </w:hyperlink>
                  <w:r>
                    <w:t xml:space="preserve"> , </w:t>
                  </w:r>
                </w:p>
                <w:p>
                  <w:pPr>
                    <w:pStyle w:val="Corpsdetexte"/>
                  </w:pPr>
                </w:p>
                <w:p>
                  <w:pPr>
                    <w:pStyle w:val="Corpsdetexte"/>
                  </w:pPr>
                  <w:r>
                    <w:t>Si ce ne sont pas de nouvelles demandes d’intégration :</w:t>
                  </w:r>
                </w:p>
                <w:p>
                  <w:pPr>
                    <w:tabs>
                      <w:tab w:val="left" w:pos="1260"/>
                    </w:tabs>
                    <w:jc w:val="both"/>
                    <w:rPr>
                      <w:color w:val="0000FF"/>
                    </w:rPr>
                  </w:pPr>
                  <w:r>
                    <w:t>Concernant les annexes</w:t>
                  </w:r>
                  <w:r>
                    <w:rPr>
                      <w:b/>
                    </w:rPr>
                    <w:t xml:space="preserve"> </w:t>
                  </w:r>
                  <w:r>
                    <w:t xml:space="preserve">6a, 6b et 7, celles-ci </w:t>
                  </w:r>
                  <w:r>
                    <w:rPr>
                      <w:b/>
                    </w:rPr>
                    <w:t>sont à renvoyer</w:t>
                  </w:r>
                  <w:r>
                    <w:t xml:space="preserve"> </w:t>
                  </w:r>
                  <w:r>
                    <w:rPr>
                      <w:b/>
                    </w:rPr>
                    <w:t xml:space="preserve">via l’adresse mail générique : </w:t>
                  </w:r>
                  <w:r>
                    <w:rPr>
                      <w:color w:val="0000FF"/>
                    </w:rPr>
                    <w:t xml:space="preserve">integration_specialise@cfwb.be </w:t>
                  </w:r>
                </w:p>
                <w:p>
                  <w:pPr>
                    <w:tabs>
                      <w:tab w:val="left" w:pos="1260"/>
                    </w:tabs>
                    <w:jc w:val="both"/>
                    <w:rPr>
                      <w:color w:val="0000FF"/>
                    </w:rPr>
                  </w:pPr>
                </w:p>
                <w:p>
                  <w:pPr>
                    <w:pStyle w:val="Corpsdetexte"/>
                  </w:pPr>
                  <w:r>
                    <w:t>Les personnes ressources sont :</w:t>
                  </w:r>
                </w:p>
                <w:p>
                  <w:pPr>
                    <w:rPr>
                      <w:lang w:eastAsia="ar-SA"/>
                    </w:rPr>
                  </w:pPr>
                </w:p>
                <w:tbl>
                  <w:tblPr>
                    <w:tblW w:w="0" w:type="auto"/>
                    <w:tblLook w:val="00A0" w:firstRow="1" w:lastRow="0" w:firstColumn="1" w:lastColumn="0" w:noHBand="0" w:noVBand="0"/>
                  </w:tblPr>
                  <w:tblGrid>
                    <w:gridCol w:w="3280"/>
                    <w:gridCol w:w="1540"/>
                    <w:gridCol w:w="4534"/>
                  </w:tblGrid>
                  <w:tr>
                    <w:tc>
                      <w:tcPr>
                        <w:tcW w:w="3280" w:type="dxa"/>
                      </w:tcPr>
                      <w:p>
                        <w:pPr>
                          <w:pStyle w:val="Corpsdetexte"/>
                        </w:pPr>
                        <w:r>
                          <w:rPr>
                            <w:noProof/>
                            <w:lang w:eastAsia="fr-BE"/>
                          </w:rPr>
                          <mc:AlternateContent>
                            <mc:Choice Requires="wps">
                              <w:drawing>
                                <wp:anchor distT="0" distB="0" distL="114300" distR="114300" simplePos="0" relativeHeight="252115968" behindDoc="0" locked="0" layoutInCell="1" allowOverlap="1">
                                  <wp:simplePos x="0" y="0"/>
                                  <wp:positionH relativeFrom="column">
                                    <wp:posOffset>2634615</wp:posOffset>
                                  </wp:positionH>
                                  <wp:positionV relativeFrom="paragraph">
                                    <wp:posOffset>15875</wp:posOffset>
                                  </wp:positionV>
                                  <wp:extent cx="0" cy="266700"/>
                                  <wp:effectExtent l="0" t="0" r="19050" b="19050"/>
                                  <wp:wrapNone/>
                                  <wp:docPr id="467" name="Connecteur droit 467"/>
                                  <wp:cNvGraphicFramePr/>
                                  <a:graphic xmlns:a="http://schemas.openxmlformats.org/drawingml/2006/main">
                                    <a:graphicData uri="http://schemas.microsoft.com/office/word/2010/wordprocessingShape">
                                      <wps:wsp>
                                        <wps:cNvCnPr/>
                                        <wps:spPr>
                                          <a:xfrm>
                                            <a:off x="0" y="0"/>
                                            <a:ext cx="0" cy="26670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AE6AEF" id="Connecteur droit 467" o:spid="_x0000_s1026" style="position:absolute;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45pt,1.25pt" to="207.4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" strokecolor="#bc4542 [3045]"/>
                              </w:pict>
                            </mc:Fallback>
                          </mc:AlternateContent>
                        </w:r>
                        <w:r>
                          <w:t xml:space="preserve"> Madame Stéphanie PIRSOUL </w:t>
                        </w:r>
                      </w:p>
                      <w:p>
                        <w:pPr>
                          <w:pStyle w:val="Corpsdetexte"/>
                        </w:pPr>
                        <w:r>
                          <w:sym w:font="Wingdings" w:char="F028"/>
                        </w:r>
                        <w:r>
                          <w:t> : 02/690.84.07</w:t>
                        </w:r>
                      </w:p>
                    </w:tc>
                    <w:tc>
                      <w:tcPr>
                        <w:tcW w:w="1540" w:type="dxa"/>
                      </w:tcPr>
                      <w:p>
                        <w:pPr>
                          <w:pStyle w:val="Corpsdetexte"/>
                        </w:pPr>
                      </w:p>
                    </w:tc>
                    <w:tc>
                      <w:tcPr>
                        <w:tcW w:w="4534" w:type="dxa"/>
                      </w:tcPr>
                      <w:p>
                        <w:pPr>
                          <w:pStyle w:val="Corpsdetexte"/>
                        </w:pPr>
                        <w:r>
                          <w:t xml:space="preserve"> Monsieur Alae-Eddine ASBAGUI</w:t>
                        </w:r>
                      </w:p>
                      <w:p>
                        <w:pPr>
                          <w:pStyle w:val="Corpsdetexte"/>
                        </w:pPr>
                        <w:r>
                          <w:sym w:font="Wingdings" w:char="F028"/>
                        </w:r>
                        <w:r>
                          <w:t> : 02/690.86.20</w:t>
                        </w:r>
                      </w:p>
                    </w:tc>
                  </w:tr>
                  <w:tr>
                    <w:trPr>
                      <w:trHeight w:val="1060"/>
                    </w:trPr>
                    <w:tc>
                      <w:tcPr>
                        <w:tcW w:w="3280" w:type="dxa"/>
                      </w:tcPr>
                      <w:p>
                        <w:pPr>
                          <w:pStyle w:val="Corpsdetexte"/>
                        </w:pPr>
                      </w:p>
                    </w:tc>
                    <w:tc>
                      <w:tcPr>
                        <w:tcW w:w="6074" w:type="dxa"/>
                        <w:gridSpan w:val="2"/>
                      </w:tcPr>
                      <w:p>
                        <w:pPr>
                          <w:pStyle w:val="Corpsdetexte"/>
                        </w:pPr>
                      </w:p>
                      <w:p>
                        <w:pPr>
                          <w:pStyle w:val="Corpsdetexte"/>
                        </w:pPr>
                        <w:r>
                          <w:t>Madame Christine WILLEMS</w:t>
                        </w:r>
                      </w:p>
                      <w:p>
                        <w:pPr>
                          <w:ind w:left="-1687" w:firstLine="1687"/>
                          <w:rPr>
                            <w:lang w:eastAsia="ar-SA"/>
                          </w:rPr>
                        </w:pPr>
                        <w:r>
                          <w:sym w:font="Wingdings" w:char="F028"/>
                        </w:r>
                        <w:r>
                          <w:t> : 02/690.84.11</w:t>
                        </w:r>
                      </w:p>
                    </w:tc>
                  </w:tr>
                </w:tbl>
                <w:p>
                  <w:pPr>
                    <w:pBdr>
                      <w:top w:val="single" w:sz="4" w:space="1" w:color="000000"/>
                      <w:left w:val="single" w:sz="4" w:space="0" w:color="000000"/>
                      <w:bottom w:val="single" w:sz="4" w:space="1" w:color="000000"/>
                      <w:right w:val="single" w:sz="4" w:space="1" w:color="000000"/>
                    </w:pBdr>
                    <w:tabs>
                      <w:tab w:val="left" w:pos="1260"/>
                    </w:tabs>
                    <w:jc w:val="both"/>
                    <w:rPr>
                      <w:u w:val="single"/>
                    </w:rPr>
                  </w:pPr>
                  <w:r>
                    <w:rPr>
                      <w:u w:val="single"/>
                    </w:rPr>
                    <w:t xml:space="preserve">Rappel : </w:t>
                  </w:r>
                </w:p>
                <w:p>
                  <w:pPr>
                    <w:pBdr>
                      <w:top w:val="single" w:sz="4" w:space="1" w:color="000000"/>
                      <w:left w:val="single" w:sz="4" w:space="0" w:color="000000"/>
                      <w:bottom w:val="single" w:sz="4" w:space="1" w:color="000000"/>
                      <w:right w:val="single" w:sz="4" w:space="1" w:color="000000"/>
                    </w:pBdr>
                    <w:tabs>
                      <w:tab w:val="left" w:pos="1260"/>
                    </w:tabs>
                    <w:jc w:val="both"/>
                    <w:rPr>
                      <w:u w:val="single"/>
                    </w:rPr>
                  </w:pPr>
                </w:p>
                <w:p>
                  <w:pPr>
                    <w:pBdr>
                      <w:top w:val="single" w:sz="4" w:space="1" w:color="000000"/>
                      <w:left w:val="single" w:sz="4" w:space="0" w:color="000000"/>
                      <w:bottom w:val="single" w:sz="4" w:space="1" w:color="000000"/>
                      <w:right w:val="single" w:sz="4" w:space="1" w:color="000000"/>
                    </w:pBdr>
                    <w:tabs>
                      <w:tab w:val="left" w:pos="1260"/>
                    </w:tabs>
                    <w:jc w:val="both"/>
                  </w:pPr>
                  <w:r>
                    <w:t xml:space="preserve">L’élève ne peut être intégré que si son protocole d’intégration est </w:t>
                  </w:r>
                  <w:r>
                    <w:rPr>
                      <w:i/>
                      <w:u w:val="single"/>
                    </w:rPr>
                    <w:t>complet,</w:t>
                  </w:r>
                  <w:r>
                    <w:rPr>
                      <w:u w:val="single"/>
                    </w:rPr>
                    <w:t xml:space="preserve"> c'est-à-dire que toutes les informations sont complétées et que tous les partenaires ont marqué leur accord en signant le protocole d’intégration</w:t>
                  </w:r>
                  <w:r>
                    <w:t>.  Le document original reste dans l’établissement d’enseignement spécialisé et une copie se trouve dans l’établissement d’enseignement ordinaire. Les annexes 3 et 4 actualisées en fonction de l’évolution de l’intégration de l’élève doivent être ajoutées au protocole d’intégration.</w:t>
                  </w:r>
                </w:p>
                <w:p>
                  <w:pPr>
                    <w:jc w:val="both"/>
                  </w:pPr>
                </w:p>
                <w:p>
                  <w:pPr>
                    <w:jc w:val="both"/>
                  </w:pPr>
                  <w:hyperlink w:anchor="_Annexe_10_:" w:history="1">
                    <w:r>
                      <w:rPr>
                        <w:rStyle w:val="Lienhypertexte"/>
                        <w:rFonts w:cs="Arial"/>
                      </w:rPr>
                      <w:t>L’annexe 10</w:t>
                    </w:r>
                  </w:hyperlink>
                  <w:r>
                    <w:t xml:space="preserve"> est à renvoyer à l’adresse suivante : </w:t>
                  </w:r>
                </w:p>
                <w:p/>
                <w:p>
                  <w:pPr>
                    <w:pBdr>
                      <w:top w:val="single" w:sz="4" w:space="1" w:color="auto"/>
                      <w:left w:val="single" w:sz="4" w:space="4" w:color="auto"/>
                      <w:bottom w:val="single" w:sz="4" w:space="1" w:color="auto"/>
                      <w:right w:val="single" w:sz="4" w:space="4" w:color="auto"/>
                    </w:pBdr>
                    <w:jc w:val="center"/>
                  </w:pPr>
                  <w:r>
                    <w:t>A l’attention du Ministre de l’Education</w:t>
                  </w:r>
                </w:p>
                <w:p>
                  <w:pPr>
                    <w:pBdr>
                      <w:top w:val="single" w:sz="4" w:space="1" w:color="auto"/>
                      <w:left w:val="single" w:sz="4" w:space="4" w:color="auto"/>
                      <w:bottom w:val="single" w:sz="4" w:space="1" w:color="auto"/>
                      <w:right w:val="single" w:sz="4" w:space="4" w:color="auto"/>
                    </w:pBdr>
                    <w:jc w:val="center"/>
                  </w:pPr>
                  <w:r>
                    <w:t>Place Surlet de Chokier, 15-17</w:t>
                  </w:r>
                </w:p>
                <w:p>
                  <w:pPr>
                    <w:pBdr>
                      <w:top w:val="single" w:sz="4" w:space="1" w:color="auto"/>
                      <w:left w:val="single" w:sz="4" w:space="4" w:color="auto"/>
                      <w:bottom w:val="single" w:sz="4" w:space="1" w:color="auto"/>
                      <w:right w:val="single" w:sz="4" w:space="4" w:color="auto"/>
                    </w:pBdr>
                    <w:jc w:val="center"/>
                  </w:pPr>
                  <w:r>
                    <w:t>1000    BRUXELLES</w:t>
                  </w:r>
                </w:p>
                <w:p>
                  <w:bookmarkStart w:id="2866" w:name="_10.1_Signalisation_des"/>
                  <w:bookmarkStart w:id="2867" w:name="_11.1._Signalisation_des"/>
                  <w:bookmarkEnd w:id="2866"/>
                  <w:bookmarkEnd w:id="2867"/>
                </w:p>
                <w:p>
                  <w:pPr>
                    <w:pStyle w:val="Titre4"/>
                  </w:pPr>
                  <w:bookmarkStart w:id="2868" w:name="_11.1._Signalisation_des_1"/>
                  <w:bookmarkStart w:id="2869" w:name="_Toc453314440"/>
                  <w:bookmarkStart w:id="2870" w:name="_Toc454980475"/>
                  <w:bookmarkEnd w:id="2868"/>
                  <w:r>
                    <w:t>11.1. Signalisation des élèves</w:t>
                  </w:r>
                  <w:bookmarkEnd w:id="2869"/>
                  <w:bookmarkEnd w:id="2870"/>
                </w:p>
                <w:p>
                  <w:pPr>
                    <w:tabs>
                      <w:tab w:val="left" w:pos="1260"/>
                    </w:tabs>
                    <w:jc w:val="both"/>
                  </w:pPr>
                </w:p>
                <w:p>
                  <w:pPr>
                    <w:tabs>
                      <w:tab w:val="left" w:pos="1260"/>
                    </w:tabs>
                    <w:jc w:val="both"/>
                    <w:rPr>
                      <w:b/>
                    </w:rPr>
                  </w:pPr>
                  <w:bookmarkStart w:id="2871" w:name="_10.2_Dérogations_au"/>
                  <w:bookmarkEnd w:id="2871"/>
                  <w:r>
                    <w:rPr>
                      <w:b/>
                      <w:u w:val="single"/>
                    </w:rPr>
                    <w:t>A. Pour les élèves en intégration au cours de l’année scolaire précédente</w:t>
                  </w:r>
                </w:p>
                <w:p>
                  <w:pPr>
                    <w:tabs>
                      <w:tab w:val="left" w:pos="1260"/>
                    </w:tabs>
                    <w:jc w:val="both"/>
                  </w:pPr>
                </w:p>
                <w:p>
                  <w:pPr>
                    <w:tabs>
                      <w:tab w:val="left" w:pos="1260"/>
                    </w:tabs>
                    <w:jc w:val="both"/>
                    <w:rPr>
                      <w:color w:val="000000"/>
                    </w:rPr>
                  </w:pPr>
                  <w:r>
                    <w:rPr>
                      <w:color w:val="000000"/>
                    </w:rPr>
                    <w:t>L’école envoie</w:t>
                  </w:r>
                  <w:r>
                    <w:rPr>
                      <w:color w:val="FF0000"/>
                    </w:rPr>
                    <w:t xml:space="preserve"> </w:t>
                  </w:r>
                  <w:hyperlink w:anchor="_Annexe_4_:_2" w:history="1">
                    <w:r>
                      <w:rPr>
                        <w:rStyle w:val="Lienhypertexte"/>
                        <w:rFonts w:cstheme="minorBidi"/>
                      </w:rPr>
                      <w:t>l’Annexe 4</w:t>
                    </w:r>
                  </w:hyperlink>
                  <w:r>
                    <w:rPr>
                      <w:color w:val="FF0000"/>
                    </w:rPr>
                    <w:t xml:space="preserve"> </w:t>
                  </w:r>
                  <w:r>
                    <w:rPr>
                      <w:color w:val="000000"/>
                    </w:rPr>
                    <w:t xml:space="preserve">dument complétée à l’Administration via la boite mail générique référencée pour le 30 septembre au plus tard. </w:t>
                  </w:r>
                </w:p>
                <w:p>
                  <w:pPr>
                    <w:tabs>
                      <w:tab w:val="left" w:pos="1260"/>
                    </w:tabs>
                    <w:jc w:val="both"/>
                  </w:pPr>
                </w:p>
                <w:p>
                  <w:pPr>
                    <w:tabs>
                      <w:tab w:val="left" w:pos="1260"/>
                    </w:tabs>
                    <w:jc w:val="both"/>
                  </w:pPr>
                  <w:r>
                    <w:rPr>
                      <w:u w:val="single"/>
                    </w:rPr>
                    <w:t>Pour les élèves pour lesquels l’intégration permanente totale n’est pas prolongée </w:t>
                  </w:r>
                  <w:r>
                    <w:t>:</w:t>
                  </w:r>
                </w:p>
                <w:p>
                  <w:pPr>
                    <w:tabs>
                      <w:tab w:val="left" w:pos="1260"/>
                    </w:tabs>
                    <w:jc w:val="both"/>
                  </w:pPr>
                </w:p>
                <w:p>
                  <w:pPr>
                    <w:tabs>
                      <w:tab w:val="left" w:pos="1260"/>
                    </w:tabs>
                    <w:jc w:val="both"/>
                  </w:pPr>
                  <w:r>
                    <w:t xml:space="preserve">L’école d’enseignement spécialisé doit envoyer </w:t>
                  </w:r>
                  <w:hyperlink w:anchor="_Annexe_4_:_2" w:history="1">
                    <w:r>
                      <w:rPr>
                        <w:rStyle w:val="Lienhypertexte"/>
                        <w:rFonts w:cstheme="minorBidi"/>
                      </w:rPr>
                      <w:t>l’Annexe 4</w:t>
                    </w:r>
                  </w:hyperlink>
                  <w:r>
                    <w:t xml:space="preserve"> comprenant la </w:t>
                  </w:r>
                  <w:r>
                    <w:rPr>
                      <w:color w:val="000000"/>
                    </w:rPr>
                    <w:t>motivation des partenaires</w:t>
                  </w:r>
                  <w:r>
                    <w:t xml:space="preserve"> écrite à l’Administration, </w:t>
                  </w:r>
                  <w:r>
                    <w:rPr>
                      <w:color w:val="000000"/>
                    </w:rPr>
                    <w:t>uniquement sur la boîte mail référencée supra et via l’adresse mail administrative,</w:t>
                  </w:r>
                  <w:r>
                    <w:t xml:space="preserve"> qui en informera le Ministre qui a l’enseignement spécialisé dans ses attributions. </w:t>
                  </w:r>
                </w:p>
                <w:p>
                  <w:pPr>
                    <w:tabs>
                      <w:tab w:val="left" w:pos="1260"/>
                    </w:tabs>
                    <w:jc w:val="both"/>
                  </w:pPr>
                </w:p>
                <w:p>
                  <w:pPr>
                    <w:tabs>
                      <w:tab w:val="left" w:pos="1260"/>
                    </w:tabs>
                    <w:jc w:val="both"/>
                  </w:pPr>
                </w:p>
                <w:p>
                  <w:pPr>
                    <w:tabs>
                      <w:tab w:val="left" w:pos="1260"/>
                    </w:tabs>
                    <w:jc w:val="both"/>
                    <w:rPr>
                      <w:b/>
                      <w:u w:val="single"/>
                    </w:rPr>
                  </w:pPr>
                  <w:r>
                    <w:rPr>
                      <w:b/>
                      <w:u w:val="single"/>
                    </w:rPr>
                    <w:t xml:space="preserve">B. Pour les </w:t>
                  </w:r>
                  <w:r>
                    <w:rPr>
                      <w:b/>
                      <w:color w:val="000000"/>
                      <w:u w:val="single"/>
                    </w:rPr>
                    <w:t xml:space="preserve">élèves </w:t>
                  </w:r>
                  <w:r>
                    <w:rPr>
                      <w:b/>
                      <w:u w:val="single"/>
                    </w:rPr>
                    <w:t>qui débutent leur premier projet d’intégration</w:t>
                  </w:r>
                </w:p>
                <w:p>
                  <w:pPr>
                    <w:tabs>
                      <w:tab w:val="left" w:pos="1260"/>
                    </w:tabs>
                    <w:jc w:val="both"/>
                  </w:pPr>
                </w:p>
                <w:p>
                  <w:pPr>
                    <w:tabs>
                      <w:tab w:val="left" w:pos="1260"/>
                    </w:tabs>
                    <w:jc w:val="both"/>
                    <w:rPr>
                      <w:color w:val="000000"/>
                    </w:rPr>
                  </w:pPr>
                  <w:r>
                    <w:rPr>
                      <w:color w:val="000000"/>
                    </w:rPr>
                    <w:t>Les écoles d’enseignement spécialisé signalent leurs nouvelles intégrations via le « formulaire électronique intégration ». L’administration sera informée de cette intégration via le « formulaire électronique intégration ».</w:t>
                  </w:r>
                </w:p>
                <w:p>
                  <w:pPr>
                    <w:tabs>
                      <w:tab w:val="left" w:pos="1260"/>
                    </w:tabs>
                    <w:rPr>
                      <w:u w:val="single"/>
                    </w:rPr>
                  </w:pPr>
                </w:p>
                <w:p>
                  <w:pPr>
                    <w:tabs>
                      <w:tab w:val="left" w:pos="1260"/>
                    </w:tabs>
                    <w:jc w:val="both"/>
                    <w:rPr>
                      <w:b/>
                      <w:color w:val="000000"/>
                      <w:u w:val="single"/>
                    </w:rPr>
                  </w:pPr>
                  <w:r>
                    <w:rPr>
                      <w:b/>
                      <w:color w:val="000000"/>
                      <w:u w:val="single"/>
                    </w:rPr>
                    <w:t>C. Dans tous les cas, en cours d’année scolaire</w:t>
                  </w:r>
                </w:p>
                <w:p>
                  <w:pPr>
                    <w:tabs>
                      <w:tab w:val="left" w:pos="1260"/>
                    </w:tabs>
                    <w:jc w:val="both"/>
                    <w:rPr>
                      <w:color w:val="000000"/>
                    </w:rPr>
                  </w:pPr>
                </w:p>
                <w:p>
                  <w:pPr>
                    <w:jc w:val="both"/>
                    <w:rPr>
                      <w:color w:val="000000"/>
                    </w:rPr>
                  </w:pPr>
                  <w:r>
                    <w:rPr>
                      <w:color w:val="000000"/>
                    </w:rPr>
                    <w:t xml:space="preserve">Toute nouvelle intégration est signalée à l’Administration via le « formulaire électronique intégration ». </w:t>
                  </w:r>
                </w:p>
                <w:p>
                  <w:pPr>
                    <w:jc w:val="both"/>
                    <w:rPr>
                      <w:color w:val="000000"/>
                    </w:rPr>
                  </w:pPr>
                </w:p>
                <w:p>
                  <w:pPr>
                    <w:jc w:val="both"/>
                    <w:rPr>
                      <w:color w:val="000000"/>
                    </w:rPr>
                  </w:pPr>
                  <w:r>
                    <w:rPr>
                      <w:color w:val="000000"/>
                    </w:rPr>
                    <w:t xml:space="preserve">Pour tout changement concernant un élève intégré, il faut envoyer à l’Administration un courrier postal ou envoyer un mail sur la boîte mail générique: </w:t>
                  </w:r>
                  <w:hyperlink r:id="rId180" w:history="1">
                    <w:r>
                      <w:rPr>
                        <w:rStyle w:val="Lienhypertexte"/>
                        <w:rFonts w:cs="Arial"/>
                        <w:u w:val="none"/>
                      </w:rPr>
                      <w:t>integration_specialise@cfwb.be</w:t>
                    </w:r>
                  </w:hyperlink>
                  <w:r>
                    <w:rPr>
                      <w:color w:val="000000"/>
                    </w:rPr>
                    <w:t xml:space="preserve"> </w:t>
                  </w:r>
                </w:p>
                <w:p>
                  <w:pPr>
                    <w:tabs>
                      <w:tab w:val="left" w:pos="1260"/>
                    </w:tabs>
                  </w:pPr>
                </w:p>
                <w:p>
                  <w:pPr>
                    <w:tabs>
                      <w:tab w:val="left" w:pos="1260"/>
                    </w:tabs>
                    <w:jc w:val="both"/>
                  </w:pPr>
                  <w:r>
                    <w:t xml:space="preserve">En cas de : </w:t>
                  </w:r>
                </w:p>
                <w:p>
                  <w:pPr>
                    <w:tabs>
                      <w:tab w:val="left" w:pos="1260"/>
                    </w:tabs>
                    <w:jc w:val="both"/>
                  </w:pPr>
                </w:p>
                <w:p>
                  <w:pPr>
                    <w:pStyle w:val="Paragraphedeliste"/>
                    <w:numPr>
                      <w:ilvl w:val="0"/>
                      <w:numId w:val="141"/>
                    </w:numPr>
                    <w:suppressAutoHyphens w:val="0"/>
                    <w:ind w:left="360"/>
                    <w:jc w:val="both"/>
                    <w:rPr>
                      <w:rFonts w:asciiTheme="majorHAnsi" w:hAnsiTheme="majorHAnsi"/>
                      <w:sz w:val="22"/>
                      <w:szCs w:val="22"/>
                    </w:rPr>
                  </w:pPr>
                  <w:r>
                    <w:rPr>
                      <w:rFonts w:asciiTheme="majorHAnsi" w:hAnsiTheme="majorHAnsi"/>
                      <w:sz w:val="22"/>
                      <w:szCs w:val="22"/>
                    </w:rPr>
                    <w:t xml:space="preserve">Prolongation d’une intégration : compléter </w:t>
                  </w:r>
                  <w:hyperlink w:anchor="_Annexe_4_:_2" w:history="1">
                    <w:r>
                      <w:rPr>
                        <w:rStyle w:val="Lienhypertexte"/>
                        <w:rFonts w:asciiTheme="majorHAnsi" w:hAnsiTheme="majorHAnsi" w:cs="Arial"/>
                        <w:sz w:val="22"/>
                        <w:szCs w:val="22"/>
                      </w:rPr>
                      <w:t>l’Annexe 4</w:t>
                    </w:r>
                  </w:hyperlink>
                  <w:r>
                    <w:t xml:space="preserve"> </w:t>
                  </w:r>
                  <w:r>
                    <w:rPr>
                      <w:rFonts w:asciiTheme="majorHAnsi" w:hAnsiTheme="majorHAnsi"/>
                      <w:sz w:val="22"/>
                      <w:szCs w:val="22"/>
                    </w:rPr>
                    <w:t>et transmettre celle-ci par mail à l’Administration.</w:t>
                  </w:r>
                </w:p>
                <w:p>
                  <w:pPr>
                    <w:pStyle w:val="Paragraphedeliste"/>
                    <w:numPr>
                      <w:ilvl w:val="0"/>
                      <w:numId w:val="141"/>
                    </w:numPr>
                    <w:suppressAutoHyphens w:val="0"/>
                    <w:ind w:left="360"/>
                    <w:jc w:val="both"/>
                    <w:rPr>
                      <w:rFonts w:asciiTheme="majorHAnsi" w:hAnsiTheme="majorHAnsi"/>
                      <w:sz w:val="22"/>
                      <w:szCs w:val="22"/>
                    </w:rPr>
                  </w:pPr>
                  <w:r>
                    <w:rPr>
                      <w:rFonts w:asciiTheme="majorHAnsi" w:hAnsiTheme="majorHAnsi"/>
                      <w:sz w:val="22"/>
                      <w:szCs w:val="22"/>
                    </w:rPr>
                    <w:t xml:space="preserve">Arrêt d’une intégration à la date prévue au protocole d’intégration : compléter </w:t>
                  </w:r>
                  <w:hyperlink w:anchor="_Annexe_4_:_2" w:history="1">
                    <w:r>
                      <w:rPr>
                        <w:rStyle w:val="Lienhypertexte"/>
                        <w:rFonts w:asciiTheme="majorHAnsi" w:hAnsiTheme="majorHAnsi" w:cs="Arial"/>
                        <w:sz w:val="22"/>
                        <w:szCs w:val="22"/>
                      </w:rPr>
                      <w:t>l’Annexe 4</w:t>
                    </w:r>
                  </w:hyperlink>
                  <w:r>
                    <w:t xml:space="preserve"> </w:t>
                  </w:r>
                  <w:r>
                    <w:rPr>
                      <w:rFonts w:asciiTheme="majorHAnsi" w:hAnsiTheme="majorHAnsi"/>
                      <w:sz w:val="22"/>
                      <w:szCs w:val="22"/>
                    </w:rPr>
                    <w:t>et transmettre celle-ci par mail à l’Administration.</w:t>
                  </w:r>
                </w:p>
                <w:p>
                  <w:pPr>
                    <w:pStyle w:val="Paragraphedeliste"/>
                    <w:numPr>
                      <w:ilvl w:val="0"/>
                      <w:numId w:val="141"/>
                    </w:numPr>
                    <w:suppressAutoHyphens w:val="0"/>
                    <w:ind w:left="360"/>
                    <w:jc w:val="both"/>
                    <w:rPr>
                      <w:rFonts w:asciiTheme="majorHAnsi" w:hAnsiTheme="majorHAnsi"/>
                      <w:sz w:val="22"/>
                      <w:szCs w:val="22"/>
                    </w:rPr>
                  </w:pPr>
                  <w:r>
                    <w:rPr>
                      <w:rFonts w:asciiTheme="majorHAnsi" w:hAnsiTheme="majorHAnsi"/>
                      <w:sz w:val="22"/>
                      <w:szCs w:val="22"/>
                    </w:rPr>
                    <w:t xml:space="preserve">Déclaration d’une nouvelle intégration : signaler via le </w:t>
                  </w:r>
                  <w:r>
                    <w:rPr>
                      <w:rFonts w:asciiTheme="majorHAnsi" w:hAnsiTheme="majorHAnsi"/>
                      <w:color w:val="000000"/>
                      <w:sz w:val="22"/>
                      <w:szCs w:val="22"/>
                    </w:rPr>
                    <w:t xml:space="preserve">« formulaire électronique intégration » </w:t>
                  </w:r>
                  <w:r>
                    <w:rPr>
                      <w:rFonts w:asciiTheme="majorHAnsi" w:hAnsiTheme="majorHAnsi"/>
                      <w:sz w:val="22"/>
                      <w:szCs w:val="22"/>
                    </w:rPr>
                    <w:t xml:space="preserve">sauf pour signaler les prolongations. Le signalement des prolongations est renseigné à l’Administration via le bilan de l’intégration (annexe 4). </w:t>
                  </w:r>
                </w:p>
                <w:p>
                  <w:pPr>
                    <w:pStyle w:val="Paragraphedeliste"/>
                    <w:numPr>
                      <w:ilvl w:val="0"/>
                      <w:numId w:val="141"/>
                    </w:numPr>
                    <w:suppressAutoHyphens w:val="0"/>
                    <w:ind w:left="360"/>
                    <w:jc w:val="both"/>
                    <w:rPr>
                      <w:rFonts w:asciiTheme="majorHAnsi" w:hAnsiTheme="majorHAnsi"/>
                      <w:sz w:val="22"/>
                      <w:szCs w:val="22"/>
                    </w:rPr>
                  </w:pPr>
                  <w:r>
                    <w:rPr>
                      <w:rFonts w:asciiTheme="majorHAnsi" w:hAnsiTheme="majorHAnsi"/>
                      <w:sz w:val="22"/>
                      <w:szCs w:val="22"/>
                    </w:rPr>
                    <w:t>Modification en cours d’année scolaire : prévenir l’Administration par mail ou par courrier postal.</w:t>
                  </w:r>
                </w:p>
                <w:p>
                  <w:pPr>
                    <w:tabs>
                      <w:tab w:val="left" w:pos="1260"/>
                    </w:tabs>
                    <w:jc w:val="both"/>
                    <w:rPr>
                      <w:color w:val="000000"/>
                      <w:u w:val="single"/>
                    </w:rPr>
                  </w:pPr>
                </w:p>
                <w:bookmarkStart w:id="2872" w:name="_11.2_Dérogations_au"/>
                <w:bookmarkEnd w:id="2872"/>
                <w:p>
                  <w:pPr>
                    <w:pStyle w:val="Titre4"/>
                  </w:pPr>
                  <w:r>
                    <w:rPr>
                      <w:noProof/>
                      <w:lang w:eastAsia="fr-BE"/>
                    </w:rPr>
                    <mc:AlternateContent>
                      <mc:Choice Requires="wps">
                        <w:drawing>
                          <wp:anchor distT="0" distB="0" distL="114300" distR="114300" simplePos="0" relativeHeight="251844608" behindDoc="0" locked="0" layoutInCell="1" allowOverlap="1">
                            <wp:simplePos x="0" y="0"/>
                            <wp:positionH relativeFrom="column">
                              <wp:posOffset>6400800</wp:posOffset>
                            </wp:positionH>
                            <wp:positionV relativeFrom="paragraph">
                              <wp:posOffset>65405</wp:posOffset>
                            </wp:positionV>
                            <wp:extent cx="0" cy="0"/>
                            <wp:effectExtent l="9525" t="8255" r="9525" b="10795"/>
                            <wp:wrapNone/>
                            <wp:docPr id="551"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D009E3" id="Line 49" o:spid="_x0000_s1026" style="position:absolute;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in,5.15pt" to="7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" strokeweight=".26mm">
                            <v:stroke joinstyle="miter"/>
                          </v:line>
                        </w:pict>
                      </mc:Fallback>
                    </mc:AlternateContent>
                  </w:r>
                  <w:bookmarkStart w:id="2873" w:name="_Toc453314441"/>
                  <w:bookmarkStart w:id="2874" w:name="_Toc454980476"/>
                  <w:r>
                    <w:t>11.2 Dérogations au capital- périodes attribué (dans les limites des disponibilités budgétaires disponibles)</w:t>
                  </w:r>
                  <w:bookmarkEnd w:id="2873"/>
                  <w:bookmarkEnd w:id="2874"/>
                  <w:r>
                    <w:t xml:space="preserve"> </w:t>
                  </w:r>
                </w:p>
                <w:p>
                  <w:pPr>
                    <w:tabs>
                      <w:tab w:val="left" w:pos="1260"/>
                    </w:tabs>
                    <w:jc w:val="both"/>
                    <w:rPr>
                      <w:u w:val="single"/>
                    </w:rPr>
                  </w:pPr>
                </w:p>
                <w:p>
                  <w:pPr>
                    <w:jc w:val="both"/>
                    <w:rPr>
                      <w:color w:val="000000"/>
                    </w:rPr>
                  </w:pPr>
                  <w:r>
                    <w:rPr>
                      <w:color w:val="000000"/>
                    </w:rPr>
                    <w:t>Pour les nouvelles intégrations, les demandes de dérogation « capital-périodes complémentaire » (annexe 7) et « grande distance » (annexes 6a et 6b) se font via le « formulaire électronique intégration ». Les demandes de dérogation sont introduites en même temps que le signalement des intégrations.</w:t>
                  </w:r>
                </w:p>
                <w:p>
                  <w:pPr>
                    <w:jc w:val="both"/>
                    <w:rPr>
                      <w:color w:val="000000"/>
                    </w:rPr>
                  </w:pPr>
                </w:p>
                <w:p>
                  <w:pPr>
                    <w:jc w:val="both"/>
                    <w:rPr>
                      <w:color w:val="000000"/>
                    </w:rPr>
                  </w:pPr>
                  <w:r>
                    <w:rPr>
                      <w:color w:val="000000"/>
                    </w:rPr>
                    <w:t>Pour les élèves déjà intégrés pendant l’année scolaire, il faut renvoyer les annexes 6a, 6b et ou 7 complétées à l’administration via la boîte mail générique référencée.</w:t>
                  </w:r>
                </w:p>
                <w:p>
                  <w:pPr>
                    <w:tabs>
                      <w:tab w:val="left" w:pos="1260"/>
                    </w:tabs>
                    <w:jc w:val="both"/>
                  </w:pPr>
                </w:p>
                <w:p>
                  <w:pPr>
                    <w:pStyle w:val="Titre4"/>
                  </w:pPr>
                  <w:bookmarkStart w:id="2875" w:name="_10.3_Autres_dérogations."/>
                  <w:bookmarkStart w:id="2876" w:name="_Toc453314442"/>
                  <w:bookmarkStart w:id="2877" w:name="_Toc454980477"/>
                  <w:bookmarkEnd w:id="2875"/>
                  <w:r>
                    <w:t>11.3 Autres dérogations</w:t>
                  </w:r>
                  <w:bookmarkEnd w:id="2876"/>
                  <w:bookmarkEnd w:id="2877"/>
                </w:p>
                <w:p>
                  <w:pPr>
                    <w:tabs>
                      <w:tab w:val="left" w:pos="1260"/>
                    </w:tabs>
                    <w:jc w:val="both"/>
                    <w:rPr>
                      <w:u w:val="single"/>
                    </w:rPr>
                  </w:pPr>
                </w:p>
                <w:p>
                  <w:pPr>
                    <w:jc w:val="both"/>
                  </w:pPr>
                  <w:r>
                    <w:t>Pour demander un accompagnement par un établissement qui n’organise pas le type d’enseignement spécialisé mentionné sur l’attestation (intégration permanente totale ou intégration temporaire totale), l’école d’enseignement spécialisé doit envoyer à l’Administration</w:t>
                  </w:r>
                  <w:r>
                    <w:rPr>
                      <w:color w:val="339966"/>
                    </w:rPr>
                    <w:t>,</w:t>
                  </w:r>
                  <w:r>
                    <w:t xml:space="preserve"> </w:t>
                  </w:r>
                  <w:hyperlink w:anchor="_Annexe_8_:" w:history="1">
                    <w:r>
                      <w:rPr>
                        <w:rStyle w:val="Lienhypertexte"/>
                        <w:rFonts w:cs="Arial"/>
                      </w:rPr>
                      <w:t>l’annexe 8</w:t>
                    </w:r>
                  </w:hyperlink>
                  <w:r>
                    <w:t xml:space="preserve">., </w:t>
                  </w:r>
                  <w:r>
                    <w:rPr>
                      <w:color w:val="000000"/>
                    </w:rPr>
                    <w:t xml:space="preserve">uniquement sur la boîte mail générique référencée supra et via l’adresse mail administrative. </w:t>
                  </w:r>
                  <w:r>
                    <w:t>Dès réception de l’accord, l’intégration peut être validée via le « formulaire électronique intégration ».</w:t>
                  </w:r>
                </w:p>
                <w:p>
                  <w:pPr>
                    <w:rPr>
                      <w:u w:val="single"/>
                    </w:rPr>
                  </w:pPr>
                </w:p>
                <w:p>
                  <w:pPr>
                    <w:jc w:val="both"/>
                  </w:pPr>
                  <w:r>
                    <w:t xml:space="preserve">Le décret prévoit que la liste des élèves en intégration permanente totale doit parvenir à l’Administration pour le 30 septembre de l’année scolaire concernée. Une dérogation est possible à titre exceptionnel. Pour en faire la demande, il faut envoyer </w:t>
                  </w:r>
                  <w:hyperlink w:anchor="_Annexe_10_:_3" w:history="1">
                    <w:r>
                      <w:rPr>
                        <w:rStyle w:val="Lienhypertexte"/>
                        <w:rFonts w:cs="Arial"/>
                      </w:rPr>
                      <w:t>l’Annexe 10</w:t>
                    </w:r>
                  </w:hyperlink>
                  <w:r>
                    <w:t xml:space="preserve"> au Ministre qui a l’enseignement spécialisé dans ses attributions. L’Administration ne pourra tenir compte des dossiers rentrés hors délais que sur base d’une décision ministérielle.</w:t>
                  </w:r>
                </w:p>
                <w:p>
                  <w:pPr>
                    <w:jc w:val="both"/>
                    <w:rPr>
                      <w:u w:val="single"/>
                    </w:rPr>
                  </w:pPr>
                </w:p>
                <w:p>
                  <w:pPr>
                    <w:pStyle w:val="Titre3"/>
                  </w:pPr>
                  <w:bookmarkStart w:id="2878" w:name="__RefHeading__259_957262308"/>
                  <w:bookmarkStart w:id="2879" w:name="_12_._Transmission"/>
                  <w:bookmarkStart w:id="2880" w:name="_12._Transmission_des"/>
                  <w:bookmarkStart w:id="2881" w:name="_Toc324166043"/>
                  <w:bookmarkStart w:id="2882" w:name="_Toc324767079"/>
                  <w:bookmarkStart w:id="2883" w:name="_Toc453314448"/>
                  <w:bookmarkStart w:id="2884" w:name="_Toc454980483"/>
                  <w:bookmarkStart w:id="2885" w:name="_Toc18914491"/>
                  <w:bookmarkStart w:id="2886" w:name="_Toc291075413"/>
                  <w:bookmarkStart w:id="2887" w:name="_Toc291075837"/>
                  <w:bookmarkStart w:id="2888" w:name="_Toc291076261"/>
                  <w:bookmarkStart w:id="2889" w:name="_Toc291076685"/>
                  <w:bookmarkStart w:id="2890" w:name="_Toc291077109"/>
                  <w:bookmarkStart w:id="2891" w:name="_Toc293651952"/>
                  <w:bookmarkStart w:id="2892" w:name="_Toc293653535"/>
                  <w:bookmarkStart w:id="2893" w:name="_Toc293654146"/>
                  <w:bookmarkStart w:id="2894" w:name="_Toc294004724"/>
                  <w:bookmarkStart w:id="2895" w:name="_Toc294185220"/>
                  <w:bookmarkEnd w:id="2878"/>
                  <w:bookmarkEnd w:id="2879"/>
                  <w:bookmarkEnd w:id="2880"/>
                  <w:r>
                    <w:t>12. Transmission des informations concernant des élèves en intégration permanente totale au-delà du 30 septembre de l’année scolaire pour laquelle est prévue l’intégration.</w:t>
                  </w:r>
                  <w:bookmarkEnd w:id="2881"/>
                  <w:bookmarkEnd w:id="2882"/>
                  <w:bookmarkEnd w:id="2883"/>
                  <w:bookmarkEnd w:id="2884"/>
                  <w:bookmarkEnd w:id="2885"/>
                </w:p>
                <w:p/>
                <w:p>
                  <w:pPr>
                    <w:jc w:val="both"/>
                  </w:pPr>
                  <w:r>
                    <w:t xml:space="preserve">Pour des raisons exceptionnelles, les écoles peuvent introduire, auprès du Ministre ayant l’Enseignement spécialisé dans ses attributions, une demande motivée sollicitant l’autorisation de transmettre la liste des élèves en intégration permanente totale au-delà du 30 septembre de l’année scolaire en cours pour laquelle est prévue l’intégration permanente totale. </w:t>
                  </w:r>
                </w:p>
                <w:p>
                  <w:pPr>
                    <w:jc w:val="both"/>
                  </w:pPr>
                </w:p>
                <w:p>
                  <w:pPr>
                    <w:pStyle w:val="Titre4"/>
                  </w:pPr>
                  <w:bookmarkStart w:id="2896" w:name="_Toc324166044"/>
                  <w:bookmarkStart w:id="2897" w:name="_Toc324767080"/>
                  <w:bookmarkStart w:id="2898" w:name="_Toc324767938"/>
                  <w:bookmarkStart w:id="2899" w:name="_Toc453314449"/>
                  <w:bookmarkStart w:id="2900" w:name="_Toc454980484"/>
                  <w:r>
                    <w:t>12.1 Circonstances particulières</w:t>
                  </w:r>
                  <w:bookmarkEnd w:id="2896"/>
                  <w:bookmarkEnd w:id="2897"/>
                  <w:bookmarkEnd w:id="2898"/>
                  <w:bookmarkEnd w:id="2899"/>
                  <w:bookmarkEnd w:id="2900"/>
                </w:p>
                <w:p>
                  <w:pPr>
                    <w:jc w:val="both"/>
                    <w:rPr>
                      <w:rFonts w:eastAsiaTheme="minorEastAsia"/>
                      <w:smallCaps/>
                      <w:lang w:eastAsia="fr-BE"/>
                    </w:rPr>
                  </w:pPr>
                </w:p>
                <w:p>
                  <w:pPr>
                    <w:jc w:val="both"/>
                  </w:pPr>
                  <w:r>
                    <w:t xml:space="preserve">Les circonstances particulières sont les suivantes : </w:t>
                  </w:r>
                </w:p>
                <w:p>
                  <w:pPr>
                    <w:jc w:val="both"/>
                  </w:pPr>
                </w:p>
                <w:p>
                  <w:pPr>
                    <w:numPr>
                      <w:ilvl w:val="0"/>
                      <w:numId w:val="137"/>
                    </w:numPr>
                    <w:tabs>
                      <w:tab w:val="clear" w:pos="510"/>
                      <w:tab w:val="num" w:pos="900"/>
                    </w:tabs>
                    <w:suppressAutoHyphens/>
                    <w:ind w:left="360" w:hanging="360"/>
                    <w:jc w:val="both"/>
                  </w:pPr>
                  <w:r>
                    <w:t xml:space="preserve">la mesure de placement prise soit par un magistrat, soit par le conseiller ou le (la) directeur d’aide à la jeunesse ; </w:t>
                  </w:r>
                </w:p>
                <w:p>
                  <w:pPr>
                    <w:numPr>
                      <w:ilvl w:val="0"/>
                      <w:numId w:val="137"/>
                    </w:numPr>
                    <w:tabs>
                      <w:tab w:val="clear" w:pos="510"/>
                      <w:tab w:val="num" w:pos="900"/>
                    </w:tabs>
                    <w:suppressAutoHyphens/>
                    <w:ind w:left="360" w:hanging="360"/>
                    <w:jc w:val="both"/>
                  </w:pPr>
                  <w:r>
                    <w:t xml:space="preserve">le changement de domicile ; </w:t>
                  </w:r>
                </w:p>
                <w:p>
                  <w:pPr>
                    <w:numPr>
                      <w:ilvl w:val="0"/>
                      <w:numId w:val="137"/>
                    </w:numPr>
                    <w:tabs>
                      <w:tab w:val="clear" w:pos="510"/>
                      <w:tab w:val="num" w:pos="900"/>
                    </w:tabs>
                    <w:suppressAutoHyphens/>
                    <w:ind w:left="360" w:hanging="360"/>
                    <w:jc w:val="both"/>
                  </w:pPr>
                  <w:r>
                    <w:t xml:space="preserve">la séparation des parents entraînant un changement de lieu d’hébergement de l’élève ; </w:t>
                  </w:r>
                </w:p>
                <w:p>
                  <w:pPr>
                    <w:numPr>
                      <w:ilvl w:val="0"/>
                      <w:numId w:val="137"/>
                    </w:numPr>
                    <w:tabs>
                      <w:tab w:val="clear" w:pos="510"/>
                      <w:tab w:val="num" w:pos="900"/>
                    </w:tabs>
                    <w:suppressAutoHyphens/>
                    <w:ind w:left="360" w:hanging="360"/>
                    <w:jc w:val="both"/>
                  </w:pPr>
                  <w:r>
                    <w:t xml:space="preserve">le passage de l’élève d’une école à régime d’externat vers un internat et vice versa ; </w:t>
                  </w:r>
                </w:p>
                <w:p>
                  <w:pPr>
                    <w:numPr>
                      <w:ilvl w:val="0"/>
                      <w:numId w:val="137"/>
                    </w:numPr>
                    <w:tabs>
                      <w:tab w:val="clear" w:pos="510"/>
                      <w:tab w:val="num" w:pos="900"/>
                    </w:tabs>
                    <w:suppressAutoHyphens/>
                    <w:ind w:left="360" w:hanging="360"/>
                    <w:jc w:val="both"/>
                  </w:pPr>
                  <w:r>
                    <w:t xml:space="preserve">l’accueil de l’élève, sur l’initiative des parents, dans une autre famille ou dans un centre pour raison de maladie, de voyage ; </w:t>
                  </w:r>
                </w:p>
                <w:p>
                  <w:pPr>
                    <w:numPr>
                      <w:ilvl w:val="0"/>
                      <w:numId w:val="137"/>
                    </w:numPr>
                    <w:tabs>
                      <w:tab w:val="clear" w:pos="510"/>
                      <w:tab w:val="num" w:pos="900"/>
                    </w:tabs>
                    <w:suppressAutoHyphens/>
                    <w:ind w:left="360" w:hanging="360"/>
                    <w:jc w:val="both"/>
                  </w:pPr>
                  <w:r>
                    <w:t xml:space="preserve">l’exclusion définitive de l’élève d’un autre établissement ; </w:t>
                  </w:r>
                </w:p>
                <w:p>
                  <w:pPr>
                    <w:numPr>
                      <w:ilvl w:val="0"/>
                      <w:numId w:val="137"/>
                    </w:numPr>
                    <w:tabs>
                      <w:tab w:val="clear" w:pos="510"/>
                      <w:tab w:val="num" w:pos="900"/>
                    </w:tabs>
                    <w:suppressAutoHyphens/>
                    <w:ind w:left="360" w:hanging="360"/>
                    <w:jc w:val="both"/>
                  </w:pPr>
                  <w:r>
                    <w:t>en cas de force majeure ou de nécessité absolue dûment motivée et dans l’intérêt de l’élève pour des motifs autres que les cas énumérés ci-dessus.</w:t>
                  </w:r>
                </w:p>
                <w:p>
                  <w:pPr>
                    <w:jc w:val="both"/>
                  </w:pPr>
                </w:p>
                <w:p>
                  <w:pPr>
                    <w:pStyle w:val="Titre4"/>
                  </w:pPr>
                  <w:bookmarkStart w:id="2901" w:name="_12.2_Procédure"/>
                  <w:bookmarkStart w:id="2902" w:name="_Toc453314450"/>
                  <w:bookmarkStart w:id="2903" w:name="_Toc454980485"/>
                  <w:bookmarkEnd w:id="2901"/>
                  <w:r>
                    <w:t>12.2 Procédure</w:t>
                  </w:r>
                  <w:bookmarkEnd w:id="2902"/>
                  <w:bookmarkEnd w:id="2903"/>
                </w:p>
                <w:p>
                  <w:pPr>
                    <w:jc w:val="both"/>
                  </w:pPr>
                </w:p>
                <w:p>
                  <w:pPr>
                    <w:jc w:val="both"/>
                  </w:pPr>
                  <w:r>
                    <w:t>L’établissement d’enseignement spécialisé doit introduire un dossier de demande par élève comprenant</w:t>
                  </w:r>
                  <w:r>
                    <w:rPr>
                      <w:rStyle w:val="Lienhypertexte"/>
                      <w:rFonts w:cs="Arial"/>
                    </w:rPr>
                    <w:t xml:space="preserve"> </w:t>
                  </w:r>
                  <w:hyperlink w:anchor="_Annexe_10_:_3" w:history="1">
                    <w:r>
                      <w:rPr>
                        <w:rStyle w:val="Lienhypertexte"/>
                        <w:rFonts w:cs="Arial"/>
                      </w:rPr>
                      <w:t>l’Annexe 10</w:t>
                    </w:r>
                  </w:hyperlink>
                  <w:r>
                    <w:t xml:space="preserve"> dûment completée et une copie de </w:t>
                  </w:r>
                  <w:hyperlink w:anchor="_Annexe_2_:_5" w:history="1">
                    <w:r>
                      <w:rPr>
                        <w:rStyle w:val="Lienhypertexte"/>
                        <w:rFonts w:cstheme="minorBidi"/>
                      </w:rPr>
                      <w:t>l’Annexe 2</w:t>
                    </w:r>
                  </w:hyperlink>
                  <w:r>
                    <w:t xml:space="preserve"> (protocole d’intégration) auprès du Ministre qui a l’Enseignement spécialisé dans ses attributions. Celui-ci statue sur la demande de dérogation dans les 30 jours hors vacances scolaires suivant la réception du dossier de demande de dérogation.</w:t>
                  </w:r>
                </w:p>
                <w:p>
                  <w:pPr>
                    <w:jc w:val="both"/>
                  </w:pPr>
                </w:p>
                <w:p>
                  <w:pPr>
                    <w:pStyle w:val="Titre3"/>
                  </w:pPr>
                  <w:bookmarkStart w:id="2904" w:name="_13_Modalités_de"/>
                  <w:bookmarkStart w:id="2905" w:name="_Toc324166045"/>
                  <w:bookmarkStart w:id="2906" w:name="_Toc324767081"/>
                  <w:bookmarkStart w:id="2907" w:name="_Toc453314451"/>
                  <w:bookmarkStart w:id="2908" w:name="_Toc454980486"/>
                  <w:bookmarkStart w:id="2909" w:name="_Toc18914492"/>
                  <w:bookmarkEnd w:id="2904"/>
                  <w:r>
                    <w:t>13. Modalités de rétrocession des périodes complémentaires (article 148) en cas de recomptage à la hausse au 30 septembre</w:t>
                  </w:r>
                  <w:bookmarkEnd w:id="2905"/>
                  <w:bookmarkEnd w:id="2906"/>
                  <w:bookmarkEnd w:id="2907"/>
                  <w:bookmarkEnd w:id="2908"/>
                  <w:bookmarkEnd w:id="2909"/>
                </w:p>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Les établissements qui accueillent des élèves en intégration temporaire totale ou en intégration partielle peuvent recevoir des périodes complémentaires dérogatoires sur base de l’article 148 du Décret du 3 mars 2004 organisant l’enseignement spécialisé tel que modifié. Ce même article précise que les périodes seront rétrocédées au Gouvernement en cas de recomptage à la hausse au 30 septembre tel que prévu aux articles 36 §1er (CPU enseignant fondamental) et 88§1er (CPU enseignant secondaire).</w:t>
                  </w:r>
                </w:p>
                <w:p>
                  <w:pPr>
                    <w:jc w:val="both"/>
                  </w:pPr>
                  <w:r>
                    <w:t>Ces périodes dérogatoires sont rétrocédées dès le 1</w:t>
                  </w:r>
                  <w:r>
                    <w:rPr>
                      <w:vertAlign w:val="superscript"/>
                    </w:rPr>
                    <w:t>er</w:t>
                  </w:r>
                  <w:r>
                    <w:t xml:space="preserve"> octobre de l’année scolaire en cours.</w:t>
                  </w:r>
                </w:p>
                <w:p>
                  <w:pPr>
                    <w:jc w:val="both"/>
                  </w:pPr>
                </w:p>
                <w:p>
                  <w:pPr>
                    <w:pStyle w:val="Titre3"/>
                  </w:pPr>
                  <w:bookmarkStart w:id="2910" w:name="_15._Dérogations_«"/>
                  <w:bookmarkStart w:id="2911" w:name="_Toc453314452"/>
                  <w:bookmarkStart w:id="2912" w:name="_Toc454980487"/>
                  <w:bookmarkStart w:id="2913" w:name="_Toc18914493"/>
                  <w:bookmarkStart w:id="2914" w:name="_Toc324166046"/>
                  <w:bookmarkStart w:id="2915" w:name="_Toc324767082"/>
                  <w:bookmarkEnd w:id="2910"/>
                  <w:r>
                    <w:t>14. Dérogations « autre type »</w:t>
                  </w:r>
                  <w:bookmarkEnd w:id="2911"/>
                  <w:bookmarkEnd w:id="2912"/>
                  <w:bookmarkEnd w:id="2913"/>
                </w:p>
                <w:p>
                  <w:pPr>
                    <w:jc w:val="both"/>
                    <w:rPr>
                      <w:bCs/>
                      <w:color w:val="000000"/>
                      <w:lang w:eastAsia="fr-FR"/>
                    </w:rPr>
                  </w:pPr>
                </w:p>
                <w:p>
                  <w:pPr>
                    <w:jc w:val="both"/>
                    <w:rPr>
                      <w:color w:val="000000"/>
                      <w:lang w:eastAsia="fr-FR"/>
                    </w:rPr>
                  </w:pPr>
                  <w:r>
                    <w:rPr>
                      <w:color w:val="000000"/>
                      <w:lang w:eastAsia="fr-FR"/>
                    </w:rPr>
                    <w:t>Toute dérogation « autre type » accordée à un élève demeure valable pendant toute sa scolarité pour autant que les conditions, en vertu desquelles  ladite dérogation a été octroyée, demeurent inchangées.</w:t>
                  </w:r>
                </w:p>
                <w:p>
                  <w:pPr>
                    <w:rPr>
                      <w:highlight w:val="yellow"/>
                    </w:rPr>
                  </w:pPr>
                  <w:bookmarkStart w:id="2916" w:name="_Toc453314453"/>
                  <w:bookmarkStart w:id="2917" w:name="_Toc454980488"/>
                </w:p>
                <w:p>
                  <w:pPr>
                    <w:pStyle w:val="Titre3"/>
                  </w:pPr>
                  <w:bookmarkStart w:id="2918" w:name="_16._Foire_aux"/>
                  <w:bookmarkStart w:id="2919" w:name="_12._Annexes"/>
                  <w:bookmarkStart w:id="2920" w:name="__RefHeading__261_957262308"/>
                  <w:bookmarkStart w:id="2921" w:name="_17._Annexes"/>
                  <w:bookmarkStart w:id="2922" w:name="_17._Signalement_des"/>
                  <w:bookmarkStart w:id="2923" w:name="_16._Signalement_des"/>
                  <w:bookmarkStart w:id="2924" w:name="_15._Signalement_des"/>
                  <w:bookmarkStart w:id="2925" w:name="_Toc18914494"/>
                  <w:bookmarkStart w:id="2926" w:name="_Toc291075414"/>
                  <w:bookmarkStart w:id="2927" w:name="_Toc291075838"/>
                  <w:bookmarkStart w:id="2928" w:name="_Toc291076262"/>
                  <w:bookmarkStart w:id="2929" w:name="_Toc291076686"/>
                  <w:bookmarkStart w:id="2930" w:name="_Toc291077110"/>
                  <w:bookmarkStart w:id="2931" w:name="_Toc293651953"/>
                  <w:bookmarkStart w:id="2932" w:name="_Toc293653536"/>
                  <w:bookmarkStart w:id="2933" w:name="_Toc293654147"/>
                  <w:bookmarkStart w:id="2934" w:name="_Toc294004725"/>
                  <w:bookmarkStart w:id="2935" w:name="_Toc294185221"/>
                  <w:bookmarkStart w:id="2936" w:name="_Toc324166047"/>
                  <w:bookmarkStart w:id="2937" w:name="_Toc324767083"/>
                  <w:bookmarkStart w:id="2938" w:name="_Toc324767941"/>
                  <w:bookmarkStart w:id="2939" w:name="_Toc453314454"/>
                  <w:bookmarkStart w:id="2940" w:name="_Toc454980489"/>
                  <w:bookmarkEnd w:id="2886"/>
                  <w:bookmarkEnd w:id="2887"/>
                  <w:bookmarkEnd w:id="2888"/>
                  <w:bookmarkEnd w:id="2889"/>
                  <w:bookmarkEnd w:id="2890"/>
                  <w:bookmarkEnd w:id="2891"/>
                  <w:bookmarkEnd w:id="2892"/>
                  <w:bookmarkEnd w:id="2893"/>
                  <w:bookmarkEnd w:id="2894"/>
                  <w:bookmarkEnd w:id="2895"/>
                  <w:bookmarkEnd w:id="2914"/>
                  <w:bookmarkEnd w:id="2915"/>
                  <w:bookmarkEnd w:id="2916"/>
                  <w:bookmarkEnd w:id="2917"/>
                  <w:bookmarkEnd w:id="2918"/>
                  <w:bookmarkEnd w:id="2919"/>
                  <w:bookmarkEnd w:id="2920"/>
                  <w:bookmarkEnd w:id="2921"/>
                  <w:bookmarkEnd w:id="2922"/>
                  <w:bookmarkEnd w:id="2923"/>
                  <w:bookmarkEnd w:id="2924"/>
                  <w:r>
                    <w:t>15. Signalement des intégrations des élèves à besoins spécifiques via le formulaire électronique.</w:t>
                  </w:r>
                  <w:bookmarkEnd w:id="2925"/>
                </w:p>
                <w:p/>
                <w:p>
                  <w:pPr>
                    <w:jc w:val="both"/>
                  </w:pPr>
                  <w:r>
                    <w:t xml:space="preserve">Vous </w:t>
                  </w:r>
                  <w:r>
                    <w:rPr>
                      <w:b/>
                    </w:rPr>
                    <w:t>devez</w:t>
                  </w:r>
                  <w:r>
                    <w:t xml:space="preserve">, à présent, </w:t>
                  </w:r>
                  <w:r>
                    <w:rPr>
                      <w:b/>
                    </w:rPr>
                    <w:t>signaler</w:t>
                  </w:r>
                  <w:r>
                    <w:t xml:space="preserve"> tous les </w:t>
                  </w:r>
                  <w:r>
                    <w:rPr>
                      <w:b/>
                    </w:rPr>
                    <w:t>nouveaux</w:t>
                  </w:r>
                  <w:r>
                    <w:t xml:space="preserve"> protocoles d’intégration. </w:t>
                  </w:r>
                </w:p>
                <w:p>
                  <w:pPr>
                    <w:jc w:val="both"/>
                  </w:pPr>
                </w:p>
                <w:p>
                  <w:pPr>
                    <w:jc w:val="both"/>
                  </w:pPr>
                  <w:r>
                    <w:t xml:space="preserve">Dès à présent, vous devez introduire des </w:t>
                  </w:r>
                  <w:r>
                    <w:rPr>
                      <w:b/>
                    </w:rPr>
                    <w:t>demandes de dérogation « annexes 6a, 6b et 7 »</w:t>
                  </w:r>
                  <w:r>
                    <w:t xml:space="preserve"> lors de tout signalement d’intégration. </w:t>
                  </w:r>
                </w:p>
                <w:p>
                  <w:pPr>
                    <w:jc w:val="both"/>
                  </w:pPr>
                </w:p>
                <w:p>
                  <w:pPr>
                    <w:jc w:val="both"/>
                  </w:pPr>
                  <w:r>
                    <w:t>Il ne faut donc plus transmettre à l’Administration ces documents scannés via la boîte mails générique.</w:t>
                  </w:r>
                </w:p>
                <w:p>
                  <w:pPr>
                    <w:jc w:val="both"/>
                  </w:pPr>
                </w:p>
                <w:p>
                  <w:pPr>
                    <w:jc w:val="both"/>
                    <w:rPr>
                      <w:b/>
                    </w:rPr>
                  </w:pPr>
                  <w:r>
                    <w:t xml:space="preserve">Toutefois, le formulaire électronique ne permet pas de signaler les </w:t>
                  </w:r>
                  <w:r>
                    <w:rPr>
                      <w:b/>
                      <w:u w:val="single"/>
                    </w:rPr>
                    <w:t>prolongations ou arrêts d’intégrations</w:t>
                  </w:r>
                  <w:r>
                    <w:t xml:space="preserve"> </w:t>
                  </w:r>
                  <w:r>
                    <w:rPr>
                      <w:b/>
                    </w:rPr>
                    <w:t>(</w:t>
                  </w:r>
                  <w:hyperlink w:anchor="_Annexe_4_:_2" w:history="1">
                    <w:r>
                      <w:rPr>
                        <w:rStyle w:val="Lienhypertexte"/>
                        <w:rFonts w:cs="Arial"/>
                      </w:rPr>
                      <w:t>Annexe 4</w:t>
                    </w:r>
                  </w:hyperlink>
                  <w:r>
                    <w:rPr>
                      <w:b/>
                    </w:rPr>
                    <w:t xml:space="preserve">) </w:t>
                  </w:r>
                  <w:r>
                    <w:t xml:space="preserve">et les </w:t>
                  </w:r>
                  <w:r>
                    <w:rPr>
                      <w:b/>
                      <w:u w:val="single"/>
                    </w:rPr>
                    <w:t>demandes de dérogation « autre type »</w:t>
                  </w:r>
                  <w:r>
                    <w:t xml:space="preserve"> (</w:t>
                  </w:r>
                  <w:hyperlink w:anchor="_Annexe_8_:" w:history="1">
                    <w:r>
                      <w:rPr>
                        <w:rStyle w:val="Lienhypertexte"/>
                        <w:rFonts w:cstheme="minorBidi"/>
                      </w:rPr>
                      <w:t>annexe 8</w:t>
                    </w:r>
                  </w:hyperlink>
                  <w:r>
                    <w:t>).</w:t>
                  </w:r>
                  <w:r>
                    <w:rPr>
                      <w:b/>
                    </w:rPr>
                    <w:t xml:space="preserve"> </w:t>
                  </w:r>
                </w:p>
                <w:p>
                  <w:pPr>
                    <w:jc w:val="both"/>
                    <w:rPr>
                      <w:b/>
                    </w:rPr>
                  </w:pPr>
                </w:p>
                <w:p>
                  <w:pPr>
                    <w:jc w:val="both"/>
                  </w:pPr>
                  <w:r>
                    <w:t>Ces deux annexes doivent toujours être transmises à l’Administration par voie électronique via la boîte mails générique (</w:t>
                  </w:r>
                  <w:r>
                    <w:rPr>
                      <w:b/>
                    </w:rPr>
                    <w:t>integration_specialise@cfwb.be</w:t>
                  </w:r>
                  <w:r>
                    <w:t xml:space="preserve">). </w:t>
                  </w:r>
                </w:p>
                <w:p>
                  <w:pPr>
                    <w:jc w:val="both"/>
                  </w:pPr>
                </w:p>
                <w:p>
                  <w:pPr>
                    <w:jc w:val="both"/>
                    <w:rPr>
                      <w:b/>
                      <w:u w:val="single"/>
                    </w:rPr>
                  </w:pPr>
                  <w:r>
                    <w:rPr>
                      <w:b/>
                      <w:u w:val="single"/>
                    </w:rPr>
                    <w:t>Vous trouverez, ci-après, les diverses procédures à suivre pour le signalement des intégrations ou pour demander une dérogation via le formulaire électronique :</w:t>
                  </w:r>
                </w:p>
                <w:p>
                  <w:pPr>
                    <w:jc w:val="both"/>
                    <w:rPr>
                      <w:b/>
                      <w:u w:val="single"/>
                    </w:rPr>
                  </w:pPr>
                </w:p>
                <w:p>
                  <w:pPr>
                    <w:numPr>
                      <w:ilvl w:val="0"/>
                      <w:numId w:val="145"/>
                    </w:numPr>
                    <w:spacing w:after="200" w:line="276" w:lineRule="auto"/>
                    <w:ind w:left="284" w:hanging="284"/>
                    <w:jc w:val="both"/>
                    <w:rPr>
                      <w:b/>
                    </w:rPr>
                  </w:pPr>
                  <w:r>
                    <w:rPr>
                      <w:b/>
                      <w:u w:val="single"/>
                    </w:rPr>
                    <w:t>Lorsque vous désirez établir un protocole d’intégration </w:t>
                  </w:r>
                  <w:r>
                    <w:rPr>
                      <w:b/>
                    </w:rPr>
                    <w:t xml:space="preserve">: </w:t>
                  </w:r>
                </w:p>
                <w:p>
                  <w:pPr>
                    <w:numPr>
                      <w:ilvl w:val="0"/>
                      <w:numId w:val="142"/>
                    </w:numPr>
                    <w:ind w:left="284" w:hanging="284"/>
                    <w:jc w:val="both"/>
                  </w:pPr>
                  <w:r>
                    <w:t xml:space="preserve">Vous encodez l’intégration dans le « Formulaire électronique intégration » avec les éventuelles demandes de dérogation (demande de capital-périodes complémentaire ou demande de dérogation grande distance). </w:t>
                  </w:r>
                </w:p>
                <w:p>
                  <w:pPr>
                    <w:numPr>
                      <w:ilvl w:val="0"/>
                      <w:numId w:val="142"/>
                    </w:numPr>
                    <w:ind w:left="284" w:hanging="284"/>
                    <w:jc w:val="both"/>
                  </w:pPr>
                  <w:r>
                    <w:t xml:space="preserve">Vous imprimez le document PDF suite à votre encodage. Ce </w:t>
                  </w:r>
                  <w:r>
                    <w:rPr>
                      <w:u w:val="dash"/>
                    </w:rPr>
                    <w:t>document sera utilisé comme première partie du protocole d’intégration</w:t>
                  </w:r>
                  <w:r>
                    <w:t xml:space="preserve">. </w:t>
                  </w:r>
                </w:p>
                <w:p>
                  <w:pPr>
                    <w:numPr>
                      <w:ilvl w:val="0"/>
                      <w:numId w:val="142"/>
                    </w:numPr>
                    <w:ind w:left="284" w:hanging="284"/>
                    <w:jc w:val="both"/>
                  </w:pPr>
                  <w:r>
                    <w:t xml:space="preserve">Vous complétez les données sur la </w:t>
                  </w:r>
                  <w:r>
                    <w:rPr>
                      <w:u w:val="dash"/>
                    </w:rPr>
                    <w:t>deuxième page du protocole d’intégration</w:t>
                  </w:r>
                  <w:r>
                    <w:t xml:space="preserve">. </w:t>
                  </w:r>
                </w:p>
                <w:p>
                  <w:pPr>
                    <w:numPr>
                      <w:ilvl w:val="0"/>
                      <w:numId w:val="142"/>
                    </w:numPr>
                    <w:ind w:left="284" w:hanging="284"/>
                    <w:jc w:val="both"/>
                  </w:pPr>
                  <w:r>
                    <w:t xml:space="preserve">Tous les partenaires signent </w:t>
                  </w:r>
                  <w:r>
                    <w:rPr>
                      <w:u w:val="dash"/>
                    </w:rPr>
                    <w:t>la troisième page du protocole d’intégration.</w:t>
                  </w:r>
                </w:p>
                <w:p>
                  <w:pPr>
                    <w:numPr>
                      <w:ilvl w:val="0"/>
                      <w:numId w:val="142"/>
                    </w:numPr>
                    <w:ind w:left="284" w:hanging="284"/>
                    <w:jc w:val="both"/>
                  </w:pPr>
                  <w:r>
                    <w:t>Vous validez l’intégration renseignée dans le « Formulaire électronique intégration » (cette validation est à effectuer seulement quand le protocole d’intégration a été signé par tous les partenaires).</w:t>
                  </w:r>
                </w:p>
                <w:p>
                  <w:pPr>
                    <w:jc w:val="both"/>
                  </w:pPr>
                </w:p>
                <w:p>
                  <w:pPr>
                    <w:jc w:val="both"/>
                    <w:rPr>
                      <w:b/>
                    </w:rPr>
                  </w:pPr>
                  <w:r>
                    <w:rPr>
                      <w:b/>
                    </w:rPr>
                    <w:t>Attention, une fois que vous avez validé une intégration, vous n’avez plus la possibilité de modifier les données renseignées. Vérifier donc bien  que toutes les informations encodées soient correctes avant de valider.</w:t>
                  </w:r>
                </w:p>
                <w:p>
                  <w:pPr>
                    <w:ind w:hanging="284"/>
                    <w:jc w:val="both"/>
                  </w:pPr>
                </w:p>
                <w:p>
                  <w:pPr>
                    <w:numPr>
                      <w:ilvl w:val="0"/>
                      <w:numId w:val="145"/>
                    </w:numPr>
                    <w:spacing w:after="200" w:line="276" w:lineRule="auto"/>
                    <w:ind w:left="284" w:hanging="284"/>
                    <w:jc w:val="both"/>
                    <w:rPr>
                      <w:b/>
                      <w:u w:val="single"/>
                    </w:rPr>
                  </w:pPr>
                  <w:r>
                    <w:rPr>
                      <w:b/>
                      <w:u w:val="single"/>
                    </w:rPr>
                    <w:t xml:space="preserve">Lorsque vous désirez faire une demande de dérogation pour un élève qui était déjà en intégration et pour lequel les partenaires sont identiques à l’intégration précédente : </w:t>
                  </w:r>
                </w:p>
                <w:p>
                  <w:pPr>
                    <w:numPr>
                      <w:ilvl w:val="0"/>
                      <w:numId w:val="143"/>
                    </w:numPr>
                    <w:ind w:left="284" w:hanging="284"/>
                    <w:jc w:val="both"/>
                  </w:pPr>
                  <w:r>
                    <w:t>Vous encodez l’intégration dans le « Formulaire électronique intégration ».</w:t>
                  </w:r>
                </w:p>
                <w:p>
                  <w:pPr>
                    <w:numPr>
                      <w:ilvl w:val="0"/>
                      <w:numId w:val="143"/>
                    </w:numPr>
                    <w:ind w:left="284" w:hanging="284"/>
                    <w:jc w:val="both"/>
                  </w:pPr>
                  <w:r>
                    <w:t xml:space="preserve">Vous cochez la ou les demandes de dérogation souhaitée(s). </w:t>
                  </w:r>
                </w:p>
                <w:p>
                  <w:pPr>
                    <w:numPr>
                      <w:ilvl w:val="0"/>
                      <w:numId w:val="143"/>
                    </w:numPr>
                    <w:ind w:left="284" w:hanging="284"/>
                    <w:jc w:val="both"/>
                  </w:pPr>
                  <w:r>
                    <w:t>Vous validez l’intégration renseignée dans le formulaire électronique.</w:t>
                  </w:r>
                </w:p>
                <w:p>
                  <w:pPr>
                    <w:jc w:val="both"/>
                  </w:pPr>
                </w:p>
                <w:p>
                  <w:pPr>
                    <w:numPr>
                      <w:ilvl w:val="0"/>
                      <w:numId w:val="145"/>
                    </w:numPr>
                    <w:spacing w:after="200" w:line="276" w:lineRule="auto"/>
                    <w:ind w:left="284" w:hanging="284"/>
                    <w:jc w:val="both"/>
                    <w:rPr>
                      <w:b/>
                      <w:u w:val="single"/>
                    </w:rPr>
                  </w:pPr>
                  <w:r>
                    <w:rPr>
                      <w:b/>
                      <w:u w:val="single"/>
                    </w:rPr>
                    <w:t>Lorsque vous désirez établir un protocole d’intégration pour un élève pour lequel vous n’organisez pas le type :</w:t>
                  </w:r>
                </w:p>
                <w:p>
                  <w:pPr>
                    <w:numPr>
                      <w:ilvl w:val="0"/>
                      <w:numId w:val="144"/>
                    </w:numPr>
                    <w:ind w:left="426" w:hanging="426"/>
                    <w:jc w:val="both"/>
                  </w:pPr>
                  <w:r>
                    <w:t>Vous encodez l’intégration dans le « Formulaire électronique intégration ».</w:t>
                  </w:r>
                </w:p>
                <w:p>
                  <w:pPr>
                    <w:numPr>
                      <w:ilvl w:val="0"/>
                      <w:numId w:val="144"/>
                    </w:numPr>
                    <w:ind w:left="426" w:hanging="426"/>
                    <w:jc w:val="both"/>
                  </w:pPr>
                  <w:r>
                    <w:t xml:space="preserve">Vous imprimez le document PDF suite à votre encodage. Ce </w:t>
                  </w:r>
                  <w:r>
                    <w:rPr>
                      <w:u w:val="dash"/>
                    </w:rPr>
                    <w:t>document sera utilisé comme première page du protocole d’intégration</w:t>
                  </w:r>
                  <w:r>
                    <w:t xml:space="preserve">. </w:t>
                  </w:r>
                </w:p>
                <w:p>
                  <w:pPr>
                    <w:numPr>
                      <w:ilvl w:val="0"/>
                      <w:numId w:val="144"/>
                    </w:numPr>
                    <w:ind w:left="426" w:hanging="426"/>
                    <w:jc w:val="both"/>
                  </w:pPr>
                  <w:r>
                    <w:t xml:space="preserve">Vous introduisez une demande de dérogation « autre type » via la boîte mail générique (intégration_specialise.cfwb.be). </w:t>
                  </w:r>
                </w:p>
                <w:p>
                  <w:pPr>
                    <w:numPr>
                      <w:ilvl w:val="0"/>
                      <w:numId w:val="144"/>
                    </w:numPr>
                    <w:ind w:left="426" w:hanging="426"/>
                    <w:jc w:val="both"/>
                  </w:pPr>
                  <w:r>
                    <w:t xml:space="preserve">L’Administration présentera le dossier au Conseil Général de l’Enseignement Fondamental. </w:t>
                  </w:r>
                </w:p>
                <w:p>
                  <w:pPr>
                    <w:numPr>
                      <w:ilvl w:val="0"/>
                      <w:numId w:val="144"/>
                    </w:numPr>
                    <w:ind w:left="426" w:hanging="426"/>
                    <w:jc w:val="both"/>
                  </w:pPr>
                  <w:r>
                    <w:t>Le dossier sera, ensuite, transmis au Ministre ayant en charge l’Enseignement spécialisé.</w:t>
                  </w:r>
                </w:p>
                <w:p>
                  <w:pPr>
                    <w:numPr>
                      <w:ilvl w:val="0"/>
                      <w:numId w:val="144"/>
                    </w:numPr>
                    <w:ind w:left="426" w:hanging="426"/>
                    <w:jc w:val="both"/>
                  </w:pPr>
                  <w:r>
                    <w:t xml:space="preserve">Le ou la Ministre compétent(e) signalera son accord ou désaccord à l’Administration.  </w:t>
                  </w:r>
                </w:p>
                <w:p>
                  <w:pPr>
                    <w:numPr>
                      <w:ilvl w:val="0"/>
                      <w:numId w:val="144"/>
                    </w:numPr>
                    <w:ind w:left="426" w:hanging="426"/>
                    <w:jc w:val="both"/>
                  </w:pPr>
                  <w:r>
                    <w:t xml:space="preserve">L’Administration vous enverra un courrier officiel signalant la décision ministérielle. </w:t>
                  </w:r>
                </w:p>
                <w:p>
                  <w:pPr>
                    <w:numPr>
                      <w:ilvl w:val="0"/>
                      <w:numId w:val="144"/>
                    </w:numPr>
                    <w:ind w:left="426" w:hanging="426"/>
                    <w:jc w:val="both"/>
                    <w:rPr>
                      <w:u w:val="single"/>
                    </w:rPr>
                  </w:pPr>
                  <w:r>
                    <w:t>Si l’accord est positif, vous pouvez compléter la deuxième page du protocole d’intégration et faire signer la troisième page par tous les partenaires.</w:t>
                  </w:r>
                </w:p>
                <w:p>
                  <w:pPr>
                    <w:numPr>
                      <w:ilvl w:val="0"/>
                      <w:numId w:val="144"/>
                    </w:numPr>
                    <w:ind w:left="426" w:hanging="426"/>
                    <w:jc w:val="both"/>
                    <w:rPr>
                      <w:u w:val="single"/>
                    </w:rPr>
                  </w:pPr>
                  <w:r>
                    <w:t xml:space="preserve"> Vous validez l’intégration renseignée dans le « Formulaire électronique intégration ».</w:t>
                  </w:r>
                </w:p>
                <w:p>
                  <w:pPr>
                    <w:numPr>
                      <w:ilvl w:val="0"/>
                      <w:numId w:val="144"/>
                    </w:numPr>
                    <w:ind w:left="426" w:hanging="426"/>
                    <w:jc w:val="both"/>
                    <w:rPr>
                      <w:u w:val="single"/>
                    </w:rPr>
                  </w:pPr>
                  <w:r>
                    <w:t>Si l’accord est négatif, vous devez « supprimer » l’intégration du « Formulaire électronique intégration »   (cf. page 5 du manuel d’utilisation ci-joint).</w:t>
                  </w:r>
                </w:p>
                <w:p>
                  <w:pPr>
                    <w:jc w:val="both"/>
                    <w:rPr>
                      <w:u w:val="single"/>
                    </w:rPr>
                  </w:pPr>
                </w:p>
                <w:p>
                  <w:pPr>
                    <w:numPr>
                      <w:ilvl w:val="0"/>
                      <w:numId w:val="145"/>
                    </w:numPr>
                    <w:spacing w:after="200" w:line="276" w:lineRule="auto"/>
                    <w:ind w:left="360"/>
                    <w:jc w:val="both"/>
                    <w:rPr>
                      <w:b/>
                      <w:u w:val="single"/>
                    </w:rPr>
                  </w:pPr>
                  <w:r>
                    <w:rPr>
                      <w:b/>
                      <w:u w:val="single"/>
                    </w:rPr>
                    <w:t>Lorsque vous désirez faire une demande de dérogation pour un élève qui était déjà en intégration et pour lequel il y a un ou de nouveaux partenaires : la procédure à suivre est la même que lorsque vous établissez un protocole d’intégration (cf. point A.)</w:t>
                  </w:r>
                </w:p>
                <w:p>
                  <w:pPr>
                    <w:jc w:val="both"/>
                  </w:pPr>
                </w:p>
                <w:p>
                  <w:pPr>
                    <w:jc w:val="center"/>
                    <w:rPr>
                      <w:b/>
                    </w:rPr>
                  </w:pPr>
                  <w:r>
                    <w:rPr>
                      <w:b/>
                    </w:rPr>
                    <w:t>Le « Formulaire électronique intégration » se trouve sur le site internet</w:t>
                  </w:r>
                </w:p>
                <w:p>
                  <w:pPr>
                    <w:jc w:val="center"/>
                    <w:rPr>
                      <w:b/>
                    </w:rPr>
                  </w:pPr>
                  <w:hyperlink r:id="rId181" w:history="1">
                    <w:r>
                      <w:rPr>
                        <w:rStyle w:val="Lienhypertexte"/>
                        <w:rFonts w:cstheme="minorBidi"/>
                        <w:b/>
                      </w:rPr>
                      <w:t>http : //www.am.cfwb.be </w:t>
                    </w:r>
                  </w:hyperlink>
                </w:p>
                <w:p>
                  <w:pPr>
                    <w:jc w:val="center"/>
                    <w:rPr>
                      <w:b/>
                    </w:rPr>
                  </w:pPr>
                </w:p>
                <w:p>
                  <w:pPr>
                    <w:jc w:val="both"/>
                  </w:pPr>
                  <w:r>
                    <w:t>Le manuel d’utilisation se trouve au sein de circulaire n° 5948 relative au formulaire électronique relatif au signalement des intégrations ainsi qu’aux demandes de dérogation (s) – FE intégration. Celui-ci vous aidera à compléter le « Formulaire électronique intégration » en ligne.</w:t>
                  </w:r>
                </w:p>
                <w:p>
                  <w:pPr>
                    <w:jc w:val="both"/>
                  </w:pPr>
                </w:p>
                <w:p>
                  <w:pPr>
                    <w:jc w:val="both"/>
                  </w:pPr>
                  <w:r>
                    <w:t xml:space="preserve">Le « Formulaire électronique intégration » a été développé en vue de simplifier les démarches administratives. Grâce à cette nouvelle application, vous n’encoderez plus qu’une seule fois les données des élèves que vous souhaitez intégrer et vous avez également la possibilité de demander directement en ligne les demandes de dérogations capital-périodes complémentaire et grande distance. </w:t>
                  </w:r>
                </w:p>
                <w:p>
                  <w:pPr>
                    <w:jc w:val="both"/>
                  </w:pPr>
                </w:p>
                <w:p>
                  <w:pPr>
                    <w:pStyle w:val="Titre3"/>
                  </w:pPr>
                  <w:bookmarkStart w:id="2941" w:name="_17._Annexes_1"/>
                  <w:bookmarkStart w:id="2942" w:name="_Toc18914495"/>
                  <w:bookmarkEnd w:id="2941"/>
                  <w:r>
                    <w:t>16. Annexe</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r>
                    <w:t>s</w:t>
                  </w:r>
                  <w:bookmarkEnd w:id="2939"/>
                  <w:bookmarkEnd w:id="2940"/>
                  <w:bookmarkEnd w:id="2942"/>
                </w:p>
                <w:p>
                  <w:pPr>
                    <w:rPr>
                      <w:b/>
                      <w:u w:val="single"/>
                    </w:rPr>
                  </w:pPr>
                  <w:bookmarkStart w:id="2943" w:name="_Annexe_1_:_1"/>
                  <w:bookmarkStart w:id="2944" w:name="_Annexe_1_:_13"/>
                  <w:bookmarkStart w:id="2945" w:name="_Toc453314455"/>
                  <w:bookmarkStart w:id="2946" w:name="_Toc454980490"/>
                  <w:bookmarkStart w:id="2947" w:name="_Ref11406396"/>
                  <w:bookmarkEnd w:id="2943"/>
                  <w:bookmarkEnd w:id="2944"/>
                  <w:r>
                    <w:br w:type="page"/>
                  </w:r>
                </w:p>
                <w:p>
                  <w:pPr>
                    <w:pStyle w:val="Titre4"/>
                  </w:pPr>
                  <w:r>
                    <w:rPr>
                      <w:noProof/>
                      <w:lang w:eastAsia="fr-BE"/>
                    </w:rPr>
                    <mc:AlternateContent>
                      <mc:Choice Requires="wps">
                        <w:drawing>
                          <wp:anchor distT="0" distB="0" distL="114300" distR="114300" simplePos="0" relativeHeight="252049408" behindDoc="0" locked="0" layoutInCell="1" allowOverlap="1">
                            <wp:simplePos x="0" y="0"/>
                            <wp:positionH relativeFrom="column">
                              <wp:posOffset>5976620</wp:posOffset>
                            </wp:positionH>
                            <wp:positionV relativeFrom="paragraph">
                              <wp:posOffset>5414010</wp:posOffset>
                            </wp:positionV>
                            <wp:extent cx="0" cy="304800"/>
                            <wp:effectExtent l="0" t="0" r="19050" b="19050"/>
                            <wp:wrapNone/>
                            <wp:docPr id="4932" name="Connecteur droit 4932"/>
                            <wp:cNvGraphicFramePr/>
                            <a:graphic xmlns:a="http://schemas.openxmlformats.org/drawingml/2006/main">
                              <a:graphicData uri="http://schemas.microsoft.com/office/word/2010/wordprocessingShape">
                                <wps:wsp>
                                  <wps:cNvCnPr/>
                                  <wps:spPr>
                                    <a:xfrm>
                                      <a:off x="0" y="0"/>
                                      <a:ext cx="0" cy="3048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C45F03" id="Connecteur droit 4932" o:spid="_x0000_s1026" style="position:absolute;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0.6pt,426.3pt" to="470.6pt,45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" strokecolor="black [3040]"/>
                        </w:pict>
                      </mc:Fallback>
                    </mc:AlternateContent>
                  </w:r>
                  <w:r>
                    <w:t>Annexe 1 : Eléments constitutifs du protocole d’intégration</w:t>
                  </w:r>
                  <w:bookmarkEnd w:id="2945"/>
                  <w:bookmarkEnd w:id="2946"/>
                  <w:bookmarkEnd w:id="2947"/>
                </w:p>
                <w:p/>
                <w:tbl>
                  <w:tblPr>
                    <w:tblpPr w:leftFromText="141" w:rightFromText="141" w:vertAnchor="page" w:horzAnchor="margin" w:tblpY="1816"/>
                    <w:tblW w:w="0" w:type="auto"/>
                    <w:tblLayout w:type="fixed"/>
                    <w:tblLook w:val="0000" w:firstRow="0" w:lastRow="0" w:firstColumn="0" w:lastColumn="0" w:noHBand="0" w:noVBand="0"/>
                  </w:tblPr>
                  <w:tblGrid>
                    <w:gridCol w:w="8364"/>
                    <w:gridCol w:w="950"/>
                  </w:tblGrid>
                  <w:tr>
                    <w:trPr>
                      <w:trHeight w:val="418"/>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after="240"/>
                        </w:pPr>
                        <w:r>
                          <w:t>Informations concernant l’élève</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34"/>
                          </w:tabs>
                          <w:snapToGrid w:val="0"/>
                          <w:spacing w:before="120" w:after="24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64"/>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pPr>
                        <w:r>
                          <w:t xml:space="preserve">Informations concernant le type d’intégration </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pPr>
                        <w:r>
                          <w:t>Informations concernant les coordonnées de l’école d’enseignement spécialisé</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94"/>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pPr>
                        <w:r>
                          <w:t>Informations concernant les coordonnées de l’école d’enseignement ordinaire</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32"/>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pPr>
                        <w:r>
                          <w:t>Synthèse du dossier</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29"/>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pPr>
                        <w:r>
                          <w:t>Objectifs de l’intégration</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93"/>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pPr>
                        <w:r>
                          <w:t>Équipements spécifiques</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657"/>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pPr>
                        <w:r>
                          <w:t>Besoins en matière de transport</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693"/>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pPr>
                        <w:r>
                          <w:t xml:space="preserve">Dispositif de relation, de concertation et de collaboration entre les équipes éducatives </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97"/>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pPr>
                        <w:r>
                          <w:t>Règles de présence et de registre</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rPr>
                            <w:color w:val="000000"/>
                          </w:rP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97"/>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pPr>
                        <w:r>
                          <w:t>Modalités de l’accompagnement et choix du personnel accompagnant </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660"/>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pPr>
                        <w:r>
                          <w:t>Modalités d’évaluation interne</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pPr>
                        <w:r>
                          <w:t>Accord de la Direction de l’enseignement ordinaire, du P.O. ou de son délégué</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94"/>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pPr>
                        <w:r>
                          <w:t>Accord Direction de l’enseignement spécialisé, du P.O. ou de son délégué</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rPr>
                            <w:caps/>
                          </w:rP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46"/>
                    </w:trPr>
                    <w:tc>
                      <w:tcPr>
                        <w:tcW w:w="8364" w:type="dxa"/>
                        <w:tcBorders>
                          <w:top w:val="single" w:sz="4" w:space="0" w:color="000000"/>
                          <w:left w:val="single" w:sz="4" w:space="0" w:color="000000"/>
                          <w:bottom w:val="single" w:sz="2" w:space="0" w:color="auto"/>
                          <w:right w:val="single" w:sz="4" w:space="0" w:color="000000"/>
                        </w:tcBorders>
                        <w:vAlign w:val="center"/>
                      </w:tcPr>
                      <w:p>
                        <w:pPr>
                          <w:widowControl w:val="0"/>
                          <w:tabs>
                            <w:tab w:val="left" w:pos="1134"/>
                          </w:tabs>
                          <w:snapToGrid w:val="0"/>
                          <w:spacing w:before="120"/>
                        </w:pPr>
                        <w:r>
                          <w:rPr>
                            <w:caps/>
                          </w:rPr>
                          <w:t>A</w:t>
                        </w:r>
                        <w:r>
                          <w:t>vis du CPMS qui accompagne l’élève au moment de l’introduction de la proposition d’intégration</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855"/>
                    </w:trPr>
                    <w:tc>
                      <w:tcPr>
                        <w:tcW w:w="8364" w:type="dxa"/>
                        <w:tcBorders>
                          <w:top w:val="single" w:sz="2" w:space="0" w:color="auto"/>
                          <w:left w:val="single" w:sz="2" w:space="0" w:color="auto"/>
                          <w:bottom w:val="single" w:sz="2" w:space="0" w:color="auto"/>
                          <w:right w:val="single" w:sz="2" w:space="0" w:color="auto"/>
                        </w:tcBorders>
                        <w:vAlign w:val="center"/>
                      </w:tcPr>
                      <w:p>
                        <w:pPr>
                          <w:pStyle w:val="Corpsdetexte"/>
                        </w:pPr>
                        <w:r>
                          <w:t xml:space="preserve">Accord des parents, de la personne exerçant l’autorité parentale, </w:t>
                        </w:r>
                        <w:r>
                          <w:br/>
                          <w:t>ou de l’élève majeur</w:t>
                        </w:r>
                      </w:p>
                    </w:tc>
                    <w:tc>
                      <w:tcPr>
                        <w:tcW w:w="950" w:type="dxa"/>
                        <w:tcBorders>
                          <w:top w:val="single" w:sz="4" w:space="0" w:color="000000"/>
                          <w:left w:val="single" w:sz="2" w:space="0" w:color="auto"/>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68"/>
                    </w:trPr>
                    <w:tc>
                      <w:tcPr>
                        <w:tcW w:w="8364" w:type="dxa"/>
                        <w:tcBorders>
                          <w:top w:val="single" w:sz="2" w:space="0" w:color="auto"/>
                          <w:left w:val="single" w:sz="2" w:space="0" w:color="auto"/>
                          <w:bottom w:val="single" w:sz="2" w:space="0" w:color="auto"/>
                          <w:right w:val="single" w:sz="2" w:space="0" w:color="auto"/>
                        </w:tcBorders>
                        <w:vAlign w:val="center"/>
                      </w:tcPr>
                      <w:p>
                        <w:pPr>
                          <w:pStyle w:val="Corpsdetexte"/>
                        </w:pPr>
                        <w:r>
                          <w:t>Tableau synoptique de l’évolution de l’intégration (Annexe 3)</w:t>
                        </w:r>
                      </w:p>
                    </w:tc>
                    <w:tc>
                      <w:tcPr>
                        <w:tcW w:w="950" w:type="dxa"/>
                        <w:tcBorders>
                          <w:top w:val="single" w:sz="4" w:space="0" w:color="000000"/>
                          <w:left w:val="single" w:sz="2" w:space="0" w:color="auto"/>
                          <w:bottom w:val="single" w:sz="2" w:space="0" w:color="auto"/>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54"/>
                    </w:trPr>
                    <w:tc>
                      <w:tcPr>
                        <w:tcW w:w="8364" w:type="dxa"/>
                        <w:tcBorders>
                          <w:top w:val="single" w:sz="2" w:space="0" w:color="auto"/>
                          <w:left w:val="single" w:sz="2" w:space="0" w:color="auto"/>
                          <w:bottom w:val="single" w:sz="2" w:space="0" w:color="auto"/>
                          <w:right w:val="single" w:sz="2" w:space="0" w:color="auto"/>
                        </w:tcBorders>
                        <w:vAlign w:val="center"/>
                      </w:tcPr>
                      <w:p>
                        <w:pPr>
                          <w:widowControl w:val="0"/>
                          <w:tabs>
                            <w:tab w:val="left" w:pos="1134"/>
                          </w:tabs>
                          <w:snapToGrid w:val="0"/>
                          <w:spacing w:before="120"/>
                        </w:pPr>
                        <w:r>
                          <w:t>Bilan(s) de l’intégration (Annexe(s) 4)</w:t>
                        </w:r>
                      </w:p>
                    </w:tc>
                    <w:tc>
                      <w:tcPr>
                        <w:tcW w:w="950" w:type="dxa"/>
                        <w:tcBorders>
                          <w:top w:val="single" w:sz="2" w:space="0" w:color="auto"/>
                          <w:left w:val="single" w:sz="2" w:space="0" w:color="auto"/>
                          <w:bottom w:val="single" w:sz="2" w:space="0" w:color="auto"/>
                          <w:right w:val="single" w:sz="2" w:space="0" w:color="auto"/>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bl>
                <w:p/>
                <w:p>
                  <w:r>
                    <w:br w:type="page"/>
                  </w:r>
                </w:p>
                <w:p>
                  <w:pPr>
                    <w:jc w:val="both"/>
                  </w:pPr>
                </w:p>
                <w:p>
                  <w:pPr>
                    <w:pStyle w:val="Titre4"/>
                  </w:pPr>
                  <w:bookmarkStart w:id="2948" w:name="_Annexe_2_:_5"/>
                  <w:bookmarkStart w:id="2949" w:name="_Toc453314456"/>
                  <w:bookmarkStart w:id="2950" w:name="_Toc454980491"/>
                  <w:bookmarkStart w:id="2951" w:name="_Ref11405078"/>
                  <w:bookmarkStart w:id="2952" w:name="_Ref11405376"/>
                  <w:bookmarkEnd w:id="2948"/>
                  <w:r>
                    <w:t>Annexe 2 : Protocole d’intégration</w:t>
                  </w:r>
                  <w:bookmarkEnd w:id="2949"/>
                  <w:bookmarkEnd w:id="2950"/>
                  <w:r>
                    <w:t xml:space="preserve">  (1ère partie du protocole d’intégration)</w:t>
                  </w:r>
                  <w:bookmarkEnd w:id="2951"/>
                  <w:bookmarkEnd w:id="2952"/>
                </w:p>
                <w:p/>
                <w:p>
                  <w:pPr>
                    <w:pStyle w:val="Corpsdetexte"/>
                  </w:pPr>
                  <w:r>
                    <w:rPr>
                      <w:b/>
                    </w:rPr>
                    <w:t xml:space="preserve">Toutes nouvelles intégrations DOIVENT être signalées via le « formulaire électronique intégration » </w:t>
                  </w:r>
                  <w:r>
                    <w:t xml:space="preserve">à l’adresse suivante : </w:t>
                  </w:r>
                  <w:hyperlink r:id="rId182" w:history="1">
                    <w:r>
                      <w:rPr>
                        <w:rStyle w:val="Lienhypertexte"/>
                        <w:rFonts w:cs="Arial"/>
                        <w:color w:val="000000" w:themeColor="text1"/>
                      </w:rPr>
                      <w:t>http:/www.am.cfwb.be/</w:t>
                    </w:r>
                  </w:hyperlink>
                  <w:r>
                    <w:t xml:space="preserve"> </w:t>
                  </w:r>
                </w:p>
                <w:p/>
                <w:p>
                  <w:r>
                    <w:rPr>
                      <w:noProof/>
                      <w:lang w:eastAsia="fr-BE"/>
                    </w:rPr>
                    <w:drawing>
                      <wp:inline distT="0" distB="0" distL="0" distR="0">
                        <wp:extent cx="4036173" cy="3403158"/>
                        <wp:effectExtent l="0" t="0" r="2540" b="698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059737" cy="3423026"/>
                                </a:xfrm>
                                <a:prstGeom prst="rect">
                                  <a:avLst/>
                                </a:prstGeom>
                                <a:noFill/>
                                <a:ln>
                                  <a:noFill/>
                                </a:ln>
                              </pic:spPr>
                            </pic:pic>
                          </a:graphicData>
                        </a:graphic>
                      </wp:inline>
                    </w:drawing>
                  </w:r>
                </w:p>
                <w:p>
                  <w:r>
                    <w:rPr>
                      <w:noProof/>
                      <w:lang w:eastAsia="fr-BE"/>
                    </w:rPr>
                    <w:drawing>
                      <wp:inline distT="0" distB="0" distL="0" distR="0">
                        <wp:extent cx="4071068" cy="3830928"/>
                        <wp:effectExtent l="0" t="0" r="571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101135" cy="3859221"/>
                                </a:xfrm>
                                <a:prstGeom prst="rect">
                                  <a:avLst/>
                                </a:prstGeom>
                                <a:noFill/>
                                <a:ln>
                                  <a:noFill/>
                                </a:ln>
                              </pic:spPr>
                            </pic:pic>
                          </a:graphicData>
                        </a:graphic>
                      </wp:inline>
                    </w:drawing>
                  </w:r>
                </w:p>
                <w:p/>
                <w:p>
                  <w:r>
                    <w:rPr>
                      <w:noProof/>
                      <w:lang w:eastAsia="fr-BE"/>
                    </w:rPr>
                    <w:drawing>
                      <wp:inline distT="0" distB="0" distL="0" distR="0">
                        <wp:extent cx="4102873" cy="3168186"/>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102873" cy="3168186"/>
                                </a:xfrm>
                                <a:prstGeom prst="rect">
                                  <a:avLst/>
                                </a:prstGeom>
                                <a:noFill/>
                                <a:ln>
                                  <a:noFill/>
                                </a:ln>
                              </pic:spPr>
                            </pic:pic>
                          </a:graphicData>
                        </a:graphic>
                      </wp:inline>
                    </w:drawing>
                  </w:r>
                </w:p>
                <w:p/>
                <w:p>
                  <w:r>
                    <w:rPr>
                      <w:noProof/>
                      <w:lang w:eastAsia="fr-BE"/>
                    </w:rPr>
                    <w:drawing>
                      <wp:anchor distT="0" distB="0" distL="114300" distR="114300" simplePos="0" relativeHeight="252120064" behindDoc="1" locked="0" layoutInCell="1" allowOverlap="1">
                        <wp:simplePos x="0" y="0"/>
                        <wp:positionH relativeFrom="column">
                          <wp:posOffset>147320</wp:posOffset>
                        </wp:positionH>
                        <wp:positionV relativeFrom="paragraph">
                          <wp:posOffset>2777490</wp:posOffset>
                        </wp:positionV>
                        <wp:extent cx="4038600" cy="3118424"/>
                        <wp:effectExtent l="0" t="0" r="0" b="6350"/>
                        <wp:wrapNone/>
                        <wp:docPr id="4945" name="Image 4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extLst>
                                    <a:ext uri="{28A0092B-C50C-407E-A947-70E740481C1C}">
                                      <a14:useLocalDpi xmlns:a14="http://schemas.microsoft.com/office/drawing/2010/main" val="0"/>
                                    </a:ext>
                                  </a:extLst>
                                </a:blip>
                                <a:stretch>
                                  <a:fillRect/>
                                </a:stretch>
                              </pic:blipFill>
                              <pic:spPr>
                                <a:xfrm>
                                  <a:off x="0" y="0"/>
                                  <a:ext cx="4043141" cy="3121931"/>
                                </a:xfrm>
                                <a:prstGeom prst="rect">
                                  <a:avLst/>
                                </a:prstGeom>
                              </pic:spPr>
                            </pic:pic>
                          </a:graphicData>
                        </a:graphic>
                        <wp14:sizeRelH relativeFrom="margin">
                          <wp14:pctWidth>0</wp14:pctWidth>
                        </wp14:sizeRelH>
                      </wp:anchor>
                    </w:drawing>
                  </w:r>
                  <w:r>
                    <w:rPr>
                      <w:noProof/>
                      <w:lang w:eastAsia="fr-BE"/>
                    </w:rPr>
                    <w:drawing>
                      <wp:inline distT="0" distB="0" distL="0" distR="0">
                        <wp:extent cx="4031312" cy="2777597"/>
                        <wp:effectExtent l="0" t="0" r="7620" b="381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031312" cy="2777597"/>
                                </a:xfrm>
                                <a:prstGeom prst="rect">
                                  <a:avLst/>
                                </a:prstGeom>
                                <a:noFill/>
                                <a:ln>
                                  <a:noFill/>
                                </a:ln>
                              </pic:spPr>
                            </pic:pic>
                          </a:graphicData>
                        </a:graphic>
                      </wp:inline>
                    </w:drawing>
                  </w:r>
                </w:p>
                <w:p>
                  <w:r>
                    <w:br w:type="page"/>
                  </w:r>
                </w:p>
                <w:p>
                  <w:pPr>
                    <w:pStyle w:val="Titre4"/>
                  </w:pPr>
                  <w:r>
                    <w:t>Annexe 2b : Protocole d’intégration (2</w:t>
                  </w:r>
                  <w:r>
                    <w:rPr>
                      <w:vertAlign w:val="superscript"/>
                    </w:rPr>
                    <w:t>ème</w:t>
                  </w:r>
                  <w:r>
                    <w:t xml:space="preserve">  partie du protocole d’intégration)</w:t>
                  </w:r>
                </w:p>
                <w:p>
                  <w:pPr>
                    <w:tabs>
                      <w:tab w:val="left" w:pos="1134"/>
                    </w:tabs>
                  </w:pPr>
                </w:p>
                <w:p>
                  <w:pPr>
                    <w:tabs>
                      <w:tab w:val="left" w:pos="1134"/>
                    </w:tabs>
                    <w:rPr>
                      <w:b/>
                    </w:rPr>
                  </w:pPr>
                  <w:r>
                    <w:rPr>
                      <w:b/>
                    </w:rPr>
                    <w:t>NOM et prénom de l’élève concerné : ……………………………………………………</w:t>
                  </w:r>
                </w:p>
                <w:p>
                  <w:pPr>
                    <w:tabs>
                      <w:tab w:val="left" w:pos="1134"/>
                    </w:tabs>
                  </w:pPr>
                </w:p>
                <w:p>
                  <w:pPr>
                    <w:tabs>
                      <w:tab w:val="left" w:pos="1134"/>
                    </w:tabs>
                  </w:pPr>
                  <w:r>
                    <w:t>Synthèse du dossier de l’élève :</w:t>
                  </w:r>
                </w:p>
                <w:p>
                  <w:pPr>
                    <w:tabs>
                      <w:tab w:val="left" w:pos="1134"/>
                    </w:tabs>
                  </w:pP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tc>
                      <w:tcPr>
                        <w:tcW w:w="9635" w:type="dxa"/>
                        <w:tcBorders>
                          <w:top w:val="single" w:sz="4" w:space="0" w:color="000000"/>
                          <w:left w:val="single" w:sz="4" w:space="0" w:color="000000"/>
                          <w:bottom w:val="single" w:sz="4" w:space="0" w:color="000000"/>
                          <w:right w:val="single" w:sz="4" w:space="0" w:color="000000"/>
                        </w:tcBorders>
                      </w:tcPr>
                      <w:p>
                        <w:pPr>
                          <w:tabs>
                            <w:tab w:val="left" w:pos="1134"/>
                          </w:tabs>
                          <w:snapToGrid w:val="0"/>
                        </w:pPr>
                      </w:p>
                      <w:p>
                        <w:pPr>
                          <w:tabs>
                            <w:tab w:val="left" w:pos="1134"/>
                          </w:tabs>
                        </w:pPr>
                      </w:p>
                      <w:p>
                        <w:pPr>
                          <w:tabs>
                            <w:tab w:val="left" w:pos="1134"/>
                          </w:tabs>
                        </w:pPr>
                      </w:p>
                    </w:tc>
                  </w:tr>
                </w:tbl>
                <w:p>
                  <w:pPr>
                    <w:tabs>
                      <w:tab w:val="left" w:pos="1134"/>
                    </w:tabs>
                  </w:pPr>
                </w:p>
                <w:p>
                  <w:pPr>
                    <w:tabs>
                      <w:tab w:val="left" w:pos="1134"/>
                    </w:tabs>
                  </w:pPr>
                  <w:r>
                    <w:t>Objectifs de l’intégration (Autre que le fait d’intégrer l’élève dans l’enseignement ordinaire)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trPr>
                      <w:trHeight w:val="704"/>
                    </w:trPr>
                    <w:tc>
                      <w:tcPr>
                        <w:tcW w:w="9635" w:type="dxa"/>
                        <w:tcBorders>
                          <w:top w:val="single" w:sz="4" w:space="0" w:color="000000"/>
                          <w:left w:val="single" w:sz="4" w:space="0" w:color="000000"/>
                          <w:bottom w:val="single" w:sz="4" w:space="0" w:color="000000"/>
                          <w:right w:val="single" w:sz="4" w:space="0" w:color="000000"/>
                        </w:tcBorders>
                      </w:tcPr>
                      <w:p>
                        <w:pPr>
                          <w:tabs>
                            <w:tab w:val="left" w:pos="1134"/>
                          </w:tabs>
                          <w:snapToGrid w:val="0"/>
                        </w:pPr>
                      </w:p>
                      <w:p>
                        <w:pPr>
                          <w:tabs>
                            <w:tab w:val="left" w:pos="1134"/>
                          </w:tabs>
                        </w:pPr>
                      </w:p>
                      <w:p>
                        <w:pPr>
                          <w:tabs>
                            <w:tab w:val="left" w:pos="1134"/>
                          </w:tabs>
                        </w:pPr>
                      </w:p>
                    </w:tc>
                  </w:tr>
                </w:tbl>
                <w:p>
                  <w:pPr>
                    <w:tabs>
                      <w:tab w:val="left" w:pos="1134"/>
                    </w:tabs>
                  </w:pPr>
                </w:p>
                <w:p>
                  <w:pPr>
                    <w:tabs>
                      <w:tab w:val="left" w:pos="1134"/>
                    </w:tabs>
                  </w:pPr>
                  <w:r>
                    <w:t>Équipements spécifiques nécessaires à l’intégration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tc>
                      <w:tcPr>
                        <w:tcW w:w="9635" w:type="dxa"/>
                        <w:tcBorders>
                          <w:top w:val="single" w:sz="4" w:space="0" w:color="000000"/>
                          <w:left w:val="single" w:sz="4" w:space="0" w:color="000000"/>
                          <w:bottom w:val="single" w:sz="4" w:space="0" w:color="000000"/>
                          <w:right w:val="single" w:sz="4" w:space="0" w:color="000000"/>
                        </w:tcBorders>
                      </w:tcPr>
                      <w:p>
                        <w:pPr>
                          <w:tabs>
                            <w:tab w:val="left" w:pos="1134"/>
                          </w:tabs>
                          <w:snapToGrid w:val="0"/>
                        </w:pPr>
                      </w:p>
                      <w:p>
                        <w:pPr>
                          <w:tabs>
                            <w:tab w:val="left" w:pos="1134"/>
                          </w:tabs>
                        </w:pPr>
                      </w:p>
                      <w:p>
                        <w:pPr>
                          <w:tabs>
                            <w:tab w:val="left" w:pos="1134"/>
                          </w:tabs>
                        </w:pPr>
                      </w:p>
                    </w:tc>
                  </w:tr>
                </w:tbl>
                <w:p>
                  <w:pPr>
                    <w:tabs>
                      <w:tab w:val="left" w:pos="1134"/>
                    </w:tabs>
                  </w:pPr>
                </w:p>
                <w:p>
                  <w:pPr>
                    <w:tabs>
                      <w:tab w:val="left" w:pos="1134"/>
                    </w:tabs>
                  </w:pPr>
                  <w:r>
                    <w:t>Besoins en matière de transport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tc>
                      <w:tcPr>
                        <w:tcW w:w="9635" w:type="dxa"/>
                        <w:tcBorders>
                          <w:top w:val="single" w:sz="4" w:space="0" w:color="000000"/>
                          <w:left w:val="single" w:sz="4" w:space="0" w:color="000000"/>
                          <w:bottom w:val="single" w:sz="4" w:space="0" w:color="000000"/>
                          <w:right w:val="single" w:sz="4" w:space="0" w:color="000000"/>
                        </w:tcBorders>
                      </w:tcPr>
                      <w:p>
                        <w:pPr>
                          <w:tabs>
                            <w:tab w:val="left" w:pos="1134"/>
                          </w:tabs>
                          <w:snapToGrid w:val="0"/>
                        </w:pPr>
                      </w:p>
                      <w:p>
                        <w:pPr>
                          <w:tabs>
                            <w:tab w:val="left" w:pos="1134"/>
                          </w:tabs>
                        </w:pPr>
                      </w:p>
                      <w:p>
                        <w:pPr>
                          <w:tabs>
                            <w:tab w:val="left" w:pos="1134"/>
                          </w:tabs>
                        </w:pPr>
                      </w:p>
                    </w:tc>
                  </w:tr>
                </w:tbl>
                <w:p>
                  <w:pPr>
                    <w:tabs>
                      <w:tab w:val="left" w:pos="1134"/>
                    </w:tabs>
                  </w:pPr>
                </w:p>
                <w:p>
                  <w:pPr>
                    <w:tabs>
                      <w:tab w:val="left" w:pos="1134"/>
                    </w:tabs>
                  </w:pPr>
                  <w:r>
                    <w:t>Dispositif de relation, de concertation et de collaboration entre les équipes éducatives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tc>
                      <w:tcPr>
                        <w:tcW w:w="9635" w:type="dxa"/>
                        <w:tcBorders>
                          <w:top w:val="single" w:sz="4" w:space="0" w:color="000000"/>
                          <w:left w:val="single" w:sz="4" w:space="0" w:color="000000"/>
                          <w:bottom w:val="single" w:sz="4" w:space="0" w:color="000000"/>
                          <w:right w:val="single" w:sz="4" w:space="0" w:color="000000"/>
                        </w:tcBorders>
                      </w:tcPr>
                      <w:p>
                        <w:pPr>
                          <w:tabs>
                            <w:tab w:val="left" w:pos="1134"/>
                          </w:tabs>
                          <w:snapToGrid w:val="0"/>
                        </w:pPr>
                      </w:p>
                      <w:p>
                        <w:pPr>
                          <w:tabs>
                            <w:tab w:val="left" w:pos="1134"/>
                          </w:tabs>
                        </w:pPr>
                      </w:p>
                      <w:p>
                        <w:pPr>
                          <w:tabs>
                            <w:tab w:val="left" w:pos="1134"/>
                          </w:tabs>
                        </w:pPr>
                      </w:p>
                    </w:tc>
                  </w:tr>
                </w:tbl>
                <w:p>
                  <w:pPr>
                    <w:tabs>
                      <w:tab w:val="left" w:pos="1134"/>
                    </w:tabs>
                  </w:pPr>
                </w:p>
                <w:p>
                  <w:pPr>
                    <w:tabs>
                      <w:tab w:val="left" w:pos="1134"/>
                    </w:tabs>
                  </w:pPr>
                  <w:r>
                    <w:t>Modalités de l’accompagnement et choix du personnel accompagnant</w:t>
                  </w:r>
                  <w:r>
                    <w:rPr>
                      <w:rStyle w:val="Caractresdenotedebasdepage"/>
                      <w:rFonts w:cs="Arial"/>
                    </w:rPr>
                    <w:footnoteReference w:id="130"/>
                  </w:r>
                  <w:r>
                    <w:t>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tc>
                      <w:tcPr>
                        <w:tcW w:w="9635" w:type="dxa"/>
                        <w:tcBorders>
                          <w:top w:val="single" w:sz="4" w:space="0" w:color="000000"/>
                          <w:left w:val="single" w:sz="4" w:space="0" w:color="000000"/>
                          <w:bottom w:val="single" w:sz="4" w:space="0" w:color="000000"/>
                          <w:right w:val="single" w:sz="4" w:space="0" w:color="000000"/>
                        </w:tcBorders>
                      </w:tcPr>
                      <w:p>
                        <w:pPr>
                          <w:tabs>
                            <w:tab w:val="left" w:pos="1134"/>
                          </w:tabs>
                          <w:snapToGrid w:val="0"/>
                        </w:pPr>
                      </w:p>
                      <w:p>
                        <w:pPr>
                          <w:tabs>
                            <w:tab w:val="left" w:pos="1134"/>
                          </w:tabs>
                          <w:snapToGrid w:val="0"/>
                        </w:pPr>
                      </w:p>
                      <w:p>
                        <w:pPr>
                          <w:tabs>
                            <w:tab w:val="left" w:pos="1134"/>
                          </w:tabs>
                          <w:snapToGrid w:val="0"/>
                        </w:pPr>
                      </w:p>
                      <w:p>
                        <w:pPr>
                          <w:tabs>
                            <w:tab w:val="left" w:pos="1134"/>
                          </w:tabs>
                          <w:snapToGrid w:val="0"/>
                        </w:pPr>
                      </w:p>
                    </w:tc>
                  </w:tr>
                </w:tbl>
                <w:p>
                  <w:pPr>
                    <w:tabs>
                      <w:tab w:val="left" w:pos="1134"/>
                    </w:tabs>
                  </w:pPr>
                </w:p>
                <w:p>
                  <w:pPr>
                    <w:tabs>
                      <w:tab w:val="left" w:pos="1134"/>
                    </w:tabs>
                  </w:pPr>
                  <w:r>
                    <w:t>Modalités d’évaluation interne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tc>
                      <w:tcPr>
                        <w:tcW w:w="9635" w:type="dxa"/>
                        <w:tcBorders>
                          <w:top w:val="single" w:sz="4" w:space="0" w:color="000000"/>
                          <w:left w:val="single" w:sz="4" w:space="0" w:color="000000"/>
                          <w:bottom w:val="single" w:sz="4" w:space="0" w:color="000000"/>
                          <w:right w:val="single" w:sz="4" w:space="0" w:color="000000"/>
                        </w:tcBorders>
                      </w:tcPr>
                      <w:p>
                        <w:pPr>
                          <w:tabs>
                            <w:tab w:val="left" w:pos="1134"/>
                          </w:tabs>
                          <w:snapToGrid w:val="0"/>
                        </w:pPr>
                      </w:p>
                      <w:p>
                        <w:pPr>
                          <w:tabs>
                            <w:tab w:val="left" w:pos="1134"/>
                          </w:tabs>
                          <w:snapToGrid w:val="0"/>
                        </w:pPr>
                      </w:p>
                      <w:p>
                        <w:pPr>
                          <w:tabs>
                            <w:tab w:val="left" w:pos="1134"/>
                          </w:tabs>
                          <w:snapToGrid w:val="0"/>
                        </w:pPr>
                      </w:p>
                    </w:tc>
                  </w:tr>
                </w:tbl>
                <w:p>
                  <w:pPr>
                    <w:tabs>
                      <w:tab w:val="left" w:pos="1134"/>
                    </w:tabs>
                    <w:rPr>
                      <w:b/>
                    </w:rPr>
                  </w:pPr>
                </w:p>
                <w:p>
                  <w:pPr>
                    <w:tabs>
                      <w:tab w:val="left" w:pos="1134"/>
                    </w:tabs>
                  </w:pPr>
                  <w:r>
                    <w:t>Règles de présence et registre :</w:t>
                  </w:r>
                </w:p>
                <w:p>
                  <w:pPr>
                    <w:tabs>
                      <w:tab w:val="left" w:pos="1134"/>
                    </w:tabs>
                    <w:rPr>
                      <w:b/>
                    </w:rPr>
                  </w:pP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tc>
                      <w:tcPr>
                        <w:tcW w:w="9635" w:type="dxa"/>
                        <w:tcBorders>
                          <w:top w:val="single" w:sz="4" w:space="0" w:color="000000"/>
                          <w:left w:val="single" w:sz="4" w:space="0" w:color="000000"/>
                          <w:bottom w:val="single" w:sz="4" w:space="0" w:color="000000"/>
                          <w:right w:val="single" w:sz="4" w:space="0" w:color="000000"/>
                        </w:tcBorders>
                      </w:tcPr>
                      <w:p>
                        <w:pPr>
                          <w:tabs>
                            <w:tab w:val="left" w:pos="1134"/>
                          </w:tabs>
                          <w:snapToGrid w:val="0"/>
                        </w:pPr>
                      </w:p>
                      <w:p>
                        <w:pPr>
                          <w:tabs>
                            <w:tab w:val="left" w:pos="1134"/>
                          </w:tabs>
                          <w:snapToGrid w:val="0"/>
                        </w:pPr>
                      </w:p>
                    </w:tc>
                  </w:tr>
                </w:tbl>
                <w:p>
                  <w:pPr>
                    <w:tabs>
                      <w:tab w:val="left" w:pos="1134"/>
                    </w:tabs>
                    <w:rPr>
                      <w:b/>
                      <w:u w:val="single"/>
                    </w:rPr>
                  </w:pPr>
                </w:p>
                <w:p>
                  <w:pPr>
                    <w:rPr>
                      <w:b/>
                      <w:u w:val="single"/>
                    </w:rPr>
                  </w:pPr>
                  <w:r>
                    <w:rPr>
                      <w:b/>
                      <w:u w:val="single"/>
                    </w:rPr>
                    <w:br w:type="page"/>
                  </w:r>
                </w:p>
                <w:p>
                  <w:pPr>
                    <w:tabs>
                      <w:tab w:val="left" w:pos="1134"/>
                    </w:tabs>
                    <w:rPr>
                      <w:b/>
                      <w:u w:val="single"/>
                    </w:rPr>
                  </w:pPr>
                </w:p>
                <w:p>
                  <w:pPr>
                    <w:tabs>
                      <w:tab w:val="left" w:pos="1134"/>
                    </w:tabs>
                    <w:rPr>
                      <w:b/>
                      <w:u w:val="single"/>
                    </w:rPr>
                  </w:pPr>
                </w:p>
                <w:p>
                  <w:pPr>
                    <w:pStyle w:val="Titre4"/>
                  </w:pPr>
                  <w:bookmarkStart w:id="2953" w:name="_Annexe_2_:_3"/>
                  <w:bookmarkStart w:id="2954" w:name="_Annexe_2c_:"/>
                  <w:bookmarkEnd w:id="2953"/>
                  <w:bookmarkEnd w:id="2954"/>
                  <w:r>
                    <w:t>Annexe 2c : Protocole d’intégration (3</w:t>
                  </w:r>
                  <w:r>
                    <w:rPr>
                      <w:vertAlign w:val="superscript"/>
                    </w:rPr>
                    <w:t>ème</w:t>
                  </w:r>
                  <w:r>
                    <w:t xml:space="preserve"> partie du protocole d’intégration)</w:t>
                  </w:r>
                </w:p>
                <w:p>
                  <w:pPr>
                    <w:tabs>
                      <w:tab w:val="left" w:pos="1134"/>
                    </w:tabs>
                    <w:rPr>
                      <w:b/>
                      <w:u w:val="single"/>
                    </w:rPr>
                  </w:pPr>
                </w:p>
                <w:p>
                  <w:pPr>
                    <w:tabs>
                      <w:tab w:val="left" w:pos="1134"/>
                    </w:tabs>
                    <w:rPr>
                      <w:b/>
                      <w:u w:val="single"/>
                    </w:rPr>
                  </w:pPr>
                </w:p>
                <w:p>
                  <w:pPr>
                    <w:tabs>
                      <w:tab w:val="left" w:pos="1134"/>
                    </w:tabs>
                    <w:rPr>
                      <w:b/>
                      <w:u w:val="single"/>
                    </w:rPr>
                  </w:pPr>
                  <w:r>
                    <w:rPr>
                      <w:b/>
                      <w:u w:val="single"/>
                    </w:rPr>
                    <w:t>NOM et prénom de l’élève concerné ................................................................</w:t>
                  </w:r>
                </w:p>
                <w:p>
                  <w:pPr>
                    <w:tabs>
                      <w:tab w:val="left" w:pos="1134"/>
                    </w:tabs>
                    <w:rPr>
                      <w:b/>
                      <w:u w:val="single"/>
                    </w:rPr>
                  </w:pPr>
                </w:p>
                <w:p>
                  <w:pPr>
                    <w:tabs>
                      <w:tab w:val="left" w:pos="1134"/>
                    </w:tabs>
                    <w:rPr>
                      <w:b/>
                      <w:u w:val="single"/>
                    </w:rPr>
                  </w:pPr>
                  <w:r>
                    <w:rPr>
                      <w:b/>
                      <w:u w:val="single"/>
                    </w:rPr>
                    <w:t>LES PARTENAIRES SUIVANTS (à l’exception du CPMS) MARQUENT LEUR ACCORD SUR LE PROJET :</w:t>
                  </w:r>
                </w:p>
                <w:p>
                  <w:pPr>
                    <w:tabs>
                      <w:tab w:val="left" w:pos="1134"/>
                    </w:tabs>
                    <w:rPr>
                      <w:b/>
                      <w:u w:val="single"/>
                    </w:rPr>
                  </w:pPr>
                </w:p>
                <w:tbl>
                  <w:tblPr>
                    <w:tblW w:w="0" w:type="auto"/>
                    <w:tblInd w:w="-25" w:type="dxa"/>
                    <w:tblLayout w:type="fixed"/>
                    <w:tblCellMar>
                      <w:left w:w="70" w:type="dxa"/>
                      <w:right w:w="70" w:type="dxa"/>
                    </w:tblCellMar>
                    <w:tblLook w:val="0000" w:firstRow="0" w:lastRow="0" w:firstColumn="0" w:lastColumn="0" w:noHBand="0" w:noVBand="0"/>
                  </w:tblPr>
                  <w:tblGrid>
                    <w:gridCol w:w="4570"/>
                    <w:gridCol w:w="4730"/>
                  </w:tblGrid>
                  <w:tr>
                    <w:tc>
                      <w:tcPr>
                        <w:tcW w:w="4570" w:type="dxa"/>
                        <w:tcBorders>
                          <w:top w:val="single" w:sz="4" w:space="0" w:color="000000"/>
                          <w:left w:val="single" w:sz="4" w:space="0" w:color="000000"/>
                          <w:bottom w:val="single" w:sz="4" w:space="0" w:color="000000"/>
                        </w:tcBorders>
                      </w:tcPr>
                      <w:p>
                        <w:pPr>
                          <w:tabs>
                            <w:tab w:val="left" w:pos="1134"/>
                          </w:tabs>
                        </w:pPr>
                        <w:r>
                          <w:t xml:space="preserve">Pour l’école d’enseignement ordinaire, le PO ou son Délégué : </w:t>
                        </w:r>
                      </w:p>
                      <w:p>
                        <w:pPr>
                          <w:tabs>
                            <w:tab w:val="left" w:pos="1134"/>
                            <w:tab w:val="right" w:pos="1440"/>
                          </w:tabs>
                        </w:pPr>
                      </w:p>
                      <w:p>
                        <w:pPr>
                          <w:tabs>
                            <w:tab w:val="left" w:pos="1134"/>
                            <w:tab w:val="right" w:pos="1440"/>
                          </w:tabs>
                        </w:pPr>
                        <w:r>
                          <w:t>Date :</w:t>
                        </w:r>
                      </w:p>
                      <w:p>
                        <w:pPr>
                          <w:tabs>
                            <w:tab w:val="left" w:pos="1134"/>
                            <w:tab w:val="right" w:pos="1440"/>
                          </w:tabs>
                        </w:pPr>
                      </w:p>
                      <w:p>
                        <w:pPr>
                          <w:tabs>
                            <w:tab w:val="left" w:pos="1134"/>
                            <w:tab w:val="right" w:pos="1440"/>
                          </w:tabs>
                        </w:pPr>
                        <w:r>
                          <w:t>Signature</w:t>
                        </w:r>
                      </w:p>
                      <w:p>
                        <w:pPr>
                          <w:tabs>
                            <w:tab w:val="left" w:pos="1134"/>
                            <w:tab w:val="right" w:pos="1440"/>
                          </w:tabs>
                        </w:pPr>
                      </w:p>
                      <w:p>
                        <w:pPr>
                          <w:tabs>
                            <w:tab w:val="left" w:pos="1134"/>
                            <w:tab w:val="right" w:pos="1440"/>
                          </w:tabs>
                        </w:pPr>
                      </w:p>
                      <w:p>
                        <w:pPr>
                          <w:tabs>
                            <w:tab w:val="left" w:pos="1134"/>
                            <w:tab w:val="right" w:pos="1440"/>
                          </w:tabs>
                        </w:pPr>
                        <w:r>
                          <w:t>Cachet</w:t>
                        </w:r>
                      </w:p>
                    </w:tc>
                    <w:tc>
                      <w:tcPr>
                        <w:tcW w:w="4730" w:type="dxa"/>
                        <w:tcBorders>
                          <w:top w:val="single" w:sz="4" w:space="0" w:color="000000"/>
                          <w:left w:val="single" w:sz="4" w:space="0" w:color="000000"/>
                          <w:bottom w:val="single" w:sz="4" w:space="0" w:color="000000"/>
                          <w:right w:val="single" w:sz="4" w:space="0" w:color="000000"/>
                        </w:tcBorders>
                      </w:tcPr>
                      <w:p>
                        <w:pPr>
                          <w:tabs>
                            <w:tab w:val="left" w:pos="1134"/>
                          </w:tabs>
                        </w:pPr>
                        <w:r>
                          <w:t>Pour l’école d’enseignement spécialisé, le PO ou son Délégué:</w:t>
                        </w:r>
                      </w:p>
                      <w:p>
                        <w:pPr>
                          <w:tabs>
                            <w:tab w:val="left" w:pos="1134"/>
                            <w:tab w:val="right" w:pos="1440"/>
                          </w:tabs>
                        </w:pPr>
                      </w:p>
                      <w:p>
                        <w:pPr>
                          <w:tabs>
                            <w:tab w:val="left" w:pos="1134"/>
                            <w:tab w:val="right" w:pos="1440"/>
                          </w:tabs>
                        </w:pPr>
                        <w:r>
                          <w:t>Date :</w:t>
                        </w:r>
                      </w:p>
                      <w:p>
                        <w:pPr>
                          <w:tabs>
                            <w:tab w:val="left" w:pos="1134"/>
                            <w:tab w:val="right" w:pos="1440"/>
                          </w:tabs>
                        </w:pPr>
                      </w:p>
                      <w:p>
                        <w:pPr>
                          <w:tabs>
                            <w:tab w:val="left" w:pos="1134"/>
                            <w:tab w:val="right" w:pos="1440"/>
                          </w:tabs>
                        </w:pPr>
                        <w:r>
                          <w:t>Signature</w:t>
                        </w:r>
                      </w:p>
                      <w:p>
                        <w:pPr>
                          <w:tabs>
                            <w:tab w:val="left" w:pos="1134"/>
                            <w:tab w:val="right" w:pos="1440"/>
                          </w:tabs>
                        </w:pPr>
                      </w:p>
                      <w:p>
                        <w:pPr>
                          <w:tabs>
                            <w:tab w:val="left" w:pos="1134"/>
                            <w:tab w:val="right" w:pos="1440"/>
                          </w:tabs>
                        </w:pPr>
                      </w:p>
                      <w:p>
                        <w:pPr>
                          <w:tabs>
                            <w:tab w:val="left" w:pos="1134"/>
                            <w:tab w:val="right" w:pos="1440"/>
                          </w:tabs>
                        </w:pPr>
                        <w:r>
                          <w:t>Cachet</w:t>
                        </w:r>
                      </w:p>
                      <w:p>
                        <w:pPr>
                          <w:tabs>
                            <w:tab w:val="left" w:pos="1134"/>
                          </w:tabs>
                        </w:pPr>
                      </w:p>
                      <w:p>
                        <w:pPr>
                          <w:tabs>
                            <w:tab w:val="left" w:pos="1134"/>
                          </w:tabs>
                        </w:pPr>
                      </w:p>
                    </w:tc>
                  </w:tr>
                </w:tbl>
                <w:p>
                  <w:pPr>
                    <w:tabs>
                      <w:tab w:val="left" w:pos="5880"/>
                    </w:tabs>
                  </w:pPr>
                  <w:r>
                    <w:rPr>
                      <w:b/>
                      <w:noProof/>
                      <w:u w:val="single"/>
                      <w:lang w:eastAsia="fr-BE"/>
                    </w:rPr>
                    <mc:AlternateContent>
                      <mc:Choice Requires="wps">
                        <w:drawing>
                          <wp:anchor distT="0" distB="0" distL="114300" distR="114300" simplePos="0" relativeHeight="252050432" behindDoc="0" locked="0" layoutInCell="1" allowOverlap="1">
                            <wp:simplePos x="0" y="0"/>
                            <wp:positionH relativeFrom="column">
                              <wp:posOffset>6176645</wp:posOffset>
                            </wp:positionH>
                            <wp:positionV relativeFrom="paragraph">
                              <wp:posOffset>227965</wp:posOffset>
                            </wp:positionV>
                            <wp:extent cx="0" cy="190500"/>
                            <wp:effectExtent l="0" t="0" r="19050" b="19050"/>
                            <wp:wrapNone/>
                            <wp:docPr id="4936" name="Connecteur droit 4936"/>
                            <wp:cNvGraphicFramePr/>
                            <a:graphic xmlns:a="http://schemas.openxmlformats.org/drawingml/2006/main">
                              <a:graphicData uri="http://schemas.microsoft.com/office/word/2010/wordprocessingShape">
                                <wps:wsp>
                                  <wps:cNvCnPr/>
                                  <wps:spPr>
                                    <a:xfrm>
                                      <a:off x="0" y="0"/>
                                      <a:ext cx="0" cy="1905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8B940D" id="Connecteur droit 4936" o:spid="_x0000_s1026" style="position:absolute;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6.35pt,17.95pt" to="486.35pt,3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" strokecolor="black [3040]"/>
                        </w:pict>
                      </mc:Fallback>
                    </mc:AlternateContent>
                  </w:r>
                  <w:r>
                    <w:rPr>
                      <w:b/>
                      <w:noProof/>
                      <w:u w:val="single"/>
                      <w:lang w:eastAsia="fr-BE"/>
                    </w:rPr>
                    <mc:AlternateContent>
                      <mc:Choice Requires="wps">
                        <w:drawing>
                          <wp:anchor distT="0" distB="0" distL="114300" distR="114300" simplePos="0" relativeHeight="252009472" behindDoc="1" locked="0" layoutInCell="1" allowOverlap="1">
                            <wp:simplePos x="0" y="0"/>
                            <wp:positionH relativeFrom="column">
                              <wp:posOffset>6262370</wp:posOffset>
                            </wp:positionH>
                            <wp:positionV relativeFrom="paragraph">
                              <wp:posOffset>2258696</wp:posOffset>
                            </wp:positionV>
                            <wp:extent cx="0" cy="323850"/>
                            <wp:effectExtent l="0" t="0" r="19050" b="19050"/>
                            <wp:wrapNone/>
                            <wp:docPr id="468" name="Connecteur droit 468"/>
                            <wp:cNvGraphicFramePr/>
                            <a:graphic xmlns:a="http://schemas.openxmlformats.org/drawingml/2006/main">
                              <a:graphicData uri="http://schemas.microsoft.com/office/word/2010/wordprocessingShape">
                                <wps:wsp>
                                  <wps:cNvCnPr/>
                                  <wps:spPr>
                                    <a:xfrm flipH="1">
                                      <a:off x="0" y="0"/>
                                      <a:ext cx="0" cy="32385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A89D33" id="Connecteur droit 468" o:spid="_x0000_s1026" style="position:absolute;flip:x;z-index:-25130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1pt,177.85pt" to="493.1pt,20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" strokecolor="black [3040]"/>
                        </w:pict>
                      </mc:Fallback>
                    </mc:AlternateContent>
                  </w:r>
                  <w:r>
                    <w:tab/>
                  </w:r>
                </w:p>
                <w:tbl>
                  <w:tblPr>
                    <w:tblW w:w="0" w:type="auto"/>
                    <w:tblInd w:w="-25" w:type="dxa"/>
                    <w:tblLayout w:type="fixed"/>
                    <w:tblCellMar>
                      <w:left w:w="70" w:type="dxa"/>
                      <w:right w:w="70" w:type="dxa"/>
                    </w:tblCellMar>
                    <w:tblLook w:val="0000" w:firstRow="0" w:lastRow="0" w:firstColumn="0" w:lastColumn="0" w:noHBand="0" w:noVBand="0"/>
                  </w:tblPr>
                  <w:tblGrid>
                    <w:gridCol w:w="9300"/>
                  </w:tblGrid>
                  <w:tr>
                    <w:tc>
                      <w:tcPr>
                        <w:tcW w:w="9300" w:type="dxa"/>
                        <w:tcBorders>
                          <w:top w:val="single" w:sz="4" w:space="0" w:color="000000"/>
                          <w:left w:val="single" w:sz="4" w:space="0" w:color="000000"/>
                          <w:bottom w:val="single" w:sz="4" w:space="0" w:color="000000"/>
                          <w:right w:val="single" w:sz="4" w:space="0" w:color="000000"/>
                        </w:tcBorders>
                      </w:tcPr>
                      <w:p>
                        <w:pPr>
                          <w:tabs>
                            <w:tab w:val="left" w:pos="1134"/>
                            <w:tab w:val="right" w:pos="1440"/>
                          </w:tabs>
                        </w:pPr>
                        <w:r>
                          <w:t>Avis du CPMS qui accompagne l’élève au moment de l’introduction de la proposition d’intégration :</w:t>
                        </w:r>
                      </w:p>
                      <w:p>
                        <w:pPr>
                          <w:tabs>
                            <w:tab w:val="left" w:pos="1134"/>
                            <w:tab w:val="right" w:pos="1440"/>
                          </w:tabs>
                        </w:pPr>
                      </w:p>
                      <w:p>
                        <w:pPr>
                          <w:tabs>
                            <w:tab w:val="left" w:pos="1134"/>
                            <w:tab w:val="right" w:pos="1440"/>
                          </w:tabs>
                        </w:pPr>
                        <w:r>
                          <w:t xml:space="preserve">La Direction : </w:t>
                        </w:r>
                      </w:p>
                      <w:p>
                        <w:pPr>
                          <w:tabs>
                            <w:tab w:val="left" w:pos="1134"/>
                            <w:tab w:val="right" w:pos="1440"/>
                          </w:tabs>
                        </w:pPr>
                      </w:p>
                      <w:p>
                        <w:pPr>
                          <w:tabs>
                            <w:tab w:val="left" w:pos="1134"/>
                            <w:tab w:val="right" w:pos="1440"/>
                          </w:tabs>
                        </w:pPr>
                        <w:r>
                          <w:t>Date :</w:t>
                        </w:r>
                      </w:p>
                      <w:p>
                        <w:pPr>
                          <w:tabs>
                            <w:tab w:val="left" w:pos="1134"/>
                            <w:tab w:val="right" w:pos="1440"/>
                          </w:tabs>
                        </w:pPr>
                      </w:p>
                      <w:p>
                        <w:pPr>
                          <w:tabs>
                            <w:tab w:val="left" w:pos="1134"/>
                            <w:tab w:val="right" w:pos="1440"/>
                          </w:tabs>
                        </w:pPr>
                        <w:r>
                          <w:t>Signature</w:t>
                        </w:r>
                      </w:p>
                      <w:p>
                        <w:pPr>
                          <w:tabs>
                            <w:tab w:val="left" w:pos="1134"/>
                            <w:tab w:val="right" w:pos="1440"/>
                          </w:tabs>
                        </w:pPr>
                      </w:p>
                      <w:p>
                        <w:pPr>
                          <w:tabs>
                            <w:tab w:val="left" w:pos="1134"/>
                            <w:tab w:val="right" w:pos="1440"/>
                          </w:tabs>
                        </w:pPr>
                      </w:p>
                      <w:p>
                        <w:pPr>
                          <w:tabs>
                            <w:tab w:val="left" w:pos="1134"/>
                            <w:tab w:val="right" w:pos="1440"/>
                          </w:tabs>
                        </w:pPr>
                        <w:r>
                          <w:t>Cachet</w:t>
                        </w:r>
                      </w:p>
                      <w:p>
                        <w:pPr>
                          <w:tabs>
                            <w:tab w:val="left" w:pos="1134"/>
                          </w:tabs>
                        </w:pPr>
                      </w:p>
                      <w:p>
                        <w:pPr>
                          <w:tabs>
                            <w:tab w:val="left" w:pos="1134"/>
                          </w:tabs>
                        </w:pPr>
                      </w:p>
                      <w:p>
                        <w:pPr>
                          <w:tabs>
                            <w:tab w:val="left" w:pos="1134"/>
                          </w:tabs>
                        </w:pPr>
                      </w:p>
                      <w:p>
                        <w:pPr>
                          <w:tabs>
                            <w:tab w:val="left" w:pos="1134"/>
                          </w:tabs>
                        </w:pPr>
                        <w:r>
                          <w:t xml:space="preserve">AVIS FAVORABLE – AVIS DÉFAVORABLE      </w:t>
                        </w:r>
                        <w:r>
                          <w:rPr>
                            <w:i/>
                          </w:rPr>
                          <w:t>(biffer la mention inutile)</w:t>
                        </w:r>
                      </w:p>
                      <w:p>
                        <w:pPr>
                          <w:tabs>
                            <w:tab w:val="left" w:pos="1134"/>
                          </w:tabs>
                        </w:pPr>
                      </w:p>
                      <w:p>
                        <w:pPr>
                          <w:tabs>
                            <w:tab w:val="left" w:pos="1134"/>
                          </w:tabs>
                        </w:pPr>
                      </w:p>
                    </w:tc>
                  </w:tr>
                </w:tbl>
                <w:p>
                  <w:pPr>
                    <w:tabs>
                      <w:tab w:val="left" w:pos="1134"/>
                    </w:tabs>
                  </w:pPr>
                </w:p>
                <w:tbl>
                  <w:tblPr>
                    <w:tblW w:w="0" w:type="auto"/>
                    <w:tblInd w:w="-25" w:type="dxa"/>
                    <w:tblLayout w:type="fixed"/>
                    <w:tblCellMar>
                      <w:left w:w="70" w:type="dxa"/>
                      <w:right w:w="70" w:type="dxa"/>
                    </w:tblCellMar>
                    <w:tblLook w:val="0000" w:firstRow="0" w:lastRow="0" w:firstColumn="0" w:lastColumn="0" w:noHBand="0" w:noVBand="0"/>
                  </w:tblPr>
                  <w:tblGrid>
                    <w:gridCol w:w="9300"/>
                  </w:tblGrid>
                  <w:tr>
                    <w:tc>
                      <w:tcPr>
                        <w:tcW w:w="9300" w:type="dxa"/>
                        <w:tcBorders>
                          <w:top w:val="single" w:sz="4" w:space="0" w:color="000000"/>
                          <w:left w:val="single" w:sz="4" w:space="0" w:color="000000"/>
                          <w:bottom w:val="single" w:sz="4" w:space="0" w:color="000000"/>
                          <w:right w:val="single" w:sz="4" w:space="0" w:color="000000"/>
                        </w:tcBorders>
                      </w:tcPr>
                      <w:p>
                        <w:pPr>
                          <w:tabs>
                            <w:tab w:val="left" w:pos="1134"/>
                          </w:tabs>
                        </w:pPr>
                        <w:r>
                          <w:t>Le responsable de l’élève (Nom, prénom et qualité) ou l’élève s’il est majeur :</w:t>
                        </w:r>
                      </w:p>
                      <w:p>
                        <w:pPr>
                          <w:tabs>
                            <w:tab w:val="left" w:pos="1134"/>
                          </w:tabs>
                        </w:pPr>
                      </w:p>
                      <w:p>
                        <w:pPr>
                          <w:tabs>
                            <w:tab w:val="left" w:pos="1134"/>
                            <w:tab w:val="right" w:pos="1440"/>
                          </w:tabs>
                        </w:pPr>
                        <w:r>
                          <w:t>Date :</w:t>
                        </w:r>
                        <w:r>
                          <w:tab/>
                        </w:r>
                        <w:r>
                          <w:tab/>
                        </w:r>
                        <w:r>
                          <w:tab/>
                        </w:r>
                        <w:r>
                          <w:tab/>
                        </w:r>
                        <w:r>
                          <w:tab/>
                        </w:r>
                        <w:r>
                          <w:tab/>
                          <w:t xml:space="preserve">       Signature</w:t>
                        </w:r>
                      </w:p>
                      <w:p>
                        <w:pPr>
                          <w:tabs>
                            <w:tab w:val="left" w:pos="1134"/>
                          </w:tabs>
                        </w:pPr>
                      </w:p>
                    </w:tc>
                  </w:tr>
                </w:tbl>
                <w:p/>
                <w:p>
                  <w:pPr>
                    <w:rPr>
                      <w:b/>
                      <w:szCs w:val="24"/>
                      <w:u w:val="single"/>
                    </w:rPr>
                  </w:pPr>
                  <w:r>
                    <w:br w:type="page"/>
                  </w:r>
                </w:p>
                <w:p>
                  <w:pPr>
                    <w:pStyle w:val="Titre4"/>
                  </w:pPr>
                  <w:bookmarkStart w:id="2955" w:name="_Toc11422955"/>
                  <w:bookmarkStart w:id="2956" w:name="_Toc18914496"/>
                  <w:r>
                    <w:rPr>
                      <w:rStyle w:val="Titre3Car2"/>
                      <w:b/>
                    </w:rPr>
                    <w:t>Annexe 3 : Tableau synoptique de l’évolution de l’intégration</w:t>
                  </w:r>
                  <w:bookmarkEnd w:id="2955"/>
                  <w:bookmarkEnd w:id="2956"/>
                  <w:r>
                    <w:rPr>
                      <w:rStyle w:val="Appelnotedebasdep"/>
                      <w:rFonts w:cstheme="minorBidi"/>
                    </w:rPr>
                    <w:footnoteReference w:id="131"/>
                  </w:r>
                </w:p>
                <w:p/>
                <w:p/>
                <w:p>
                  <w:pPr>
                    <w:jc w:val="center"/>
                    <w:rPr>
                      <w:b/>
                    </w:rPr>
                  </w:pPr>
                  <w:r>
                    <w:rPr>
                      <w:b/>
                    </w:rPr>
                    <w:t>ELEVE CONCERNE</w:t>
                  </w:r>
                </w:p>
                <w:p>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tc>
                      <w:tcPr>
                        <w:tcW w:w="4606" w:type="dxa"/>
                      </w:tcPr>
                      <w:p>
                        <w:r>
                          <w:t>NOM &amp; Prénom</w:t>
                        </w:r>
                      </w:p>
                    </w:tc>
                    <w:tc>
                      <w:tcPr>
                        <w:tcW w:w="4606" w:type="dxa"/>
                      </w:tcPr>
                      <w:p/>
                      <w:p/>
                    </w:tc>
                  </w:tr>
                  <w:tr>
                    <w:tc>
                      <w:tcPr>
                        <w:tcW w:w="4606" w:type="dxa"/>
                      </w:tcPr>
                      <w:p>
                        <w:r>
                          <w:t>Date de naissance</w:t>
                        </w:r>
                      </w:p>
                    </w:tc>
                    <w:tc>
                      <w:tcPr>
                        <w:tcW w:w="4606" w:type="dxa"/>
                      </w:tcPr>
                      <w:p/>
                    </w:tc>
                  </w:tr>
                  <w:tr>
                    <w:tc>
                      <w:tcPr>
                        <w:tcW w:w="4606" w:type="dxa"/>
                      </w:tcPr>
                      <w:p>
                        <w:r>
                          <w:t>Sexe</w:t>
                        </w:r>
                      </w:p>
                    </w:tc>
                    <w:tc>
                      <w:tcPr>
                        <w:tcW w:w="4606" w:type="dxa"/>
                      </w:tcPr>
                      <w:p/>
                    </w:tc>
                  </w:tr>
                  <w:tr>
                    <w:tc>
                      <w:tcPr>
                        <w:tcW w:w="4606" w:type="dxa"/>
                      </w:tcPr>
                      <w:p>
                        <w:r>
                          <w:t>Date d’inscription dans l’enseignement spécialisé</w:t>
                        </w:r>
                      </w:p>
                    </w:tc>
                    <w:tc>
                      <w:tcPr>
                        <w:tcW w:w="4606" w:type="dxa"/>
                      </w:tcPr>
                      <w:p/>
                    </w:tc>
                  </w:tr>
                </w:tbl>
                <w:p/>
                <w:p/>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35"/>
                    <w:gridCol w:w="1535"/>
                    <w:gridCol w:w="1535"/>
                    <w:gridCol w:w="1598"/>
                    <w:gridCol w:w="1598"/>
                    <w:gridCol w:w="2372"/>
                  </w:tblGrid>
                  <w:tr>
                    <w:tc>
                      <w:tcPr>
                        <w:tcW w:w="1535" w:type="dxa"/>
                      </w:tcPr>
                      <w:p>
                        <w:pPr>
                          <w:jc w:val="center"/>
                          <w:rPr>
                            <w:b/>
                          </w:rPr>
                        </w:pPr>
                        <w:r>
                          <w:rPr>
                            <w:b/>
                          </w:rPr>
                          <w:t>Année scolaire</w:t>
                        </w:r>
                      </w:p>
                    </w:tc>
                    <w:tc>
                      <w:tcPr>
                        <w:tcW w:w="1535" w:type="dxa"/>
                      </w:tcPr>
                      <w:p>
                        <w:pPr>
                          <w:jc w:val="center"/>
                          <w:rPr>
                            <w:b/>
                          </w:rPr>
                        </w:pPr>
                        <w:r>
                          <w:rPr>
                            <w:b/>
                          </w:rPr>
                          <w:t>Intégration temporaire partielle</w:t>
                        </w:r>
                        <w:r>
                          <w:rPr>
                            <w:rStyle w:val="Appelnotedebasdep"/>
                            <w:rFonts w:cs="Arial"/>
                            <w:b/>
                          </w:rPr>
                          <w:footnoteReference w:id="132"/>
                        </w:r>
                      </w:p>
                    </w:tc>
                    <w:tc>
                      <w:tcPr>
                        <w:tcW w:w="1535" w:type="dxa"/>
                        <w:vAlign w:val="center"/>
                      </w:tcPr>
                      <w:p>
                        <w:pPr>
                          <w:tabs>
                            <w:tab w:val="left" w:pos="1134"/>
                          </w:tabs>
                          <w:snapToGrid w:val="0"/>
                          <w:jc w:val="center"/>
                          <w:rPr>
                            <w:bCs/>
                            <w:vertAlign w:val="superscript"/>
                          </w:rPr>
                        </w:pPr>
                        <w:r>
                          <w:rPr>
                            <w:b/>
                          </w:rPr>
                          <w:t>Intégration temporaire totale</w:t>
                        </w:r>
                      </w:p>
                    </w:tc>
                    <w:tc>
                      <w:tcPr>
                        <w:tcW w:w="1598" w:type="dxa"/>
                        <w:vAlign w:val="center"/>
                      </w:tcPr>
                      <w:p>
                        <w:pPr>
                          <w:tabs>
                            <w:tab w:val="left" w:pos="1134"/>
                          </w:tabs>
                          <w:snapToGrid w:val="0"/>
                          <w:jc w:val="center"/>
                          <w:rPr>
                            <w:bCs/>
                            <w:vertAlign w:val="superscript"/>
                          </w:rPr>
                        </w:pPr>
                        <w:r>
                          <w:rPr>
                            <w:b/>
                          </w:rPr>
                          <w:t>Intégration permanente partielle</w:t>
                        </w:r>
                      </w:p>
                    </w:tc>
                    <w:tc>
                      <w:tcPr>
                        <w:tcW w:w="1598" w:type="dxa"/>
                        <w:vAlign w:val="center"/>
                      </w:tcPr>
                      <w:p>
                        <w:pPr>
                          <w:tabs>
                            <w:tab w:val="left" w:pos="1134"/>
                          </w:tabs>
                          <w:snapToGrid w:val="0"/>
                          <w:jc w:val="center"/>
                          <w:rPr>
                            <w:b/>
                          </w:rPr>
                        </w:pPr>
                        <w:r>
                          <w:rPr>
                            <w:b/>
                          </w:rPr>
                          <w:t>Intégration permanente totale</w:t>
                        </w:r>
                      </w:p>
                    </w:tc>
                    <w:tc>
                      <w:tcPr>
                        <w:tcW w:w="2372" w:type="dxa"/>
                        <w:vAlign w:val="center"/>
                      </w:tcPr>
                      <w:p>
                        <w:pPr>
                          <w:tabs>
                            <w:tab w:val="left" w:pos="1134"/>
                          </w:tabs>
                          <w:snapToGrid w:val="0"/>
                          <w:jc w:val="center"/>
                          <w:rPr>
                            <w:b/>
                          </w:rPr>
                        </w:pPr>
                        <w:r>
                          <w:rPr>
                            <w:b/>
                          </w:rPr>
                          <w:t>Fin de l’intégration</w:t>
                        </w:r>
                      </w:p>
                      <w:p>
                        <w:pPr>
                          <w:tabs>
                            <w:tab w:val="left" w:pos="1134"/>
                          </w:tabs>
                          <w:jc w:val="center"/>
                          <w:rPr>
                            <w:b/>
                          </w:rPr>
                        </w:pPr>
                        <w:r>
                          <w:rPr>
                            <w:b/>
                          </w:rPr>
                          <w:t>À préciser</w:t>
                        </w:r>
                        <w:r>
                          <w:rPr>
                            <w:rStyle w:val="Appelnotedebasdep"/>
                            <w:rFonts w:cs="Arial"/>
                            <w:b/>
                          </w:rPr>
                          <w:footnoteReference w:id="133"/>
                        </w:r>
                      </w:p>
                    </w:tc>
                  </w:tr>
                  <w:tr>
                    <w:tc>
                      <w:tcPr>
                        <w:tcW w:w="1535" w:type="dxa"/>
                      </w:tcPr>
                      <w:p>
                        <w:pPr>
                          <w:rPr>
                            <w:b/>
                          </w:rPr>
                        </w:pPr>
                      </w:p>
                      <w:p>
                        <w:pPr>
                          <w:rPr>
                            <w:b/>
                          </w:rPr>
                        </w:pPr>
                      </w:p>
                    </w:tc>
                    <w:tc>
                      <w:tcPr>
                        <w:tcW w:w="1535" w:type="dxa"/>
                      </w:tcPr>
                      <w:p>
                        <w:pPr>
                          <w:rPr>
                            <w:b/>
                          </w:rPr>
                        </w:pPr>
                      </w:p>
                    </w:tc>
                    <w:tc>
                      <w:tcPr>
                        <w:tcW w:w="1535" w:type="dxa"/>
                      </w:tcPr>
                      <w:p>
                        <w:pPr>
                          <w:rPr>
                            <w:b/>
                          </w:rPr>
                        </w:pPr>
                      </w:p>
                    </w:tc>
                    <w:tc>
                      <w:tcPr>
                        <w:tcW w:w="1598" w:type="dxa"/>
                      </w:tcPr>
                      <w:p>
                        <w:pPr>
                          <w:rPr>
                            <w:b/>
                          </w:rPr>
                        </w:pPr>
                      </w:p>
                    </w:tc>
                    <w:tc>
                      <w:tcPr>
                        <w:tcW w:w="1598" w:type="dxa"/>
                      </w:tcPr>
                      <w:p>
                        <w:pPr>
                          <w:rPr>
                            <w:b/>
                          </w:rPr>
                        </w:pPr>
                      </w:p>
                    </w:tc>
                    <w:tc>
                      <w:tcPr>
                        <w:tcW w:w="2372" w:type="dxa"/>
                      </w:tcPr>
                      <w:p>
                        <w:pPr>
                          <w:rPr>
                            <w:b/>
                          </w:rPr>
                        </w:pPr>
                      </w:p>
                    </w:tc>
                  </w:tr>
                  <w:tr>
                    <w:tc>
                      <w:tcPr>
                        <w:tcW w:w="1535" w:type="dxa"/>
                      </w:tcPr>
                      <w:p>
                        <w:pPr>
                          <w:rPr>
                            <w:b/>
                          </w:rPr>
                        </w:pPr>
                      </w:p>
                      <w:p>
                        <w:pPr>
                          <w:rPr>
                            <w:b/>
                          </w:rPr>
                        </w:pPr>
                      </w:p>
                    </w:tc>
                    <w:tc>
                      <w:tcPr>
                        <w:tcW w:w="1535" w:type="dxa"/>
                      </w:tcPr>
                      <w:p>
                        <w:pPr>
                          <w:rPr>
                            <w:b/>
                          </w:rPr>
                        </w:pPr>
                      </w:p>
                    </w:tc>
                    <w:tc>
                      <w:tcPr>
                        <w:tcW w:w="1535" w:type="dxa"/>
                      </w:tcPr>
                      <w:p>
                        <w:pPr>
                          <w:rPr>
                            <w:b/>
                          </w:rPr>
                        </w:pPr>
                      </w:p>
                    </w:tc>
                    <w:tc>
                      <w:tcPr>
                        <w:tcW w:w="1598" w:type="dxa"/>
                      </w:tcPr>
                      <w:p>
                        <w:pPr>
                          <w:rPr>
                            <w:b/>
                          </w:rPr>
                        </w:pPr>
                      </w:p>
                    </w:tc>
                    <w:tc>
                      <w:tcPr>
                        <w:tcW w:w="1598" w:type="dxa"/>
                      </w:tcPr>
                      <w:p>
                        <w:pPr>
                          <w:rPr>
                            <w:b/>
                          </w:rPr>
                        </w:pPr>
                      </w:p>
                    </w:tc>
                    <w:tc>
                      <w:tcPr>
                        <w:tcW w:w="2372" w:type="dxa"/>
                      </w:tcPr>
                      <w:p>
                        <w:pPr>
                          <w:rPr>
                            <w:b/>
                          </w:rPr>
                        </w:pPr>
                      </w:p>
                    </w:tc>
                  </w:tr>
                  <w:tr>
                    <w:tc>
                      <w:tcPr>
                        <w:tcW w:w="1535" w:type="dxa"/>
                      </w:tcPr>
                      <w:p>
                        <w:pPr>
                          <w:rPr>
                            <w:b/>
                          </w:rPr>
                        </w:pPr>
                      </w:p>
                      <w:p>
                        <w:pPr>
                          <w:rPr>
                            <w:b/>
                          </w:rPr>
                        </w:pPr>
                      </w:p>
                    </w:tc>
                    <w:tc>
                      <w:tcPr>
                        <w:tcW w:w="1535" w:type="dxa"/>
                      </w:tcPr>
                      <w:p>
                        <w:pPr>
                          <w:rPr>
                            <w:b/>
                          </w:rPr>
                        </w:pPr>
                      </w:p>
                    </w:tc>
                    <w:tc>
                      <w:tcPr>
                        <w:tcW w:w="1535" w:type="dxa"/>
                      </w:tcPr>
                      <w:p>
                        <w:pPr>
                          <w:rPr>
                            <w:b/>
                          </w:rPr>
                        </w:pPr>
                      </w:p>
                    </w:tc>
                    <w:tc>
                      <w:tcPr>
                        <w:tcW w:w="1598" w:type="dxa"/>
                      </w:tcPr>
                      <w:p>
                        <w:pPr>
                          <w:rPr>
                            <w:b/>
                          </w:rPr>
                        </w:pPr>
                      </w:p>
                    </w:tc>
                    <w:tc>
                      <w:tcPr>
                        <w:tcW w:w="1598" w:type="dxa"/>
                      </w:tcPr>
                      <w:p>
                        <w:pPr>
                          <w:rPr>
                            <w:b/>
                          </w:rPr>
                        </w:pPr>
                      </w:p>
                    </w:tc>
                    <w:tc>
                      <w:tcPr>
                        <w:tcW w:w="2372" w:type="dxa"/>
                      </w:tcPr>
                      <w:p>
                        <w:pPr>
                          <w:rPr>
                            <w:b/>
                          </w:rPr>
                        </w:pPr>
                      </w:p>
                    </w:tc>
                  </w:tr>
                  <w:tr>
                    <w:tc>
                      <w:tcPr>
                        <w:tcW w:w="1535" w:type="dxa"/>
                      </w:tcPr>
                      <w:p>
                        <w:pPr>
                          <w:rPr>
                            <w:b/>
                          </w:rPr>
                        </w:pPr>
                      </w:p>
                      <w:p>
                        <w:pPr>
                          <w:rPr>
                            <w:b/>
                          </w:rPr>
                        </w:pPr>
                      </w:p>
                    </w:tc>
                    <w:tc>
                      <w:tcPr>
                        <w:tcW w:w="1535" w:type="dxa"/>
                      </w:tcPr>
                      <w:p>
                        <w:pPr>
                          <w:rPr>
                            <w:b/>
                          </w:rPr>
                        </w:pPr>
                      </w:p>
                    </w:tc>
                    <w:tc>
                      <w:tcPr>
                        <w:tcW w:w="1535" w:type="dxa"/>
                      </w:tcPr>
                      <w:p>
                        <w:pPr>
                          <w:rPr>
                            <w:b/>
                          </w:rPr>
                        </w:pPr>
                      </w:p>
                    </w:tc>
                    <w:tc>
                      <w:tcPr>
                        <w:tcW w:w="1598" w:type="dxa"/>
                      </w:tcPr>
                      <w:p>
                        <w:pPr>
                          <w:rPr>
                            <w:b/>
                          </w:rPr>
                        </w:pPr>
                      </w:p>
                    </w:tc>
                    <w:tc>
                      <w:tcPr>
                        <w:tcW w:w="1598" w:type="dxa"/>
                      </w:tcPr>
                      <w:p>
                        <w:pPr>
                          <w:rPr>
                            <w:b/>
                          </w:rPr>
                        </w:pPr>
                      </w:p>
                    </w:tc>
                    <w:tc>
                      <w:tcPr>
                        <w:tcW w:w="2372" w:type="dxa"/>
                      </w:tcPr>
                      <w:p>
                        <w:pPr>
                          <w:rPr>
                            <w:b/>
                          </w:rPr>
                        </w:pPr>
                      </w:p>
                    </w:tc>
                  </w:tr>
                  <w:tr>
                    <w:tc>
                      <w:tcPr>
                        <w:tcW w:w="1535" w:type="dxa"/>
                      </w:tcPr>
                      <w:p>
                        <w:pPr>
                          <w:rPr>
                            <w:b/>
                          </w:rPr>
                        </w:pPr>
                      </w:p>
                      <w:p>
                        <w:pPr>
                          <w:rPr>
                            <w:b/>
                          </w:rPr>
                        </w:pPr>
                      </w:p>
                    </w:tc>
                    <w:tc>
                      <w:tcPr>
                        <w:tcW w:w="1535" w:type="dxa"/>
                      </w:tcPr>
                      <w:p>
                        <w:pPr>
                          <w:rPr>
                            <w:b/>
                          </w:rPr>
                        </w:pPr>
                      </w:p>
                    </w:tc>
                    <w:tc>
                      <w:tcPr>
                        <w:tcW w:w="1535" w:type="dxa"/>
                      </w:tcPr>
                      <w:p>
                        <w:pPr>
                          <w:rPr>
                            <w:b/>
                          </w:rPr>
                        </w:pPr>
                      </w:p>
                    </w:tc>
                    <w:tc>
                      <w:tcPr>
                        <w:tcW w:w="1598" w:type="dxa"/>
                      </w:tcPr>
                      <w:p>
                        <w:pPr>
                          <w:rPr>
                            <w:b/>
                          </w:rPr>
                        </w:pPr>
                      </w:p>
                    </w:tc>
                    <w:tc>
                      <w:tcPr>
                        <w:tcW w:w="1598" w:type="dxa"/>
                      </w:tcPr>
                      <w:p>
                        <w:pPr>
                          <w:rPr>
                            <w:b/>
                          </w:rPr>
                        </w:pPr>
                      </w:p>
                    </w:tc>
                    <w:tc>
                      <w:tcPr>
                        <w:tcW w:w="2372" w:type="dxa"/>
                      </w:tcPr>
                      <w:p>
                        <w:pPr>
                          <w:rPr>
                            <w:b/>
                          </w:rPr>
                        </w:pPr>
                      </w:p>
                    </w:tc>
                  </w:tr>
                  <w:tr>
                    <w:tc>
                      <w:tcPr>
                        <w:tcW w:w="1535" w:type="dxa"/>
                      </w:tcPr>
                      <w:p>
                        <w:pPr>
                          <w:rPr>
                            <w:b/>
                          </w:rPr>
                        </w:pPr>
                      </w:p>
                      <w:p>
                        <w:pPr>
                          <w:rPr>
                            <w:b/>
                          </w:rPr>
                        </w:pPr>
                      </w:p>
                    </w:tc>
                    <w:tc>
                      <w:tcPr>
                        <w:tcW w:w="1535" w:type="dxa"/>
                      </w:tcPr>
                      <w:p>
                        <w:pPr>
                          <w:rPr>
                            <w:b/>
                          </w:rPr>
                        </w:pPr>
                      </w:p>
                    </w:tc>
                    <w:tc>
                      <w:tcPr>
                        <w:tcW w:w="1535" w:type="dxa"/>
                      </w:tcPr>
                      <w:p>
                        <w:pPr>
                          <w:rPr>
                            <w:b/>
                          </w:rPr>
                        </w:pPr>
                      </w:p>
                    </w:tc>
                    <w:tc>
                      <w:tcPr>
                        <w:tcW w:w="1598" w:type="dxa"/>
                      </w:tcPr>
                      <w:p>
                        <w:pPr>
                          <w:rPr>
                            <w:b/>
                          </w:rPr>
                        </w:pPr>
                      </w:p>
                    </w:tc>
                    <w:tc>
                      <w:tcPr>
                        <w:tcW w:w="1598" w:type="dxa"/>
                      </w:tcPr>
                      <w:p>
                        <w:pPr>
                          <w:rPr>
                            <w:b/>
                          </w:rPr>
                        </w:pPr>
                      </w:p>
                    </w:tc>
                    <w:tc>
                      <w:tcPr>
                        <w:tcW w:w="2372" w:type="dxa"/>
                      </w:tcPr>
                      <w:p>
                        <w:pPr>
                          <w:rPr>
                            <w:b/>
                          </w:rPr>
                        </w:pPr>
                      </w:p>
                    </w:tc>
                  </w:tr>
                  <w:tr>
                    <w:tc>
                      <w:tcPr>
                        <w:tcW w:w="1535" w:type="dxa"/>
                      </w:tcPr>
                      <w:p>
                        <w:pPr>
                          <w:rPr>
                            <w:b/>
                          </w:rPr>
                        </w:pPr>
                      </w:p>
                      <w:p>
                        <w:pPr>
                          <w:rPr>
                            <w:b/>
                          </w:rPr>
                        </w:pPr>
                      </w:p>
                    </w:tc>
                    <w:tc>
                      <w:tcPr>
                        <w:tcW w:w="1535" w:type="dxa"/>
                      </w:tcPr>
                      <w:p>
                        <w:pPr>
                          <w:rPr>
                            <w:b/>
                          </w:rPr>
                        </w:pPr>
                      </w:p>
                    </w:tc>
                    <w:tc>
                      <w:tcPr>
                        <w:tcW w:w="1535" w:type="dxa"/>
                      </w:tcPr>
                      <w:p>
                        <w:pPr>
                          <w:rPr>
                            <w:b/>
                          </w:rPr>
                        </w:pPr>
                      </w:p>
                    </w:tc>
                    <w:tc>
                      <w:tcPr>
                        <w:tcW w:w="1598" w:type="dxa"/>
                      </w:tcPr>
                      <w:p>
                        <w:pPr>
                          <w:rPr>
                            <w:b/>
                          </w:rPr>
                        </w:pPr>
                      </w:p>
                    </w:tc>
                    <w:tc>
                      <w:tcPr>
                        <w:tcW w:w="1598" w:type="dxa"/>
                      </w:tcPr>
                      <w:p>
                        <w:pPr>
                          <w:rPr>
                            <w:b/>
                          </w:rPr>
                        </w:pPr>
                      </w:p>
                    </w:tc>
                    <w:tc>
                      <w:tcPr>
                        <w:tcW w:w="2372" w:type="dxa"/>
                      </w:tcPr>
                      <w:p>
                        <w:pPr>
                          <w:rPr>
                            <w:b/>
                          </w:rPr>
                        </w:pPr>
                      </w:p>
                    </w:tc>
                  </w:tr>
                </w:tbl>
                <w:p>
                  <w:pPr>
                    <w:rPr>
                      <w:b/>
                    </w:rPr>
                  </w:pPr>
                </w:p>
                <w:p>
                  <w:pPr>
                    <w:rPr>
                      <w:b/>
                    </w:rPr>
                  </w:pPr>
                </w:p>
                <w:p>
                  <w:pPr>
                    <w:jc w:val="center"/>
                    <w:rPr>
                      <w:b/>
                    </w:rPr>
                  </w:pPr>
                  <w:r>
                    <w:rPr>
                      <w:b/>
                    </w:rPr>
                    <w:t>Document constitutif du protocole d’intégration</w:t>
                  </w:r>
                </w:p>
                <w:p>
                  <w:pPr>
                    <w:pStyle w:val="Titre4"/>
                  </w:pPr>
                  <w:bookmarkStart w:id="2957" w:name="_Annexe_4_:_2"/>
                  <w:bookmarkEnd w:id="2957"/>
                  <w:r>
                    <w:br w:type="page"/>
                  </w:r>
                  <w:bookmarkStart w:id="2958" w:name="_Annexe_4_:_8"/>
                  <w:bookmarkStart w:id="2959" w:name="_Ref11405302"/>
                  <w:bookmarkEnd w:id="2958"/>
                  <w:r>
                    <w:t>Annexe 4 : Bilan de l’intégration</w:t>
                  </w:r>
                  <w:bookmarkEnd w:id="2959"/>
                  <w:r>
                    <w:t xml:space="preserve"> </w:t>
                  </w:r>
                </w:p>
                <w:p>
                  <w:pPr>
                    <w:jc w:val="both"/>
                  </w:pPr>
                </w:p>
                <w:p>
                  <w:pPr>
                    <w:pBdr>
                      <w:right w:val="single" w:sz="4" w:space="4" w:color="auto"/>
                    </w:pBdr>
                    <w:jc w:val="both"/>
                  </w:pPr>
                  <w:r>
                    <w:t xml:space="preserve">Au terme de l’année scolaire, l’Administration transmet le document aux établissements scolaires d’enseignement spécialisé. Ce document complété par les écoles doit être envoyé à l’Administration pour le 30 septembre via l’adresse mail : </w:t>
                  </w:r>
                  <w:hyperlink r:id="rId188" w:history="1">
                    <w:r>
                      <w:rPr>
                        <w:rStyle w:val="Lienhypertexte"/>
                        <w:rFonts w:cstheme="minorBidi"/>
                        <w:u w:val="none"/>
                      </w:rPr>
                      <w:t>integration_specialise@cfwb.be</w:t>
                    </w:r>
                  </w:hyperlink>
                  <w:r>
                    <w:t xml:space="preserve"> </w:t>
                  </w:r>
                </w:p>
                <w:p>
                  <w:pPr>
                    <w:pBdr>
                      <w:right w:val="single" w:sz="4" w:space="4" w:color="auto"/>
                    </w:pBdr>
                    <w:jc w:val="both"/>
                  </w:pPr>
                  <w:r>
                    <w:t xml:space="preserve">En cas d’arrêt d’intégration en cours d’année scolaire, le document est à renvoyer à l’Administration au plus tard dans les 30 jours calendrier à dater de la décision de l’arrêt d’intégration via l’adresse mail : </w:t>
                  </w:r>
                  <w:hyperlink r:id="rId189" w:history="1">
                    <w:r>
                      <w:rPr>
                        <w:rStyle w:val="Lienhypertexte"/>
                        <w:rFonts w:cstheme="minorBidi"/>
                        <w:u w:val="none"/>
                      </w:rPr>
                      <w:t>integration_specialise@cfwb.be</w:t>
                    </w:r>
                  </w:hyperlink>
                  <w:r>
                    <w:t xml:space="preserve"> </w:t>
                  </w:r>
                </w:p>
                <w:p>
                  <w:pPr>
                    <w:pBdr>
                      <w:right w:val="single" w:sz="4" w:space="4" w:color="auto"/>
                    </w:pBdr>
                    <w:jc w:val="both"/>
                  </w:pPr>
                </w:p>
                <w:p>
                  <w:pPr>
                    <w:pBdr>
                      <w:right w:val="single" w:sz="4" w:space="4" w:color="auto"/>
                    </w:pBdr>
                    <w:jc w:val="both"/>
                  </w:pPr>
                  <w:r>
                    <w:t xml:space="preserve">En cas de prolongation de l’intégration, le document est envoyé par mail aux établissements scolaires d’enseignement spécialisé dans les 30 jours calendrier à dater de la décision de prolongation. </w:t>
                  </w:r>
                </w:p>
                <w:p>
                  <w:pPr>
                    <w:pBdr>
                      <w:right w:val="single" w:sz="4" w:space="4" w:color="auto"/>
                    </w:pBdr>
                    <w:jc w:val="both"/>
                  </w:pPr>
                </w:p>
                <w:tbl>
                  <w:tblPr>
                    <w:tblpPr w:leftFromText="141" w:rightFromText="141" w:vertAnchor="text" w:horzAnchor="margin" w:tblpY="-65"/>
                    <w:tblW w:w="9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96"/>
                    <w:gridCol w:w="4302"/>
                  </w:tblGrid>
                  <w:tr>
                    <w:trPr>
                      <w:trHeight w:val="999"/>
                    </w:trPr>
                    <w:tc>
                      <w:tcPr>
                        <w:tcW w:w="9098" w:type="dxa"/>
                        <w:gridSpan w:val="2"/>
                        <w:shd w:val="clear" w:color="auto" w:fill="auto"/>
                      </w:tcPr>
                      <w:p>
                        <w:pPr>
                          <w:spacing w:before="120"/>
                          <w:rPr>
                            <w:b/>
                            <w:sz w:val="18"/>
                            <w:szCs w:val="18"/>
                          </w:rPr>
                        </w:pPr>
                        <w:r>
                          <w:rPr>
                            <w:sz w:val="18"/>
                            <w:szCs w:val="18"/>
                          </w:rPr>
                          <w:t xml:space="preserve">NOM :                                                                                                                               </w:t>
                        </w:r>
                        <w:r>
                          <w:rPr>
                            <w:b/>
                            <w:sz w:val="18"/>
                            <w:szCs w:val="18"/>
                          </w:rPr>
                          <w:t xml:space="preserve">         N° FASE :                                                                                          </w:t>
                        </w:r>
                      </w:p>
                      <w:p>
                        <w:pPr>
                          <w:spacing w:before="120"/>
                          <w:rPr>
                            <w:sz w:val="18"/>
                            <w:szCs w:val="18"/>
                          </w:rPr>
                        </w:pPr>
                        <w:r>
                          <w:rPr>
                            <w:sz w:val="18"/>
                            <w:szCs w:val="18"/>
                          </w:rPr>
                          <w:t xml:space="preserve">PRENOM :                      </w:t>
                        </w:r>
                      </w:p>
                      <w:p>
                        <w:pPr>
                          <w:spacing w:before="120"/>
                          <w:rPr>
                            <w:sz w:val="18"/>
                            <w:szCs w:val="18"/>
                          </w:rPr>
                        </w:pPr>
                        <w:r>
                          <w:rPr>
                            <w:sz w:val="18"/>
                            <w:szCs w:val="18"/>
                          </w:rPr>
                          <w:t xml:space="preserve">DATE DE NAISSANCE :                                                                              </w:t>
                        </w:r>
                      </w:p>
                    </w:tc>
                  </w:tr>
                  <w:tr>
                    <w:trPr>
                      <w:trHeight w:val="492"/>
                    </w:trPr>
                    <w:tc>
                      <w:tcPr>
                        <w:tcW w:w="9098" w:type="dxa"/>
                        <w:gridSpan w:val="2"/>
                        <w:shd w:val="clear" w:color="auto" w:fill="D9D9D9"/>
                      </w:tcPr>
                      <w:p>
                        <w:pPr>
                          <w:jc w:val="center"/>
                          <w:rPr>
                            <w:b/>
                            <w:sz w:val="18"/>
                            <w:szCs w:val="18"/>
                          </w:rPr>
                        </w:pPr>
                      </w:p>
                      <w:p>
                        <w:pPr>
                          <w:jc w:val="center"/>
                          <w:rPr>
                            <w:b/>
                            <w:sz w:val="18"/>
                            <w:szCs w:val="18"/>
                          </w:rPr>
                        </w:pPr>
                        <w:r>
                          <w:rPr>
                            <w:b/>
                            <w:sz w:val="20"/>
                            <w:szCs w:val="18"/>
                          </w:rPr>
                          <w:t>ANNEXE 4 : BILAN DE L’INTEGRATION</w:t>
                        </w:r>
                      </w:p>
                    </w:tc>
                  </w:tr>
                  <w:tr>
                    <w:trPr>
                      <w:trHeight w:val="492"/>
                    </w:trPr>
                    <w:tc>
                      <w:tcPr>
                        <w:tcW w:w="9098" w:type="dxa"/>
                        <w:gridSpan w:val="2"/>
                        <w:shd w:val="clear" w:color="auto" w:fill="auto"/>
                      </w:tcPr>
                      <w:p>
                        <w:pPr>
                          <w:jc w:val="center"/>
                          <w:rPr>
                            <w:b/>
                            <w:sz w:val="18"/>
                            <w:szCs w:val="18"/>
                            <w:highlight w:val="yellow"/>
                          </w:rPr>
                        </w:pPr>
                      </w:p>
                      <w:p>
                        <w:pPr>
                          <w:jc w:val="center"/>
                          <w:rPr>
                            <w:b/>
                            <w:sz w:val="18"/>
                            <w:szCs w:val="18"/>
                          </w:rPr>
                        </w:pPr>
                        <w:r>
                          <w:rPr>
                            <w:b/>
                            <w:sz w:val="20"/>
                            <w:szCs w:val="18"/>
                          </w:rPr>
                          <w:t>DECISION DU CONSEIL DE CLASSE DU : …………………………………………</w:t>
                        </w:r>
                      </w:p>
                      <w:p>
                        <w:pPr>
                          <w:jc w:val="center"/>
                          <w:rPr>
                            <w:b/>
                            <w:sz w:val="18"/>
                            <w:szCs w:val="18"/>
                            <w:highlight w:val="yellow"/>
                          </w:rPr>
                        </w:pPr>
                      </w:p>
                    </w:tc>
                  </w:tr>
                  <w:tr>
                    <w:trPr>
                      <w:trHeight w:val="351"/>
                    </w:trPr>
                    <w:tc>
                      <w:tcPr>
                        <w:tcW w:w="4796" w:type="dxa"/>
                        <w:shd w:val="clear" w:color="auto" w:fill="D9D9D9"/>
                      </w:tcPr>
                      <w:p>
                        <w:pPr>
                          <w:spacing w:before="120"/>
                          <w:jc w:val="center"/>
                          <w:rPr>
                            <w:sz w:val="18"/>
                            <w:szCs w:val="18"/>
                          </w:rPr>
                        </w:pPr>
                        <w:r>
                          <w:rPr>
                            <w:sz w:val="18"/>
                            <w:szCs w:val="18"/>
                          </w:rPr>
                          <w:t>Type actuel d’intégration</w:t>
                        </w:r>
                      </w:p>
                    </w:tc>
                    <w:tc>
                      <w:tcPr>
                        <w:tcW w:w="4302" w:type="dxa"/>
                        <w:shd w:val="clear" w:color="auto" w:fill="auto"/>
                      </w:tcPr>
                      <w:p>
                        <w:pPr>
                          <w:spacing w:before="120"/>
                          <w:rPr>
                            <w:sz w:val="18"/>
                            <w:szCs w:val="18"/>
                          </w:rPr>
                        </w:pPr>
                        <w:r>
                          <w:rPr>
                            <w:sz w:val="18"/>
                            <w:szCs w:val="18"/>
                          </w:rPr>
                          <w:t>Orientation choisie pour l’année scolaire 2019-2020</w:t>
                        </w:r>
                      </w:p>
                    </w:tc>
                  </w:tr>
                  <w:tr>
                    <w:trPr>
                      <w:trHeight w:val="351"/>
                    </w:trPr>
                    <w:tc>
                      <w:tcPr>
                        <w:tcW w:w="4796" w:type="dxa"/>
                        <w:shd w:val="clear" w:color="auto" w:fill="D9D9D9"/>
                      </w:tcPr>
                      <w:p>
                        <w:pPr>
                          <w:spacing w:before="120"/>
                          <w:rPr>
                            <w:sz w:val="18"/>
                            <w:szCs w:val="18"/>
                          </w:rPr>
                        </w:pPr>
                        <w:r>
                          <w:rPr>
                            <w:sz w:val="18"/>
                            <w:szCs w:val="18"/>
                          </w:rPr>
                          <w:sym w:font="Wingdings 2" w:char="F02A"/>
                        </w:r>
                        <w:r>
                          <w:rPr>
                            <w:sz w:val="18"/>
                            <w:szCs w:val="18"/>
                          </w:rPr>
                          <w:t xml:space="preserve"> Intégration permanente totale </w:t>
                        </w:r>
                      </w:p>
                    </w:tc>
                    <w:tc>
                      <w:tcPr>
                        <w:tcW w:w="4302" w:type="dxa"/>
                        <w:shd w:val="clear" w:color="auto" w:fill="auto"/>
                      </w:tcPr>
                      <w:p>
                        <w:pPr>
                          <w:spacing w:before="120"/>
                          <w:rPr>
                            <w:sz w:val="18"/>
                            <w:szCs w:val="18"/>
                          </w:rPr>
                        </w:pPr>
                        <w:r>
                          <w:rPr>
                            <w:sz w:val="18"/>
                            <w:szCs w:val="18"/>
                          </w:rPr>
                          <w:sym w:font="Wingdings 2" w:char="F02A"/>
                        </w:r>
                        <w:r>
                          <w:rPr>
                            <w:sz w:val="18"/>
                            <w:szCs w:val="18"/>
                          </w:rPr>
                          <w:t xml:space="preserve"> Intégration permanente totale </w:t>
                        </w:r>
                      </w:p>
                    </w:tc>
                  </w:tr>
                  <w:tr>
                    <w:trPr>
                      <w:trHeight w:val="351"/>
                    </w:trPr>
                    <w:tc>
                      <w:tcPr>
                        <w:tcW w:w="4796" w:type="dxa"/>
                        <w:shd w:val="clear" w:color="auto" w:fill="D9D9D9"/>
                      </w:tcPr>
                      <w:p>
                        <w:pPr>
                          <w:spacing w:before="120"/>
                          <w:rPr>
                            <w:sz w:val="18"/>
                            <w:szCs w:val="18"/>
                          </w:rPr>
                        </w:pPr>
                        <w:r>
                          <w:rPr>
                            <w:sz w:val="18"/>
                            <w:szCs w:val="18"/>
                          </w:rPr>
                          <w:sym w:font="Wingdings 2" w:char="F02A"/>
                        </w:r>
                        <w:r>
                          <w:rPr>
                            <w:sz w:val="18"/>
                            <w:szCs w:val="18"/>
                          </w:rPr>
                          <w:t xml:space="preserve"> Intégration temporaire totale </w:t>
                        </w:r>
                      </w:p>
                    </w:tc>
                    <w:tc>
                      <w:tcPr>
                        <w:tcW w:w="4302" w:type="dxa"/>
                        <w:shd w:val="clear" w:color="auto" w:fill="auto"/>
                      </w:tcPr>
                      <w:p>
                        <w:pPr>
                          <w:spacing w:before="120"/>
                          <w:rPr>
                            <w:sz w:val="18"/>
                            <w:szCs w:val="18"/>
                          </w:rPr>
                        </w:pPr>
                        <w:r>
                          <w:rPr>
                            <w:sz w:val="18"/>
                            <w:szCs w:val="18"/>
                          </w:rPr>
                          <w:sym w:font="Wingdings 2" w:char="F02A"/>
                        </w:r>
                        <w:r>
                          <w:rPr>
                            <w:sz w:val="18"/>
                            <w:szCs w:val="18"/>
                          </w:rPr>
                          <w:t xml:space="preserve"> Intégration temporaire totale </w:t>
                        </w:r>
                      </w:p>
                    </w:tc>
                  </w:tr>
                  <w:tr>
                    <w:trPr>
                      <w:trHeight w:val="364"/>
                    </w:trPr>
                    <w:tc>
                      <w:tcPr>
                        <w:tcW w:w="4796" w:type="dxa"/>
                        <w:shd w:val="clear" w:color="auto" w:fill="D9D9D9"/>
                      </w:tcPr>
                      <w:p>
                        <w:pPr>
                          <w:spacing w:before="120"/>
                          <w:rPr>
                            <w:sz w:val="18"/>
                            <w:szCs w:val="18"/>
                          </w:rPr>
                        </w:pPr>
                        <w:r>
                          <w:rPr>
                            <w:sz w:val="18"/>
                            <w:szCs w:val="18"/>
                          </w:rPr>
                          <w:sym w:font="Wingdings 2" w:char="F02A"/>
                        </w:r>
                        <w:r>
                          <w:rPr>
                            <w:sz w:val="18"/>
                            <w:szCs w:val="18"/>
                          </w:rPr>
                          <w:t xml:space="preserve"> Intégration permanente partielle </w:t>
                        </w:r>
                      </w:p>
                    </w:tc>
                    <w:tc>
                      <w:tcPr>
                        <w:tcW w:w="4302" w:type="dxa"/>
                        <w:shd w:val="clear" w:color="auto" w:fill="auto"/>
                      </w:tcPr>
                      <w:p>
                        <w:pPr>
                          <w:spacing w:before="120"/>
                          <w:rPr>
                            <w:sz w:val="18"/>
                            <w:szCs w:val="18"/>
                          </w:rPr>
                        </w:pPr>
                        <w:r>
                          <w:rPr>
                            <w:sz w:val="18"/>
                            <w:szCs w:val="18"/>
                          </w:rPr>
                          <w:sym w:font="Wingdings 2" w:char="F02A"/>
                        </w:r>
                        <w:r>
                          <w:rPr>
                            <w:sz w:val="18"/>
                            <w:szCs w:val="18"/>
                          </w:rPr>
                          <w:t xml:space="preserve"> Intégration permanente partielle </w:t>
                        </w:r>
                      </w:p>
                    </w:tc>
                  </w:tr>
                  <w:tr>
                    <w:trPr>
                      <w:trHeight w:val="351"/>
                    </w:trPr>
                    <w:tc>
                      <w:tcPr>
                        <w:tcW w:w="4796" w:type="dxa"/>
                        <w:shd w:val="clear" w:color="auto" w:fill="D9D9D9"/>
                      </w:tcPr>
                      <w:p>
                        <w:pPr>
                          <w:spacing w:before="120"/>
                          <w:rPr>
                            <w:sz w:val="18"/>
                            <w:szCs w:val="18"/>
                          </w:rPr>
                        </w:pPr>
                        <w:r>
                          <w:rPr>
                            <w:sz w:val="18"/>
                            <w:szCs w:val="18"/>
                          </w:rPr>
                          <w:sym w:font="Wingdings 2" w:char="F02A"/>
                        </w:r>
                        <w:r>
                          <w:rPr>
                            <w:sz w:val="18"/>
                            <w:szCs w:val="18"/>
                          </w:rPr>
                          <w:t xml:space="preserve"> Intégration temporaire partielle </w:t>
                        </w:r>
                      </w:p>
                    </w:tc>
                    <w:tc>
                      <w:tcPr>
                        <w:tcW w:w="4302" w:type="dxa"/>
                        <w:shd w:val="clear" w:color="auto" w:fill="auto"/>
                      </w:tcPr>
                      <w:p>
                        <w:pPr>
                          <w:spacing w:before="120"/>
                          <w:rPr>
                            <w:sz w:val="18"/>
                            <w:szCs w:val="18"/>
                          </w:rPr>
                        </w:pPr>
                        <w:r>
                          <w:rPr>
                            <w:sz w:val="18"/>
                            <w:szCs w:val="18"/>
                          </w:rPr>
                          <w:sym w:font="Wingdings 2" w:char="F02A"/>
                        </w:r>
                        <w:r>
                          <w:rPr>
                            <w:sz w:val="18"/>
                            <w:szCs w:val="18"/>
                          </w:rPr>
                          <w:t xml:space="preserve"> Intégration temporaire partielle </w:t>
                        </w:r>
                      </w:p>
                    </w:tc>
                  </w:tr>
                  <w:tr>
                    <w:trPr>
                      <w:trHeight w:val="449"/>
                    </w:trPr>
                    <w:tc>
                      <w:tcPr>
                        <w:tcW w:w="9098" w:type="dxa"/>
                        <w:gridSpan w:val="2"/>
                        <w:shd w:val="clear" w:color="auto" w:fill="auto"/>
                      </w:tcPr>
                      <w:p>
                        <w:pPr>
                          <w:spacing w:before="120"/>
                          <w:rPr>
                            <w:sz w:val="18"/>
                            <w:szCs w:val="18"/>
                          </w:rPr>
                        </w:pPr>
                        <w:r>
                          <w:rPr>
                            <w:sz w:val="18"/>
                            <w:szCs w:val="18"/>
                          </w:rPr>
                          <w:t xml:space="preserve">Année + niveau d’étude (+ option) pour l’année scolaire « 2019-2020 » : </w:t>
                        </w:r>
                      </w:p>
                    </w:tc>
                  </w:tr>
                  <w:tr>
                    <w:trPr>
                      <w:trHeight w:val="464"/>
                    </w:trPr>
                    <w:tc>
                      <w:tcPr>
                        <w:tcW w:w="9098" w:type="dxa"/>
                        <w:gridSpan w:val="2"/>
                        <w:shd w:val="clear" w:color="auto" w:fill="auto"/>
                      </w:tcPr>
                      <w:p>
                        <w:pPr>
                          <w:spacing w:before="120"/>
                          <w:rPr>
                            <w:sz w:val="18"/>
                            <w:szCs w:val="18"/>
                          </w:rPr>
                        </w:pPr>
                        <w:r>
                          <w:rPr>
                            <w:sz w:val="18"/>
                            <w:szCs w:val="18"/>
                          </w:rPr>
                          <w:t xml:space="preserve">Maturité :         Forme :            Phase :                                               Type : 1 </w:t>
                        </w:r>
                        <w:r>
                          <w:rPr>
                            <w:sz w:val="18"/>
                            <w:szCs w:val="18"/>
                          </w:rPr>
                          <w:sym w:font="Wingdings 2" w:char="F02A"/>
                        </w:r>
                        <w:r>
                          <w:rPr>
                            <w:sz w:val="18"/>
                            <w:szCs w:val="18"/>
                          </w:rPr>
                          <w:t xml:space="preserve"> 2 </w:t>
                        </w:r>
                        <w:r>
                          <w:rPr>
                            <w:sz w:val="18"/>
                            <w:szCs w:val="18"/>
                          </w:rPr>
                          <w:sym w:font="Wingdings 2" w:char="F02A"/>
                        </w:r>
                        <w:r>
                          <w:rPr>
                            <w:sz w:val="18"/>
                            <w:szCs w:val="18"/>
                          </w:rPr>
                          <w:t xml:space="preserve"> 3 </w:t>
                        </w:r>
                        <w:r>
                          <w:rPr>
                            <w:sz w:val="18"/>
                            <w:szCs w:val="18"/>
                          </w:rPr>
                          <w:sym w:font="Wingdings 2" w:char="F02A"/>
                        </w:r>
                        <w:r>
                          <w:rPr>
                            <w:sz w:val="18"/>
                            <w:szCs w:val="18"/>
                          </w:rPr>
                          <w:t xml:space="preserve"> 4 </w:t>
                        </w:r>
                        <w:r>
                          <w:rPr>
                            <w:sz w:val="18"/>
                            <w:szCs w:val="18"/>
                          </w:rPr>
                          <w:sym w:font="Wingdings 2" w:char="F02A"/>
                        </w:r>
                        <w:r>
                          <w:rPr>
                            <w:sz w:val="18"/>
                            <w:szCs w:val="18"/>
                          </w:rPr>
                          <w:t xml:space="preserve"> 5 </w:t>
                        </w:r>
                        <w:r>
                          <w:rPr>
                            <w:sz w:val="18"/>
                            <w:szCs w:val="18"/>
                          </w:rPr>
                          <w:sym w:font="Wingdings 2" w:char="F02A"/>
                        </w:r>
                        <w:r>
                          <w:rPr>
                            <w:sz w:val="18"/>
                            <w:szCs w:val="18"/>
                          </w:rPr>
                          <w:t xml:space="preserve"> 6 </w:t>
                        </w:r>
                        <w:r>
                          <w:rPr>
                            <w:sz w:val="18"/>
                            <w:szCs w:val="18"/>
                          </w:rPr>
                          <w:sym w:font="Wingdings 2" w:char="F02A"/>
                        </w:r>
                        <w:r>
                          <w:rPr>
                            <w:sz w:val="18"/>
                            <w:szCs w:val="18"/>
                          </w:rPr>
                          <w:t xml:space="preserve"> 7 </w:t>
                        </w:r>
                        <w:r>
                          <w:rPr>
                            <w:sz w:val="18"/>
                            <w:szCs w:val="18"/>
                          </w:rPr>
                          <w:sym w:font="Wingdings 2" w:char="F02A"/>
                        </w:r>
                        <w:r>
                          <w:rPr>
                            <w:sz w:val="18"/>
                            <w:szCs w:val="18"/>
                          </w:rPr>
                          <w:t xml:space="preserve"> 8 </w:t>
                        </w:r>
                        <w:r>
                          <w:rPr>
                            <w:sz w:val="18"/>
                            <w:szCs w:val="18"/>
                          </w:rPr>
                          <w:sym w:font="Wingdings 2" w:char="F02A"/>
                        </w:r>
                      </w:p>
                    </w:tc>
                  </w:tr>
                  <w:tr>
                    <w:trPr>
                      <w:trHeight w:val="449"/>
                    </w:trPr>
                    <w:tc>
                      <w:tcPr>
                        <w:tcW w:w="9098" w:type="dxa"/>
                        <w:gridSpan w:val="2"/>
                        <w:shd w:val="clear" w:color="auto" w:fill="auto"/>
                      </w:tcPr>
                      <w:p>
                        <w:pPr>
                          <w:spacing w:before="120"/>
                          <w:rPr>
                            <w:sz w:val="18"/>
                            <w:szCs w:val="18"/>
                          </w:rPr>
                        </w:pPr>
                        <w:r>
                          <w:rPr>
                            <w:sz w:val="18"/>
                            <w:szCs w:val="18"/>
                          </w:rPr>
                          <w:t xml:space="preserve">Date du début et de fin de l’intégration : </w:t>
                        </w:r>
                        <w:r>
                          <w:rPr>
                            <w:sz w:val="18"/>
                            <w:szCs w:val="18"/>
                          </w:rPr>
                          <w:sym w:font="Wingdings 2" w:char="F02A"/>
                        </w:r>
                        <w:r>
                          <w:rPr>
                            <w:sz w:val="18"/>
                            <w:szCs w:val="18"/>
                          </w:rPr>
                          <w:t xml:space="preserve"> 01/09 au 30/06 ou </w:t>
                        </w:r>
                        <w:r>
                          <w:rPr>
                            <w:sz w:val="18"/>
                            <w:szCs w:val="18"/>
                          </w:rPr>
                          <w:sym w:font="Wingdings 2" w:char="F02A"/>
                        </w:r>
                        <w:r>
                          <w:rPr>
                            <w:sz w:val="18"/>
                            <w:szCs w:val="18"/>
                          </w:rPr>
                          <w:t xml:space="preserve"> ……….………..…. au ……………………….</w:t>
                        </w:r>
                      </w:p>
                    </w:tc>
                  </w:tr>
                  <w:tr>
                    <w:trPr>
                      <w:trHeight w:val="590"/>
                    </w:trPr>
                    <w:tc>
                      <w:tcPr>
                        <w:tcW w:w="9098" w:type="dxa"/>
                        <w:gridSpan w:val="2"/>
                        <w:shd w:val="clear" w:color="auto" w:fill="auto"/>
                      </w:tcPr>
                      <w:p>
                        <w:pPr>
                          <w:jc w:val="center"/>
                          <w:rPr>
                            <w:b/>
                            <w:sz w:val="20"/>
                            <w:szCs w:val="18"/>
                          </w:rPr>
                        </w:pPr>
                      </w:p>
                      <w:p>
                        <w:pPr>
                          <w:jc w:val="center"/>
                          <w:rPr>
                            <w:b/>
                            <w:sz w:val="18"/>
                            <w:szCs w:val="18"/>
                          </w:rPr>
                        </w:pPr>
                        <w:r>
                          <w:rPr>
                            <w:b/>
                            <w:sz w:val="20"/>
                            <w:szCs w:val="18"/>
                          </w:rPr>
                          <w:t>JUSTIFICATION DE L’EVOLUTION DE L’INTEGRATION :</w:t>
                        </w:r>
                      </w:p>
                    </w:tc>
                  </w:tr>
                  <w:tr>
                    <w:trPr>
                      <w:trHeight w:val="389"/>
                    </w:trPr>
                    <w:tc>
                      <w:tcPr>
                        <w:tcW w:w="9098" w:type="dxa"/>
                        <w:gridSpan w:val="2"/>
                        <w:shd w:val="clear" w:color="auto" w:fill="auto"/>
                      </w:tcPr>
                      <w:p>
                        <w:pPr>
                          <w:spacing w:before="120"/>
                          <w:rPr>
                            <w:b/>
                            <w:sz w:val="18"/>
                            <w:szCs w:val="18"/>
                          </w:rPr>
                        </w:pPr>
                        <w:r>
                          <w:rPr>
                            <w:b/>
                            <w:sz w:val="18"/>
                            <w:szCs w:val="18"/>
                          </w:rPr>
                          <w:sym w:font="Wingdings 2" w:char="F02A"/>
                        </w:r>
                        <w:r>
                          <w:rPr>
                            <w:b/>
                            <w:sz w:val="18"/>
                            <w:szCs w:val="18"/>
                          </w:rPr>
                          <w:t xml:space="preserve"> Poursuite de l’intégration                                   </w:t>
                        </w:r>
                      </w:p>
                    </w:tc>
                  </w:tr>
                  <w:tr>
                    <w:trPr>
                      <w:trHeight w:val="1715"/>
                    </w:trPr>
                    <w:tc>
                      <w:tcPr>
                        <w:tcW w:w="9098" w:type="dxa"/>
                        <w:gridSpan w:val="2"/>
                        <w:shd w:val="clear" w:color="auto" w:fill="auto"/>
                      </w:tcPr>
                      <w:p>
                        <w:pPr>
                          <w:spacing w:before="120"/>
                          <w:rPr>
                            <w:sz w:val="18"/>
                            <w:szCs w:val="18"/>
                          </w:rPr>
                        </w:pPr>
                        <w:r>
                          <w:rPr>
                            <w:sz w:val="18"/>
                            <w:szCs w:val="18"/>
                          </w:rPr>
                          <w:sym w:font="Wingdings 2" w:char="F02A"/>
                        </w:r>
                        <w:r>
                          <w:rPr>
                            <w:sz w:val="18"/>
                            <w:szCs w:val="18"/>
                          </w:rPr>
                          <w:t xml:space="preserve"> Arrêt de l’intégration, l’élève continue dans l’enseignement ordinaire sans accompagnement de l’enseignement spécialisé.</w:t>
                        </w:r>
                      </w:p>
                      <w:p>
                        <w:pPr>
                          <w:rPr>
                            <w:sz w:val="18"/>
                            <w:szCs w:val="18"/>
                          </w:rPr>
                        </w:pPr>
                        <w:r>
                          <w:rPr>
                            <w:sz w:val="18"/>
                            <w:szCs w:val="18"/>
                          </w:rPr>
                          <w:sym w:font="Wingdings 2" w:char="F02A"/>
                        </w:r>
                        <w:r>
                          <w:rPr>
                            <w:sz w:val="18"/>
                            <w:szCs w:val="18"/>
                          </w:rPr>
                          <w:t xml:space="preserve"> Arrêt de l’intégration et inscription, ou retour, dans l’enseignement spécialisé.</w:t>
                        </w:r>
                      </w:p>
                      <w:p>
                        <w:pPr>
                          <w:rPr>
                            <w:color w:val="70AD47"/>
                            <w:sz w:val="18"/>
                            <w:szCs w:val="18"/>
                          </w:rPr>
                        </w:pPr>
                        <w:r>
                          <w:rPr>
                            <w:sz w:val="18"/>
                            <w:szCs w:val="18"/>
                          </w:rPr>
                          <w:sym w:font="Wingdings 2" w:char="F02A"/>
                        </w:r>
                        <w:r>
                          <w:rPr>
                            <w:sz w:val="18"/>
                            <w:szCs w:val="18"/>
                          </w:rPr>
                          <w:t xml:space="preserve"> Arrêt de l’intégration suite à l’obtention d’un certificat.  </w:t>
                        </w:r>
                      </w:p>
                      <w:p>
                        <w:pPr>
                          <w:spacing w:before="20"/>
                          <w:rPr>
                            <w:sz w:val="18"/>
                            <w:szCs w:val="18"/>
                          </w:rPr>
                        </w:pPr>
                        <w:r>
                          <w:rPr>
                            <w:sz w:val="18"/>
                            <w:szCs w:val="18"/>
                          </w:rPr>
                          <w:t>Motivation de l’arrêt de l’intégration :……………………………………………………………………………………………………………………….. ……………………………………………………………………………………………………………………………………………………………………</w:t>
                        </w:r>
                      </w:p>
                    </w:tc>
                  </w:tr>
                  <w:tr>
                    <w:trPr>
                      <w:trHeight w:val="412"/>
                    </w:trPr>
                    <w:tc>
                      <w:tcPr>
                        <w:tcW w:w="9098" w:type="dxa"/>
                        <w:gridSpan w:val="2"/>
                        <w:shd w:val="clear" w:color="auto" w:fill="auto"/>
                      </w:tcPr>
                      <w:p>
                        <w:pPr>
                          <w:jc w:val="center"/>
                          <w:rPr>
                            <w:b/>
                            <w:sz w:val="18"/>
                            <w:szCs w:val="18"/>
                          </w:rPr>
                        </w:pPr>
                      </w:p>
                      <w:p>
                        <w:pPr>
                          <w:jc w:val="center"/>
                          <w:rPr>
                            <w:b/>
                            <w:sz w:val="20"/>
                            <w:szCs w:val="18"/>
                          </w:rPr>
                        </w:pPr>
                        <w:r>
                          <w:rPr>
                            <w:b/>
                            <w:sz w:val="20"/>
                            <w:szCs w:val="18"/>
                          </w:rPr>
                          <w:t>LES PARTENAIRES (à l’exception du CPMS) MARQUENT LEUR ACCORD :</w:t>
                        </w:r>
                      </w:p>
                      <w:p>
                        <w:pPr>
                          <w:jc w:val="center"/>
                          <w:rPr>
                            <w:b/>
                            <w:sz w:val="18"/>
                            <w:szCs w:val="18"/>
                          </w:rPr>
                        </w:pPr>
                      </w:p>
                    </w:tc>
                  </w:tr>
                  <w:tr>
                    <w:trPr>
                      <w:trHeight w:val="2012"/>
                    </w:trPr>
                    <w:tc>
                      <w:tcPr>
                        <w:tcW w:w="4796" w:type="dxa"/>
                        <w:shd w:val="clear" w:color="auto" w:fill="auto"/>
                      </w:tcPr>
                      <w:p>
                        <w:pPr>
                          <w:spacing w:before="120"/>
                          <w:rPr>
                            <w:b/>
                            <w:sz w:val="18"/>
                            <w:szCs w:val="18"/>
                          </w:rPr>
                        </w:pPr>
                        <w:r>
                          <w:rPr>
                            <w:b/>
                            <w:sz w:val="18"/>
                            <w:szCs w:val="18"/>
                          </w:rPr>
                          <w:t>« Ecole »</w:t>
                        </w:r>
                      </w:p>
                      <w:p>
                        <w:pPr>
                          <w:spacing w:before="120"/>
                          <w:rPr>
                            <w:b/>
                            <w:sz w:val="18"/>
                            <w:szCs w:val="18"/>
                          </w:rPr>
                        </w:pPr>
                      </w:p>
                      <w:p>
                        <w:pPr>
                          <w:rPr>
                            <w:b/>
                            <w:sz w:val="18"/>
                            <w:szCs w:val="18"/>
                          </w:rPr>
                        </w:pPr>
                        <w:r>
                          <w:rPr>
                            <w:b/>
                            <w:sz w:val="18"/>
                            <w:szCs w:val="18"/>
                          </w:rPr>
                          <w:t xml:space="preserve">N° FASE :                     N° FASE IMPLANTATION : </w:t>
                        </w:r>
                      </w:p>
                      <w:p>
                        <w:pPr>
                          <w:rPr>
                            <w:sz w:val="18"/>
                            <w:szCs w:val="18"/>
                          </w:rPr>
                        </w:pPr>
                        <w:r>
                          <w:rPr>
                            <w:sz w:val="18"/>
                            <w:szCs w:val="18"/>
                          </w:rPr>
                          <w:t xml:space="preserve">La direction : </w:t>
                        </w:r>
                      </w:p>
                      <w:p>
                        <w:pPr>
                          <w:rPr>
                            <w:sz w:val="18"/>
                            <w:szCs w:val="18"/>
                          </w:rPr>
                        </w:pPr>
                        <w:r>
                          <w:rPr>
                            <w:sz w:val="18"/>
                            <w:szCs w:val="18"/>
                          </w:rPr>
                          <w:t>Signature, date et cachet :</w:t>
                        </w:r>
                      </w:p>
                    </w:tc>
                    <w:tc>
                      <w:tcPr>
                        <w:tcW w:w="4302" w:type="dxa"/>
                        <w:shd w:val="clear" w:color="auto" w:fill="auto"/>
                      </w:tcPr>
                      <w:p>
                        <w:pPr>
                          <w:spacing w:before="120"/>
                          <w:rPr>
                            <w:b/>
                            <w:sz w:val="18"/>
                            <w:szCs w:val="18"/>
                          </w:rPr>
                        </w:pPr>
                        <w:r>
                          <w:rPr>
                            <w:b/>
                            <w:sz w:val="18"/>
                            <w:szCs w:val="18"/>
                          </w:rPr>
                          <w:t>« Ecole »</w:t>
                        </w:r>
                      </w:p>
                      <w:p>
                        <w:pPr>
                          <w:spacing w:before="120"/>
                          <w:rPr>
                            <w:b/>
                            <w:sz w:val="18"/>
                            <w:szCs w:val="18"/>
                          </w:rPr>
                        </w:pPr>
                      </w:p>
                      <w:p>
                        <w:pPr>
                          <w:rPr>
                            <w:b/>
                            <w:sz w:val="18"/>
                            <w:szCs w:val="18"/>
                          </w:rPr>
                        </w:pPr>
                        <w:r>
                          <w:rPr>
                            <w:b/>
                            <w:sz w:val="18"/>
                            <w:szCs w:val="18"/>
                          </w:rPr>
                          <w:t xml:space="preserve">N° FASE :                   N° FASE IMPLANTATION : </w:t>
                        </w:r>
                      </w:p>
                      <w:p>
                        <w:pPr>
                          <w:rPr>
                            <w:sz w:val="18"/>
                            <w:szCs w:val="18"/>
                          </w:rPr>
                        </w:pPr>
                        <w:r>
                          <w:rPr>
                            <w:sz w:val="18"/>
                            <w:szCs w:val="18"/>
                          </w:rPr>
                          <w:t xml:space="preserve">La direction : </w:t>
                        </w:r>
                      </w:p>
                      <w:p>
                        <w:pPr>
                          <w:rPr>
                            <w:sz w:val="18"/>
                            <w:szCs w:val="18"/>
                          </w:rPr>
                        </w:pPr>
                        <w:r>
                          <w:rPr>
                            <w:sz w:val="18"/>
                            <w:szCs w:val="18"/>
                          </w:rPr>
                          <w:t>Signature, date et cachet :</w:t>
                        </w:r>
                      </w:p>
                      <w:p>
                        <w:pPr>
                          <w:rPr>
                            <w:sz w:val="18"/>
                            <w:szCs w:val="18"/>
                          </w:rPr>
                        </w:pPr>
                      </w:p>
                      <w:p>
                        <w:pPr>
                          <w:rPr>
                            <w:sz w:val="18"/>
                            <w:szCs w:val="18"/>
                          </w:rPr>
                        </w:pPr>
                      </w:p>
                    </w:tc>
                  </w:tr>
                  <w:tr>
                    <w:trPr>
                      <w:trHeight w:val="1505"/>
                    </w:trPr>
                    <w:tc>
                      <w:tcPr>
                        <w:tcW w:w="9098" w:type="dxa"/>
                        <w:gridSpan w:val="2"/>
                        <w:shd w:val="clear" w:color="auto" w:fill="auto"/>
                      </w:tcPr>
                      <w:p>
                        <w:pPr>
                          <w:tabs>
                            <w:tab w:val="left" w:pos="1134"/>
                            <w:tab w:val="right" w:pos="1440"/>
                          </w:tabs>
                          <w:rPr>
                            <w:b/>
                            <w:sz w:val="18"/>
                            <w:szCs w:val="18"/>
                          </w:rPr>
                        </w:pPr>
                        <w:r>
                          <w:rPr>
                            <w:b/>
                            <w:sz w:val="18"/>
                            <w:szCs w:val="18"/>
                          </w:rPr>
                          <w:t>Avis du CPMS qui assure la guidance de l’élève au terme de l’année scolaire (I.P.T.) :</w:t>
                        </w:r>
                      </w:p>
                      <w:p>
                        <w:pPr>
                          <w:tabs>
                            <w:tab w:val="left" w:pos="1134"/>
                            <w:tab w:val="right" w:pos="1440"/>
                          </w:tabs>
                          <w:rPr>
                            <w:b/>
                            <w:sz w:val="18"/>
                            <w:szCs w:val="18"/>
                          </w:rPr>
                        </w:pPr>
                        <w:r>
                          <w:rPr>
                            <w:b/>
                            <w:sz w:val="18"/>
                            <w:szCs w:val="18"/>
                          </w:rPr>
                          <w:t>Avis du CPMS qui assure la guidance de l’élève au terme de la période d’intégration (autres types d’intégration) :</w:t>
                        </w:r>
                      </w:p>
                      <w:p>
                        <w:pPr>
                          <w:spacing w:before="120"/>
                          <w:rPr>
                            <w:b/>
                            <w:sz w:val="18"/>
                            <w:szCs w:val="18"/>
                          </w:rPr>
                        </w:pPr>
                      </w:p>
                      <w:p>
                        <w:pPr>
                          <w:spacing w:before="120"/>
                          <w:rPr>
                            <w:b/>
                            <w:sz w:val="18"/>
                            <w:szCs w:val="18"/>
                          </w:rPr>
                        </w:pPr>
                        <w:r>
                          <w:rPr>
                            <w:sz w:val="18"/>
                            <w:szCs w:val="18"/>
                          </w:rPr>
                          <w:t>Signature, date et cachet :</w:t>
                        </w:r>
                      </w:p>
                    </w:tc>
                  </w:tr>
                  <w:tr>
                    <w:trPr>
                      <w:trHeight w:val="1201"/>
                    </w:trPr>
                    <w:tc>
                      <w:tcPr>
                        <w:tcW w:w="9098" w:type="dxa"/>
                        <w:gridSpan w:val="2"/>
                        <w:shd w:val="clear" w:color="auto" w:fill="auto"/>
                      </w:tcPr>
                      <w:p>
                        <w:pPr>
                          <w:spacing w:before="120"/>
                          <w:rPr>
                            <w:b/>
                            <w:sz w:val="18"/>
                            <w:szCs w:val="18"/>
                          </w:rPr>
                        </w:pPr>
                        <w:r>
                          <w:rPr>
                            <w:b/>
                            <w:sz w:val="18"/>
                            <w:szCs w:val="18"/>
                          </w:rPr>
                          <w:t>Le responsable de l’élève (NOM, PRENOM et QUALITE) ou l’élève s’il est majeur :…………………………………………………..</w:t>
                        </w:r>
                      </w:p>
                      <w:p>
                        <w:pPr>
                          <w:tabs>
                            <w:tab w:val="left" w:pos="1414"/>
                          </w:tabs>
                          <w:rPr>
                            <w:sz w:val="18"/>
                            <w:szCs w:val="18"/>
                          </w:rPr>
                        </w:pPr>
                        <w:r>
                          <w:rPr>
                            <w:sz w:val="18"/>
                            <w:szCs w:val="18"/>
                          </w:rPr>
                          <w:t xml:space="preserve">Signature : </w:t>
                        </w:r>
                        <w:r>
                          <w:rPr>
                            <w:sz w:val="18"/>
                            <w:szCs w:val="18"/>
                          </w:rPr>
                          <w:tab/>
                        </w:r>
                      </w:p>
                      <w:p>
                        <w:pPr>
                          <w:tabs>
                            <w:tab w:val="left" w:pos="1414"/>
                          </w:tabs>
                          <w:rPr>
                            <w:sz w:val="18"/>
                            <w:szCs w:val="18"/>
                          </w:rPr>
                        </w:pPr>
                      </w:p>
                      <w:p>
                        <w:pPr>
                          <w:rPr>
                            <w:b/>
                            <w:sz w:val="18"/>
                            <w:szCs w:val="18"/>
                          </w:rPr>
                        </w:pPr>
                      </w:p>
                    </w:tc>
                  </w:tr>
                </w:tbl>
                <w:p>
                  <w:pPr>
                    <w:tabs>
                      <w:tab w:val="left" w:pos="1134"/>
                    </w:tabs>
                    <w:rPr>
                      <w:b/>
                    </w:rPr>
                  </w:pPr>
                  <w:bookmarkStart w:id="2960" w:name="_Annexe_5_:"/>
                  <w:bookmarkEnd w:id="2960"/>
                </w:p>
                <w:p>
                  <w:pPr>
                    <w:rPr>
                      <w:b/>
                    </w:rPr>
                  </w:pPr>
                  <w:r>
                    <w:rPr>
                      <w:b/>
                    </w:rPr>
                    <w:br w:type="page"/>
                  </w:r>
                </w:p>
                <w:p>
                  <w:pPr>
                    <w:tabs>
                      <w:tab w:val="left" w:pos="1134"/>
                    </w:tabs>
                    <w:rPr>
                      <w:b/>
                    </w:rPr>
                  </w:pPr>
                </w:p>
                <w:p>
                  <w:pPr>
                    <w:pStyle w:val="Titre4"/>
                  </w:pPr>
                  <w:bookmarkStart w:id="2961" w:name="_Annexe_5_:_3"/>
                  <w:bookmarkStart w:id="2962" w:name="_Toc453314459"/>
                  <w:bookmarkStart w:id="2963" w:name="_Toc454980494"/>
                  <w:bookmarkEnd w:id="2961"/>
                  <w:r>
                    <w:t>Annexe 5 : Exemple d’un document de fiche signalétique intégration</w:t>
                  </w:r>
                  <w:bookmarkEnd w:id="2962"/>
                  <w:bookmarkEnd w:id="2963"/>
                  <w:r>
                    <w:t xml:space="preserve"> </w:t>
                  </w:r>
                </w:p>
                <w:p>
                  <w:pPr>
                    <w:tabs>
                      <w:tab w:val="left" w:pos="1134"/>
                    </w:tabs>
                    <w:jc w:val="both"/>
                    <w:rPr>
                      <w:b/>
                    </w:rPr>
                  </w:pPr>
                </w:p>
                <w:p>
                  <w:pPr>
                    <w:tabs>
                      <w:tab w:val="left" w:pos="1134"/>
                    </w:tabs>
                    <w:jc w:val="both"/>
                  </w:pPr>
                  <w:r>
                    <w:t xml:space="preserve">Comme expliqué au point 10 de ce chapitre, vous recevrez de la part de l’Administration, </w:t>
                  </w:r>
                  <w:r>
                    <w:rPr>
                      <w:color w:val="000000"/>
                    </w:rPr>
                    <w:t>après le passage de votre vérificateur, une fiche signalétique reprenant les informations dont elle</w:t>
                  </w:r>
                  <w:r>
                    <w:t xml:space="preserve"> dispose concernant les élèves de votre établissement en intégration.</w:t>
                  </w:r>
                </w:p>
                <w:p>
                  <w:pPr>
                    <w:tabs>
                      <w:tab w:val="left" w:pos="1134"/>
                    </w:tabs>
                    <w:jc w:val="both"/>
                  </w:pPr>
                </w:p>
                <w:p>
                  <w:pPr>
                    <w:tabs>
                      <w:tab w:val="left" w:pos="1134"/>
                    </w:tabs>
                    <w:jc w:val="both"/>
                  </w:pPr>
                  <w:r>
                    <w:t>Elle se présente de la manière suivante :</w:t>
                  </w:r>
                  <w:bookmarkStart w:id="2964" w:name="_Annexe_6a_:"/>
                  <w:bookmarkStart w:id="2965" w:name="_Toc453314460"/>
                  <w:bookmarkStart w:id="2966" w:name="_Toc454980495"/>
                  <w:bookmarkEnd w:id="2964"/>
                </w:p>
                <w:p>
                  <w:pPr>
                    <w:tabs>
                      <w:tab w:val="left" w:pos="1134"/>
                    </w:tabs>
                    <w:jc w:val="both"/>
                  </w:pPr>
                  <w:r>
                    <w:rPr>
                      <w:noProof/>
                      <w:lang w:eastAsia="fr-BE"/>
                    </w:rPr>
                    <w:drawing>
                      <wp:anchor distT="0" distB="0" distL="114300" distR="114300" simplePos="0" relativeHeight="252100608" behindDoc="1" locked="0" layoutInCell="1" allowOverlap="1">
                        <wp:simplePos x="0" y="0"/>
                        <wp:positionH relativeFrom="column">
                          <wp:posOffset>-71755</wp:posOffset>
                        </wp:positionH>
                        <wp:positionV relativeFrom="paragraph">
                          <wp:posOffset>131445</wp:posOffset>
                        </wp:positionV>
                        <wp:extent cx="6248400" cy="7035963"/>
                        <wp:effectExtent l="0" t="0" r="0" b="0"/>
                        <wp:wrapNone/>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extLst>
                                    <a:ext uri="{28A0092B-C50C-407E-A947-70E740481C1C}">
                                      <a14:useLocalDpi xmlns:a14="http://schemas.microsoft.com/office/drawing/2010/main" val="0"/>
                                    </a:ext>
                                  </a:extLst>
                                </a:blip>
                                <a:stretch>
                                  <a:fillRect/>
                                </a:stretch>
                              </pic:blipFill>
                              <pic:spPr>
                                <a:xfrm>
                                  <a:off x="0" y="0"/>
                                  <a:ext cx="6248400" cy="7035963"/>
                                </a:xfrm>
                                <a:prstGeom prst="rect">
                                  <a:avLst/>
                                </a:prstGeom>
                              </pic:spPr>
                            </pic:pic>
                          </a:graphicData>
                        </a:graphic>
                      </wp:anchor>
                    </w:drawing>
                  </w:r>
                </w:p>
                <w:p>
                  <w:pPr>
                    <w:spacing w:after="160" w:line="259" w:lineRule="auto"/>
                    <w:rPr>
                      <w:rFonts w:ascii="Calibri" w:eastAsia="Calibri" w:hAnsi="Calibri" w:cs="Times New Roman"/>
                    </w:rPr>
                  </w:pPr>
                </w:p>
                <w:p>
                  <w:pPr>
                    <w:spacing w:after="160" w:line="259" w:lineRule="auto"/>
                    <w:rPr>
                      <w:rFonts w:ascii="Calibri" w:eastAsia="Calibri" w:hAnsi="Calibri" w:cs="Times New Roman"/>
                    </w:rPr>
                  </w:pPr>
                </w:p>
                <w:p>
                  <w:pPr>
                    <w:spacing w:after="160" w:line="259" w:lineRule="auto"/>
                    <w:rPr>
                      <w:rFonts w:ascii="Calibri" w:eastAsia="Calibri" w:hAnsi="Calibri" w:cs="Times New Roman"/>
                    </w:rPr>
                  </w:pPr>
                </w:p>
                <w:p>
                  <w:pPr>
                    <w:spacing w:after="160" w:line="259" w:lineRule="auto"/>
                    <w:rPr>
                      <w:rFonts w:ascii="Calibri" w:eastAsia="Calibri" w:hAnsi="Calibri" w:cs="Times New Roman"/>
                    </w:rPr>
                  </w:pPr>
                </w:p>
                <w:p>
                  <w:pPr>
                    <w:spacing w:after="160" w:line="259" w:lineRule="auto"/>
                    <w:rPr>
                      <w:rFonts w:ascii="Calibri" w:eastAsia="Calibri" w:hAnsi="Calibri" w:cs="Times New Roman"/>
                    </w:rPr>
                  </w:pPr>
                </w:p>
                <w:p>
                  <w:pPr>
                    <w:spacing w:after="160" w:line="259" w:lineRule="auto"/>
                    <w:rPr>
                      <w:rFonts w:ascii="Calibri" w:eastAsia="Calibri" w:hAnsi="Calibri" w:cs="Times New Roman"/>
                    </w:rPr>
                  </w:pPr>
                </w:p>
                <w:p>
                  <w:pPr>
                    <w:rPr>
                      <w:b/>
                      <w:u w:val="single"/>
                    </w:rPr>
                  </w:pPr>
                  <w:r>
                    <w:br w:type="page"/>
                  </w:r>
                </w:p>
                <w:p>
                  <w:pPr>
                    <w:pStyle w:val="Titre4"/>
                  </w:pPr>
                  <w:r>
                    <w:t>Annexe 6a : Demande de dérogation « GRANDE DISTANCE » (Intégrations permanentes totales)</w:t>
                  </w:r>
                  <w:bookmarkEnd w:id="2965"/>
                  <w:bookmarkEnd w:id="2966"/>
                </w:p>
                <w:p>
                  <w:pPr>
                    <w:jc w:val="both"/>
                    <w:rPr>
                      <w:i/>
                    </w:rPr>
                  </w:pPr>
                </w:p>
                <w:p>
                  <w:pPr>
                    <w:pStyle w:val="Corpsdetexte"/>
                  </w:pPr>
                  <w:r>
                    <w:t xml:space="preserve">Toutes nouvelles demandes de dérogation  DOIVENT être introduites via le « formulaire électronique intégration » à l’adresse suivante : </w:t>
                  </w:r>
                  <w:hyperlink r:id="rId191" w:history="1">
                    <w:r>
                      <w:rPr>
                        <w:rStyle w:val="Lienhypertexte"/>
                        <w:rFonts w:cs="Arial"/>
                        <w:szCs w:val="20"/>
                      </w:rPr>
                      <w:t>http://www.am.cfwb.be/</w:t>
                    </w:r>
                  </w:hyperlink>
                  <w:r>
                    <w:t xml:space="preserve"> </w:t>
                  </w:r>
                </w:p>
                <w:p>
                  <w:pPr>
                    <w:pStyle w:val="Corpsdetexte"/>
                  </w:pPr>
                  <w:r>
                    <w:br/>
                    <w:t xml:space="preserve">Si ce ne sont pas de nouvelles demandes d’intégration, il convient de renvoyer l’annexe via l’adresse mail générique : </w:t>
                  </w:r>
                  <w:hyperlink r:id="rId192" w:history="1">
                    <w:r>
                      <w:rPr>
                        <w:rStyle w:val="Lienhypertexte"/>
                        <w:rFonts w:cs="Arial"/>
                        <w:szCs w:val="20"/>
                      </w:rPr>
                      <w:t>integration_specialise@cfwb.be</w:t>
                    </w:r>
                  </w:hyperlink>
                  <w:r>
                    <w:t xml:space="preserve">  </w:t>
                  </w:r>
                </w:p>
                <w:p/>
                <w:p>
                  <w:pPr>
                    <w:pBdr>
                      <w:top w:val="single" w:sz="4" w:space="1" w:color="000000"/>
                      <w:left w:val="single" w:sz="4" w:space="4" w:color="000000"/>
                      <w:bottom w:val="single" w:sz="4" w:space="0" w:color="000000"/>
                      <w:right w:val="single" w:sz="4" w:space="12" w:color="000000"/>
                    </w:pBdr>
                    <w:shd w:val="clear" w:color="auto" w:fill="E6E6E6"/>
                    <w:rPr>
                      <w:b/>
                      <w:szCs w:val="20"/>
                    </w:rPr>
                  </w:pPr>
                  <w:r>
                    <w:rPr>
                      <w:b/>
                      <w:szCs w:val="20"/>
                    </w:rPr>
                    <w:t>Attention :</w:t>
                  </w:r>
                </w:p>
                <w:p>
                  <w:pPr>
                    <w:pBdr>
                      <w:top w:val="single" w:sz="4" w:space="1" w:color="000000"/>
                      <w:left w:val="single" w:sz="4" w:space="4" w:color="000000"/>
                      <w:bottom w:val="single" w:sz="4" w:space="0" w:color="000000"/>
                      <w:right w:val="single" w:sz="4" w:space="12" w:color="000000"/>
                    </w:pBdr>
                    <w:shd w:val="clear" w:color="auto" w:fill="E6E6E6"/>
                    <w:rPr>
                      <w:b/>
                      <w:szCs w:val="20"/>
                    </w:rPr>
                  </w:pPr>
                  <w:r>
                    <w:rPr>
                      <w:b/>
                      <w:szCs w:val="20"/>
                    </w:rPr>
                    <w:t>Le document doit être dûment complété pour que le dossier soit analysé par le Conseil général. S’il s’agit de la première intégration de l’élève, la première page du protocole d’intégration doit être jointe à cette demande.</w:t>
                  </w:r>
                </w:p>
                <w:p>
                  <w:pPr>
                    <w:tabs>
                      <w:tab w:val="left" w:pos="1134"/>
                    </w:tabs>
                    <w:rPr>
                      <w:b/>
                    </w:rPr>
                  </w:pPr>
                </w:p>
                <w:p>
                  <w:pPr>
                    <w:tabs>
                      <w:tab w:val="left" w:pos="1134"/>
                    </w:tabs>
                    <w:rPr>
                      <w:b/>
                    </w:rPr>
                  </w:pPr>
                  <w:r>
                    <w:rPr>
                      <w:b/>
                    </w:rPr>
                    <w:t xml:space="preserve">Année scolaire : </w:t>
                  </w:r>
                </w:p>
                <w:p>
                  <w:pPr>
                    <w:pBdr>
                      <w:top w:val="single" w:sz="4" w:space="1" w:color="000000"/>
                      <w:left w:val="single" w:sz="4" w:space="4" w:color="000000"/>
                      <w:bottom w:val="single" w:sz="4" w:space="0" w:color="000000"/>
                      <w:right w:val="single" w:sz="4" w:space="0" w:color="000000"/>
                    </w:pBdr>
                    <w:tabs>
                      <w:tab w:val="left" w:pos="1134"/>
                    </w:tabs>
                    <w:rPr>
                      <w:u w:val="single"/>
                    </w:rPr>
                  </w:pPr>
                  <w:r>
                    <w:rPr>
                      <w:u w:val="single"/>
                    </w:rPr>
                    <w:t>Élève concerné(e) :</w:t>
                  </w:r>
                </w:p>
                <w:p>
                  <w:pPr>
                    <w:pBdr>
                      <w:top w:val="single" w:sz="4" w:space="1" w:color="000000"/>
                      <w:left w:val="single" w:sz="4" w:space="4" w:color="000000"/>
                      <w:bottom w:val="single" w:sz="4" w:space="0" w:color="000000"/>
                      <w:right w:val="single" w:sz="4" w:space="0" w:color="000000"/>
                    </w:pBdr>
                    <w:tabs>
                      <w:tab w:val="left" w:pos="1134"/>
                    </w:tabs>
                  </w:pPr>
                  <w:r>
                    <w:t>NOM :</w:t>
                  </w:r>
                  <w:r>
                    <w:tab/>
                  </w:r>
                  <w:r>
                    <w:tab/>
                  </w:r>
                  <w:r>
                    <w:tab/>
                  </w:r>
                  <w:r>
                    <w:tab/>
                  </w:r>
                  <w:r>
                    <w:tab/>
                  </w:r>
                  <w:r>
                    <w:tab/>
                  </w:r>
                  <w:r>
                    <w:tab/>
                    <w:t>Prénom :</w:t>
                  </w:r>
                </w:p>
                <w:p>
                  <w:pPr>
                    <w:pBdr>
                      <w:top w:val="single" w:sz="4" w:space="1" w:color="000000"/>
                      <w:left w:val="single" w:sz="4" w:space="4" w:color="000000"/>
                      <w:bottom w:val="single" w:sz="4" w:space="0" w:color="000000"/>
                      <w:right w:val="single" w:sz="4" w:space="0" w:color="000000"/>
                    </w:pBdr>
                    <w:tabs>
                      <w:tab w:val="left" w:pos="1134"/>
                    </w:tabs>
                  </w:pPr>
                  <w:r>
                    <w:t>Date de naissance :</w:t>
                  </w:r>
                  <w:r>
                    <w:tab/>
                  </w:r>
                  <w:r>
                    <w:tab/>
                  </w:r>
                  <w:r>
                    <w:tab/>
                  </w:r>
                  <w:r>
                    <w:tab/>
                  </w:r>
                  <w:r>
                    <w:tab/>
                    <w:t>Sexe :</w:t>
                  </w:r>
                </w:p>
                <w:p>
                  <w:pPr>
                    <w:pBdr>
                      <w:top w:val="single" w:sz="4" w:space="1" w:color="000000"/>
                      <w:left w:val="single" w:sz="4" w:space="4" w:color="000000"/>
                      <w:bottom w:val="single" w:sz="4" w:space="0" w:color="000000"/>
                      <w:right w:val="single" w:sz="4" w:space="0" w:color="000000"/>
                    </w:pBdr>
                    <w:tabs>
                      <w:tab w:val="left" w:pos="1134"/>
                    </w:tabs>
                  </w:pPr>
                  <w:r>
                    <w:t xml:space="preserve">Type d’enseignement : 1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2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3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4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5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6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7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8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p>
                <w:p>
                  <w:pPr>
                    <w:pBdr>
                      <w:top w:val="single" w:sz="4" w:space="1" w:color="000000"/>
                      <w:left w:val="single" w:sz="4" w:space="4" w:color="000000"/>
                      <w:bottom w:val="single" w:sz="4" w:space="0" w:color="000000"/>
                      <w:right w:val="single" w:sz="4" w:space="0" w:color="000000"/>
                    </w:pBdr>
                    <w:tabs>
                      <w:tab w:val="left" w:pos="1134"/>
                    </w:tabs>
                  </w:pPr>
                  <w:r>
                    <w:t xml:space="preserve">Type d’intégration : </w:t>
                  </w:r>
                  <w:r>
                    <w:rPr>
                      <w:b/>
                    </w:rPr>
                    <w:t>permanente totale</w:t>
                  </w:r>
                </w:p>
                <w:p>
                  <w:pPr>
                    <w:pStyle w:val="Corpsdetext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4"/>
                    <w:gridCol w:w="2298"/>
                    <w:gridCol w:w="2374"/>
                    <w:gridCol w:w="2298"/>
                  </w:tblGrid>
                  <w:tr>
                    <w:tc>
                      <w:tcPr>
                        <w:tcW w:w="4839" w:type="dxa"/>
                        <w:gridSpan w:val="2"/>
                      </w:tcPr>
                      <w:p>
                        <w:pPr>
                          <w:pStyle w:val="Corpsdetexte"/>
                        </w:pPr>
                        <w:r>
                          <w:t xml:space="preserve">Etablissement d’enseignement </w:t>
                        </w:r>
                        <w:r>
                          <w:rPr>
                            <w:color w:val="FF0000"/>
                          </w:rPr>
                          <w:t xml:space="preserve">spécialisé      </w:t>
                        </w:r>
                        <w:r>
                          <w:t>concerné</w:t>
                        </w:r>
                      </w:p>
                    </w:tc>
                    <w:tc>
                      <w:tcPr>
                        <w:tcW w:w="4840" w:type="dxa"/>
                        <w:gridSpan w:val="2"/>
                      </w:tcPr>
                      <w:p>
                        <w:pPr>
                          <w:pStyle w:val="Corpsdetexte"/>
                        </w:pPr>
                        <w:r>
                          <w:t xml:space="preserve">Etablissement d’enseignement </w:t>
                        </w:r>
                        <w:r>
                          <w:rPr>
                            <w:color w:val="FF0000"/>
                          </w:rPr>
                          <w:t xml:space="preserve">ordinaire </w:t>
                        </w:r>
                        <w:r>
                          <w:t>concerné</w:t>
                        </w:r>
                      </w:p>
                    </w:tc>
                  </w:tr>
                  <w:tr>
                    <w:trPr>
                      <w:trHeight w:val="421"/>
                    </w:trPr>
                    <w:tc>
                      <w:tcPr>
                        <w:tcW w:w="2419" w:type="dxa"/>
                      </w:tcPr>
                      <w:p>
                        <w:pPr>
                          <w:pStyle w:val="Corpsdetexte"/>
                        </w:pPr>
                        <w:r>
                          <w:t>Dénomination</w:t>
                        </w:r>
                      </w:p>
                    </w:tc>
                    <w:tc>
                      <w:tcPr>
                        <w:tcW w:w="2420" w:type="dxa"/>
                      </w:tcPr>
                      <w:p>
                        <w:pPr>
                          <w:pStyle w:val="Corpsdetexte"/>
                        </w:pPr>
                      </w:p>
                      <w:p>
                        <w:pPr>
                          <w:pStyle w:val="Corpsdetexte"/>
                        </w:pPr>
                      </w:p>
                    </w:tc>
                    <w:tc>
                      <w:tcPr>
                        <w:tcW w:w="2420" w:type="dxa"/>
                      </w:tcPr>
                      <w:p>
                        <w:pPr>
                          <w:pStyle w:val="Corpsdetexte"/>
                        </w:pPr>
                        <w:r>
                          <w:t>Dénomination</w:t>
                        </w:r>
                      </w:p>
                    </w:tc>
                    <w:tc>
                      <w:tcPr>
                        <w:tcW w:w="2420" w:type="dxa"/>
                      </w:tcPr>
                      <w:p>
                        <w:pPr>
                          <w:pStyle w:val="Corpsdetexte"/>
                        </w:pPr>
                      </w:p>
                    </w:tc>
                  </w:tr>
                  <w:tr>
                    <w:tc>
                      <w:tcPr>
                        <w:tcW w:w="2419" w:type="dxa"/>
                      </w:tcPr>
                      <w:p>
                        <w:pPr>
                          <w:pStyle w:val="Corpsdetexte"/>
                        </w:pPr>
                        <w:r>
                          <w:t>N°FASE</w:t>
                        </w:r>
                      </w:p>
                      <w:p>
                        <w:pPr>
                          <w:pStyle w:val="Corpsdetexte"/>
                        </w:pPr>
                        <w:r>
                          <w:t>(bâtiment principal):</w:t>
                        </w:r>
                      </w:p>
                    </w:tc>
                    <w:tc>
                      <w:tcPr>
                        <w:tcW w:w="2420" w:type="dxa"/>
                      </w:tcPr>
                      <w:p>
                        <w:pPr>
                          <w:pStyle w:val="Corpsdetexte"/>
                        </w:pPr>
                      </w:p>
                    </w:tc>
                    <w:tc>
                      <w:tcPr>
                        <w:tcW w:w="2420" w:type="dxa"/>
                      </w:tcPr>
                      <w:p>
                        <w:pPr>
                          <w:pStyle w:val="Corpsdetexte"/>
                        </w:pPr>
                        <w:r>
                          <w:t>N°FASE</w:t>
                        </w:r>
                      </w:p>
                      <w:p>
                        <w:pPr>
                          <w:pStyle w:val="Corpsdetexte"/>
                        </w:pPr>
                        <w:r>
                          <w:t>(bâtiment principal):</w:t>
                        </w:r>
                      </w:p>
                    </w:tc>
                    <w:tc>
                      <w:tcPr>
                        <w:tcW w:w="2420" w:type="dxa"/>
                      </w:tcPr>
                      <w:p>
                        <w:pPr>
                          <w:pStyle w:val="Corpsdetexte"/>
                        </w:pPr>
                      </w:p>
                    </w:tc>
                  </w:tr>
                  <w:tr>
                    <w:tc>
                      <w:tcPr>
                        <w:tcW w:w="2419" w:type="dxa"/>
                      </w:tcPr>
                      <w:p>
                        <w:pPr>
                          <w:pStyle w:val="Corpsdetexte"/>
                        </w:pPr>
                        <w:r>
                          <w:t>N° FASE (implantation)</w:t>
                        </w:r>
                      </w:p>
                    </w:tc>
                    <w:tc>
                      <w:tcPr>
                        <w:tcW w:w="2420" w:type="dxa"/>
                      </w:tcPr>
                      <w:p>
                        <w:pPr>
                          <w:pStyle w:val="Corpsdetexte"/>
                        </w:pPr>
                      </w:p>
                    </w:tc>
                    <w:tc>
                      <w:tcPr>
                        <w:tcW w:w="2420" w:type="dxa"/>
                      </w:tcPr>
                      <w:p>
                        <w:pPr>
                          <w:pStyle w:val="Corpsdetexte"/>
                        </w:pPr>
                        <w:r>
                          <w:t>N° FASE (implantation)</w:t>
                        </w:r>
                      </w:p>
                    </w:tc>
                    <w:tc>
                      <w:tcPr>
                        <w:tcW w:w="2420" w:type="dxa"/>
                      </w:tcPr>
                      <w:p>
                        <w:pPr>
                          <w:pStyle w:val="Corpsdetexte"/>
                        </w:pPr>
                      </w:p>
                    </w:tc>
                  </w:tr>
                  <w:tr>
                    <w:tc>
                      <w:tcPr>
                        <w:tcW w:w="2419" w:type="dxa"/>
                      </w:tcPr>
                      <w:p>
                        <w:pPr>
                          <w:pStyle w:val="Corpsdetexte"/>
                        </w:pPr>
                        <w:r>
                          <w:t>Adresse</w:t>
                        </w:r>
                      </w:p>
                    </w:tc>
                    <w:tc>
                      <w:tcPr>
                        <w:tcW w:w="2420" w:type="dxa"/>
                      </w:tcPr>
                      <w:p>
                        <w:pPr>
                          <w:pStyle w:val="Corpsdetexte"/>
                        </w:pPr>
                      </w:p>
                    </w:tc>
                    <w:tc>
                      <w:tcPr>
                        <w:tcW w:w="2420" w:type="dxa"/>
                      </w:tcPr>
                      <w:p>
                        <w:pPr>
                          <w:pStyle w:val="Corpsdetexte"/>
                        </w:pPr>
                        <w:r>
                          <w:t>Adresse</w:t>
                        </w:r>
                      </w:p>
                    </w:tc>
                    <w:tc>
                      <w:tcPr>
                        <w:tcW w:w="2420" w:type="dxa"/>
                      </w:tcPr>
                      <w:p>
                        <w:pPr>
                          <w:pStyle w:val="Corpsdetexte"/>
                        </w:pPr>
                      </w:p>
                    </w:tc>
                  </w:tr>
                  <w:tr>
                    <w:tc>
                      <w:tcPr>
                        <w:tcW w:w="2419" w:type="dxa"/>
                      </w:tcPr>
                      <w:p>
                        <w:pPr>
                          <w:pStyle w:val="Corpsdetexte"/>
                        </w:pPr>
                        <w:r>
                          <w:t>CP</w:t>
                        </w:r>
                      </w:p>
                    </w:tc>
                    <w:tc>
                      <w:tcPr>
                        <w:tcW w:w="2420" w:type="dxa"/>
                      </w:tcPr>
                      <w:p>
                        <w:pPr>
                          <w:pStyle w:val="Corpsdetexte"/>
                        </w:pPr>
                      </w:p>
                    </w:tc>
                    <w:tc>
                      <w:tcPr>
                        <w:tcW w:w="2420" w:type="dxa"/>
                      </w:tcPr>
                      <w:p>
                        <w:pPr>
                          <w:pStyle w:val="Corpsdetexte"/>
                        </w:pPr>
                        <w:r>
                          <w:t>CP</w:t>
                        </w:r>
                      </w:p>
                    </w:tc>
                    <w:tc>
                      <w:tcPr>
                        <w:tcW w:w="2420" w:type="dxa"/>
                      </w:tcPr>
                      <w:p>
                        <w:pPr>
                          <w:pStyle w:val="Corpsdetexte"/>
                        </w:pPr>
                      </w:p>
                    </w:tc>
                  </w:tr>
                  <w:tr>
                    <w:tc>
                      <w:tcPr>
                        <w:tcW w:w="2419" w:type="dxa"/>
                      </w:tcPr>
                      <w:p>
                        <w:pPr>
                          <w:pStyle w:val="Corpsdetexte"/>
                        </w:pPr>
                        <w:r>
                          <w:t>LOCALITE</w:t>
                        </w:r>
                      </w:p>
                    </w:tc>
                    <w:tc>
                      <w:tcPr>
                        <w:tcW w:w="2420" w:type="dxa"/>
                      </w:tcPr>
                      <w:p>
                        <w:pPr>
                          <w:pStyle w:val="Corpsdetexte"/>
                        </w:pPr>
                      </w:p>
                    </w:tc>
                    <w:tc>
                      <w:tcPr>
                        <w:tcW w:w="2420" w:type="dxa"/>
                      </w:tcPr>
                      <w:p>
                        <w:pPr>
                          <w:pStyle w:val="Corpsdetexte"/>
                        </w:pPr>
                        <w:r>
                          <w:t>LOCALITE</w:t>
                        </w:r>
                      </w:p>
                    </w:tc>
                    <w:tc>
                      <w:tcPr>
                        <w:tcW w:w="2420" w:type="dxa"/>
                      </w:tcPr>
                      <w:p>
                        <w:pPr>
                          <w:pStyle w:val="Corpsdetexte"/>
                        </w:pPr>
                      </w:p>
                    </w:tc>
                  </w:tr>
                  <w:tr>
                    <w:tc>
                      <w:tcPr>
                        <w:tcW w:w="9679" w:type="dxa"/>
                        <w:gridSpan w:val="4"/>
                      </w:tcPr>
                      <w:p>
                        <w:pPr>
                          <w:tabs>
                            <w:tab w:val="left" w:pos="1134"/>
                          </w:tabs>
                          <w:ind w:right="-264"/>
                        </w:pPr>
                      </w:p>
                      <w:p>
                        <w:pPr>
                          <w:tabs>
                            <w:tab w:val="left" w:pos="1134"/>
                          </w:tabs>
                          <w:ind w:right="-264"/>
                        </w:pPr>
                        <w:r>
                          <w:t>Distance en km entre les 2 établissements :</w:t>
                        </w:r>
                      </w:p>
                    </w:tc>
                  </w:tr>
                </w:tbl>
                <w:p>
                  <w:pPr>
                    <w:tabs>
                      <w:tab w:val="left" w:pos="1134"/>
                    </w:tabs>
                  </w:pPr>
                </w:p>
                <w:p>
                  <w:pPr>
                    <w:pBdr>
                      <w:top w:val="single" w:sz="4" w:space="9" w:color="auto"/>
                      <w:left w:val="single" w:sz="4" w:space="0" w:color="auto"/>
                      <w:bottom w:val="single" w:sz="4" w:space="1" w:color="auto"/>
                      <w:right w:val="single" w:sz="4" w:space="1" w:color="auto"/>
                    </w:pBdr>
                    <w:tabs>
                      <w:tab w:val="left" w:pos="1134"/>
                    </w:tabs>
                    <w:jc w:val="both"/>
                    <w:rPr>
                      <w:b/>
                      <w:u w:val="single"/>
                    </w:rPr>
                  </w:pPr>
                  <w:r>
                    <w:rPr>
                      <w:b/>
                      <w:u w:val="single"/>
                    </w:rPr>
                    <w:t>Déclaration sur l’honneur</w:t>
                  </w:r>
                </w:p>
                <w:p>
                  <w:pPr>
                    <w:pBdr>
                      <w:top w:val="single" w:sz="4" w:space="9" w:color="auto"/>
                      <w:left w:val="single" w:sz="4" w:space="0" w:color="auto"/>
                      <w:bottom w:val="single" w:sz="4" w:space="1" w:color="auto"/>
                      <w:right w:val="single" w:sz="4" w:space="1" w:color="auto"/>
                    </w:pBdr>
                    <w:tabs>
                      <w:tab w:val="left" w:pos="1134"/>
                    </w:tabs>
                    <w:jc w:val="both"/>
                  </w:pPr>
                </w:p>
                <w:p>
                  <w:pPr>
                    <w:pBdr>
                      <w:top w:val="single" w:sz="4" w:space="9" w:color="auto"/>
                      <w:left w:val="single" w:sz="4" w:space="0" w:color="auto"/>
                      <w:bottom w:val="single" w:sz="4" w:space="1" w:color="auto"/>
                      <w:right w:val="single" w:sz="4" w:space="1" w:color="auto"/>
                    </w:pBdr>
                    <w:jc w:val="both"/>
                    <w:rPr>
                      <w:sz w:val="21"/>
                      <w:szCs w:val="21"/>
                    </w:rPr>
                  </w:pPr>
                  <w:r>
                    <w:rPr>
                      <w:sz w:val="21"/>
                      <w:szCs w:val="21"/>
                    </w:rPr>
                    <w:t>Par la présente, ..............................................................., directeur (trice) de l’école d’enseignement spécialisé organisé par la Fédération Wallonie Bruxelles ou représentant(e) du pouvoir organisateur dans l’enseignement spécialisé subventionné, atteste que :</w:t>
                  </w:r>
                </w:p>
                <w:p>
                  <w:pPr>
                    <w:pBdr>
                      <w:top w:val="single" w:sz="4" w:space="9" w:color="auto"/>
                      <w:left w:val="single" w:sz="4" w:space="0" w:color="auto"/>
                      <w:bottom w:val="single" w:sz="4" w:space="1" w:color="auto"/>
                      <w:right w:val="single" w:sz="4" w:space="1" w:color="auto"/>
                    </w:pBdr>
                    <w:jc w:val="both"/>
                    <w:rPr>
                      <w:sz w:val="21"/>
                      <w:szCs w:val="21"/>
                    </w:rPr>
                  </w:pPr>
                </w:p>
                <w:p>
                  <w:pPr>
                    <w:numPr>
                      <w:ilvl w:val="0"/>
                      <w:numId w:val="202"/>
                    </w:numPr>
                    <w:pBdr>
                      <w:top w:val="single" w:sz="4" w:space="9" w:color="auto"/>
                      <w:left w:val="single" w:sz="4" w:space="0" w:color="auto"/>
                      <w:bottom w:val="single" w:sz="4" w:space="1" w:color="auto"/>
                      <w:right w:val="single" w:sz="4" w:space="1" w:color="auto"/>
                    </w:pBdr>
                    <w:tabs>
                      <w:tab w:val="clear" w:pos="720"/>
                      <w:tab w:val="num" w:pos="567"/>
                    </w:tabs>
                    <w:suppressAutoHyphens/>
                    <w:ind w:left="567" w:hanging="567"/>
                    <w:jc w:val="both"/>
                    <w:rPr>
                      <w:sz w:val="21"/>
                      <w:szCs w:val="21"/>
                    </w:rPr>
                  </w:pPr>
                  <w:r>
                    <w:rPr>
                      <w:sz w:val="21"/>
                      <w:szCs w:val="21"/>
                    </w:rPr>
                    <w:t>l’élève sera intégré dès le 1</w:t>
                  </w:r>
                  <w:r>
                    <w:rPr>
                      <w:sz w:val="21"/>
                      <w:szCs w:val="21"/>
                      <w:vertAlign w:val="superscript"/>
                    </w:rPr>
                    <w:t>er</w:t>
                  </w:r>
                  <w:r>
                    <w:rPr>
                      <w:sz w:val="21"/>
                      <w:szCs w:val="21"/>
                    </w:rPr>
                    <w:t xml:space="preserve"> septembre de l’année scolaire 20..-20... Dans le cas contraire, l’information sera transmise pour le 15 septembre à l’Administration ;</w:t>
                  </w:r>
                </w:p>
                <w:p>
                  <w:pPr>
                    <w:numPr>
                      <w:ilvl w:val="0"/>
                      <w:numId w:val="202"/>
                    </w:numPr>
                    <w:pBdr>
                      <w:top w:val="single" w:sz="4" w:space="9" w:color="auto"/>
                      <w:left w:val="single" w:sz="4" w:space="0" w:color="auto"/>
                      <w:bottom w:val="single" w:sz="4" w:space="1" w:color="auto"/>
                      <w:right w:val="single" w:sz="4" w:space="1" w:color="auto"/>
                    </w:pBdr>
                    <w:tabs>
                      <w:tab w:val="clear" w:pos="720"/>
                      <w:tab w:val="num" w:pos="567"/>
                    </w:tabs>
                    <w:suppressAutoHyphens/>
                    <w:ind w:left="567" w:hanging="567"/>
                    <w:jc w:val="both"/>
                    <w:rPr>
                      <w:sz w:val="21"/>
                      <w:szCs w:val="21"/>
                    </w:rPr>
                  </w:pPr>
                  <w:r>
                    <w:rPr>
                      <w:sz w:val="21"/>
                      <w:szCs w:val="21"/>
                    </w:rPr>
                    <w:t xml:space="preserve">les informations ci-dessus sont complètes et conformes à la réalité. </w:t>
                  </w:r>
                </w:p>
                <w:p>
                  <w:pPr>
                    <w:pBdr>
                      <w:top w:val="single" w:sz="4" w:space="9" w:color="auto"/>
                      <w:left w:val="single" w:sz="4" w:space="0" w:color="auto"/>
                      <w:bottom w:val="single" w:sz="4" w:space="1" w:color="auto"/>
                      <w:right w:val="single" w:sz="4" w:space="1" w:color="auto"/>
                    </w:pBdr>
                    <w:tabs>
                      <w:tab w:val="left" w:pos="1134"/>
                    </w:tabs>
                    <w:jc w:val="both"/>
                    <w:rPr>
                      <w:sz w:val="21"/>
                      <w:szCs w:val="21"/>
                    </w:rPr>
                  </w:pPr>
                </w:p>
                <w:p>
                  <w:pPr>
                    <w:pBdr>
                      <w:top w:val="single" w:sz="4" w:space="9" w:color="auto"/>
                      <w:left w:val="single" w:sz="4" w:space="0" w:color="auto"/>
                      <w:bottom w:val="single" w:sz="4" w:space="1" w:color="auto"/>
                      <w:right w:val="single" w:sz="4" w:space="1" w:color="auto"/>
                    </w:pBdr>
                    <w:tabs>
                      <w:tab w:val="left" w:pos="1134"/>
                    </w:tabs>
                    <w:jc w:val="both"/>
                    <w:rPr>
                      <w:sz w:val="21"/>
                      <w:szCs w:val="21"/>
                    </w:rPr>
                  </w:pPr>
                  <w:r>
                    <w:rPr>
                      <w:sz w:val="21"/>
                      <w:szCs w:val="21"/>
                    </w:rPr>
                    <w:t>Je déclare sur l’honneur que l’ensemble des partenaires a signé la 3</w:t>
                  </w:r>
                  <w:r>
                    <w:rPr>
                      <w:sz w:val="21"/>
                      <w:szCs w:val="21"/>
                      <w:vertAlign w:val="superscript"/>
                    </w:rPr>
                    <w:t>ème</w:t>
                  </w:r>
                  <w:r>
                    <w:rPr>
                      <w:sz w:val="21"/>
                      <w:szCs w:val="21"/>
                    </w:rPr>
                    <w:t xml:space="preserve"> page du protocole d’intégration (annexe 2). L’original de ce dernier est conservé dans l’établissement d’enseignement spécialisé à disposition du vérificateur de la population scolaire.</w:t>
                  </w:r>
                </w:p>
                <w:p>
                  <w:pPr>
                    <w:tabs>
                      <w:tab w:val="left" w:pos="1134"/>
                    </w:tabs>
                    <w:jc w:val="center"/>
                    <w:rPr>
                      <w:b/>
                    </w:rPr>
                  </w:pPr>
                </w:p>
                <w:tbl>
                  <w:tblPr>
                    <w:tblpPr w:leftFromText="141" w:rightFromText="141" w:vertAnchor="text" w:horzAnchor="margin" w:tblpX="-44" w:tblpY="19"/>
                    <w:tblW w:w="9493" w:type="dxa"/>
                    <w:tblLayout w:type="fixed"/>
                    <w:tblLook w:val="0000" w:firstRow="0" w:lastRow="0" w:firstColumn="0" w:lastColumn="0" w:noHBand="0" w:noVBand="0"/>
                  </w:tblPr>
                  <w:tblGrid>
                    <w:gridCol w:w="1536"/>
                    <w:gridCol w:w="2700"/>
                    <w:gridCol w:w="2828"/>
                    <w:gridCol w:w="2429"/>
                  </w:tblGrid>
                  <w:tr>
                    <w:tc>
                      <w:tcPr>
                        <w:tcW w:w="1536" w:type="dxa"/>
                        <w:tcBorders>
                          <w:top w:val="single" w:sz="4" w:space="0" w:color="000000"/>
                          <w:left w:val="single" w:sz="4" w:space="0" w:color="000000"/>
                          <w:bottom w:val="single" w:sz="4" w:space="0" w:color="000000"/>
                        </w:tcBorders>
                      </w:tcPr>
                      <w:p>
                        <w:pPr>
                          <w:tabs>
                            <w:tab w:val="left" w:pos="1134"/>
                          </w:tabs>
                          <w:snapToGrid w:val="0"/>
                          <w:jc w:val="center"/>
                        </w:pPr>
                        <w:r>
                          <w:t>Date</w:t>
                        </w:r>
                      </w:p>
                    </w:tc>
                    <w:tc>
                      <w:tcPr>
                        <w:tcW w:w="2700" w:type="dxa"/>
                        <w:tcBorders>
                          <w:top w:val="single" w:sz="4" w:space="0" w:color="000000"/>
                          <w:left w:val="single" w:sz="4" w:space="0" w:color="000000"/>
                          <w:bottom w:val="single" w:sz="4" w:space="0" w:color="000000"/>
                        </w:tcBorders>
                      </w:tcPr>
                      <w:p>
                        <w:pPr>
                          <w:tabs>
                            <w:tab w:val="left" w:pos="1134"/>
                          </w:tabs>
                          <w:snapToGrid w:val="0"/>
                          <w:jc w:val="center"/>
                        </w:pPr>
                        <w:r>
                          <w:t>Nom du signataire</w:t>
                        </w:r>
                      </w:p>
                    </w:tc>
                    <w:tc>
                      <w:tcPr>
                        <w:tcW w:w="2828" w:type="dxa"/>
                        <w:tcBorders>
                          <w:top w:val="single" w:sz="4" w:space="0" w:color="000000"/>
                          <w:left w:val="single" w:sz="4" w:space="0" w:color="000000"/>
                          <w:bottom w:val="single" w:sz="4" w:space="0" w:color="000000"/>
                        </w:tcBorders>
                      </w:tcPr>
                      <w:p>
                        <w:pPr>
                          <w:tabs>
                            <w:tab w:val="left" w:pos="1134"/>
                          </w:tabs>
                          <w:snapToGrid w:val="0"/>
                          <w:jc w:val="center"/>
                        </w:pPr>
                        <w:r>
                          <w:t>Qualité du signataire</w:t>
                        </w:r>
                      </w:p>
                    </w:tc>
                    <w:tc>
                      <w:tcPr>
                        <w:tcW w:w="2429"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center"/>
                        </w:pPr>
                        <w:r>
                          <w:t>Signature</w:t>
                        </w:r>
                      </w:p>
                    </w:tc>
                  </w:tr>
                  <w:tr>
                    <w:tc>
                      <w:tcPr>
                        <w:tcW w:w="1536" w:type="dxa"/>
                        <w:tcBorders>
                          <w:top w:val="single" w:sz="4" w:space="0" w:color="000000"/>
                          <w:left w:val="single" w:sz="4" w:space="0" w:color="000000"/>
                          <w:bottom w:val="single" w:sz="4" w:space="0" w:color="000000"/>
                        </w:tcBorders>
                      </w:tcPr>
                      <w:p>
                        <w:pPr>
                          <w:tabs>
                            <w:tab w:val="left" w:pos="1134"/>
                          </w:tabs>
                          <w:snapToGrid w:val="0"/>
                        </w:pPr>
                      </w:p>
                      <w:p>
                        <w:pPr>
                          <w:tabs>
                            <w:tab w:val="left" w:pos="1134"/>
                          </w:tabs>
                          <w:snapToGrid w:val="0"/>
                        </w:pPr>
                      </w:p>
                    </w:tc>
                    <w:tc>
                      <w:tcPr>
                        <w:tcW w:w="2700" w:type="dxa"/>
                        <w:tcBorders>
                          <w:top w:val="single" w:sz="4" w:space="0" w:color="000000"/>
                          <w:left w:val="single" w:sz="4" w:space="0" w:color="000000"/>
                          <w:bottom w:val="single" w:sz="4" w:space="0" w:color="000000"/>
                        </w:tcBorders>
                      </w:tcPr>
                      <w:p>
                        <w:pPr>
                          <w:tabs>
                            <w:tab w:val="left" w:pos="1134"/>
                          </w:tabs>
                          <w:snapToGrid w:val="0"/>
                        </w:pPr>
                      </w:p>
                      <w:p>
                        <w:pPr>
                          <w:tabs>
                            <w:tab w:val="left" w:pos="1134"/>
                          </w:tabs>
                          <w:snapToGrid w:val="0"/>
                        </w:pPr>
                      </w:p>
                    </w:tc>
                    <w:tc>
                      <w:tcPr>
                        <w:tcW w:w="2828" w:type="dxa"/>
                        <w:tcBorders>
                          <w:top w:val="single" w:sz="4" w:space="0" w:color="000000"/>
                          <w:left w:val="single" w:sz="4" w:space="0" w:color="000000"/>
                          <w:bottom w:val="single" w:sz="4" w:space="0" w:color="000000"/>
                        </w:tcBorders>
                      </w:tcPr>
                      <w:p>
                        <w:pPr>
                          <w:tabs>
                            <w:tab w:val="left" w:pos="1134"/>
                          </w:tabs>
                          <w:snapToGrid w:val="0"/>
                        </w:pPr>
                      </w:p>
                    </w:tc>
                    <w:tc>
                      <w:tcPr>
                        <w:tcW w:w="2429" w:type="dxa"/>
                        <w:tcBorders>
                          <w:top w:val="single" w:sz="4" w:space="0" w:color="000000"/>
                          <w:left w:val="single" w:sz="4" w:space="0" w:color="000000"/>
                          <w:bottom w:val="single" w:sz="4" w:space="0" w:color="000000"/>
                          <w:right w:val="single" w:sz="4" w:space="0" w:color="000000"/>
                        </w:tcBorders>
                      </w:tcPr>
                      <w:p>
                        <w:pPr>
                          <w:tabs>
                            <w:tab w:val="left" w:pos="1134"/>
                          </w:tabs>
                          <w:snapToGrid w:val="0"/>
                        </w:pPr>
                      </w:p>
                      <w:p>
                        <w:pPr>
                          <w:tabs>
                            <w:tab w:val="left" w:pos="1134"/>
                          </w:tabs>
                        </w:pPr>
                      </w:p>
                    </w:tc>
                  </w:tr>
                </w:tbl>
                <w:p>
                  <w:pPr>
                    <w:rPr>
                      <w:b/>
                      <w:u w:val="single"/>
                    </w:rPr>
                  </w:pPr>
                  <w:bookmarkStart w:id="2967" w:name="_Annexe_6b_:"/>
                  <w:bookmarkStart w:id="2968" w:name="_Toc453314461"/>
                  <w:bookmarkStart w:id="2969" w:name="_Toc454980496"/>
                  <w:bookmarkEnd w:id="2967"/>
                </w:p>
                <w:p>
                  <w:pPr>
                    <w:rPr>
                      <w:b/>
                      <w:u w:val="single"/>
                    </w:rPr>
                  </w:pPr>
                </w:p>
                <w:p>
                  <w:pPr>
                    <w:pStyle w:val="Titre4"/>
                  </w:pPr>
                  <w:r>
                    <w:t xml:space="preserve">Annexe 6b : Demande de dérogation « GRANDE DISTANCE » (Intégrations autres que </w:t>
                  </w:r>
                  <w:bookmarkEnd w:id="2968"/>
                  <w:bookmarkEnd w:id="2969"/>
                  <w:r>
                    <w:t>permanentes totales)</w:t>
                  </w:r>
                </w:p>
                <w:p/>
                <w:p>
                  <w:pPr>
                    <w:pStyle w:val="Corpsdetexte"/>
                  </w:pPr>
                  <w:r>
                    <w:rPr>
                      <w:b/>
                    </w:rPr>
                    <w:t>Toutes nouvelles demandes de dérogation  DOIVENT être introduites via le « formulaire électronique intégration »</w:t>
                  </w:r>
                  <w:r>
                    <w:t xml:space="preserve"> à l’adresse suivante : </w:t>
                  </w:r>
                  <w:hyperlink r:id="rId193" w:history="1">
                    <w:r>
                      <w:rPr>
                        <w:rStyle w:val="Lienhypertexte"/>
                        <w:rFonts w:cs="Arial"/>
                      </w:rPr>
                      <w:t>http:/www.am.cfwb.be/</w:t>
                    </w:r>
                  </w:hyperlink>
                  <w:r>
                    <w:t xml:space="preserve"> , </w:t>
                  </w:r>
                </w:p>
                <w:p>
                  <w:pPr>
                    <w:pStyle w:val="Corpsdetexte"/>
                  </w:pPr>
                </w:p>
                <w:p>
                  <w:pPr>
                    <w:pStyle w:val="Corpsdetexte"/>
                  </w:pPr>
                  <w:r>
                    <w:rPr>
                      <w:b/>
                    </w:rPr>
                    <w:t>Si ce ne sont pas de nouvelles demandes d’intégration, il convient de</w:t>
                  </w:r>
                  <w:r>
                    <w:t xml:space="preserve"> renvoyer l’annexe via l’adresse mail générique : </w:t>
                  </w:r>
                  <w:r>
                    <w:rPr>
                      <w:color w:val="0000FF"/>
                    </w:rPr>
                    <w:t xml:space="preserve">integration_specialise@cfwb.be </w:t>
                  </w:r>
                </w:p>
                <w:p/>
                <w:p>
                  <w:pPr>
                    <w:pBdr>
                      <w:top w:val="single" w:sz="4" w:space="1" w:color="000000"/>
                      <w:left w:val="single" w:sz="4" w:space="4" w:color="000000"/>
                      <w:bottom w:val="single" w:sz="4" w:space="0" w:color="000000"/>
                      <w:right w:val="single" w:sz="4" w:space="12" w:color="000000"/>
                    </w:pBdr>
                    <w:shd w:val="clear" w:color="auto" w:fill="E6E6E6"/>
                    <w:rPr>
                      <w:b/>
                    </w:rPr>
                  </w:pPr>
                  <w:r>
                    <w:rPr>
                      <w:b/>
                    </w:rPr>
                    <w:t>Attention : le document doit être dûment complété pour que le dossier soit analysé par le Conseil général. S’il s’agit de la première intégration de l’élève, la première page du protocole d’intégration doit être jointe à cette demande.</w:t>
                  </w:r>
                </w:p>
                <w:p>
                  <w:pPr>
                    <w:tabs>
                      <w:tab w:val="left" w:pos="1134"/>
                    </w:tabs>
                  </w:pPr>
                </w:p>
                <w:p>
                  <w:pPr>
                    <w:tabs>
                      <w:tab w:val="left" w:pos="1134"/>
                    </w:tabs>
                  </w:pPr>
                  <w:r>
                    <w:rPr>
                      <w:b/>
                    </w:rPr>
                    <w:t xml:space="preserve">Année scolaire : </w:t>
                  </w:r>
                </w:p>
                <w:p>
                  <w:pPr>
                    <w:pBdr>
                      <w:top w:val="single" w:sz="4" w:space="1" w:color="000000"/>
                      <w:left w:val="single" w:sz="4" w:space="4" w:color="000000"/>
                      <w:bottom w:val="single" w:sz="4" w:space="0" w:color="000000"/>
                      <w:right w:val="single" w:sz="4" w:space="0" w:color="000000"/>
                    </w:pBdr>
                    <w:tabs>
                      <w:tab w:val="left" w:pos="1134"/>
                    </w:tabs>
                    <w:rPr>
                      <w:u w:val="single"/>
                    </w:rPr>
                  </w:pPr>
                  <w:r>
                    <w:rPr>
                      <w:u w:val="single"/>
                    </w:rPr>
                    <w:t>Élève concerné(e) :</w:t>
                  </w:r>
                </w:p>
                <w:p>
                  <w:pPr>
                    <w:pBdr>
                      <w:top w:val="single" w:sz="4" w:space="1" w:color="000000"/>
                      <w:left w:val="single" w:sz="4" w:space="4" w:color="000000"/>
                      <w:bottom w:val="single" w:sz="4" w:space="0" w:color="000000"/>
                      <w:right w:val="single" w:sz="4" w:space="0" w:color="000000"/>
                    </w:pBdr>
                    <w:tabs>
                      <w:tab w:val="left" w:pos="1134"/>
                    </w:tabs>
                  </w:pPr>
                  <w:r>
                    <w:t>NOM :</w:t>
                  </w:r>
                  <w:r>
                    <w:tab/>
                  </w:r>
                  <w:r>
                    <w:tab/>
                  </w:r>
                  <w:r>
                    <w:tab/>
                  </w:r>
                  <w:r>
                    <w:tab/>
                  </w:r>
                  <w:r>
                    <w:tab/>
                  </w:r>
                  <w:r>
                    <w:tab/>
                  </w:r>
                  <w:r>
                    <w:tab/>
                  </w:r>
                  <w:r>
                    <w:tab/>
                    <w:t>Prénom :</w:t>
                  </w:r>
                </w:p>
                <w:p>
                  <w:pPr>
                    <w:pBdr>
                      <w:top w:val="single" w:sz="4" w:space="1" w:color="000000"/>
                      <w:left w:val="single" w:sz="4" w:space="4" w:color="000000"/>
                      <w:bottom w:val="single" w:sz="4" w:space="0" w:color="000000"/>
                      <w:right w:val="single" w:sz="4" w:space="0" w:color="000000"/>
                    </w:pBdr>
                    <w:tabs>
                      <w:tab w:val="left" w:pos="1134"/>
                    </w:tabs>
                  </w:pPr>
                  <w:r>
                    <w:t>Date de naissance :</w:t>
                  </w:r>
                  <w:r>
                    <w:tab/>
                  </w:r>
                  <w:r>
                    <w:tab/>
                  </w:r>
                  <w:r>
                    <w:tab/>
                  </w:r>
                  <w:r>
                    <w:tab/>
                  </w:r>
                  <w:r>
                    <w:tab/>
                  </w:r>
                  <w:r>
                    <w:tab/>
                    <w:t>Sexe :</w:t>
                  </w:r>
                </w:p>
                <w:p>
                  <w:pPr>
                    <w:pBdr>
                      <w:top w:val="single" w:sz="4" w:space="1" w:color="000000"/>
                      <w:left w:val="single" w:sz="4" w:space="4" w:color="000000"/>
                      <w:bottom w:val="single" w:sz="4" w:space="0" w:color="000000"/>
                      <w:right w:val="single" w:sz="4" w:space="0" w:color="000000"/>
                    </w:pBdr>
                    <w:tabs>
                      <w:tab w:val="left" w:pos="1134"/>
                    </w:tabs>
                  </w:pPr>
                  <w:r>
                    <w:t xml:space="preserve">Type d’enseignement : </w:t>
                  </w:r>
                  <w:r>
                    <w:tab/>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1 </w:t>
                  </w:r>
                  <w:r>
                    <w:tab/>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2 </w:t>
                  </w:r>
                  <w:r>
                    <w:tab/>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3 </w:t>
                  </w:r>
                  <w:r>
                    <w:tab/>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4 </w:t>
                  </w:r>
                  <w:r>
                    <w:tab/>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5 </w:t>
                  </w:r>
                  <w:r>
                    <w:tab/>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6</w:t>
                  </w:r>
                  <w:r>
                    <w:tab/>
                    <w:t xml:space="preserve">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7 </w:t>
                  </w:r>
                  <w:r>
                    <w:tab/>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8 </w:t>
                  </w:r>
                </w:p>
                <w:p>
                  <w:pPr>
                    <w:pBdr>
                      <w:top w:val="single" w:sz="4" w:space="1" w:color="000000"/>
                      <w:left w:val="single" w:sz="4" w:space="4" w:color="000000"/>
                      <w:bottom w:val="single" w:sz="4" w:space="0" w:color="000000"/>
                      <w:right w:val="single" w:sz="4" w:space="0" w:color="000000"/>
                    </w:pBdr>
                    <w:tabs>
                      <w:tab w:val="left" w:pos="1134"/>
                    </w:tabs>
                  </w:pPr>
                  <w:r>
                    <w:t xml:space="preserve">Type d’intégration :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Temporaire partielle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temporaire totale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permanente partielle</w:t>
                  </w:r>
                </w:p>
                <w:p>
                  <w:pPr>
                    <w:pStyle w:val="Corpsdetexte"/>
                  </w:pPr>
                </w:p>
                <w:p>
                  <w:pPr>
                    <w:rPr>
                      <w:lang w:eastAsia="ar-SA"/>
                    </w:rPr>
                  </w:pPr>
                </w:p>
                <w:tbl>
                  <w:tblPr>
                    <w:tblpPr w:leftFromText="141" w:rightFromText="141" w:vertAnchor="text" w:horzAnchor="margin" w:tblpY="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47"/>
                    <w:gridCol w:w="2212"/>
                    <w:gridCol w:w="2347"/>
                    <w:gridCol w:w="2212"/>
                  </w:tblGrid>
                  <w:tr>
                    <w:tc>
                      <w:tcPr>
                        <w:tcW w:w="4559" w:type="dxa"/>
                        <w:gridSpan w:val="2"/>
                      </w:tcPr>
                      <w:p>
                        <w:pPr>
                          <w:pStyle w:val="Corpsdetexte"/>
                        </w:pPr>
                        <w:r>
                          <w:t xml:space="preserve">Etablissement d’enseignement </w:t>
                        </w:r>
                        <w:r>
                          <w:rPr>
                            <w:color w:val="FF0000"/>
                          </w:rPr>
                          <w:t xml:space="preserve">spécialisé </w:t>
                        </w:r>
                        <w:r>
                          <w:t>concerné</w:t>
                        </w:r>
                      </w:p>
                    </w:tc>
                    <w:tc>
                      <w:tcPr>
                        <w:tcW w:w="4559" w:type="dxa"/>
                        <w:gridSpan w:val="2"/>
                      </w:tcPr>
                      <w:p>
                        <w:pPr>
                          <w:pStyle w:val="Corpsdetexte"/>
                        </w:pPr>
                        <w:r>
                          <w:t xml:space="preserve">Etablissement d’enseignement </w:t>
                        </w:r>
                        <w:r>
                          <w:rPr>
                            <w:color w:val="FF0000"/>
                          </w:rPr>
                          <w:t xml:space="preserve">ordinaire </w:t>
                        </w:r>
                        <w:r>
                          <w:t>concerné</w:t>
                        </w:r>
                      </w:p>
                    </w:tc>
                  </w:tr>
                  <w:tr>
                    <w:tc>
                      <w:tcPr>
                        <w:tcW w:w="2347" w:type="dxa"/>
                      </w:tcPr>
                      <w:p>
                        <w:pPr>
                          <w:pStyle w:val="Corpsdetexte"/>
                        </w:pPr>
                        <w:r>
                          <w:t>Dénomination</w:t>
                        </w:r>
                      </w:p>
                    </w:tc>
                    <w:tc>
                      <w:tcPr>
                        <w:tcW w:w="2212" w:type="dxa"/>
                      </w:tcPr>
                      <w:p>
                        <w:pPr>
                          <w:pStyle w:val="Corpsdetexte"/>
                        </w:pPr>
                      </w:p>
                      <w:p>
                        <w:pPr>
                          <w:pStyle w:val="Corpsdetexte"/>
                        </w:pPr>
                      </w:p>
                    </w:tc>
                    <w:tc>
                      <w:tcPr>
                        <w:tcW w:w="2347" w:type="dxa"/>
                      </w:tcPr>
                      <w:p>
                        <w:pPr>
                          <w:pStyle w:val="Corpsdetexte"/>
                        </w:pPr>
                        <w:r>
                          <w:t>Dénomination</w:t>
                        </w:r>
                      </w:p>
                    </w:tc>
                    <w:tc>
                      <w:tcPr>
                        <w:tcW w:w="2212" w:type="dxa"/>
                      </w:tcPr>
                      <w:p>
                        <w:pPr>
                          <w:pStyle w:val="Corpsdetexte"/>
                        </w:pPr>
                      </w:p>
                    </w:tc>
                  </w:tr>
                  <w:tr>
                    <w:tc>
                      <w:tcPr>
                        <w:tcW w:w="2347" w:type="dxa"/>
                      </w:tcPr>
                      <w:p>
                        <w:pPr>
                          <w:pStyle w:val="Corpsdetexte"/>
                        </w:pPr>
                        <w:r>
                          <w:t>N°FASE</w:t>
                        </w:r>
                      </w:p>
                      <w:p>
                        <w:pPr>
                          <w:pStyle w:val="Corpsdetexte"/>
                        </w:pPr>
                        <w:r>
                          <w:t>(bâtiment principal):</w:t>
                        </w:r>
                      </w:p>
                    </w:tc>
                    <w:tc>
                      <w:tcPr>
                        <w:tcW w:w="2212" w:type="dxa"/>
                      </w:tcPr>
                      <w:p>
                        <w:pPr>
                          <w:pStyle w:val="Corpsdetexte"/>
                        </w:pPr>
                      </w:p>
                    </w:tc>
                    <w:tc>
                      <w:tcPr>
                        <w:tcW w:w="2347" w:type="dxa"/>
                      </w:tcPr>
                      <w:p>
                        <w:pPr>
                          <w:pStyle w:val="Corpsdetexte"/>
                        </w:pPr>
                        <w:r>
                          <w:t>N°FASE</w:t>
                        </w:r>
                      </w:p>
                      <w:p>
                        <w:pPr>
                          <w:pStyle w:val="Corpsdetexte"/>
                        </w:pPr>
                        <w:r>
                          <w:t>(bâtiment principal):</w:t>
                        </w:r>
                      </w:p>
                    </w:tc>
                    <w:tc>
                      <w:tcPr>
                        <w:tcW w:w="2212" w:type="dxa"/>
                      </w:tcPr>
                      <w:p>
                        <w:pPr>
                          <w:pStyle w:val="Corpsdetexte"/>
                        </w:pPr>
                      </w:p>
                    </w:tc>
                  </w:tr>
                  <w:tr>
                    <w:tc>
                      <w:tcPr>
                        <w:tcW w:w="2347" w:type="dxa"/>
                      </w:tcPr>
                      <w:p>
                        <w:pPr>
                          <w:pStyle w:val="Corpsdetexte"/>
                        </w:pPr>
                        <w:r>
                          <w:t>N° FASE (implantation)</w:t>
                        </w:r>
                      </w:p>
                    </w:tc>
                    <w:tc>
                      <w:tcPr>
                        <w:tcW w:w="2212" w:type="dxa"/>
                      </w:tcPr>
                      <w:p>
                        <w:pPr>
                          <w:pStyle w:val="Corpsdetexte"/>
                        </w:pPr>
                      </w:p>
                    </w:tc>
                    <w:tc>
                      <w:tcPr>
                        <w:tcW w:w="2347" w:type="dxa"/>
                      </w:tcPr>
                      <w:p>
                        <w:pPr>
                          <w:pStyle w:val="Corpsdetexte"/>
                        </w:pPr>
                        <w:r>
                          <w:t>N° FASE (implantation)</w:t>
                        </w:r>
                      </w:p>
                    </w:tc>
                    <w:tc>
                      <w:tcPr>
                        <w:tcW w:w="2212" w:type="dxa"/>
                      </w:tcPr>
                      <w:p>
                        <w:pPr>
                          <w:pStyle w:val="Corpsdetexte"/>
                        </w:pPr>
                      </w:p>
                    </w:tc>
                  </w:tr>
                  <w:tr>
                    <w:tc>
                      <w:tcPr>
                        <w:tcW w:w="2347" w:type="dxa"/>
                      </w:tcPr>
                      <w:p>
                        <w:pPr>
                          <w:pStyle w:val="Corpsdetexte"/>
                        </w:pPr>
                        <w:r>
                          <w:t>Adresse</w:t>
                        </w:r>
                      </w:p>
                    </w:tc>
                    <w:tc>
                      <w:tcPr>
                        <w:tcW w:w="2212" w:type="dxa"/>
                      </w:tcPr>
                      <w:p>
                        <w:pPr>
                          <w:pStyle w:val="Corpsdetexte"/>
                        </w:pPr>
                      </w:p>
                    </w:tc>
                    <w:tc>
                      <w:tcPr>
                        <w:tcW w:w="2347" w:type="dxa"/>
                      </w:tcPr>
                      <w:p>
                        <w:pPr>
                          <w:pStyle w:val="Corpsdetexte"/>
                        </w:pPr>
                        <w:r>
                          <w:t>Adresse</w:t>
                        </w:r>
                      </w:p>
                    </w:tc>
                    <w:tc>
                      <w:tcPr>
                        <w:tcW w:w="2212" w:type="dxa"/>
                      </w:tcPr>
                      <w:p>
                        <w:pPr>
                          <w:pStyle w:val="Corpsdetexte"/>
                        </w:pPr>
                      </w:p>
                    </w:tc>
                  </w:tr>
                  <w:tr>
                    <w:tc>
                      <w:tcPr>
                        <w:tcW w:w="2347" w:type="dxa"/>
                      </w:tcPr>
                      <w:p>
                        <w:pPr>
                          <w:pStyle w:val="Corpsdetexte"/>
                        </w:pPr>
                        <w:r>
                          <w:t>CP</w:t>
                        </w:r>
                      </w:p>
                    </w:tc>
                    <w:tc>
                      <w:tcPr>
                        <w:tcW w:w="2212" w:type="dxa"/>
                      </w:tcPr>
                      <w:p>
                        <w:pPr>
                          <w:pStyle w:val="Corpsdetexte"/>
                        </w:pPr>
                      </w:p>
                    </w:tc>
                    <w:tc>
                      <w:tcPr>
                        <w:tcW w:w="2347" w:type="dxa"/>
                      </w:tcPr>
                      <w:p>
                        <w:pPr>
                          <w:pStyle w:val="Corpsdetexte"/>
                        </w:pPr>
                        <w:r>
                          <w:t>CP</w:t>
                        </w:r>
                      </w:p>
                    </w:tc>
                    <w:tc>
                      <w:tcPr>
                        <w:tcW w:w="2212" w:type="dxa"/>
                      </w:tcPr>
                      <w:p>
                        <w:pPr>
                          <w:pStyle w:val="Corpsdetexte"/>
                        </w:pPr>
                      </w:p>
                    </w:tc>
                  </w:tr>
                  <w:tr>
                    <w:tc>
                      <w:tcPr>
                        <w:tcW w:w="2347" w:type="dxa"/>
                      </w:tcPr>
                      <w:p>
                        <w:pPr>
                          <w:pStyle w:val="Corpsdetexte"/>
                        </w:pPr>
                        <w:r>
                          <w:t>LOCALITE</w:t>
                        </w:r>
                      </w:p>
                    </w:tc>
                    <w:tc>
                      <w:tcPr>
                        <w:tcW w:w="2212" w:type="dxa"/>
                      </w:tcPr>
                      <w:p>
                        <w:pPr>
                          <w:pStyle w:val="Corpsdetexte"/>
                        </w:pPr>
                      </w:p>
                    </w:tc>
                    <w:tc>
                      <w:tcPr>
                        <w:tcW w:w="2347" w:type="dxa"/>
                      </w:tcPr>
                      <w:p>
                        <w:pPr>
                          <w:pStyle w:val="Corpsdetexte"/>
                        </w:pPr>
                        <w:r>
                          <w:t>LOCALITE</w:t>
                        </w:r>
                      </w:p>
                    </w:tc>
                    <w:tc>
                      <w:tcPr>
                        <w:tcW w:w="2212" w:type="dxa"/>
                      </w:tcPr>
                      <w:p>
                        <w:pPr>
                          <w:pStyle w:val="Corpsdetexte"/>
                        </w:pPr>
                      </w:p>
                    </w:tc>
                  </w:tr>
                  <w:tr>
                    <w:tc>
                      <w:tcPr>
                        <w:tcW w:w="9118" w:type="dxa"/>
                        <w:gridSpan w:val="4"/>
                      </w:tcPr>
                      <w:p>
                        <w:pPr>
                          <w:pStyle w:val="Corpsdetexte"/>
                        </w:pPr>
                      </w:p>
                      <w:p>
                        <w:pPr>
                          <w:pStyle w:val="Corpsdetexte"/>
                        </w:pPr>
                        <w:r>
                          <w:t>Distance en km entre les 2 établissements :</w:t>
                        </w:r>
                      </w:p>
                    </w:tc>
                  </w:tr>
                </w:tbl>
                <w:p>
                  <w:pPr>
                    <w:rPr>
                      <w:lang w:eastAsia="ar-SA"/>
                    </w:rPr>
                  </w:pPr>
                </w:p>
                <w:p>
                  <w:pPr>
                    <w:pBdr>
                      <w:top w:val="single" w:sz="4" w:space="1" w:color="auto"/>
                      <w:left w:val="single" w:sz="4" w:space="4" w:color="auto"/>
                      <w:bottom w:val="single" w:sz="4" w:space="1" w:color="auto"/>
                      <w:right w:val="single" w:sz="4" w:space="4" w:color="auto"/>
                    </w:pBdr>
                    <w:tabs>
                      <w:tab w:val="left" w:pos="1134"/>
                    </w:tabs>
                    <w:jc w:val="both"/>
                    <w:rPr>
                      <w:b/>
                      <w:u w:val="single"/>
                    </w:rPr>
                  </w:pPr>
                  <w:r>
                    <w:rPr>
                      <w:b/>
                      <w:u w:val="single"/>
                    </w:rPr>
                    <w:t>Déclaration sur l’honneur</w:t>
                  </w:r>
                </w:p>
                <w:p>
                  <w:pPr>
                    <w:pBdr>
                      <w:top w:val="single" w:sz="4" w:space="1" w:color="auto"/>
                      <w:left w:val="single" w:sz="4" w:space="4" w:color="auto"/>
                      <w:bottom w:val="single" w:sz="4" w:space="1" w:color="auto"/>
                      <w:right w:val="single" w:sz="4" w:space="4" w:color="auto"/>
                    </w:pBdr>
                    <w:tabs>
                      <w:tab w:val="left" w:pos="1134"/>
                    </w:tabs>
                    <w:jc w:val="both"/>
                  </w:pPr>
                </w:p>
                <w:p>
                  <w:pPr>
                    <w:pBdr>
                      <w:top w:val="single" w:sz="4" w:space="1" w:color="auto"/>
                      <w:left w:val="single" w:sz="4" w:space="4" w:color="auto"/>
                      <w:bottom w:val="single" w:sz="4" w:space="1" w:color="auto"/>
                      <w:right w:val="single" w:sz="4" w:space="4" w:color="auto"/>
                    </w:pBdr>
                    <w:jc w:val="both"/>
                  </w:pPr>
                  <w:r>
                    <w:t>Par la présente, ..............................................................., directeur(trice) de l’école d’enseignement spécialisé organisé par la Fédération Wallonie Bruxelles ou représentant(e) du pouvoir organisateur dans l’enseignement spécialisé subventionné, atteste que :</w:t>
                  </w:r>
                </w:p>
                <w:p>
                  <w:pPr>
                    <w:pBdr>
                      <w:top w:val="single" w:sz="4" w:space="1" w:color="auto"/>
                      <w:left w:val="single" w:sz="4" w:space="4" w:color="auto"/>
                      <w:bottom w:val="single" w:sz="4" w:space="1" w:color="auto"/>
                      <w:right w:val="single" w:sz="4" w:space="4" w:color="auto"/>
                    </w:pBdr>
                    <w:jc w:val="both"/>
                  </w:pPr>
                </w:p>
                <w:p>
                  <w:pPr>
                    <w:numPr>
                      <w:ilvl w:val="0"/>
                      <w:numId w:val="203"/>
                    </w:numPr>
                    <w:pBdr>
                      <w:top w:val="single" w:sz="4" w:space="1" w:color="auto"/>
                      <w:left w:val="single" w:sz="4" w:space="4" w:color="auto"/>
                      <w:bottom w:val="single" w:sz="4" w:space="1" w:color="auto"/>
                      <w:right w:val="single" w:sz="4" w:space="4" w:color="auto"/>
                    </w:pBdr>
                    <w:tabs>
                      <w:tab w:val="left" w:pos="567"/>
                    </w:tabs>
                    <w:suppressAutoHyphens/>
                    <w:ind w:left="0" w:firstLine="0"/>
                    <w:jc w:val="both"/>
                    <w:rPr>
                      <w:shd w:val="clear" w:color="auto" w:fill="FFFF00"/>
                      <w:lang w:val="fr-FR" w:eastAsia="fr-FR"/>
                    </w:rPr>
                  </w:pPr>
                  <w:r>
                    <w:rPr>
                      <w:lang w:val="fr-FR" w:eastAsia="fr-FR"/>
                    </w:rPr>
                    <w:t>l’élève sera intégré à partir de la date prévue sur le protocole d’intégration.  Dans le cas contraire, l’information sera transmise à l’Administration.</w:t>
                  </w:r>
                </w:p>
                <w:p>
                  <w:pPr>
                    <w:numPr>
                      <w:ilvl w:val="0"/>
                      <w:numId w:val="203"/>
                    </w:numPr>
                    <w:pBdr>
                      <w:top w:val="single" w:sz="4" w:space="1" w:color="auto"/>
                      <w:left w:val="single" w:sz="4" w:space="4" w:color="auto"/>
                      <w:bottom w:val="single" w:sz="4" w:space="1" w:color="auto"/>
                      <w:right w:val="single" w:sz="4" w:space="4" w:color="auto"/>
                    </w:pBdr>
                    <w:tabs>
                      <w:tab w:val="left" w:pos="567"/>
                      <w:tab w:val="left" w:pos="709"/>
                    </w:tabs>
                    <w:suppressAutoHyphens/>
                    <w:ind w:left="0" w:firstLine="0"/>
                    <w:jc w:val="both"/>
                    <w:rPr>
                      <w:shd w:val="clear" w:color="auto" w:fill="FFFF00"/>
                      <w:lang w:val="fr-FR" w:eastAsia="fr-FR"/>
                    </w:rPr>
                  </w:pPr>
                  <w:r>
                    <w:t xml:space="preserve">les informations ci-dessus sont complètes et conformes à la réalité. </w:t>
                  </w:r>
                </w:p>
                <w:p>
                  <w:pPr>
                    <w:pBdr>
                      <w:top w:val="single" w:sz="4" w:space="1" w:color="auto"/>
                      <w:left w:val="single" w:sz="4" w:space="4" w:color="auto"/>
                      <w:bottom w:val="single" w:sz="4" w:space="1" w:color="auto"/>
                      <w:right w:val="single" w:sz="4" w:space="4" w:color="auto"/>
                    </w:pBdr>
                    <w:tabs>
                      <w:tab w:val="left" w:pos="567"/>
                      <w:tab w:val="left" w:pos="709"/>
                    </w:tabs>
                    <w:jc w:val="both"/>
                    <w:rPr>
                      <w:shd w:val="clear" w:color="auto" w:fill="FFFF00"/>
                      <w:lang w:val="fr-FR" w:eastAsia="fr-FR"/>
                    </w:rPr>
                  </w:pPr>
                </w:p>
                <w:p>
                  <w:pPr>
                    <w:pBdr>
                      <w:top w:val="single" w:sz="4" w:space="1" w:color="auto"/>
                      <w:left w:val="single" w:sz="4" w:space="4" w:color="auto"/>
                      <w:bottom w:val="single" w:sz="4" w:space="1" w:color="auto"/>
                      <w:right w:val="single" w:sz="4" w:space="4" w:color="auto"/>
                    </w:pBdr>
                    <w:tabs>
                      <w:tab w:val="left" w:pos="1134"/>
                    </w:tabs>
                    <w:jc w:val="both"/>
                  </w:pPr>
                  <w:r>
                    <w:t>Je déclare sur l’honneur que l’ensemble des partenaires a signé la 3</w:t>
                  </w:r>
                  <w:r>
                    <w:rPr>
                      <w:vertAlign w:val="superscript"/>
                    </w:rPr>
                    <w:t>ème</w:t>
                  </w:r>
                  <w:r>
                    <w:t xml:space="preserve"> page du protocole d’intégration (annexe 2). L’original de ce dernier est conservé dans l’établissement d’enseignement spécialisé à disposition du vérificateur de la population scolaire.</w:t>
                  </w:r>
                </w:p>
                <w:tbl>
                  <w:tblPr>
                    <w:tblpPr w:leftFromText="141" w:rightFromText="141" w:vertAnchor="text" w:horzAnchor="margin" w:tblpX="-147" w:tblpY="221"/>
                    <w:tblW w:w="9640" w:type="dxa"/>
                    <w:tblLayout w:type="fixed"/>
                    <w:tblLook w:val="0000" w:firstRow="0" w:lastRow="0" w:firstColumn="0" w:lastColumn="0" w:noHBand="0" w:noVBand="0"/>
                  </w:tblPr>
                  <w:tblGrid>
                    <w:gridCol w:w="1531"/>
                    <w:gridCol w:w="2700"/>
                    <w:gridCol w:w="2828"/>
                    <w:gridCol w:w="2581"/>
                  </w:tblGrid>
                  <w:tr>
                    <w:tc>
                      <w:tcPr>
                        <w:tcW w:w="1531" w:type="dxa"/>
                        <w:tcBorders>
                          <w:top w:val="single" w:sz="4" w:space="0" w:color="000000"/>
                          <w:left w:val="single" w:sz="4" w:space="0" w:color="000000"/>
                          <w:bottom w:val="single" w:sz="4" w:space="0" w:color="000000"/>
                        </w:tcBorders>
                      </w:tcPr>
                      <w:p>
                        <w:pPr>
                          <w:tabs>
                            <w:tab w:val="left" w:pos="1134"/>
                          </w:tabs>
                          <w:snapToGrid w:val="0"/>
                          <w:jc w:val="center"/>
                        </w:pPr>
                        <w:r>
                          <w:t>Date</w:t>
                        </w:r>
                      </w:p>
                    </w:tc>
                    <w:tc>
                      <w:tcPr>
                        <w:tcW w:w="2700" w:type="dxa"/>
                        <w:tcBorders>
                          <w:top w:val="single" w:sz="4" w:space="0" w:color="000000"/>
                          <w:left w:val="single" w:sz="4" w:space="0" w:color="000000"/>
                          <w:bottom w:val="single" w:sz="4" w:space="0" w:color="000000"/>
                        </w:tcBorders>
                      </w:tcPr>
                      <w:p>
                        <w:pPr>
                          <w:tabs>
                            <w:tab w:val="left" w:pos="1134"/>
                          </w:tabs>
                          <w:snapToGrid w:val="0"/>
                          <w:jc w:val="center"/>
                        </w:pPr>
                        <w:r>
                          <w:t>Nom du signataire</w:t>
                        </w:r>
                      </w:p>
                    </w:tc>
                    <w:tc>
                      <w:tcPr>
                        <w:tcW w:w="2828" w:type="dxa"/>
                        <w:tcBorders>
                          <w:top w:val="single" w:sz="4" w:space="0" w:color="000000"/>
                          <w:left w:val="single" w:sz="4" w:space="0" w:color="000000"/>
                          <w:bottom w:val="single" w:sz="4" w:space="0" w:color="000000"/>
                        </w:tcBorders>
                      </w:tcPr>
                      <w:p>
                        <w:pPr>
                          <w:tabs>
                            <w:tab w:val="left" w:pos="1134"/>
                          </w:tabs>
                          <w:snapToGrid w:val="0"/>
                          <w:jc w:val="center"/>
                        </w:pPr>
                        <w:r>
                          <w:t>Qualité du signataire</w:t>
                        </w:r>
                      </w:p>
                    </w:tc>
                    <w:tc>
                      <w:tcPr>
                        <w:tcW w:w="2581"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center"/>
                        </w:pPr>
                        <w:r>
                          <w:t>Signature</w:t>
                        </w:r>
                      </w:p>
                    </w:tc>
                  </w:tr>
                  <w:tr>
                    <w:tc>
                      <w:tcPr>
                        <w:tcW w:w="1531" w:type="dxa"/>
                        <w:tcBorders>
                          <w:top w:val="single" w:sz="4" w:space="0" w:color="000000"/>
                          <w:left w:val="single" w:sz="4" w:space="0" w:color="000000"/>
                          <w:bottom w:val="single" w:sz="4" w:space="0" w:color="000000"/>
                        </w:tcBorders>
                      </w:tcPr>
                      <w:p>
                        <w:pPr>
                          <w:tabs>
                            <w:tab w:val="left" w:pos="1134"/>
                          </w:tabs>
                          <w:snapToGrid w:val="0"/>
                        </w:pPr>
                      </w:p>
                      <w:p>
                        <w:pPr>
                          <w:tabs>
                            <w:tab w:val="left" w:pos="1134"/>
                          </w:tabs>
                          <w:snapToGrid w:val="0"/>
                        </w:pPr>
                      </w:p>
                    </w:tc>
                    <w:tc>
                      <w:tcPr>
                        <w:tcW w:w="2700" w:type="dxa"/>
                        <w:tcBorders>
                          <w:top w:val="single" w:sz="4" w:space="0" w:color="000000"/>
                          <w:left w:val="single" w:sz="4" w:space="0" w:color="000000"/>
                          <w:bottom w:val="single" w:sz="4" w:space="0" w:color="000000"/>
                        </w:tcBorders>
                      </w:tcPr>
                      <w:p>
                        <w:pPr>
                          <w:tabs>
                            <w:tab w:val="left" w:pos="1134"/>
                          </w:tabs>
                          <w:snapToGrid w:val="0"/>
                        </w:pPr>
                      </w:p>
                    </w:tc>
                    <w:tc>
                      <w:tcPr>
                        <w:tcW w:w="2828" w:type="dxa"/>
                        <w:tcBorders>
                          <w:top w:val="single" w:sz="4" w:space="0" w:color="000000"/>
                          <w:left w:val="single" w:sz="4" w:space="0" w:color="000000"/>
                          <w:bottom w:val="single" w:sz="4" w:space="0" w:color="000000"/>
                        </w:tcBorders>
                      </w:tcPr>
                      <w:p>
                        <w:pPr>
                          <w:tabs>
                            <w:tab w:val="left" w:pos="1134"/>
                          </w:tabs>
                          <w:snapToGrid w:val="0"/>
                        </w:pPr>
                      </w:p>
                    </w:tc>
                    <w:tc>
                      <w:tcPr>
                        <w:tcW w:w="2581" w:type="dxa"/>
                        <w:tcBorders>
                          <w:top w:val="single" w:sz="4" w:space="0" w:color="000000"/>
                          <w:left w:val="single" w:sz="4" w:space="0" w:color="000000"/>
                          <w:bottom w:val="single" w:sz="4" w:space="0" w:color="000000"/>
                          <w:right w:val="single" w:sz="4" w:space="0" w:color="000000"/>
                        </w:tcBorders>
                      </w:tcPr>
                      <w:p>
                        <w:pPr>
                          <w:tabs>
                            <w:tab w:val="left" w:pos="1134"/>
                          </w:tabs>
                          <w:snapToGrid w:val="0"/>
                        </w:pPr>
                      </w:p>
                      <w:p>
                        <w:pPr>
                          <w:tabs>
                            <w:tab w:val="left" w:pos="1134"/>
                          </w:tabs>
                        </w:pPr>
                      </w:p>
                    </w:tc>
                  </w:tr>
                </w:tbl>
                <w:p>
                  <w:pPr>
                    <w:tabs>
                      <w:tab w:val="left" w:pos="1134"/>
                    </w:tabs>
                  </w:pPr>
                </w:p>
                <w:p>
                  <w:pPr>
                    <w:rPr>
                      <w:b/>
                      <w:u w:val="single"/>
                    </w:rPr>
                  </w:pPr>
                  <w:bookmarkStart w:id="2970" w:name="_Toc453314462"/>
                  <w:bookmarkStart w:id="2971" w:name="_Toc454980497"/>
                </w:p>
                <w:p>
                  <w:pPr>
                    <w:rPr>
                      <w:b/>
                      <w:u w:val="single"/>
                    </w:rPr>
                  </w:pPr>
                  <w:bookmarkStart w:id="2972" w:name="_Annexe_7_:_1"/>
                  <w:bookmarkStart w:id="2973" w:name="_Ref11406344"/>
                  <w:bookmarkEnd w:id="2972"/>
                  <w:r>
                    <w:br w:type="page"/>
                  </w:r>
                </w:p>
                <w:p>
                  <w:pPr>
                    <w:pStyle w:val="Titre4"/>
                  </w:pPr>
                  <w:r>
                    <w:t>Annexe 7 : Demande de capital-périodes complémentaire</w:t>
                  </w:r>
                  <w:bookmarkEnd w:id="2970"/>
                  <w:bookmarkEnd w:id="2971"/>
                  <w:bookmarkEnd w:id="2973"/>
                </w:p>
                <w:p/>
                <w:p/>
                <w:p>
                  <w:pPr>
                    <w:pStyle w:val="Corpsdetexte"/>
                  </w:pPr>
                  <w:r>
                    <w:t xml:space="preserve">Toutes nouvelles demandes de capital-périodes complémentaires  DOIVENT être introduites via le « formulaire électronique intégration » à l’adresse suivante : </w:t>
                  </w:r>
                  <w:hyperlink r:id="rId194" w:history="1">
                    <w:r>
                      <w:t>http:/www.am.cfwb.be/</w:t>
                    </w:r>
                  </w:hyperlink>
                  <w:r>
                    <w:t xml:space="preserve"> , </w:t>
                  </w:r>
                </w:p>
                <w:p>
                  <w:pPr>
                    <w:pStyle w:val="Corpsdetexte"/>
                  </w:pPr>
                </w:p>
                <w:p>
                  <w:pPr>
                    <w:pStyle w:val="Corpsdetexte"/>
                  </w:pPr>
                  <w:r>
                    <w:rPr>
                      <w:b/>
                    </w:rPr>
                    <w:t>Si ce ne sont pas de nouvelles demandes d’intégration, il convient de</w:t>
                  </w:r>
                  <w:r>
                    <w:t xml:space="preserve"> renvoyer l’annexe via l’adresse mail générique : integration_specialise@cfwb.be </w:t>
                  </w:r>
                </w:p>
                <w:p/>
                <w:p>
                  <w:pPr>
                    <w:pBdr>
                      <w:top w:val="single" w:sz="4" w:space="1" w:color="000000"/>
                      <w:left w:val="single" w:sz="4" w:space="4" w:color="000000"/>
                      <w:bottom w:val="single" w:sz="4" w:space="0" w:color="000000"/>
                      <w:right w:val="single" w:sz="4" w:space="12" w:color="000000"/>
                    </w:pBdr>
                    <w:shd w:val="clear" w:color="auto" w:fill="E6E6E6"/>
                    <w:rPr>
                      <w:b/>
                    </w:rPr>
                  </w:pPr>
                  <w:r>
                    <w:rPr>
                      <w:b/>
                    </w:rPr>
                    <w:t>Attention : le document doit être dûment complété pour que le dossier soit analysé par le Conseil général. S’il s’agit de la première intégration de l’élève, la première page du protocole d’intégration doit être jointe à cette demande.</w:t>
                  </w:r>
                </w:p>
                <w:p>
                  <w:pPr>
                    <w:pStyle w:val="Titre"/>
                    <w:tabs>
                      <w:tab w:val="left" w:pos="1134"/>
                    </w:tabs>
                    <w:rPr>
                      <w:sz w:val="22"/>
                      <w:szCs w:val="22"/>
                    </w:rPr>
                  </w:pPr>
                </w:p>
                <w:p>
                  <w:pPr>
                    <w:tabs>
                      <w:tab w:val="left" w:pos="1134"/>
                    </w:tabs>
                    <w:rPr>
                      <w:b/>
                    </w:rPr>
                  </w:pPr>
                  <w:r>
                    <w:rPr>
                      <w:b/>
                    </w:rPr>
                    <w:t xml:space="preserve">Année scolaire : </w:t>
                  </w:r>
                </w:p>
                <w:p>
                  <w:pPr>
                    <w:pBdr>
                      <w:top w:val="single" w:sz="4" w:space="1" w:color="000000"/>
                      <w:left w:val="single" w:sz="4" w:space="4" w:color="000000"/>
                      <w:bottom w:val="single" w:sz="4" w:space="1" w:color="000000"/>
                      <w:right w:val="single" w:sz="4" w:space="21" w:color="000000"/>
                    </w:pBdr>
                    <w:tabs>
                      <w:tab w:val="left" w:pos="1134"/>
                    </w:tabs>
                    <w:ind w:right="239"/>
                    <w:rPr>
                      <w:u w:val="single"/>
                    </w:rPr>
                  </w:pPr>
                  <w:r>
                    <w:rPr>
                      <w:u w:val="single"/>
                    </w:rPr>
                    <w:t>Élève concerné(e) :</w:t>
                  </w:r>
                </w:p>
                <w:p>
                  <w:pPr>
                    <w:pBdr>
                      <w:top w:val="single" w:sz="4" w:space="1" w:color="000000"/>
                      <w:left w:val="single" w:sz="4" w:space="4" w:color="000000"/>
                      <w:bottom w:val="single" w:sz="4" w:space="1" w:color="000000"/>
                      <w:right w:val="single" w:sz="4" w:space="21" w:color="000000"/>
                    </w:pBdr>
                    <w:tabs>
                      <w:tab w:val="left" w:pos="1134"/>
                    </w:tabs>
                    <w:ind w:right="239"/>
                  </w:pPr>
                  <w:r>
                    <w:t>NOM:</w:t>
                  </w:r>
                  <w:r>
                    <w:tab/>
                  </w:r>
                  <w:r>
                    <w:tab/>
                  </w:r>
                  <w:r>
                    <w:tab/>
                  </w:r>
                  <w:r>
                    <w:tab/>
                  </w:r>
                  <w:r>
                    <w:tab/>
                  </w:r>
                  <w:r>
                    <w:tab/>
                  </w:r>
                  <w:r>
                    <w:tab/>
                    <w:t>Prénom :</w:t>
                  </w:r>
                  <w:r>
                    <w:tab/>
                  </w:r>
                  <w:r>
                    <w:tab/>
                  </w:r>
                  <w:r>
                    <w:tab/>
                  </w:r>
                  <w:r>
                    <w:tab/>
                  </w:r>
                </w:p>
                <w:p>
                  <w:pPr>
                    <w:pBdr>
                      <w:top w:val="single" w:sz="4" w:space="1" w:color="000000"/>
                      <w:left w:val="single" w:sz="4" w:space="4" w:color="000000"/>
                      <w:bottom w:val="single" w:sz="4" w:space="1" w:color="000000"/>
                      <w:right w:val="single" w:sz="4" w:space="21" w:color="000000"/>
                    </w:pBdr>
                    <w:tabs>
                      <w:tab w:val="left" w:pos="1134"/>
                    </w:tabs>
                    <w:ind w:right="239"/>
                  </w:pPr>
                  <w:r>
                    <w:t>Date de naissance :</w:t>
                  </w:r>
                  <w:r>
                    <w:tab/>
                  </w:r>
                  <w:r>
                    <w:tab/>
                  </w:r>
                  <w:r>
                    <w:tab/>
                  </w:r>
                  <w:r>
                    <w:tab/>
                  </w:r>
                  <w:r>
                    <w:tab/>
                    <w:t>Sexe :</w:t>
                  </w:r>
                </w:p>
                <w:p>
                  <w:pPr>
                    <w:tabs>
                      <w:tab w:val="left" w:pos="1134"/>
                    </w:tabs>
                  </w:pPr>
                </w:p>
                <w:tbl>
                  <w:tblPr>
                    <w:tblpPr w:leftFromText="141" w:rightFromText="141" w:vertAnchor="page" w:horzAnchor="margin" w:tblpY="63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6"/>
                    <w:gridCol w:w="2296"/>
                    <w:gridCol w:w="2376"/>
                    <w:gridCol w:w="2296"/>
                  </w:tblGrid>
                  <w:tr>
                    <w:tc>
                      <w:tcPr>
                        <w:tcW w:w="4672" w:type="dxa"/>
                        <w:gridSpan w:val="2"/>
                      </w:tcPr>
                      <w:p>
                        <w:pPr>
                          <w:pStyle w:val="Corpsdetexte"/>
                        </w:pPr>
                        <w:r>
                          <w:t xml:space="preserve">Etablissement d’enseignement </w:t>
                        </w:r>
                        <w:r>
                          <w:rPr>
                            <w:color w:val="FF0000"/>
                          </w:rPr>
                          <w:t xml:space="preserve">spécialisé </w:t>
                        </w:r>
                        <w:r>
                          <w:t>concerné</w:t>
                        </w:r>
                      </w:p>
                    </w:tc>
                    <w:tc>
                      <w:tcPr>
                        <w:tcW w:w="4672" w:type="dxa"/>
                        <w:gridSpan w:val="2"/>
                      </w:tcPr>
                      <w:p>
                        <w:pPr>
                          <w:pStyle w:val="Corpsdetexte"/>
                        </w:pPr>
                        <w:r>
                          <w:t xml:space="preserve">Etablissement d’enseignement </w:t>
                        </w:r>
                        <w:r>
                          <w:rPr>
                            <w:color w:val="FF0000"/>
                          </w:rPr>
                          <w:t xml:space="preserve">ordinaire </w:t>
                        </w:r>
                        <w:r>
                          <w:t>concerné</w:t>
                        </w:r>
                      </w:p>
                    </w:tc>
                  </w:tr>
                  <w:tr>
                    <w:tc>
                      <w:tcPr>
                        <w:tcW w:w="2376" w:type="dxa"/>
                      </w:tcPr>
                      <w:p>
                        <w:pPr>
                          <w:pStyle w:val="Corpsdetexte"/>
                        </w:pPr>
                        <w:r>
                          <w:t>Dénomination</w:t>
                        </w:r>
                      </w:p>
                    </w:tc>
                    <w:tc>
                      <w:tcPr>
                        <w:tcW w:w="2296" w:type="dxa"/>
                      </w:tcPr>
                      <w:p>
                        <w:pPr>
                          <w:pStyle w:val="Corpsdetexte"/>
                        </w:pPr>
                      </w:p>
                      <w:p>
                        <w:pPr>
                          <w:pStyle w:val="Corpsdetexte"/>
                        </w:pPr>
                      </w:p>
                    </w:tc>
                    <w:tc>
                      <w:tcPr>
                        <w:tcW w:w="2376" w:type="dxa"/>
                      </w:tcPr>
                      <w:p>
                        <w:pPr>
                          <w:pStyle w:val="Corpsdetexte"/>
                        </w:pPr>
                        <w:r>
                          <w:t>Dénomination</w:t>
                        </w:r>
                      </w:p>
                    </w:tc>
                    <w:tc>
                      <w:tcPr>
                        <w:tcW w:w="2296" w:type="dxa"/>
                      </w:tcPr>
                      <w:p>
                        <w:pPr>
                          <w:pStyle w:val="Corpsdetexte"/>
                        </w:pPr>
                      </w:p>
                    </w:tc>
                  </w:tr>
                  <w:tr>
                    <w:tc>
                      <w:tcPr>
                        <w:tcW w:w="2376" w:type="dxa"/>
                      </w:tcPr>
                      <w:p>
                        <w:pPr>
                          <w:pStyle w:val="Corpsdetexte"/>
                        </w:pPr>
                        <w:r>
                          <w:t>N°FASE</w:t>
                        </w:r>
                      </w:p>
                      <w:p>
                        <w:pPr>
                          <w:pStyle w:val="Corpsdetexte"/>
                        </w:pPr>
                        <w:r>
                          <w:t>(bâtiment principal):</w:t>
                        </w:r>
                      </w:p>
                    </w:tc>
                    <w:tc>
                      <w:tcPr>
                        <w:tcW w:w="2296" w:type="dxa"/>
                      </w:tcPr>
                      <w:p>
                        <w:pPr>
                          <w:pStyle w:val="Corpsdetexte"/>
                        </w:pPr>
                      </w:p>
                    </w:tc>
                    <w:tc>
                      <w:tcPr>
                        <w:tcW w:w="2376" w:type="dxa"/>
                      </w:tcPr>
                      <w:p>
                        <w:pPr>
                          <w:pStyle w:val="Corpsdetexte"/>
                        </w:pPr>
                        <w:r>
                          <w:t>N°FASE</w:t>
                        </w:r>
                      </w:p>
                      <w:p>
                        <w:pPr>
                          <w:pStyle w:val="Corpsdetexte"/>
                        </w:pPr>
                        <w:r>
                          <w:t>(bâtiment principal):</w:t>
                        </w:r>
                      </w:p>
                    </w:tc>
                    <w:tc>
                      <w:tcPr>
                        <w:tcW w:w="2296" w:type="dxa"/>
                      </w:tcPr>
                      <w:p>
                        <w:pPr>
                          <w:pStyle w:val="Corpsdetexte"/>
                        </w:pPr>
                      </w:p>
                    </w:tc>
                  </w:tr>
                  <w:tr>
                    <w:tc>
                      <w:tcPr>
                        <w:tcW w:w="2376" w:type="dxa"/>
                      </w:tcPr>
                      <w:p>
                        <w:pPr>
                          <w:pStyle w:val="Corpsdetexte"/>
                        </w:pPr>
                        <w:r>
                          <w:t>N° FASE (implantation)</w:t>
                        </w:r>
                      </w:p>
                    </w:tc>
                    <w:tc>
                      <w:tcPr>
                        <w:tcW w:w="2296" w:type="dxa"/>
                      </w:tcPr>
                      <w:p>
                        <w:pPr>
                          <w:pStyle w:val="Corpsdetexte"/>
                        </w:pPr>
                      </w:p>
                    </w:tc>
                    <w:tc>
                      <w:tcPr>
                        <w:tcW w:w="2376" w:type="dxa"/>
                      </w:tcPr>
                      <w:p>
                        <w:pPr>
                          <w:pStyle w:val="Corpsdetexte"/>
                        </w:pPr>
                        <w:r>
                          <w:t>N° FASE (implantation)</w:t>
                        </w:r>
                      </w:p>
                    </w:tc>
                    <w:tc>
                      <w:tcPr>
                        <w:tcW w:w="2296" w:type="dxa"/>
                      </w:tcPr>
                      <w:p>
                        <w:pPr>
                          <w:pStyle w:val="Corpsdetexte"/>
                        </w:pPr>
                      </w:p>
                    </w:tc>
                  </w:tr>
                  <w:tr>
                    <w:tc>
                      <w:tcPr>
                        <w:tcW w:w="2376" w:type="dxa"/>
                      </w:tcPr>
                      <w:p>
                        <w:pPr>
                          <w:pStyle w:val="Corpsdetexte"/>
                        </w:pPr>
                        <w:r>
                          <w:t>Adresse</w:t>
                        </w:r>
                      </w:p>
                    </w:tc>
                    <w:tc>
                      <w:tcPr>
                        <w:tcW w:w="2296" w:type="dxa"/>
                      </w:tcPr>
                      <w:p>
                        <w:pPr>
                          <w:pStyle w:val="Corpsdetexte"/>
                        </w:pPr>
                      </w:p>
                    </w:tc>
                    <w:tc>
                      <w:tcPr>
                        <w:tcW w:w="2376" w:type="dxa"/>
                      </w:tcPr>
                      <w:p>
                        <w:pPr>
                          <w:pStyle w:val="Corpsdetexte"/>
                        </w:pPr>
                        <w:r>
                          <w:t>Adresse</w:t>
                        </w:r>
                      </w:p>
                    </w:tc>
                    <w:tc>
                      <w:tcPr>
                        <w:tcW w:w="2296" w:type="dxa"/>
                      </w:tcPr>
                      <w:p>
                        <w:pPr>
                          <w:pStyle w:val="Corpsdetexte"/>
                        </w:pPr>
                      </w:p>
                    </w:tc>
                  </w:tr>
                  <w:tr>
                    <w:tc>
                      <w:tcPr>
                        <w:tcW w:w="2376" w:type="dxa"/>
                      </w:tcPr>
                      <w:p>
                        <w:pPr>
                          <w:pStyle w:val="Corpsdetexte"/>
                        </w:pPr>
                        <w:r>
                          <w:t>CP</w:t>
                        </w:r>
                      </w:p>
                    </w:tc>
                    <w:tc>
                      <w:tcPr>
                        <w:tcW w:w="2296" w:type="dxa"/>
                      </w:tcPr>
                      <w:p>
                        <w:pPr>
                          <w:pStyle w:val="Corpsdetexte"/>
                        </w:pPr>
                      </w:p>
                    </w:tc>
                    <w:tc>
                      <w:tcPr>
                        <w:tcW w:w="2376" w:type="dxa"/>
                      </w:tcPr>
                      <w:p>
                        <w:pPr>
                          <w:pStyle w:val="Corpsdetexte"/>
                        </w:pPr>
                        <w:r>
                          <w:t>CP</w:t>
                        </w:r>
                      </w:p>
                    </w:tc>
                    <w:tc>
                      <w:tcPr>
                        <w:tcW w:w="2296" w:type="dxa"/>
                      </w:tcPr>
                      <w:p>
                        <w:pPr>
                          <w:pStyle w:val="Corpsdetexte"/>
                        </w:pPr>
                      </w:p>
                    </w:tc>
                  </w:tr>
                  <w:tr>
                    <w:tc>
                      <w:tcPr>
                        <w:tcW w:w="2376" w:type="dxa"/>
                      </w:tcPr>
                      <w:p>
                        <w:pPr>
                          <w:pStyle w:val="Corpsdetexte"/>
                        </w:pPr>
                        <w:r>
                          <w:t>LOCALITE</w:t>
                        </w:r>
                      </w:p>
                    </w:tc>
                    <w:tc>
                      <w:tcPr>
                        <w:tcW w:w="2296" w:type="dxa"/>
                      </w:tcPr>
                      <w:p>
                        <w:pPr>
                          <w:pStyle w:val="Corpsdetexte"/>
                        </w:pPr>
                      </w:p>
                    </w:tc>
                    <w:tc>
                      <w:tcPr>
                        <w:tcW w:w="2376" w:type="dxa"/>
                      </w:tcPr>
                      <w:p>
                        <w:pPr>
                          <w:pStyle w:val="Corpsdetexte"/>
                        </w:pPr>
                        <w:r>
                          <w:t>LOCALITE</w:t>
                        </w:r>
                      </w:p>
                    </w:tc>
                    <w:tc>
                      <w:tcPr>
                        <w:tcW w:w="2296" w:type="dxa"/>
                      </w:tcPr>
                      <w:p>
                        <w:pPr>
                          <w:pStyle w:val="Corpsdetexte"/>
                        </w:pPr>
                      </w:p>
                    </w:tc>
                  </w:tr>
                </w:tbl>
                <w:p>
                  <w:pPr>
                    <w:tabs>
                      <w:tab w:val="left" w:pos="1134"/>
                    </w:tabs>
                  </w:pPr>
                </w:p>
                <w:p>
                  <w:pPr>
                    <w:tabs>
                      <w:tab w:val="left" w:pos="1134"/>
                    </w:tabs>
                  </w:pPr>
                </w:p>
                <w:tbl>
                  <w:tblPr>
                    <w:tblW w:w="9243" w:type="dxa"/>
                    <w:tblInd w:w="-34" w:type="dxa"/>
                    <w:tblLayout w:type="fixed"/>
                    <w:tblLook w:val="0000" w:firstRow="0" w:lastRow="0" w:firstColumn="0" w:lastColumn="0" w:noHBand="0" w:noVBand="0"/>
                  </w:tblPr>
                  <w:tblGrid>
                    <w:gridCol w:w="9"/>
                    <w:gridCol w:w="2968"/>
                    <w:gridCol w:w="1730"/>
                    <w:gridCol w:w="3119"/>
                    <w:gridCol w:w="1417"/>
                  </w:tblGrid>
                  <w:tr>
                    <w:trPr>
                      <w:gridBefore w:val="1"/>
                      <w:wBefore w:w="9" w:type="dxa"/>
                    </w:trPr>
                    <w:tc>
                      <w:tcPr>
                        <w:tcW w:w="9234" w:type="dxa"/>
                        <w:gridSpan w:val="4"/>
                        <w:tcBorders>
                          <w:top w:val="single" w:sz="4" w:space="0" w:color="000000"/>
                          <w:left w:val="single" w:sz="4" w:space="0" w:color="000000"/>
                          <w:bottom w:val="single" w:sz="4" w:space="0" w:color="000000"/>
                          <w:right w:val="single" w:sz="4" w:space="0" w:color="000000"/>
                        </w:tcBorders>
                      </w:tcPr>
                      <w:p>
                        <w:pPr>
                          <w:tabs>
                            <w:tab w:val="left" w:pos="1134"/>
                          </w:tabs>
                          <w:jc w:val="both"/>
                        </w:pPr>
                        <w:r>
                          <w:t xml:space="preserve">S’agit-il de la première intégration pour l’établissement d’enseignement spécialisé ? </w:t>
                        </w:r>
                        <w:r>
                          <w:rPr>
                            <w:b/>
                          </w:rPr>
                          <w:t>Oui - Non</w:t>
                        </w:r>
                      </w:p>
                      <w:p>
                        <w:pPr>
                          <w:tabs>
                            <w:tab w:val="left" w:pos="1134"/>
                          </w:tabs>
                          <w:jc w:val="both"/>
                        </w:pPr>
                        <w:r>
                          <w:t xml:space="preserve">L’école d’enseignement ordinaire est un nouveau partenaire de l’école d’enseignement spécialisé ? </w:t>
                        </w:r>
                      </w:p>
                      <w:p>
                        <w:pPr>
                          <w:tabs>
                            <w:tab w:val="left" w:pos="1134"/>
                          </w:tabs>
                          <w:jc w:val="both"/>
                          <w:rPr>
                            <w:b/>
                          </w:rPr>
                        </w:pPr>
                        <w:r>
                          <w:rPr>
                            <w:b/>
                          </w:rPr>
                          <w:t>Oui – Non</w:t>
                        </w:r>
                      </w:p>
                    </w:tc>
                  </w:tr>
                  <w:tr>
                    <w:trPr>
                      <w:gridBefore w:val="1"/>
                      <w:wBefore w:w="9" w:type="dxa"/>
                    </w:trPr>
                    <w:tc>
                      <w:tcPr>
                        <w:tcW w:w="4698" w:type="dxa"/>
                        <w:gridSpan w:val="2"/>
                        <w:tcBorders>
                          <w:top w:val="single" w:sz="4" w:space="0" w:color="000000"/>
                          <w:left w:val="single" w:sz="4" w:space="0" w:color="000000"/>
                          <w:bottom w:val="single" w:sz="4" w:space="0" w:color="000000"/>
                          <w:right w:val="single" w:sz="4" w:space="0" w:color="000000"/>
                        </w:tcBorders>
                      </w:tcPr>
                      <w:p>
                        <w:pPr>
                          <w:autoSpaceDE w:val="0"/>
                          <w:autoSpaceDN w:val="0"/>
                          <w:adjustRightInd w:val="0"/>
                          <w:jc w:val="center"/>
                          <w:rPr>
                            <w:b/>
                          </w:rPr>
                        </w:pPr>
                        <w:r>
                          <w:rPr>
                            <w:b/>
                          </w:rPr>
                          <w:t>Enseignement fondamental</w:t>
                        </w:r>
                      </w:p>
                    </w:tc>
                    <w:tc>
                      <w:tcPr>
                        <w:tcW w:w="4536" w:type="dxa"/>
                        <w:gridSpan w:val="2"/>
                        <w:tcBorders>
                          <w:top w:val="single" w:sz="4" w:space="0" w:color="000000"/>
                          <w:left w:val="single" w:sz="4" w:space="0" w:color="000000"/>
                          <w:bottom w:val="single" w:sz="4" w:space="0" w:color="000000"/>
                          <w:right w:val="single" w:sz="4" w:space="0" w:color="000000"/>
                        </w:tcBorders>
                      </w:tcPr>
                      <w:p>
                        <w:pPr>
                          <w:autoSpaceDE w:val="0"/>
                          <w:autoSpaceDN w:val="0"/>
                          <w:adjustRightInd w:val="0"/>
                          <w:jc w:val="center"/>
                          <w:rPr>
                            <w:b/>
                          </w:rPr>
                        </w:pPr>
                        <w:r>
                          <w:rPr>
                            <w:b/>
                          </w:rPr>
                          <w:t>Enseignement secondaire</w:t>
                        </w:r>
                      </w:p>
                    </w:tc>
                  </w:tr>
                  <w:tr>
                    <w:tblPrEx>
                      <w:tblCellMar>
                        <w:left w:w="0" w:type="dxa"/>
                        <w:right w:w="0" w:type="dxa"/>
                      </w:tblCellMar>
                      <w:tblLook w:val="00A0" w:firstRow="1" w:lastRow="0" w:firstColumn="1" w:lastColumn="0" w:noHBand="0" w:noVBand="0"/>
                    </w:tblPrEx>
                    <w:tc>
                      <w:tcPr>
                        <w:tcW w:w="297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pPr>
                          <w:jc w:val="both"/>
                        </w:pPr>
                        <w:r>
                          <w:t>Nombre d’élèves de l’école d’enseignement spécialisé intégrés dans l’école d’enseignement ordinaire</w:t>
                        </w:r>
                      </w:p>
                      <w:p>
                        <w:pPr>
                          <w:jc w:val="both"/>
                        </w:pPr>
                        <w:r>
                          <w:t>(y compris cet élève)</w:t>
                        </w:r>
                      </w:p>
                    </w:tc>
                    <w:tc>
                      <w:tcPr>
                        <w:tcW w:w="1730" w:type="dxa"/>
                        <w:tcBorders>
                          <w:top w:val="nil"/>
                          <w:left w:val="nil"/>
                          <w:bottom w:val="single" w:sz="8" w:space="0" w:color="auto"/>
                          <w:right w:val="single" w:sz="8" w:space="0" w:color="auto"/>
                        </w:tcBorders>
                        <w:tcMar>
                          <w:top w:w="0" w:type="dxa"/>
                          <w:left w:w="108" w:type="dxa"/>
                          <w:bottom w:w="0" w:type="dxa"/>
                          <w:right w:w="108" w:type="dxa"/>
                        </w:tcMar>
                      </w:tcPr>
                      <w:p>
                        <w:pPr>
                          <w:jc w:val="both"/>
                        </w:pPr>
                      </w:p>
                    </w:tc>
                    <w:tc>
                      <w:tcPr>
                        <w:tcW w:w="3119" w:type="dxa"/>
                        <w:tcBorders>
                          <w:top w:val="nil"/>
                          <w:left w:val="nil"/>
                          <w:bottom w:val="single" w:sz="8" w:space="0" w:color="auto"/>
                          <w:right w:val="single" w:sz="8" w:space="0" w:color="auto"/>
                        </w:tcBorders>
                        <w:tcMar>
                          <w:top w:w="0" w:type="dxa"/>
                          <w:left w:w="108" w:type="dxa"/>
                          <w:bottom w:w="0" w:type="dxa"/>
                          <w:right w:w="108" w:type="dxa"/>
                        </w:tcMar>
                      </w:tcPr>
                      <w:p>
                        <w:pPr>
                          <w:jc w:val="both"/>
                        </w:pPr>
                        <w:r>
                          <w:t>Nombre d’élèves de l’école d’enseignement spécialisé intégrés dans la même classe</w:t>
                        </w:r>
                      </w:p>
                      <w:p>
                        <w:pPr>
                          <w:jc w:val="both"/>
                        </w:pPr>
                        <w:r>
                          <w:t>(y compris cet élève)</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tc>
                  </w:tr>
                  <w:tr>
                    <w:tblPrEx>
                      <w:tblCellMar>
                        <w:left w:w="0" w:type="dxa"/>
                        <w:right w:w="0" w:type="dxa"/>
                      </w:tblCellMar>
                      <w:tblLook w:val="00A0" w:firstRow="1" w:lastRow="0" w:firstColumn="1" w:lastColumn="0" w:noHBand="0" w:noVBand="0"/>
                    </w:tblPrEx>
                    <w:tc>
                      <w:tcPr>
                        <w:tcW w:w="297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
                          <w:t>Niveau d’étude</w:t>
                        </w:r>
                      </w:p>
                    </w:tc>
                    <w:tc>
                      <w:tcPr>
                        <w:tcW w:w="1730" w:type="dxa"/>
                        <w:tcBorders>
                          <w:top w:val="nil"/>
                          <w:left w:val="nil"/>
                          <w:bottom w:val="single" w:sz="8" w:space="0" w:color="auto"/>
                          <w:right w:val="single" w:sz="8" w:space="0" w:color="auto"/>
                        </w:tcBorders>
                        <w:tcMar>
                          <w:top w:w="0" w:type="dxa"/>
                          <w:left w:w="108" w:type="dxa"/>
                          <w:bottom w:w="0" w:type="dxa"/>
                          <w:right w:w="108" w:type="dxa"/>
                        </w:tcMar>
                      </w:tcPr>
                      <w:p>
                        <w:r>
                          <w:t>Maternel – Primaire</w:t>
                        </w:r>
                      </w:p>
                    </w:tc>
                    <w:tc>
                      <w:tcPr>
                        <w:tcW w:w="4536" w:type="dxa"/>
                        <w:gridSpan w:val="2"/>
                        <w:tcBorders>
                          <w:top w:val="nil"/>
                          <w:left w:val="nil"/>
                          <w:bottom w:val="single" w:sz="8" w:space="0" w:color="auto"/>
                          <w:right w:val="single" w:sz="8" w:space="0" w:color="auto"/>
                        </w:tcBorders>
                        <w:tcMar>
                          <w:top w:w="0" w:type="dxa"/>
                          <w:left w:w="108" w:type="dxa"/>
                          <w:bottom w:w="0" w:type="dxa"/>
                          <w:right w:w="108" w:type="dxa"/>
                        </w:tcMar>
                      </w:tcPr>
                      <w:p/>
                    </w:tc>
                  </w:tr>
                  <w:tr>
                    <w:tblPrEx>
                      <w:tblCellMar>
                        <w:left w:w="0" w:type="dxa"/>
                        <w:right w:w="0" w:type="dxa"/>
                      </w:tblCellMar>
                      <w:tblLook w:val="00A0" w:firstRow="1" w:lastRow="0" w:firstColumn="1" w:lastColumn="0" w:noHBand="0" w:noVBand="0"/>
                    </w:tblPrEx>
                    <w:tc>
                      <w:tcPr>
                        <w:tcW w:w="297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pPr>
                          <w:rPr>
                            <w:bCs/>
                          </w:rPr>
                        </w:pPr>
                        <w:r>
                          <w:rPr>
                            <w:bCs/>
                          </w:rPr>
                          <w:t>Année</w:t>
                        </w:r>
                        <w:r>
                          <w:t xml:space="preserve"> </w:t>
                        </w:r>
                        <w:r>
                          <w:rPr>
                            <w:bCs/>
                          </w:rPr>
                          <w:t>d’étude dans l’enseignement ordinaire :</w:t>
                        </w:r>
                      </w:p>
                    </w:tc>
                    <w:tc>
                      <w:tcPr>
                        <w:tcW w:w="1730" w:type="dxa"/>
                        <w:tcBorders>
                          <w:top w:val="nil"/>
                          <w:left w:val="nil"/>
                          <w:bottom w:val="single" w:sz="8" w:space="0" w:color="auto"/>
                          <w:right w:val="single" w:sz="8" w:space="0" w:color="auto"/>
                        </w:tcBorders>
                        <w:tcMar>
                          <w:top w:w="0" w:type="dxa"/>
                          <w:left w:w="108" w:type="dxa"/>
                          <w:bottom w:w="0" w:type="dxa"/>
                          <w:right w:w="108" w:type="dxa"/>
                        </w:tcMar>
                      </w:tcPr>
                      <w:p>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1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2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3</w:t>
                        </w:r>
                      </w:p>
                      <w:p/>
                      <w:p>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4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5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6</w:t>
                        </w:r>
                      </w:p>
                    </w:tc>
                    <w:tc>
                      <w:tcPr>
                        <w:tcW w:w="3119" w:type="dxa"/>
                        <w:tcBorders>
                          <w:top w:val="nil"/>
                          <w:left w:val="nil"/>
                          <w:bottom w:val="single" w:sz="8" w:space="0" w:color="auto"/>
                          <w:right w:val="single" w:sz="8" w:space="0" w:color="auto"/>
                        </w:tcBorders>
                        <w:tcMar>
                          <w:top w:w="0" w:type="dxa"/>
                          <w:left w:w="108" w:type="dxa"/>
                          <w:bottom w:w="0" w:type="dxa"/>
                          <w:right w:w="108" w:type="dxa"/>
                        </w:tcMar>
                      </w:tcPr>
                      <w:p>
                        <w:pPr>
                          <w:autoSpaceDE w:val="0"/>
                          <w:autoSpaceDN w:val="0"/>
                        </w:pPr>
                        <w:r>
                          <w:t>Année d’étude dans l’enseignement ordinaire :</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1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2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3 </w:t>
                        </w:r>
                      </w:p>
                      <w:p/>
                      <w:p>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4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5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6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7</w:t>
                        </w:r>
                      </w:p>
                    </w:tc>
                  </w:tr>
                </w:tbl>
                <w:p/>
                <w:p/>
                <w:p/>
                <w:p/>
                <w:p/>
                <w:p/>
                <w:p>
                  <w:pPr>
                    <w:tabs>
                      <w:tab w:val="left" w:pos="1134"/>
                    </w:tabs>
                  </w:pPr>
                </w:p>
                <w:p>
                  <w:pPr>
                    <w:pBdr>
                      <w:top w:val="single" w:sz="4" w:space="1" w:color="auto"/>
                      <w:left w:val="single" w:sz="4" w:space="4" w:color="auto"/>
                      <w:bottom w:val="single" w:sz="4" w:space="1" w:color="auto"/>
                      <w:right w:val="single" w:sz="4" w:space="4" w:color="auto"/>
                    </w:pBdr>
                    <w:tabs>
                      <w:tab w:val="left" w:pos="1134"/>
                    </w:tabs>
                    <w:jc w:val="both"/>
                    <w:rPr>
                      <w:b/>
                      <w:u w:val="single"/>
                    </w:rPr>
                  </w:pPr>
                  <w:r>
                    <w:rPr>
                      <w:b/>
                      <w:u w:val="single"/>
                    </w:rPr>
                    <w:t>Déclaration sur l’honneur</w:t>
                  </w:r>
                </w:p>
                <w:p>
                  <w:pPr>
                    <w:pBdr>
                      <w:top w:val="single" w:sz="4" w:space="1" w:color="auto"/>
                      <w:left w:val="single" w:sz="4" w:space="4" w:color="auto"/>
                      <w:bottom w:val="single" w:sz="4" w:space="1" w:color="auto"/>
                      <w:right w:val="single" w:sz="4" w:space="4" w:color="auto"/>
                    </w:pBdr>
                    <w:jc w:val="both"/>
                  </w:pPr>
                  <w:r>
                    <w:t>Par la présente, ..............................................................., directeur(trice) de l’école d’enseignement spécialisé organisé par la Fédération Wallonie Bruxelles ou représentant(e) du pouvoir organisateur dans l’enseignement spécialisé subventionné, atteste que :</w:t>
                  </w:r>
                </w:p>
                <w:p>
                  <w:pPr>
                    <w:numPr>
                      <w:ilvl w:val="0"/>
                      <w:numId w:val="202"/>
                    </w:numPr>
                    <w:pBdr>
                      <w:top w:val="single" w:sz="4" w:space="1" w:color="auto"/>
                      <w:left w:val="single" w:sz="4" w:space="4" w:color="auto"/>
                      <w:bottom w:val="single" w:sz="4" w:space="1" w:color="auto"/>
                      <w:right w:val="single" w:sz="4" w:space="4" w:color="auto"/>
                    </w:pBdr>
                    <w:tabs>
                      <w:tab w:val="clear" w:pos="720"/>
                      <w:tab w:val="num" w:pos="567"/>
                    </w:tabs>
                    <w:suppressAutoHyphens/>
                    <w:ind w:left="567" w:hanging="567"/>
                    <w:jc w:val="both"/>
                  </w:pPr>
                  <w:r>
                    <w:t>l’élève sera intégré à partir de la date prévue sur le protocole d’intégration Dans le cas contraire, l’information sera transmise pour le 15 septembre à l’Administration ;</w:t>
                  </w:r>
                </w:p>
                <w:p>
                  <w:pPr>
                    <w:numPr>
                      <w:ilvl w:val="0"/>
                      <w:numId w:val="204"/>
                    </w:numPr>
                    <w:pBdr>
                      <w:top w:val="single" w:sz="4" w:space="1" w:color="auto"/>
                      <w:left w:val="single" w:sz="4" w:space="4" w:color="auto"/>
                      <w:bottom w:val="single" w:sz="4" w:space="1" w:color="auto"/>
                      <w:right w:val="single" w:sz="4" w:space="4" w:color="auto"/>
                    </w:pBdr>
                    <w:tabs>
                      <w:tab w:val="clear" w:pos="720"/>
                      <w:tab w:val="num" w:pos="567"/>
                    </w:tabs>
                    <w:suppressAutoHyphens/>
                    <w:ind w:left="426" w:hanging="426"/>
                    <w:jc w:val="both"/>
                  </w:pPr>
                  <w:r>
                    <w:t xml:space="preserve">les informations ci-dessus sont complètes et conformes à la réalité. </w:t>
                  </w:r>
                </w:p>
                <w:p>
                  <w:pPr>
                    <w:pBdr>
                      <w:top w:val="single" w:sz="4" w:space="1" w:color="auto"/>
                      <w:left w:val="single" w:sz="4" w:space="4" w:color="auto"/>
                      <w:bottom w:val="single" w:sz="4" w:space="1" w:color="auto"/>
                      <w:right w:val="single" w:sz="4" w:space="4" w:color="auto"/>
                    </w:pBdr>
                    <w:tabs>
                      <w:tab w:val="left" w:pos="180"/>
                    </w:tabs>
                    <w:jc w:val="both"/>
                    <w:rPr>
                      <w:color w:val="000000"/>
                    </w:rPr>
                  </w:pPr>
                  <w:r>
                    <w:rPr>
                      <w:color w:val="000000"/>
                    </w:rPr>
                    <w:t>Pour cet(te) élève, j’utilise au moins une période du C.P.U de mon établissement pour l’accompagner dans l’école d’enseignement ordinaire à laquelle viendront s’ajouter éventuellement les périodes complémentaires.</w:t>
                  </w:r>
                </w:p>
                <w:p>
                  <w:pPr>
                    <w:pBdr>
                      <w:top w:val="single" w:sz="4" w:space="1" w:color="auto"/>
                      <w:left w:val="single" w:sz="4" w:space="4" w:color="auto"/>
                      <w:bottom w:val="single" w:sz="4" w:space="1" w:color="auto"/>
                      <w:right w:val="single" w:sz="4" w:space="4" w:color="auto"/>
                    </w:pBdr>
                    <w:jc w:val="both"/>
                  </w:pPr>
                  <w:r>
                    <w:t>Je déclare sur l’honneur que l’ensemble des partenaires a signé la 3ème page du protocole d’intégration (annexe 2). L’original de ce dernier est conservé dans l’établissement d’enseignement spécialisé à disposition du vérificateur de la population scolaire.</w:t>
                  </w:r>
                </w:p>
                <w:p>
                  <w:pPr>
                    <w:tabs>
                      <w:tab w:val="left" w:pos="1134"/>
                    </w:tabs>
                  </w:pPr>
                </w:p>
                <w:tbl>
                  <w:tblPr>
                    <w:tblW w:w="9639" w:type="dxa"/>
                    <w:tblInd w:w="-5" w:type="dxa"/>
                    <w:tblLayout w:type="fixed"/>
                    <w:tblLook w:val="0000" w:firstRow="0" w:lastRow="0" w:firstColumn="0" w:lastColumn="0" w:noHBand="0" w:noVBand="0"/>
                  </w:tblPr>
                  <w:tblGrid>
                    <w:gridCol w:w="1233"/>
                    <w:gridCol w:w="2700"/>
                    <w:gridCol w:w="2924"/>
                    <w:gridCol w:w="2782"/>
                  </w:tblGrid>
                  <w:tr>
                    <w:tc>
                      <w:tcPr>
                        <w:tcW w:w="1233" w:type="dxa"/>
                        <w:tcBorders>
                          <w:top w:val="single" w:sz="4" w:space="0" w:color="000000"/>
                          <w:left w:val="single" w:sz="4" w:space="0" w:color="000000"/>
                          <w:bottom w:val="single" w:sz="4" w:space="0" w:color="000000"/>
                        </w:tcBorders>
                      </w:tcPr>
                      <w:p>
                        <w:pPr>
                          <w:tabs>
                            <w:tab w:val="left" w:pos="1134"/>
                          </w:tabs>
                          <w:snapToGrid w:val="0"/>
                          <w:jc w:val="center"/>
                        </w:pPr>
                        <w:r>
                          <w:t>Date</w:t>
                        </w:r>
                      </w:p>
                    </w:tc>
                    <w:tc>
                      <w:tcPr>
                        <w:tcW w:w="2700" w:type="dxa"/>
                        <w:tcBorders>
                          <w:top w:val="single" w:sz="4" w:space="0" w:color="000000"/>
                          <w:left w:val="single" w:sz="4" w:space="0" w:color="000000"/>
                          <w:bottom w:val="single" w:sz="4" w:space="0" w:color="000000"/>
                        </w:tcBorders>
                      </w:tcPr>
                      <w:p>
                        <w:pPr>
                          <w:tabs>
                            <w:tab w:val="left" w:pos="1134"/>
                          </w:tabs>
                          <w:snapToGrid w:val="0"/>
                          <w:jc w:val="center"/>
                        </w:pPr>
                        <w:r>
                          <w:t>Nom du signataire</w:t>
                        </w:r>
                      </w:p>
                    </w:tc>
                    <w:tc>
                      <w:tcPr>
                        <w:tcW w:w="2924" w:type="dxa"/>
                        <w:tcBorders>
                          <w:top w:val="single" w:sz="4" w:space="0" w:color="000000"/>
                          <w:left w:val="single" w:sz="4" w:space="0" w:color="000000"/>
                          <w:bottom w:val="single" w:sz="4" w:space="0" w:color="000000"/>
                        </w:tcBorders>
                      </w:tcPr>
                      <w:p>
                        <w:pPr>
                          <w:tabs>
                            <w:tab w:val="left" w:pos="1134"/>
                          </w:tabs>
                          <w:jc w:val="center"/>
                        </w:pPr>
                        <w:r>
                          <w:t>Qualité du signataire</w:t>
                        </w:r>
                      </w:p>
                    </w:tc>
                    <w:tc>
                      <w:tcPr>
                        <w:tcW w:w="2782"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center"/>
                        </w:pPr>
                        <w:r>
                          <w:t>Signature</w:t>
                        </w:r>
                      </w:p>
                    </w:tc>
                  </w:tr>
                  <w:tr>
                    <w:tc>
                      <w:tcPr>
                        <w:tcW w:w="1233" w:type="dxa"/>
                        <w:tcBorders>
                          <w:top w:val="single" w:sz="4" w:space="0" w:color="000000"/>
                          <w:left w:val="single" w:sz="4" w:space="0" w:color="000000"/>
                          <w:bottom w:val="single" w:sz="4" w:space="0" w:color="000000"/>
                        </w:tcBorders>
                      </w:tcPr>
                      <w:p>
                        <w:pPr>
                          <w:tabs>
                            <w:tab w:val="left" w:pos="1134"/>
                          </w:tabs>
                          <w:snapToGrid w:val="0"/>
                        </w:pPr>
                      </w:p>
                    </w:tc>
                    <w:tc>
                      <w:tcPr>
                        <w:tcW w:w="2700" w:type="dxa"/>
                        <w:tcBorders>
                          <w:top w:val="single" w:sz="4" w:space="0" w:color="000000"/>
                          <w:left w:val="single" w:sz="4" w:space="0" w:color="000000"/>
                          <w:bottom w:val="single" w:sz="4" w:space="0" w:color="000000"/>
                        </w:tcBorders>
                      </w:tcPr>
                      <w:p>
                        <w:pPr>
                          <w:tabs>
                            <w:tab w:val="left" w:pos="1134"/>
                          </w:tabs>
                          <w:snapToGrid w:val="0"/>
                        </w:pPr>
                      </w:p>
                    </w:tc>
                    <w:tc>
                      <w:tcPr>
                        <w:tcW w:w="2924" w:type="dxa"/>
                        <w:tcBorders>
                          <w:top w:val="single" w:sz="4" w:space="0" w:color="000000"/>
                          <w:left w:val="single" w:sz="4" w:space="0" w:color="000000"/>
                          <w:bottom w:val="single" w:sz="4" w:space="0" w:color="000000"/>
                        </w:tcBorders>
                      </w:tcPr>
                      <w:p>
                        <w:pPr>
                          <w:tabs>
                            <w:tab w:val="left" w:pos="1134"/>
                          </w:tabs>
                          <w:snapToGrid w:val="0"/>
                        </w:pPr>
                      </w:p>
                    </w:tc>
                    <w:tc>
                      <w:tcPr>
                        <w:tcW w:w="2782" w:type="dxa"/>
                        <w:tcBorders>
                          <w:top w:val="single" w:sz="4" w:space="0" w:color="000000"/>
                          <w:left w:val="single" w:sz="4" w:space="0" w:color="000000"/>
                          <w:bottom w:val="single" w:sz="4" w:space="0" w:color="000000"/>
                          <w:right w:val="single" w:sz="4" w:space="0" w:color="000000"/>
                        </w:tcBorders>
                      </w:tcPr>
                      <w:p>
                        <w:pPr>
                          <w:tabs>
                            <w:tab w:val="left" w:pos="1134"/>
                          </w:tabs>
                        </w:pPr>
                      </w:p>
                    </w:tc>
                  </w:tr>
                </w:tbl>
                <w:p>
                  <w:pPr>
                    <w:tabs>
                      <w:tab w:val="left" w:pos="1134"/>
                    </w:tabs>
                    <w:jc w:val="center"/>
                    <w:rPr>
                      <w:b/>
                      <w:lang w:val="fr-FR"/>
                    </w:rPr>
                  </w:pPr>
                  <w:r>
                    <w:rPr>
                      <w:b/>
                      <w:lang w:val="fr-FR"/>
                    </w:rPr>
                    <w:t xml:space="preserve"> </w:t>
                  </w:r>
                </w:p>
                <w:p/>
                <w:p>
                  <w:r>
                    <w:br w:type="page"/>
                  </w:r>
                </w:p>
                <w:p>
                  <w:pPr>
                    <w:pStyle w:val="Titre4"/>
                  </w:pPr>
                  <w:bookmarkStart w:id="2974" w:name="_Toc453314463"/>
                  <w:bookmarkStart w:id="2975" w:name="_Toc454980498"/>
                  <w:r>
                    <w:t>Annexe 8 : Demande d’accompagnement par un établissement</w:t>
                  </w:r>
                  <w:r>
                    <w:rPr>
                      <w:rStyle w:val="Appelnotedebasdep"/>
                      <w:b w:val="0"/>
                      <w:u w:val="none"/>
                    </w:rPr>
                    <w:footnoteReference w:id="134"/>
                  </w:r>
                  <w:r>
                    <w:t xml:space="preserve"> qui n’organise pas le type d’enseignement mentionné sur l’attestation</w:t>
                  </w:r>
                  <w:bookmarkEnd w:id="2974"/>
                  <w:bookmarkEnd w:id="2975"/>
                </w:p>
                <w:p>
                  <w:pPr>
                    <w:jc w:val="both"/>
                  </w:pPr>
                  <w:bookmarkStart w:id="2976" w:name="_Annexe_8_:"/>
                  <w:bookmarkEnd w:id="2976"/>
                </w:p>
                <w:p>
                  <w:pPr>
                    <w:pBdr>
                      <w:top w:val="single" w:sz="18" w:space="1" w:color="FF0000"/>
                      <w:left w:val="single" w:sz="18" w:space="4" w:color="FF0000"/>
                      <w:bottom w:val="single" w:sz="18" w:space="1" w:color="FF0000"/>
                      <w:right w:val="single" w:sz="18" w:space="4" w:color="FF0000"/>
                    </w:pBdr>
                    <w:jc w:val="both"/>
                    <w:rPr>
                      <w:lang w:eastAsia="fr-FR"/>
                    </w:rPr>
                  </w:pPr>
                  <w:r>
                    <w:t xml:space="preserve">Ce document est à renvoyer sur l’adresse mail générique </w:t>
                  </w:r>
                  <w:r>
                    <w:rPr>
                      <w:color w:val="0000FF"/>
                    </w:rPr>
                    <w:t xml:space="preserve">integration_specialise@cfwb.be </w:t>
                  </w:r>
                  <w:r>
                    <w:rPr>
                      <w:color w:val="1F497D"/>
                    </w:rPr>
                    <w:t xml:space="preserve">et ce,  </w:t>
                  </w:r>
                  <w:r>
                    <w:rPr>
                      <w:color w:val="000000"/>
                      <w:lang w:eastAsia="fr-FR"/>
                    </w:rPr>
                    <w:t xml:space="preserve">pour le 15 mai (pour les projets d’intégration qui débuteraient </w:t>
                  </w:r>
                  <w:r>
                    <w:rPr>
                      <w:lang w:eastAsia="fr-FR"/>
                    </w:rPr>
                    <w:t xml:space="preserve">le 1er septembre de l’année scolaire suivante). </w:t>
                  </w:r>
                </w:p>
                <w:p>
                  <w:pPr>
                    <w:pBdr>
                      <w:top w:val="single" w:sz="18" w:space="1" w:color="FF0000"/>
                      <w:left w:val="single" w:sz="18" w:space="4" w:color="FF0000"/>
                      <w:bottom w:val="single" w:sz="18" w:space="1" w:color="FF0000"/>
                      <w:right w:val="single" w:sz="18" w:space="4" w:color="FF0000"/>
                    </w:pBdr>
                    <w:jc w:val="both"/>
                    <w:rPr>
                      <w:color w:val="1F497D"/>
                    </w:rPr>
                  </w:pPr>
                  <w:r>
                    <w:rPr>
                      <w:color w:val="000000"/>
                      <w:lang w:eastAsia="fr-FR"/>
                    </w:rPr>
                    <w:t>Il convient d’attendre l’accord de la Ministre afin de pouvoir débuter une intégration.</w:t>
                  </w:r>
                </w:p>
                <w:p>
                  <w:pPr>
                    <w:pStyle w:val="Paragraphedeliste"/>
                    <w:jc w:val="both"/>
                    <w:rPr>
                      <w:rFonts w:asciiTheme="majorHAnsi" w:hAnsiTheme="majorHAnsi"/>
                      <w:color w:val="000000"/>
                      <w:sz w:val="22"/>
                      <w:szCs w:val="22"/>
                      <w:lang w:eastAsia="fr-FR"/>
                    </w:rPr>
                  </w:pPr>
                </w:p>
                <w:p>
                  <w:pPr>
                    <w:jc w:val="both"/>
                  </w:pPr>
                  <w:r>
                    <w:t>Dérogation pour une demande d’intégration temporaire totale ou permanente totale d’un élève de l’enseignement spécialisé dans une école organisant un autre type d’enseignement spécialisé que celui mentionné sur l’attestation d’orientation de l’élève. (Articles 133§4 et §5, Article 147 al. 2, Article 147 bis du Décret du 3 mars 2004 organisant l'Enseignement spécialisé).</w:t>
                  </w:r>
                </w:p>
                <w:p>
                  <w:pPr>
                    <w:tabs>
                      <w:tab w:val="left" w:pos="1134"/>
                    </w:tabs>
                    <w:rPr>
                      <w:b/>
                    </w:rPr>
                  </w:pPr>
                </w:p>
                <w:p>
                  <w:pPr>
                    <w:tabs>
                      <w:tab w:val="left" w:pos="1134"/>
                    </w:tabs>
                  </w:pPr>
                  <w:r>
                    <w:rPr>
                      <w:b/>
                    </w:rPr>
                    <w:t xml:space="preserve">Année scolaire : </w:t>
                  </w:r>
                </w:p>
                <w:p>
                  <w:pPr>
                    <w:pBdr>
                      <w:top w:val="single" w:sz="4" w:space="1" w:color="auto"/>
                      <w:left w:val="single" w:sz="4" w:space="4" w:color="auto"/>
                      <w:bottom w:val="single" w:sz="4" w:space="1" w:color="auto"/>
                      <w:right w:val="single" w:sz="4" w:space="4" w:color="auto"/>
                    </w:pBdr>
                    <w:tabs>
                      <w:tab w:val="left" w:pos="1134"/>
                    </w:tabs>
                    <w:ind w:right="27"/>
                    <w:jc w:val="both"/>
                    <w:rPr>
                      <w:u w:val="single"/>
                    </w:rPr>
                  </w:pPr>
                  <w:r>
                    <w:rPr>
                      <w:u w:val="single"/>
                    </w:rPr>
                    <w:t>Élève concerné(e) :</w:t>
                  </w:r>
                </w:p>
                <w:p>
                  <w:pPr>
                    <w:pBdr>
                      <w:top w:val="single" w:sz="4" w:space="1" w:color="auto"/>
                      <w:left w:val="single" w:sz="4" w:space="4" w:color="auto"/>
                      <w:bottom w:val="single" w:sz="4" w:space="1" w:color="auto"/>
                      <w:right w:val="single" w:sz="4" w:space="4" w:color="auto"/>
                    </w:pBdr>
                    <w:tabs>
                      <w:tab w:val="left" w:pos="1134"/>
                    </w:tabs>
                    <w:ind w:right="27"/>
                    <w:jc w:val="both"/>
                    <w:rPr>
                      <w:u w:val="single"/>
                    </w:rPr>
                  </w:pPr>
                </w:p>
                <w:p>
                  <w:pPr>
                    <w:pBdr>
                      <w:top w:val="single" w:sz="4" w:space="1" w:color="auto"/>
                      <w:left w:val="single" w:sz="4" w:space="4" w:color="auto"/>
                      <w:bottom w:val="single" w:sz="4" w:space="1" w:color="auto"/>
                      <w:right w:val="single" w:sz="4" w:space="4" w:color="auto"/>
                    </w:pBdr>
                    <w:tabs>
                      <w:tab w:val="left" w:pos="1134"/>
                    </w:tabs>
                    <w:ind w:right="27"/>
                    <w:jc w:val="both"/>
                  </w:pPr>
                  <w:r>
                    <w:t>NOM:</w:t>
                  </w:r>
                  <w:r>
                    <w:tab/>
                  </w:r>
                  <w:r>
                    <w:tab/>
                  </w:r>
                  <w:r>
                    <w:tab/>
                  </w:r>
                  <w:r>
                    <w:tab/>
                  </w:r>
                  <w:r>
                    <w:tab/>
                  </w:r>
                  <w:r>
                    <w:tab/>
                  </w:r>
                  <w:r>
                    <w:tab/>
                    <w:t>Prénom :</w:t>
                  </w:r>
                </w:p>
                <w:p>
                  <w:pPr>
                    <w:pBdr>
                      <w:top w:val="single" w:sz="4" w:space="1" w:color="auto"/>
                      <w:left w:val="single" w:sz="4" w:space="4" w:color="auto"/>
                      <w:bottom w:val="single" w:sz="4" w:space="1" w:color="auto"/>
                      <w:right w:val="single" w:sz="4" w:space="4" w:color="auto"/>
                    </w:pBdr>
                    <w:tabs>
                      <w:tab w:val="left" w:pos="1134"/>
                    </w:tabs>
                    <w:ind w:right="27"/>
                    <w:jc w:val="both"/>
                  </w:pPr>
                  <w:r>
                    <w:t>Date de naissance :</w:t>
                  </w:r>
                  <w:r>
                    <w:tab/>
                  </w:r>
                  <w:r>
                    <w:tab/>
                  </w:r>
                  <w:r>
                    <w:tab/>
                  </w:r>
                  <w:r>
                    <w:tab/>
                  </w:r>
                  <w:r>
                    <w:tab/>
                    <w:t>Sexe :</w:t>
                  </w:r>
                </w:p>
                <w:p>
                  <w:pPr>
                    <w:pBdr>
                      <w:top w:val="single" w:sz="4" w:space="1" w:color="auto"/>
                      <w:left w:val="single" w:sz="4" w:space="4" w:color="auto"/>
                      <w:bottom w:val="single" w:sz="4" w:space="1" w:color="auto"/>
                      <w:right w:val="single" w:sz="4" w:space="4" w:color="auto"/>
                    </w:pBdr>
                    <w:tabs>
                      <w:tab w:val="left" w:pos="1134"/>
                    </w:tabs>
                    <w:ind w:right="27"/>
                    <w:jc w:val="both"/>
                  </w:pPr>
                  <w:r>
                    <w:t xml:space="preserve">Niveau : </w:t>
                  </w:r>
                  <w:r>
                    <w:sym w:font="Wingdings" w:char="F0A8"/>
                  </w:r>
                  <w:r>
                    <w:t xml:space="preserve"> maternel</w:t>
                  </w:r>
                  <w:r>
                    <w:tab/>
                  </w:r>
                  <w:r>
                    <w:tab/>
                  </w:r>
                  <w:r>
                    <w:sym w:font="Wingdings" w:char="F0A8"/>
                  </w:r>
                  <w:r>
                    <w:t>primaire</w:t>
                  </w:r>
                  <w:r>
                    <w:tab/>
                  </w:r>
                  <w:r>
                    <w:tab/>
                  </w:r>
                  <w:r>
                    <w:sym w:font="Wingdings" w:char="F0A8"/>
                  </w:r>
                  <w:r>
                    <w:t xml:space="preserve"> secondaire</w:t>
                  </w:r>
                </w:p>
                <w:p>
                  <w:pPr>
                    <w:pBdr>
                      <w:top w:val="single" w:sz="4" w:space="1" w:color="auto"/>
                      <w:left w:val="single" w:sz="4" w:space="4" w:color="auto"/>
                      <w:bottom w:val="single" w:sz="4" w:space="1" w:color="auto"/>
                      <w:right w:val="single" w:sz="4" w:space="4" w:color="auto"/>
                    </w:pBdr>
                    <w:tabs>
                      <w:tab w:val="left" w:pos="1134"/>
                    </w:tabs>
                    <w:ind w:right="27"/>
                    <w:jc w:val="both"/>
                  </w:pPr>
                </w:p>
                <w:p>
                  <w:pPr>
                    <w:pBdr>
                      <w:top w:val="single" w:sz="4" w:space="1" w:color="auto"/>
                      <w:left w:val="single" w:sz="4" w:space="4" w:color="auto"/>
                      <w:bottom w:val="single" w:sz="4" w:space="1" w:color="auto"/>
                      <w:right w:val="single" w:sz="4" w:space="4" w:color="auto"/>
                    </w:pBdr>
                    <w:tabs>
                      <w:tab w:val="left" w:pos="1134"/>
                    </w:tabs>
                    <w:ind w:right="27"/>
                    <w:jc w:val="both"/>
                  </w:pPr>
                  <w:r>
                    <w:t>Type d’enseignement repris sur l’attestation de l’élève :</w:t>
                  </w:r>
                </w:p>
                <w:p>
                  <w:pPr>
                    <w:pBdr>
                      <w:top w:val="single" w:sz="4" w:space="1" w:color="auto"/>
                      <w:left w:val="single" w:sz="4" w:space="4" w:color="auto"/>
                      <w:bottom w:val="single" w:sz="4" w:space="1" w:color="auto"/>
                      <w:right w:val="single" w:sz="4" w:space="4" w:color="auto"/>
                    </w:pBdr>
                    <w:tabs>
                      <w:tab w:val="left" w:pos="1134"/>
                    </w:tabs>
                    <w:ind w:right="27"/>
                    <w:jc w:val="both"/>
                  </w:pPr>
                </w:p>
                <w:p>
                  <w:pPr>
                    <w:pBdr>
                      <w:top w:val="single" w:sz="4" w:space="1" w:color="auto"/>
                      <w:left w:val="single" w:sz="4" w:space="4" w:color="auto"/>
                      <w:bottom w:val="single" w:sz="4" w:space="1" w:color="auto"/>
                      <w:right w:val="single" w:sz="4" w:space="4" w:color="auto"/>
                    </w:pBdr>
                    <w:tabs>
                      <w:tab w:val="left" w:pos="1134"/>
                    </w:tabs>
                    <w:ind w:right="27"/>
                    <w:jc w:val="both"/>
                  </w:pPr>
                  <w:r>
                    <w:t xml:space="preserve">Adresse </w:t>
                  </w:r>
                  <w:r>
                    <w:tab/>
                  </w:r>
                  <w:r>
                    <w:tab/>
                  </w:r>
                  <w:r>
                    <w:tab/>
                  </w:r>
                  <w:r>
                    <w:tab/>
                  </w:r>
                  <w:r>
                    <w:tab/>
                  </w:r>
                  <w:r>
                    <w:tab/>
                  </w:r>
                  <w:r>
                    <w:tab/>
                    <w:t>CP :</w:t>
                  </w:r>
                  <w:r>
                    <w:tab/>
                  </w:r>
                  <w:r>
                    <w:tab/>
                    <w:t>LOCALITE :</w:t>
                  </w:r>
                </w:p>
                <w:p>
                  <w:pPr>
                    <w:pBdr>
                      <w:top w:val="single" w:sz="4" w:space="1" w:color="auto"/>
                      <w:left w:val="single" w:sz="4" w:space="4" w:color="auto"/>
                      <w:bottom w:val="single" w:sz="4" w:space="1" w:color="auto"/>
                      <w:right w:val="single" w:sz="4" w:space="4" w:color="auto"/>
                    </w:pBdr>
                    <w:tabs>
                      <w:tab w:val="left" w:pos="1134"/>
                    </w:tabs>
                    <w:ind w:right="27"/>
                    <w:jc w:val="both"/>
                  </w:pPr>
                </w:p>
                <w:p>
                  <w:pPr>
                    <w:pBdr>
                      <w:top w:val="single" w:sz="4" w:space="1" w:color="auto"/>
                      <w:left w:val="single" w:sz="4" w:space="4" w:color="auto"/>
                      <w:bottom w:val="single" w:sz="4" w:space="1" w:color="auto"/>
                      <w:right w:val="single" w:sz="4" w:space="4" w:color="auto"/>
                    </w:pBdr>
                    <w:tabs>
                      <w:tab w:val="left" w:pos="1134"/>
                    </w:tabs>
                    <w:ind w:right="27"/>
                    <w:jc w:val="both"/>
                  </w:pPr>
                  <w:r>
                    <w:t>Type d’intégration :</w:t>
                  </w:r>
                </w:p>
                <w:p>
                  <w:pPr>
                    <w:pBdr>
                      <w:top w:val="single" w:sz="4" w:space="1" w:color="auto"/>
                      <w:left w:val="single" w:sz="4" w:space="4" w:color="auto"/>
                      <w:bottom w:val="single" w:sz="4" w:space="1" w:color="auto"/>
                      <w:right w:val="single" w:sz="4" w:space="4" w:color="auto"/>
                    </w:pBdr>
                    <w:tabs>
                      <w:tab w:val="left" w:pos="1134"/>
                    </w:tabs>
                    <w:ind w:right="27"/>
                    <w:jc w:val="both"/>
                  </w:pPr>
                  <w:r>
                    <w:sym w:font="Wingdings" w:char="F0A8"/>
                  </w:r>
                  <w:r>
                    <w:t xml:space="preserve"> Intégration Permanente Totale</w:t>
                  </w:r>
                </w:p>
                <w:p>
                  <w:pPr>
                    <w:pBdr>
                      <w:top w:val="single" w:sz="4" w:space="1" w:color="auto"/>
                      <w:left w:val="single" w:sz="4" w:space="4" w:color="auto"/>
                      <w:bottom w:val="single" w:sz="4" w:space="1" w:color="auto"/>
                      <w:right w:val="single" w:sz="4" w:space="4" w:color="auto"/>
                    </w:pBdr>
                    <w:tabs>
                      <w:tab w:val="left" w:pos="1134"/>
                    </w:tabs>
                    <w:ind w:right="27"/>
                    <w:jc w:val="both"/>
                  </w:pPr>
                  <w:r>
                    <w:sym w:font="Wingdings" w:char="F0A8"/>
                  </w:r>
                  <w:r>
                    <w:t xml:space="preserve"> Intégration Temporaire Totale</w:t>
                  </w:r>
                </w:p>
                <w:p>
                  <w:pPr>
                    <w:pBdr>
                      <w:top w:val="single" w:sz="4" w:space="1" w:color="auto"/>
                      <w:left w:val="single" w:sz="4" w:space="4" w:color="auto"/>
                      <w:bottom w:val="single" w:sz="4" w:space="1" w:color="auto"/>
                      <w:right w:val="single" w:sz="4" w:space="4" w:color="auto"/>
                    </w:pBdr>
                    <w:tabs>
                      <w:tab w:val="left" w:pos="1134"/>
                    </w:tabs>
                    <w:ind w:right="27"/>
                    <w:jc w:val="both"/>
                    <w:rPr>
                      <w:i/>
                    </w:rPr>
                  </w:pPr>
                  <w:r>
                    <w:rPr>
                      <w:i/>
                    </w:rPr>
                    <w:t>Seuls ces deux types d’intégrations permettent de bénéficier de cette dérogation</w:t>
                  </w:r>
                </w:p>
                <w:p>
                  <w:pPr>
                    <w:pBdr>
                      <w:top w:val="single" w:sz="4" w:space="1" w:color="auto"/>
                      <w:left w:val="single" w:sz="4" w:space="4" w:color="auto"/>
                      <w:bottom w:val="single" w:sz="4" w:space="1" w:color="auto"/>
                      <w:right w:val="single" w:sz="4" w:space="4" w:color="auto"/>
                    </w:pBdr>
                    <w:tabs>
                      <w:tab w:val="left" w:pos="1134"/>
                    </w:tabs>
                    <w:ind w:right="27"/>
                    <w:jc w:val="both"/>
                  </w:pPr>
                </w:p>
                <w:p>
                  <w:pPr>
                    <w:pBdr>
                      <w:top w:val="single" w:sz="4" w:space="1" w:color="auto"/>
                      <w:left w:val="single" w:sz="4" w:space="4" w:color="auto"/>
                      <w:bottom w:val="single" w:sz="4" w:space="1" w:color="auto"/>
                      <w:right w:val="single" w:sz="4" w:space="4" w:color="auto"/>
                    </w:pBdr>
                    <w:tabs>
                      <w:tab w:val="left" w:pos="1134"/>
                    </w:tabs>
                    <w:ind w:right="27"/>
                    <w:jc w:val="both"/>
                  </w:pPr>
                  <w:r>
                    <w:t>Raison de la demande de dérogation :</w:t>
                  </w:r>
                </w:p>
                <w:p>
                  <w:pPr>
                    <w:pBdr>
                      <w:top w:val="single" w:sz="4" w:space="1" w:color="auto"/>
                      <w:left w:val="single" w:sz="4" w:space="4" w:color="auto"/>
                      <w:bottom w:val="single" w:sz="4" w:space="1" w:color="auto"/>
                      <w:right w:val="single" w:sz="4" w:space="4" w:color="auto"/>
                    </w:pBdr>
                    <w:tabs>
                      <w:tab w:val="left" w:pos="1134"/>
                    </w:tabs>
                    <w:ind w:right="27"/>
                    <w:jc w:val="both"/>
                  </w:pPr>
                  <w:r>
                    <w:sym w:font="Wingdings" w:char="F0A8"/>
                  </w:r>
                  <w:r>
                    <w:t xml:space="preserve"> Pas d’école à distance raisonnable du domicile de l’élève (4 kilomètres).</w:t>
                  </w:r>
                </w:p>
                <w:p>
                  <w:pPr>
                    <w:pBdr>
                      <w:top w:val="single" w:sz="4" w:space="1" w:color="auto"/>
                      <w:left w:val="single" w:sz="4" w:space="4" w:color="auto"/>
                      <w:bottom w:val="single" w:sz="4" w:space="1" w:color="auto"/>
                      <w:right w:val="single" w:sz="4" w:space="4" w:color="auto"/>
                    </w:pBdr>
                    <w:tabs>
                      <w:tab w:val="left" w:pos="1134"/>
                    </w:tabs>
                    <w:ind w:right="27"/>
                    <w:jc w:val="both"/>
                  </w:pPr>
                  <w:r>
                    <w:sym w:font="Wingdings" w:char="F0A8"/>
                  </w:r>
                  <w:r>
                    <w:t xml:space="preserve"> Ecoles (dénomination et n° FASE) qui ont refusé de participer à ce projet d’intégration :</w:t>
                  </w:r>
                </w:p>
                <w:p>
                  <w:pPr>
                    <w:pBdr>
                      <w:top w:val="single" w:sz="4" w:space="1" w:color="auto"/>
                      <w:left w:val="single" w:sz="4" w:space="4" w:color="auto"/>
                      <w:bottom w:val="single" w:sz="4" w:space="1" w:color="auto"/>
                      <w:right w:val="single" w:sz="4" w:space="4" w:color="auto"/>
                    </w:pBdr>
                    <w:tabs>
                      <w:tab w:val="left" w:pos="1134"/>
                    </w:tabs>
                    <w:ind w:right="27"/>
                    <w:jc w:val="both"/>
                  </w:pPr>
                </w:p>
                <w:p>
                  <w:pPr>
                    <w:pBdr>
                      <w:top w:val="single" w:sz="4" w:space="1" w:color="auto"/>
                      <w:left w:val="single" w:sz="4" w:space="4" w:color="auto"/>
                      <w:bottom w:val="single" w:sz="4" w:space="1" w:color="auto"/>
                      <w:right w:val="single" w:sz="4" w:space="4" w:color="auto"/>
                    </w:pBdr>
                    <w:tabs>
                      <w:tab w:val="left" w:pos="1134"/>
                    </w:tabs>
                    <w:ind w:right="27"/>
                    <w:jc w:val="both"/>
                  </w:pPr>
                </w:p>
                <w:p>
                  <w:pPr>
                    <w:pBdr>
                      <w:top w:val="single" w:sz="4" w:space="1" w:color="auto"/>
                      <w:left w:val="single" w:sz="4" w:space="4" w:color="auto"/>
                      <w:bottom w:val="single" w:sz="4" w:space="1" w:color="auto"/>
                      <w:right w:val="single" w:sz="4" w:space="4" w:color="auto"/>
                    </w:pBdr>
                    <w:tabs>
                      <w:tab w:val="left" w:pos="1134"/>
                    </w:tabs>
                    <w:ind w:right="27"/>
                    <w:jc w:val="both"/>
                  </w:pPr>
                  <w:r>
                    <w:t>L’élève est-il comptabilisable pour l’accompagnement paramédical : oui - non</w:t>
                  </w:r>
                </w:p>
                <w:p>
                  <w:pPr>
                    <w:pStyle w:val="Corpsdetexte"/>
                  </w:pPr>
                </w:p>
                <w:p>
                  <w:pPr>
                    <w:ind w:right="-121"/>
                  </w:pPr>
                </w:p>
                <w:tbl>
                  <w:tblPr>
                    <w:tblpPr w:leftFromText="141" w:rightFromText="141" w:vertAnchor="text" w:horzAnchor="margin"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6"/>
                    <w:gridCol w:w="2296"/>
                    <w:gridCol w:w="2376"/>
                    <w:gridCol w:w="2296"/>
                  </w:tblGrid>
                  <w:tr>
                    <w:tc>
                      <w:tcPr>
                        <w:tcW w:w="4672" w:type="dxa"/>
                        <w:gridSpan w:val="2"/>
                      </w:tcPr>
                      <w:p>
                        <w:pPr>
                          <w:pStyle w:val="Corpsdetexte"/>
                        </w:pPr>
                        <w:r>
                          <w:t xml:space="preserve">Etablissement d’enseignement </w:t>
                        </w:r>
                        <w:r>
                          <w:rPr>
                            <w:color w:val="FF0000"/>
                          </w:rPr>
                          <w:t xml:space="preserve">spécialisé </w:t>
                        </w:r>
                        <w:r>
                          <w:t>concerné</w:t>
                        </w:r>
                      </w:p>
                    </w:tc>
                    <w:tc>
                      <w:tcPr>
                        <w:tcW w:w="4672" w:type="dxa"/>
                        <w:gridSpan w:val="2"/>
                      </w:tcPr>
                      <w:p>
                        <w:pPr>
                          <w:pStyle w:val="Corpsdetexte"/>
                        </w:pPr>
                        <w:r>
                          <w:t xml:space="preserve">Etablissement d’enseignement </w:t>
                        </w:r>
                        <w:r>
                          <w:rPr>
                            <w:color w:val="FF0000"/>
                          </w:rPr>
                          <w:t xml:space="preserve">ordinaire </w:t>
                        </w:r>
                        <w:r>
                          <w:t>concerné</w:t>
                        </w:r>
                      </w:p>
                    </w:tc>
                  </w:tr>
                  <w:tr>
                    <w:tc>
                      <w:tcPr>
                        <w:tcW w:w="2376" w:type="dxa"/>
                      </w:tcPr>
                      <w:p>
                        <w:pPr>
                          <w:pStyle w:val="Corpsdetexte"/>
                        </w:pPr>
                        <w:r>
                          <w:t>Dénomination</w:t>
                        </w:r>
                      </w:p>
                    </w:tc>
                    <w:tc>
                      <w:tcPr>
                        <w:tcW w:w="2296" w:type="dxa"/>
                      </w:tcPr>
                      <w:p>
                        <w:pPr>
                          <w:pStyle w:val="Corpsdetexte"/>
                        </w:pPr>
                      </w:p>
                      <w:p>
                        <w:pPr>
                          <w:pStyle w:val="Corpsdetexte"/>
                        </w:pPr>
                      </w:p>
                      <w:p>
                        <w:pPr>
                          <w:pStyle w:val="Corpsdetexte"/>
                        </w:pPr>
                      </w:p>
                    </w:tc>
                    <w:tc>
                      <w:tcPr>
                        <w:tcW w:w="2376" w:type="dxa"/>
                      </w:tcPr>
                      <w:p>
                        <w:pPr>
                          <w:pStyle w:val="Corpsdetexte"/>
                        </w:pPr>
                        <w:r>
                          <w:t>Dénomination</w:t>
                        </w:r>
                      </w:p>
                    </w:tc>
                    <w:tc>
                      <w:tcPr>
                        <w:tcW w:w="2296" w:type="dxa"/>
                      </w:tcPr>
                      <w:p>
                        <w:pPr>
                          <w:pStyle w:val="Corpsdetexte"/>
                        </w:pPr>
                      </w:p>
                    </w:tc>
                  </w:tr>
                  <w:tr>
                    <w:tc>
                      <w:tcPr>
                        <w:tcW w:w="2376" w:type="dxa"/>
                      </w:tcPr>
                      <w:p>
                        <w:pPr>
                          <w:pStyle w:val="Corpsdetexte"/>
                        </w:pPr>
                        <w:r>
                          <w:t>N°FASE </w:t>
                        </w:r>
                      </w:p>
                      <w:p>
                        <w:pPr>
                          <w:pStyle w:val="Corpsdetexte"/>
                        </w:pPr>
                        <w:r>
                          <w:t>(bâtiment principal):</w:t>
                        </w:r>
                      </w:p>
                    </w:tc>
                    <w:tc>
                      <w:tcPr>
                        <w:tcW w:w="2296" w:type="dxa"/>
                      </w:tcPr>
                      <w:p>
                        <w:pPr>
                          <w:pStyle w:val="Corpsdetexte"/>
                        </w:pPr>
                      </w:p>
                    </w:tc>
                    <w:tc>
                      <w:tcPr>
                        <w:tcW w:w="2376" w:type="dxa"/>
                      </w:tcPr>
                      <w:p>
                        <w:pPr>
                          <w:pStyle w:val="Corpsdetexte"/>
                        </w:pPr>
                        <w:r>
                          <w:t>N°FASE </w:t>
                        </w:r>
                      </w:p>
                      <w:p>
                        <w:pPr>
                          <w:pStyle w:val="Corpsdetexte"/>
                        </w:pPr>
                        <w:r>
                          <w:t>(bâtiment principal):</w:t>
                        </w:r>
                      </w:p>
                    </w:tc>
                    <w:tc>
                      <w:tcPr>
                        <w:tcW w:w="2296" w:type="dxa"/>
                      </w:tcPr>
                      <w:p>
                        <w:pPr>
                          <w:pStyle w:val="Corpsdetexte"/>
                        </w:pPr>
                      </w:p>
                    </w:tc>
                  </w:tr>
                  <w:tr>
                    <w:tc>
                      <w:tcPr>
                        <w:tcW w:w="2376" w:type="dxa"/>
                      </w:tcPr>
                      <w:p>
                        <w:pPr>
                          <w:pStyle w:val="Corpsdetexte"/>
                        </w:pPr>
                        <w:r>
                          <w:t>N° FASE (implantation) </w:t>
                        </w:r>
                      </w:p>
                    </w:tc>
                    <w:tc>
                      <w:tcPr>
                        <w:tcW w:w="2296" w:type="dxa"/>
                      </w:tcPr>
                      <w:p>
                        <w:pPr>
                          <w:pStyle w:val="Corpsdetexte"/>
                        </w:pPr>
                      </w:p>
                    </w:tc>
                    <w:tc>
                      <w:tcPr>
                        <w:tcW w:w="2376" w:type="dxa"/>
                      </w:tcPr>
                      <w:p>
                        <w:pPr>
                          <w:pStyle w:val="Corpsdetexte"/>
                        </w:pPr>
                        <w:r>
                          <w:t>N° FASE (implantation) </w:t>
                        </w:r>
                      </w:p>
                    </w:tc>
                    <w:tc>
                      <w:tcPr>
                        <w:tcW w:w="2296" w:type="dxa"/>
                      </w:tcPr>
                      <w:p>
                        <w:pPr>
                          <w:pStyle w:val="Corpsdetexte"/>
                        </w:pPr>
                      </w:p>
                    </w:tc>
                  </w:tr>
                  <w:tr>
                    <w:tc>
                      <w:tcPr>
                        <w:tcW w:w="2376" w:type="dxa"/>
                      </w:tcPr>
                      <w:p>
                        <w:pPr>
                          <w:pStyle w:val="Corpsdetexte"/>
                        </w:pPr>
                        <w:r>
                          <w:t>Adresse</w:t>
                        </w:r>
                      </w:p>
                    </w:tc>
                    <w:tc>
                      <w:tcPr>
                        <w:tcW w:w="2296" w:type="dxa"/>
                      </w:tcPr>
                      <w:p>
                        <w:pPr>
                          <w:pStyle w:val="Corpsdetexte"/>
                        </w:pPr>
                      </w:p>
                    </w:tc>
                    <w:tc>
                      <w:tcPr>
                        <w:tcW w:w="2376" w:type="dxa"/>
                      </w:tcPr>
                      <w:p>
                        <w:pPr>
                          <w:pStyle w:val="Corpsdetexte"/>
                        </w:pPr>
                        <w:r>
                          <w:t>Adresse</w:t>
                        </w:r>
                      </w:p>
                    </w:tc>
                    <w:tc>
                      <w:tcPr>
                        <w:tcW w:w="2296" w:type="dxa"/>
                      </w:tcPr>
                      <w:p>
                        <w:pPr>
                          <w:pStyle w:val="Corpsdetexte"/>
                        </w:pPr>
                      </w:p>
                    </w:tc>
                  </w:tr>
                  <w:tr>
                    <w:tc>
                      <w:tcPr>
                        <w:tcW w:w="2376" w:type="dxa"/>
                      </w:tcPr>
                      <w:p>
                        <w:pPr>
                          <w:pStyle w:val="Corpsdetexte"/>
                        </w:pPr>
                        <w:r>
                          <w:t>CP</w:t>
                        </w:r>
                      </w:p>
                    </w:tc>
                    <w:tc>
                      <w:tcPr>
                        <w:tcW w:w="2296" w:type="dxa"/>
                      </w:tcPr>
                      <w:p>
                        <w:pPr>
                          <w:pStyle w:val="Corpsdetexte"/>
                        </w:pPr>
                      </w:p>
                    </w:tc>
                    <w:tc>
                      <w:tcPr>
                        <w:tcW w:w="2376" w:type="dxa"/>
                      </w:tcPr>
                      <w:p>
                        <w:pPr>
                          <w:pStyle w:val="Corpsdetexte"/>
                        </w:pPr>
                        <w:r>
                          <w:t>CP</w:t>
                        </w:r>
                      </w:p>
                    </w:tc>
                    <w:tc>
                      <w:tcPr>
                        <w:tcW w:w="2296" w:type="dxa"/>
                      </w:tcPr>
                      <w:p>
                        <w:pPr>
                          <w:pStyle w:val="Corpsdetexte"/>
                        </w:pPr>
                      </w:p>
                    </w:tc>
                  </w:tr>
                  <w:tr>
                    <w:tc>
                      <w:tcPr>
                        <w:tcW w:w="2376" w:type="dxa"/>
                      </w:tcPr>
                      <w:p>
                        <w:pPr>
                          <w:pStyle w:val="Corpsdetexte"/>
                        </w:pPr>
                        <w:r>
                          <w:t>LOCALITE</w:t>
                        </w:r>
                      </w:p>
                    </w:tc>
                    <w:tc>
                      <w:tcPr>
                        <w:tcW w:w="2296" w:type="dxa"/>
                      </w:tcPr>
                      <w:p>
                        <w:pPr>
                          <w:pStyle w:val="Corpsdetexte"/>
                        </w:pPr>
                      </w:p>
                    </w:tc>
                    <w:tc>
                      <w:tcPr>
                        <w:tcW w:w="2376" w:type="dxa"/>
                      </w:tcPr>
                      <w:p>
                        <w:pPr>
                          <w:pStyle w:val="Corpsdetexte"/>
                        </w:pPr>
                        <w:r>
                          <w:t>LOCALITE</w:t>
                        </w:r>
                      </w:p>
                    </w:tc>
                    <w:tc>
                      <w:tcPr>
                        <w:tcW w:w="2296" w:type="dxa"/>
                      </w:tcPr>
                      <w:p>
                        <w:pPr>
                          <w:pStyle w:val="Corpsdetexte"/>
                        </w:pPr>
                      </w:p>
                    </w:tc>
                  </w:tr>
                </w:tbl>
                <w:p>
                  <w:pPr>
                    <w:tabs>
                      <w:tab w:val="left" w:pos="1134"/>
                    </w:tabs>
                    <w:jc w:val="both"/>
                  </w:pPr>
                </w:p>
                <w:p>
                  <w:pPr>
                    <w:tabs>
                      <w:tab w:val="left" w:pos="1134"/>
                    </w:tabs>
                    <w:jc w:val="both"/>
                  </w:pPr>
                  <w:r>
                    <w:t xml:space="preserve">Par la présente, la direction de l’école d’enseignement spécialisé organisé par la Fédération Wallonie-Bruxelles ou le pouvoir organisateur dans l’enseignement spécialisé subventionné, atteste que les informations ci-dessus sont complètes et conformes à la réalité. La direction s’engage à informer l’Administration de toute modification. </w:t>
                  </w:r>
                </w:p>
                <w:p>
                  <w:pPr>
                    <w:tabs>
                      <w:tab w:val="left" w:pos="1134"/>
                    </w:tabs>
                  </w:pPr>
                </w:p>
                <w:p>
                  <w:pPr>
                    <w:pBdr>
                      <w:top w:val="single" w:sz="4" w:space="1" w:color="auto"/>
                      <w:left w:val="single" w:sz="4" w:space="4" w:color="auto"/>
                      <w:bottom w:val="single" w:sz="4" w:space="1" w:color="auto"/>
                      <w:right w:val="single" w:sz="4" w:space="4" w:color="auto"/>
                    </w:pBdr>
                    <w:tabs>
                      <w:tab w:val="left" w:pos="1134"/>
                    </w:tabs>
                    <w:rPr>
                      <w:color w:val="FF0000"/>
                      <w:u w:val="single"/>
                    </w:rPr>
                  </w:pPr>
                  <w:r>
                    <w:rPr>
                      <w:u w:val="single"/>
                    </w:rPr>
                    <w:t>Dispositions pratiques et pédagogiques prises en vue d’accueillir l’élève :</w:t>
                  </w:r>
                </w:p>
                <w:p>
                  <w:pPr>
                    <w:pBdr>
                      <w:top w:val="single" w:sz="4" w:space="1" w:color="auto"/>
                      <w:left w:val="single" w:sz="4" w:space="4" w:color="auto"/>
                      <w:bottom w:val="single" w:sz="4" w:space="1" w:color="auto"/>
                      <w:right w:val="single" w:sz="4" w:space="4" w:color="auto"/>
                    </w:pBdr>
                    <w:tabs>
                      <w:tab w:val="left" w:pos="1134"/>
                    </w:tabs>
                    <w:rPr>
                      <w:color w:val="FF0000"/>
                    </w:rPr>
                  </w:pPr>
                </w:p>
                <w:p>
                  <w:pPr>
                    <w:tabs>
                      <w:tab w:val="left" w:pos="1134"/>
                    </w:tabs>
                  </w:pPr>
                </w:p>
                <w:tbl>
                  <w:tblPr>
                    <w:tblW w:w="9640" w:type="dxa"/>
                    <w:tblInd w:w="-147" w:type="dxa"/>
                    <w:tblLayout w:type="fixed"/>
                    <w:tblLook w:val="0000" w:firstRow="0" w:lastRow="0" w:firstColumn="0" w:lastColumn="0" w:noHBand="0" w:noVBand="0"/>
                  </w:tblPr>
                  <w:tblGrid>
                    <w:gridCol w:w="1488"/>
                    <w:gridCol w:w="2700"/>
                    <w:gridCol w:w="2924"/>
                    <w:gridCol w:w="2528"/>
                  </w:tblGrid>
                  <w:tr>
                    <w:tc>
                      <w:tcPr>
                        <w:tcW w:w="1488" w:type="dxa"/>
                        <w:tcBorders>
                          <w:top w:val="single" w:sz="4" w:space="0" w:color="000000"/>
                          <w:left w:val="single" w:sz="4" w:space="0" w:color="000000"/>
                          <w:bottom w:val="single" w:sz="4" w:space="0" w:color="000000"/>
                        </w:tcBorders>
                      </w:tcPr>
                      <w:p>
                        <w:pPr>
                          <w:tabs>
                            <w:tab w:val="left" w:pos="1134"/>
                          </w:tabs>
                          <w:snapToGrid w:val="0"/>
                          <w:jc w:val="center"/>
                        </w:pPr>
                        <w:r>
                          <w:t>Date</w:t>
                        </w:r>
                      </w:p>
                    </w:tc>
                    <w:tc>
                      <w:tcPr>
                        <w:tcW w:w="2700" w:type="dxa"/>
                        <w:tcBorders>
                          <w:top w:val="single" w:sz="4" w:space="0" w:color="000000"/>
                          <w:left w:val="single" w:sz="4" w:space="0" w:color="000000"/>
                          <w:bottom w:val="single" w:sz="4" w:space="0" w:color="000000"/>
                        </w:tcBorders>
                      </w:tcPr>
                      <w:p>
                        <w:pPr>
                          <w:tabs>
                            <w:tab w:val="left" w:pos="1134"/>
                          </w:tabs>
                          <w:snapToGrid w:val="0"/>
                          <w:jc w:val="center"/>
                        </w:pPr>
                        <w:r>
                          <w:t>Nom du signataire</w:t>
                        </w:r>
                      </w:p>
                    </w:tc>
                    <w:tc>
                      <w:tcPr>
                        <w:tcW w:w="2924" w:type="dxa"/>
                        <w:tcBorders>
                          <w:top w:val="single" w:sz="4" w:space="0" w:color="000000"/>
                          <w:left w:val="single" w:sz="4" w:space="0" w:color="000000"/>
                          <w:bottom w:val="single" w:sz="4" w:space="0" w:color="000000"/>
                        </w:tcBorders>
                      </w:tcPr>
                      <w:p>
                        <w:pPr>
                          <w:tabs>
                            <w:tab w:val="left" w:pos="1134"/>
                          </w:tabs>
                          <w:snapToGrid w:val="0"/>
                          <w:jc w:val="center"/>
                        </w:pPr>
                        <w:r>
                          <w:t>Qualité du signataire</w:t>
                        </w:r>
                      </w:p>
                      <w:p>
                        <w:pPr>
                          <w:tabs>
                            <w:tab w:val="left" w:pos="1134"/>
                          </w:tabs>
                          <w:jc w:val="center"/>
                        </w:pPr>
                      </w:p>
                    </w:tc>
                    <w:tc>
                      <w:tcPr>
                        <w:tcW w:w="2528"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center"/>
                        </w:pPr>
                        <w:r>
                          <w:t>Signature</w:t>
                        </w:r>
                      </w:p>
                    </w:tc>
                  </w:tr>
                  <w:tr>
                    <w:tc>
                      <w:tcPr>
                        <w:tcW w:w="1488" w:type="dxa"/>
                        <w:tcBorders>
                          <w:top w:val="single" w:sz="4" w:space="0" w:color="000000"/>
                          <w:left w:val="single" w:sz="4" w:space="0" w:color="000000"/>
                          <w:bottom w:val="single" w:sz="4" w:space="0" w:color="000000"/>
                        </w:tcBorders>
                      </w:tcPr>
                      <w:p>
                        <w:pPr>
                          <w:tabs>
                            <w:tab w:val="left" w:pos="1134"/>
                          </w:tabs>
                          <w:snapToGrid w:val="0"/>
                        </w:pPr>
                      </w:p>
                    </w:tc>
                    <w:tc>
                      <w:tcPr>
                        <w:tcW w:w="2700" w:type="dxa"/>
                        <w:tcBorders>
                          <w:top w:val="single" w:sz="4" w:space="0" w:color="000000"/>
                          <w:left w:val="single" w:sz="4" w:space="0" w:color="000000"/>
                          <w:bottom w:val="single" w:sz="4" w:space="0" w:color="000000"/>
                        </w:tcBorders>
                      </w:tcPr>
                      <w:p>
                        <w:pPr>
                          <w:tabs>
                            <w:tab w:val="left" w:pos="1134"/>
                          </w:tabs>
                          <w:snapToGrid w:val="0"/>
                        </w:pPr>
                      </w:p>
                    </w:tc>
                    <w:tc>
                      <w:tcPr>
                        <w:tcW w:w="2924" w:type="dxa"/>
                        <w:tcBorders>
                          <w:top w:val="single" w:sz="4" w:space="0" w:color="000000"/>
                          <w:left w:val="single" w:sz="4" w:space="0" w:color="000000"/>
                          <w:bottom w:val="single" w:sz="4" w:space="0" w:color="000000"/>
                        </w:tcBorders>
                      </w:tcPr>
                      <w:p>
                        <w:pPr>
                          <w:tabs>
                            <w:tab w:val="left" w:pos="1134"/>
                          </w:tabs>
                          <w:snapToGrid w:val="0"/>
                        </w:pPr>
                      </w:p>
                    </w:tc>
                    <w:tc>
                      <w:tcPr>
                        <w:tcW w:w="2528" w:type="dxa"/>
                        <w:tcBorders>
                          <w:top w:val="single" w:sz="4" w:space="0" w:color="000000"/>
                          <w:left w:val="single" w:sz="4" w:space="0" w:color="000000"/>
                          <w:bottom w:val="single" w:sz="4" w:space="0" w:color="000000"/>
                          <w:right w:val="single" w:sz="4" w:space="0" w:color="000000"/>
                        </w:tcBorders>
                      </w:tcPr>
                      <w:p>
                        <w:pPr>
                          <w:tabs>
                            <w:tab w:val="left" w:pos="1134"/>
                          </w:tabs>
                          <w:snapToGrid w:val="0"/>
                        </w:pPr>
                      </w:p>
                      <w:p>
                        <w:pPr>
                          <w:tabs>
                            <w:tab w:val="left" w:pos="1134"/>
                          </w:tabs>
                        </w:pPr>
                      </w:p>
                    </w:tc>
                  </w:tr>
                </w:tbl>
                <w:p>
                  <w:pPr>
                    <w:tabs>
                      <w:tab w:val="left" w:pos="1134"/>
                    </w:tabs>
                    <w:jc w:val="center"/>
                  </w:pPr>
                  <w:r>
                    <w:br w:type="page"/>
                  </w:r>
                  <w:bookmarkStart w:id="2977" w:name="_Annexe_9_:"/>
                  <w:bookmarkStart w:id="2978" w:name="_Annexe_10_:"/>
                  <w:bookmarkStart w:id="2979" w:name="_Annexe_9"/>
                  <w:bookmarkEnd w:id="2977"/>
                  <w:bookmarkEnd w:id="2978"/>
                  <w:bookmarkEnd w:id="2979"/>
                </w:p>
                <w:p>
                  <w:pPr>
                    <w:pStyle w:val="Titre4"/>
                  </w:pPr>
                  <w:bookmarkStart w:id="2980" w:name="_Annexe_10_:_3"/>
                  <w:bookmarkStart w:id="2981" w:name="_Toc453314465"/>
                  <w:bookmarkStart w:id="2982" w:name="_Toc454980500"/>
                  <w:bookmarkStart w:id="2983" w:name="_Ref11405434"/>
                  <w:bookmarkStart w:id="2984" w:name="_Ref11405518"/>
                  <w:bookmarkStart w:id="2985" w:name="_Ref11406146"/>
                  <w:bookmarkEnd w:id="2980"/>
                  <w:r>
                    <w:t>Annexe 10 : Demande de transmission des informations concernant un élève en intégration permanente totale au-delà du 30 septembre de l’année scolaire en cours pour laquelle est prévue l’intégration.</w:t>
                  </w:r>
                  <w:bookmarkEnd w:id="2981"/>
                  <w:bookmarkEnd w:id="2982"/>
                  <w:bookmarkEnd w:id="2983"/>
                  <w:bookmarkEnd w:id="2984"/>
                  <w:bookmarkEnd w:id="2985"/>
                </w:p>
                <w:p>
                  <w:pPr>
                    <w:jc w:val="center"/>
                  </w:pPr>
                </w:p>
                <w:p>
                  <w:pPr>
                    <w:jc w:val="center"/>
                  </w:pPr>
                </w:p>
                <w:p>
                  <w:pPr>
                    <w:pBdr>
                      <w:top w:val="single" w:sz="4" w:space="1" w:color="auto"/>
                      <w:left w:val="single" w:sz="4" w:space="4" w:color="auto"/>
                      <w:bottom w:val="single" w:sz="4" w:space="1" w:color="auto"/>
                      <w:right w:val="single" w:sz="4" w:space="4" w:color="auto"/>
                    </w:pBdr>
                    <w:jc w:val="center"/>
                  </w:pPr>
                  <w:r>
                    <w:t>Cette annexe est à renvoyée à l’adresse suivante :</w:t>
                  </w:r>
                </w:p>
                <w:p>
                  <w:pPr>
                    <w:pBdr>
                      <w:top w:val="single" w:sz="4" w:space="1" w:color="auto"/>
                      <w:left w:val="single" w:sz="4" w:space="4" w:color="auto"/>
                      <w:bottom w:val="single" w:sz="4" w:space="1" w:color="auto"/>
                      <w:right w:val="single" w:sz="4" w:space="4" w:color="auto"/>
                    </w:pBdr>
                    <w:jc w:val="center"/>
                  </w:pPr>
                </w:p>
                <w:p>
                  <w:pPr>
                    <w:pBdr>
                      <w:top w:val="single" w:sz="4" w:space="1" w:color="auto"/>
                      <w:left w:val="single" w:sz="4" w:space="4" w:color="auto"/>
                      <w:bottom w:val="single" w:sz="4" w:space="1" w:color="auto"/>
                      <w:right w:val="single" w:sz="4" w:space="4" w:color="auto"/>
                    </w:pBdr>
                    <w:jc w:val="center"/>
                  </w:pPr>
                  <w:r>
                    <w:t>A l’attention du Ministre ayant l’enseignement spécialisé dans ses attributions</w:t>
                  </w:r>
                </w:p>
                <w:p>
                  <w:pPr>
                    <w:pBdr>
                      <w:top w:val="single" w:sz="4" w:space="1" w:color="auto"/>
                      <w:left w:val="single" w:sz="4" w:space="4" w:color="auto"/>
                      <w:bottom w:val="single" w:sz="4" w:space="1" w:color="auto"/>
                      <w:right w:val="single" w:sz="4" w:space="4" w:color="auto"/>
                    </w:pBdr>
                    <w:jc w:val="center"/>
                  </w:pPr>
                  <w:r>
                    <w:t>Place Surlet de Chokier, 15-17</w:t>
                  </w:r>
                </w:p>
                <w:p>
                  <w:pPr>
                    <w:pBdr>
                      <w:top w:val="single" w:sz="4" w:space="1" w:color="auto"/>
                      <w:left w:val="single" w:sz="4" w:space="4" w:color="auto"/>
                      <w:bottom w:val="single" w:sz="4" w:space="1" w:color="auto"/>
                      <w:right w:val="single" w:sz="4" w:space="4" w:color="auto"/>
                    </w:pBdr>
                    <w:jc w:val="center"/>
                  </w:pPr>
                  <w:r>
                    <w:t>1000    BRUXELLES</w:t>
                  </w:r>
                </w:p>
                <w:p>
                  <w:pPr>
                    <w:jc w:val="center"/>
                  </w:pPr>
                </w:p>
                <w:p>
                  <w:pPr>
                    <w:numPr>
                      <w:ilvl w:val="0"/>
                      <w:numId w:val="136"/>
                    </w:numPr>
                    <w:ind w:left="0" w:firstLine="0"/>
                  </w:pPr>
                  <w:r>
                    <w:t xml:space="preserve">Renseignements généraux </w:t>
                  </w:r>
                </w:p>
                <w:p/>
                <w:p>
                  <w:pPr>
                    <w:pBdr>
                      <w:right w:val="single" w:sz="4" w:space="4" w:color="auto"/>
                    </w:pBdr>
                  </w:pPr>
                  <w:r>
                    <w:t>Sous peine de nullité, joindre</w:t>
                  </w:r>
                  <w:r>
                    <w:rPr>
                      <w:b/>
                    </w:rPr>
                    <w:t xml:space="preserve"> impérativement</w:t>
                  </w:r>
                  <w:r>
                    <w:t xml:space="preserve"> une copie du protocole d’intégration. (</w:t>
                  </w:r>
                  <w:hyperlink w:anchor="_Annexe_2_:_5" w:history="1">
                    <w:r>
                      <w:rPr>
                        <w:rStyle w:val="Lienhypertexte"/>
                        <w:rFonts w:cstheme="minorBidi"/>
                      </w:rPr>
                      <w:t>Annexe 2</w:t>
                    </w:r>
                  </w:hyperlink>
                  <w:r>
                    <w:t xml:space="preserve">). Ne pas oublier d’ajouter le nom de l’élève. </w:t>
                  </w:r>
                </w:p>
                <w:p/>
                <w:p/>
                <w:p>
                  <w:pPr>
                    <w:numPr>
                      <w:ilvl w:val="0"/>
                      <w:numId w:val="136"/>
                    </w:numPr>
                    <w:ind w:left="0" w:firstLine="0"/>
                  </w:pPr>
                  <w:r>
                    <w:t xml:space="preserve">Circonstance invoquée. (Cocher et annexer toute pièce probante). </w:t>
                  </w:r>
                </w:p>
                <w:p/>
                <w:tbl>
                  <w:tblPr>
                    <w:tblpPr w:leftFromText="141" w:rightFromText="141" w:vertAnchor="text" w:horzAnchor="margin" w:tblpX="288" w:tblpY="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8352"/>
                  </w:tblGrid>
                  <w:tr>
                    <w:tc>
                      <w:tcPr>
                        <w:tcW w:w="828" w:type="dxa"/>
                      </w:tcPr>
                      <w:p/>
                    </w:tc>
                    <w:tc>
                      <w:tcPr>
                        <w:tcW w:w="8352" w:type="dxa"/>
                      </w:tcPr>
                      <w:p>
                        <w:pPr>
                          <w:jc w:val="both"/>
                        </w:pPr>
                        <w:r>
                          <w:t>Mesure de placement prise soit par un magistrat, soit par le conseiller ou le (la) directeur(trice) d’aide à la jeunesse ;</w:t>
                        </w:r>
                      </w:p>
                    </w:tc>
                  </w:tr>
                  <w:tr>
                    <w:tc>
                      <w:tcPr>
                        <w:tcW w:w="828" w:type="dxa"/>
                      </w:tcPr>
                      <w:p/>
                    </w:tc>
                    <w:tc>
                      <w:tcPr>
                        <w:tcW w:w="8352" w:type="dxa"/>
                      </w:tcPr>
                      <w:p>
                        <w:pPr>
                          <w:jc w:val="both"/>
                        </w:pPr>
                        <w:r>
                          <w:t>Changement de domicile ;</w:t>
                        </w:r>
                      </w:p>
                    </w:tc>
                  </w:tr>
                  <w:tr>
                    <w:tc>
                      <w:tcPr>
                        <w:tcW w:w="828" w:type="dxa"/>
                      </w:tcPr>
                      <w:p/>
                    </w:tc>
                    <w:tc>
                      <w:tcPr>
                        <w:tcW w:w="8352" w:type="dxa"/>
                      </w:tcPr>
                      <w:p>
                        <w:pPr>
                          <w:jc w:val="both"/>
                        </w:pPr>
                        <w:r>
                          <w:t>Séparation des parents entraînant un changement de lieu d’hébergement de l’élève ;</w:t>
                        </w:r>
                      </w:p>
                    </w:tc>
                  </w:tr>
                  <w:tr>
                    <w:tc>
                      <w:tcPr>
                        <w:tcW w:w="828" w:type="dxa"/>
                      </w:tcPr>
                      <w:p/>
                    </w:tc>
                    <w:tc>
                      <w:tcPr>
                        <w:tcW w:w="8352" w:type="dxa"/>
                      </w:tcPr>
                      <w:p>
                        <w:pPr>
                          <w:jc w:val="both"/>
                        </w:pPr>
                        <w:r>
                          <w:t>Passage de l’élève d’une école à régime d’externat vers un internat et vice versa ;</w:t>
                        </w:r>
                      </w:p>
                    </w:tc>
                  </w:tr>
                  <w:tr>
                    <w:tc>
                      <w:tcPr>
                        <w:tcW w:w="828" w:type="dxa"/>
                      </w:tcPr>
                      <w:p/>
                    </w:tc>
                    <w:tc>
                      <w:tcPr>
                        <w:tcW w:w="8352" w:type="dxa"/>
                      </w:tcPr>
                      <w:p>
                        <w:pPr>
                          <w:jc w:val="both"/>
                        </w:pPr>
                        <w:r>
                          <w:t>Accueil de l’élève, sur l’initiative des parents, dans une autre famille ou dans un centre pour raison de maladie, de voyage ;</w:t>
                        </w:r>
                      </w:p>
                    </w:tc>
                  </w:tr>
                  <w:tr>
                    <w:tc>
                      <w:tcPr>
                        <w:tcW w:w="828" w:type="dxa"/>
                      </w:tcPr>
                      <w:p/>
                    </w:tc>
                    <w:tc>
                      <w:tcPr>
                        <w:tcW w:w="8352" w:type="dxa"/>
                      </w:tcPr>
                      <w:p>
                        <w:pPr>
                          <w:jc w:val="both"/>
                        </w:pPr>
                        <w:r>
                          <w:t>Exclusion définitive de l’élève d’un autre établissement ;</w:t>
                        </w:r>
                      </w:p>
                    </w:tc>
                  </w:tr>
                  <w:tr>
                    <w:tc>
                      <w:tcPr>
                        <w:tcW w:w="828" w:type="dxa"/>
                      </w:tcPr>
                      <w:p/>
                    </w:tc>
                    <w:tc>
                      <w:tcPr>
                        <w:tcW w:w="8352" w:type="dxa"/>
                      </w:tcPr>
                      <w:p>
                        <w:pPr>
                          <w:jc w:val="both"/>
                        </w:pPr>
                        <w:r>
                          <w:t>Cas de force majeure ou de nécessité absolue dûment motivée et dans l’intérêt de l’élève pour des motifs autres que les cas énumérés ci-dessus.</w:t>
                        </w:r>
                      </w:p>
                    </w:tc>
                  </w:tr>
                </w:tbl>
                <w:p/>
                <w:p/>
                <w:p>
                  <w:pPr>
                    <w:numPr>
                      <w:ilvl w:val="0"/>
                      <w:numId w:val="136"/>
                    </w:numPr>
                    <w:ind w:left="0" w:firstLine="0"/>
                  </w:pPr>
                  <w:r>
                    <w:t xml:space="preserve">Motivation supplémentaire. (Obligatoire en cas de force majeure ou de nécessité absolue). </w:t>
                  </w:r>
                </w:p>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094"/>
                  </w:tblGrid>
                  <w:tr>
                    <w:trPr>
                      <w:trHeight w:val="1791"/>
                    </w:trPr>
                    <w:tc>
                      <w:tcPr>
                        <w:tcW w:w="9176" w:type="dxa"/>
                      </w:tcPr>
                      <w:p/>
                      <w:p/>
                      <w:p/>
                      <w:p/>
                      <w:p/>
                      <w:p/>
                      <w:p/>
                    </w:tc>
                  </w:tr>
                </w:tbl>
                <w:p/>
                <w:p>
                  <w:pPr>
                    <w:rPr>
                      <w:b/>
                    </w:rPr>
                  </w:pPr>
                  <w:r>
                    <w:rPr>
                      <w:b/>
                    </w:rPr>
                    <w:t>Date et signature de la direction de l’établissement</w:t>
                  </w:r>
                </w:p>
                <w:p/>
                <w:p>
                  <w:pPr>
                    <w:rPr>
                      <w:b/>
                      <w:u w:val="single"/>
                    </w:rPr>
                  </w:pPr>
                  <w:bookmarkStart w:id="2986" w:name="_Annexe_11_:"/>
                  <w:bookmarkEnd w:id="2986"/>
                  <w:r>
                    <w:br w:type="page"/>
                  </w:r>
                </w:p>
                <w:p>
                  <w:pPr>
                    <w:pStyle w:val="Titre4"/>
                  </w:pPr>
                  <w:bookmarkStart w:id="2987" w:name="_Annexes_11,_12,"/>
                  <w:bookmarkEnd w:id="2987"/>
                  <w:r>
                    <w:t xml:space="preserve">Annexes 11, 12, 13 : </w:t>
                  </w:r>
                </w:p>
                <w:p>
                  <w:pPr>
                    <w:pBdr>
                      <w:right w:val="single" w:sz="4" w:space="4" w:color="auto"/>
                    </w:pBdr>
                    <w:rPr>
                      <w:color w:val="000000"/>
                    </w:rPr>
                  </w:pPr>
                </w:p>
                <w:p>
                  <w:pPr>
                    <w:rPr>
                      <w:b/>
                    </w:rPr>
                  </w:pPr>
                  <w:r>
                    <w:rPr>
                      <w:b/>
                    </w:rPr>
                    <w:t xml:space="preserve">Supprimées </w:t>
                  </w:r>
                  <w:r>
                    <w:rPr>
                      <w:b/>
                    </w:rPr>
                    <w:br w:type="page"/>
                  </w:r>
                  <w:bookmarkStart w:id="2988" w:name="_Concerne_l’enseignement_fondamental"/>
                  <w:bookmarkEnd w:id="2988"/>
                </w:p>
                <w:p>
                  <w:pPr>
                    <w:pStyle w:val="Titre2"/>
                    <w:jc w:val="left"/>
                  </w:pPr>
                  <w:bookmarkStart w:id="2989" w:name="_Chapitre_14_:"/>
                  <w:bookmarkStart w:id="2990" w:name="_Toc477623808"/>
                  <w:bookmarkStart w:id="2991" w:name="_Toc477767644"/>
                  <w:bookmarkStart w:id="2992" w:name="_Ref11402644"/>
                  <w:bookmarkStart w:id="2993" w:name="_Ref11403470"/>
                  <w:bookmarkStart w:id="2994" w:name="_Toc18914497"/>
                  <w:bookmarkEnd w:id="2989"/>
                  <w:r>
                    <w:rPr>
                      <w:rStyle w:val="Titre2Car1"/>
                      <w:b/>
                      <w:smallCaps/>
                    </w:rPr>
                    <w:t>Chapitre</w:t>
                  </w:r>
                  <w:bookmarkStart w:id="2995" w:name="_Toc477623809"/>
                  <w:bookmarkStart w:id="2996" w:name="_Toc477767645"/>
                  <w:bookmarkEnd w:id="2990"/>
                  <w:bookmarkEnd w:id="2991"/>
                  <w:r>
                    <w:rPr>
                      <w:rStyle w:val="Titre2Car1"/>
                      <w:b/>
                      <w:smallCaps/>
                    </w:rPr>
                    <w:t xml:space="preserve"> 14 : Organisation d’une pédagogie adaptée</w:t>
                  </w:r>
                  <w:bookmarkEnd w:id="2992"/>
                  <w:bookmarkEnd w:id="2993"/>
                  <w:bookmarkEnd w:id="2995"/>
                  <w:bookmarkEnd w:id="2996"/>
                  <w:bookmarkEnd w:id="2994"/>
                  <w:r>
                    <w:t xml:space="preserve"> </w:t>
                  </w:r>
                </w:p>
                <w:p/>
                <w:p>
                  <w:r>
                    <w:t xml:space="preserve">pour les </w:t>
                  </w:r>
                </w:p>
                <w:p>
                  <w:r>
                    <w:t xml:space="preserve">- élèves aphasiques et dysphasiques, </w:t>
                  </w:r>
                </w:p>
                <w:p>
                  <w:r>
                    <w:t xml:space="preserve">- élèves polyhandicapés, </w:t>
                  </w:r>
                </w:p>
                <w:p>
                  <w:r>
                    <w:t>- élèves avec autisme,</w:t>
                  </w:r>
                </w:p>
                <w:p>
                  <w:r>
                    <w:t xml:space="preserve">- élèves avec handicaps physiques lourds (...) mais disposant de compétences intellectuelles leur permettant d’accéder aux apprentissages scolaires (...)  </w:t>
                  </w:r>
                </w:p>
                <w:p/>
                <w:p>
                  <w:pPr>
                    <w:pBdr>
                      <w:right w:val="single" w:sz="4" w:space="4" w:color="auto"/>
                    </w:pBdr>
                    <w:jc w:val="both"/>
                  </w:pPr>
                  <w:r>
                    <w:rPr>
                      <w:color w:val="000000"/>
                    </w:rPr>
                    <w:t xml:space="preserve">Ce chapitre fera l’objet d’une circulaire spécifique relative à l’organisation d’une pédagogie adaptée en tenant compte de la modification décrétale (Article 213, alinéas 3 et 4 du </w:t>
                  </w:r>
                  <w:hyperlink r:id="rId195" w:history="1">
                    <w:r>
                      <w:rPr>
                        <w:rStyle w:val="Lienhypertexte"/>
                        <w:rFonts w:cstheme="minorBidi"/>
                      </w:rPr>
                      <w:t>Decret du 3 mars 2004</w:t>
                    </w:r>
                  </w:hyperlink>
                  <w:r>
                    <w:rPr>
                      <w:color w:val="000000"/>
                    </w:rPr>
                    <w:t xml:space="preserve">) </w:t>
                  </w:r>
                </w:p>
                <w:p/>
                <w:p>
                  <w:pPr>
                    <w:rPr>
                      <w:color w:val="000000"/>
                    </w:rPr>
                  </w:pPr>
                </w:p>
                <w:p>
                  <w:pPr>
                    <w:rPr>
                      <w:sz w:val="24"/>
                    </w:rPr>
                  </w:pPr>
                  <w:bookmarkStart w:id="2997" w:name="_Annexe_13_:"/>
                  <w:bookmarkEnd w:id="2997"/>
                  <w:r>
                    <w:rPr>
                      <w:sz w:val="24"/>
                    </w:rPr>
                    <w:br w:type="page"/>
                  </w:r>
                </w:p>
                <w:sdt>
                  <w:sdtPr>
                    <w:rPr>
                      <w:rFonts w:asciiTheme="majorHAnsi" w:eastAsiaTheme="minorHAnsi" w:hAnsiTheme="majorHAnsi"/>
                      <w:sz w:val="24"/>
                      <w:lang w:eastAsia="en-US"/>
                    </w:rPr>
                    <w:id w:val="-1622061069"/>
                    <w:docPartObj>
                      <w:docPartGallery w:val="Cover Pages"/>
                      <w:docPartUnique/>
                    </w:docPartObj>
                  </w:sdtPr>
                  <w:sdtEndPr>
                    <w:rPr>
                      <w:sz w:val="22"/>
                    </w:rPr>
                  </w:sdtEndPr>
                  <w:sdtContent>
                    <w:p>
                      <w:pPr>
                        <w:pStyle w:val="Sansinterligne"/>
                        <w:rPr>
                          <w:rFonts w:asciiTheme="majorHAnsi" w:hAnsiTheme="majorHAnsi"/>
                        </w:rPr>
                      </w:pPr>
                    </w:p>
                    <w:p>
                      <w:pPr>
                        <w:pStyle w:val="Titre2"/>
                      </w:pPr>
                      <w:bookmarkStart w:id="2998" w:name="_Chapitre_15_:"/>
                      <w:bookmarkStart w:id="2999" w:name="_Toc477623819"/>
                      <w:bookmarkStart w:id="3000" w:name="_Toc477767671"/>
                      <w:bookmarkStart w:id="3001" w:name="_Toc18914498"/>
                      <w:bookmarkEnd w:id="2998"/>
                      <w:r>
                        <w:t>Chapitre</w:t>
                      </w:r>
                      <w:bookmarkEnd w:id="2999"/>
                      <w:bookmarkEnd w:id="3000"/>
                      <w:r>
                        <w:t xml:space="preserve"> 15 : </w:t>
                      </w:r>
                      <w:bookmarkStart w:id="3002" w:name="_Toc477623820"/>
                      <w:bookmarkStart w:id="3003" w:name="_Toc477767672"/>
                      <w:r>
                        <w:t>Rappel des conditions d’admission, de maintien et de passage</w:t>
                      </w:r>
                      <w:bookmarkEnd w:id="3002"/>
                      <w:bookmarkEnd w:id="3003"/>
                      <w:bookmarkEnd w:id="3001"/>
                    </w:p>
                    <w:p>
                      <w:pPr>
                        <w:rPr>
                          <w:lang w:eastAsia="fr-BE"/>
                        </w:rPr>
                      </w:pPr>
                    </w:p>
                    <w:p>
                      <w:pPr>
                        <w:rPr>
                          <w:lang w:eastAsia="fr-BE"/>
                        </w:rPr>
                      </w:pPr>
                    </w:p>
                    <w:p>
                      <w:pPr>
                        <w:rPr>
                          <w:lang w:eastAsia="fr-BE"/>
                        </w:rPr>
                      </w:pPr>
                    </w:p>
                    <w:p>
                      <w:pPr>
                        <w:rPr>
                          <w:rFonts w:eastAsiaTheme="minorEastAsia"/>
                          <w:lang w:eastAsia="fr-BE"/>
                        </w:rPr>
                      </w:pPr>
                    </w:p>
                  </w:sdtContent>
                </w:sdt>
                <w:p/>
                <w:p>
                  <w:pPr>
                    <w:jc w:val="both"/>
                    <w:rPr>
                      <w:b/>
                      <w:u w:val="single"/>
                    </w:rPr>
                  </w:pPr>
                  <w:r>
                    <w:rPr>
                      <w:b/>
                      <w:u w:val="single"/>
                    </w:rPr>
                    <w:t>Bases légales :</w:t>
                  </w:r>
                </w:p>
                <w:p>
                  <w:pPr>
                    <w:jc w:val="both"/>
                    <w:rPr>
                      <w:b/>
                      <w:u w:val="single"/>
                    </w:rPr>
                  </w:pPr>
                </w:p>
                <w:p>
                  <w:pPr>
                    <w:numPr>
                      <w:ilvl w:val="0"/>
                      <w:numId w:val="44"/>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0" w:firstLine="0"/>
                    <w:jc w:val="both"/>
                  </w:pPr>
                  <w:hyperlink r:id="rId196" w:history="1">
                    <w:r>
                      <w:rPr>
                        <w:rStyle w:val="Lienhypertexte"/>
                        <w:rFonts w:cs="Arial"/>
                      </w:rPr>
                      <w:t>Décret du 3 mars 2004 organisant l’enseignement spécialisé</w:t>
                    </w:r>
                  </w:hyperlink>
                  <w:r>
                    <w:t>.</w:t>
                  </w:r>
                </w:p>
                <w:p>
                  <w:pPr>
                    <w:numPr>
                      <w:ilvl w:val="0"/>
                      <w:numId w:val="44"/>
                    </w:numPr>
                    <w:suppressAutoHyphens/>
                    <w:ind w:left="0" w:firstLine="0"/>
                    <w:jc w:val="both"/>
                    <w:rPr>
                      <w:rStyle w:val="Lienhypertexte"/>
                      <w:rFonts w:cs="Arial"/>
                    </w:rPr>
                  </w:pPr>
                  <w:r>
                    <w:fldChar w:fldCharType="begin"/>
                  </w:r>
                  <w:r>
                    <w:instrText xml:space="preserve"> HYPERLINK "http://www.gallilex.cfwb.be/document/pdf/10450_004.pdf" </w:instrText>
                  </w:r>
                  <w:r>
                    <w:fldChar w:fldCharType="separate"/>
                  </w:r>
                  <w:r>
                    <w:rPr>
                      <w:rStyle w:val="Lienhypertexte"/>
                      <w:rFonts w:cs="Arial"/>
                    </w:rPr>
                    <w:t>Arrêté Royal du 29 juin 1984 relatif à l’organisation de l’enseignement secondaire.</w:t>
                  </w:r>
                </w:p>
                <w:p>
                  <w:pPr>
                    <w:jc w:val="both"/>
                  </w:pPr>
                  <w:r>
                    <w:fldChar w:fldCharType="end"/>
                  </w:r>
                </w:p>
                <w:p>
                  <w:pPr>
                    <w:pStyle w:val="Titre3"/>
                  </w:pPr>
                  <w:bookmarkStart w:id="3004" w:name="__RefHeading__283_957262308"/>
                  <w:bookmarkStart w:id="3005" w:name="_Toc18914499"/>
                  <w:bookmarkEnd w:id="3004"/>
                  <w:r>
                    <w:t xml:space="preserve">1. </w:t>
                  </w:r>
                  <w:bookmarkStart w:id="3006" w:name="_Toc291075428"/>
                  <w:bookmarkStart w:id="3007" w:name="_Toc291075852"/>
                  <w:bookmarkStart w:id="3008" w:name="_Toc291076276"/>
                  <w:bookmarkStart w:id="3009" w:name="_Toc291076700"/>
                  <w:bookmarkStart w:id="3010" w:name="_Toc291077124"/>
                  <w:bookmarkStart w:id="3011" w:name="_Toc293651967"/>
                  <w:bookmarkStart w:id="3012" w:name="_Toc293653550"/>
                  <w:bookmarkStart w:id="3013" w:name="_Toc293654161"/>
                  <w:bookmarkStart w:id="3014" w:name="_Toc294004741"/>
                  <w:bookmarkStart w:id="3015" w:name="_Toc294185237"/>
                  <w:bookmarkStart w:id="3016" w:name="_Toc324166067"/>
                  <w:bookmarkStart w:id="3017" w:name="_Toc324767103"/>
                  <w:bookmarkStart w:id="3018" w:name="_Toc453314491"/>
                  <w:bookmarkStart w:id="3019" w:name="_Toc454980526"/>
                  <w:r>
                    <w:t>Admission dans l'enseignement spécialisé</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05"/>
                  <w:r>
                    <w:t> </w:t>
                  </w:r>
                </w:p>
                <w:p>
                  <w:pPr>
                    <w:jc w:val="both"/>
                  </w:pPr>
                </w:p>
                <w:p>
                  <w:pPr>
                    <w:pStyle w:val="Titre4"/>
                  </w:pPr>
                  <w:bookmarkStart w:id="3020" w:name="_1.1._Le_rapport"/>
                  <w:bookmarkStart w:id="3021" w:name="_Toc453314492"/>
                  <w:bookmarkStart w:id="3022" w:name="_Toc454980527"/>
                  <w:bookmarkEnd w:id="3020"/>
                  <w:r>
                    <w:t>1.1. Le rapport d’inscription</w:t>
                  </w:r>
                  <w:bookmarkEnd w:id="3021"/>
                  <w:bookmarkEnd w:id="3022"/>
                  <w:r>
                    <w:t> </w:t>
                  </w:r>
                </w:p>
                <w:p>
                  <w:pPr>
                    <w:jc w:val="both"/>
                    <w:rPr>
                      <w:b/>
                    </w:rPr>
                  </w:pPr>
                </w:p>
                <w:p>
                  <w:pPr>
                    <w:jc w:val="both"/>
                  </w:pPr>
                  <w:r>
                    <w:t>L'inscription d'un élève est subordonnée à la production d'un rapport précisant le type et le niveau d'enseignement spécialisé qui répondent à ses besoins éducatifs généraux et spécifiques.</w:t>
                  </w:r>
                </w:p>
                <w:p>
                  <w:pPr>
                    <w:jc w:val="both"/>
                  </w:pPr>
                </w:p>
                <w:p>
                  <w:pPr>
                    <w:jc w:val="both"/>
                  </w:pPr>
                  <w:r>
                    <w:t>Elle ne peut être enregistrée que si l'établissement organise l'enseignement de type et de niveau mentionnés dans le rapport.</w:t>
                  </w:r>
                </w:p>
                <w:p>
                  <w:pPr>
                    <w:jc w:val="both"/>
                  </w:pPr>
                </w:p>
                <w:p>
                  <w:pPr>
                    <w:jc w:val="both"/>
                  </w:pPr>
                  <w:r>
                    <w:t>Le rapport d'inscription comprend :</w:t>
                  </w:r>
                </w:p>
                <w:p>
                  <w:pPr>
                    <w:jc w:val="both"/>
                  </w:pPr>
                </w:p>
                <w:p>
                  <w:pPr>
                    <w:numPr>
                      <w:ilvl w:val="0"/>
                      <w:numId w:val="31"/>
                    </w:numPr>
                    <w:tabs>
                      <w:tab w:val="clear" w:pos="357"/>
                      <w:tab w:val="num" w:pos="1080"/>
                    </w:tabs>
                    <w:suppressAutoHyphens/>
                    <w:ind w:left="0" w:firstLine="0"/>
                    <w:jc w:val="both"/>
                  </w:pPr>
                  <w:r>
                    <w:t>une attestation d’orientation</w:t>
                  </w:r>
                  <w:r>
                    <w:rPr>
                      <w:rStyle w:val="Caractresdenotedebasdepage"/>
                      <w:rFonts w:cs="Arial"/>
                    </w:rPr>
                    <w:footnoteReference w:id="135"/>
                  </w:r>
                  <w:r>
                    <w:t xml:space="preserve"> ;</w:t>
                  </w:r>
                </w:p>
                <w:p>
                  <w:pPr>
                    <w:numPr>
                      <w:ilvl w:val="0"/>
                      <w:numId w:val="31"/>
                    </w:numPr>
                    <w:tabs>
                      <w:tab w:val="clear" w:pos="357"/>
                      <w:tab w:val="num" w:pos="1080"/>
                    </w:tabs>
                    <w:suppressAutoHyphens/>
                    <w:ind w:left="0" w:firstLine="0"/>
                    <w:jc w:val="both"/>
                  </w:pPr>
                  <w:r>
                    <w:t>un protocole justificatif ;</w:t>
                  </w:r>
                </w:p>
                <w:p>
                  <w:pPr>
                    <w:numPr>
                      <w:ilvl w:val="0"/>
                      <w:numId w:val="31"/>
                    </w:numPr>
                    <w:tabs>
                      <w:tab w:val="clear" w:pos="357"/>
                      <w:tab w:val="num" w:pos="1080"/>
                    </w:tabs>
                    <w:suppressAutoHyphens/>
                    <w:ind w:left="0" w:firstLine="0"/>
                    <w:jc w:val="both"/>
                  </w:pPr>
                  <w:r>
                    <w:t>et pour les pédagogies adaptées, une attestation complémentaire.</w:t>
                  </w:r>
                </w:p>
                <w:p>
                  <w:pPr>
                    <w:jc w:val="both"/>
                  </w:pPr>
                </w:p>
                <w:p>
                  <w:pPr>
                    <w:jc w:val="both"/>
                  </w:pPr>
                  <w:r>
                    <w:t>Au moment où l'élève quitte l'établissement d'enseignement spécialisé, l'attestation est restituée à la (les) personne(s) investie(s) de l’autorité parentale, à sa demande.</w:t>
                  </w:r>
                </w:p>
                <w:p>
                  <w:pPr>
                    <w:jc w:val="both"/>
                  </w:pPr>
                  <w:r>
                    <w:t>Sinon, elle est transmise au chef du nouvel établissement d'enseignement spécialisé fréquenté par l'élève, sans attendre le passage du vérificateur.</w:t>
                  </w:r>
                </w:p>
                <w:p>
                  <w:pPr>
                    <w:jc w:val="both"/>
                    <w:rPr>
                      <w:b/>
                    </w:rPr>
                  </w:pPr>
                </w:p>
                <w:p>
                  <w:pPr>
                    <w:pBdr>
                      <w:top w:val="single" w:sz="4" w:space="1" w:color="auto"/>
                      <w:left w:val="single" w:sz="4" w:space="1" w:color="auto"/>
                      <w:bottom w:val="single" w:sz="4" w:space="1" w:color="auto"/>
                      <w:right w:val="single" w:sz="4" w:space="1" w:color="auto"/>
                    </w:pBdr>
                    <w:tabs>
                      <w:tab w:val="left" w:pos="709"/>
                    </w:tabs>
                    <w:jc w:val="both"/>
                    <w:rPr>
                      <w:b/>
                      <w:caps/>
                    </w:rPr>
                  </w:pPr>
                  <w:r>
                    <w:rPr>
                      <w:b/>
                      <w:u w:val="single"/>
                    </w:rPr>
                    <w:t>Rappel de la réglementation</w:t>
                  </w:r>
                  <w:r>
                    <w:rPr>
                      <w:b/>
                      <w:caps/>
                    </w:rPr>
                    <w:t xml:space="preserve"> : </w:t>
                  </w:r>
                </w:p>
                <w:p>
                  <w:pPr>
                    <w:pBdr>
                      <w:top w:val="single" w:sz="4" w:space="1" w:color="auto"/>
                      <w:left w:val="single" w:sz="4" w:space="1" w:color="auto"/>
                      <w:bottom w:val="single" w:sz="4" w:space="1" w:color="auto"/>
                      <w:right w:val="single" w:sz="4" w:space="1" w:color="auto"/>
                    </w:pBdr>
                    <w:jc w:val="both"/>
                    <w:rPr>
                      <w:rFonts w:cs="Arial"/>
                    </w:rPr>
                  </w:pPr>
                  <w:r>
                    <w:rPr>
                      <w:rFonts w:cs="Arial"/>
                    </w:rPr>
                    <w:t xml:space="preserve">L’article 12, § 3 du </w:t>
                  </w:r>
                  <w:hyperlink r:id="rId197" w:history="1">
                    <w:r>
                      <w:rPr>
                        <w:rStyle w:val="Lienhypertexte"/>
                        <w:rFonts w:cs="Arial"/>
                      </w:rPr>
                      <w:t>Décret du 3 mars 2004 organisant l'Enseignement spécialisé</w:t>
                    </w:r>
                  </w:hyperlink>
                  <w:r>
                    <w:t xml:space="preserve">, </w:t>
                  </w:r>
                  <w:r>
                    <w:rPr>
                      <w:rFonts w:cs="Arial"/>
                    </w:rPr>
                    <w:t xml:space="preserve">stipule qu’un nouveau rapport d’inscription </w:t>
                  </w:r>
                  <w:r>
                    <w:rPr>
                      <w:rFonts w:cs="Arial"/>
                      <w:u w:val="single"/>
                    </w:rPr>
                    <w:t>ne doit pas nécessairement</w:t>
                  </w:r>
                  <w:r>
                    <w:rPr>
                      <w:rFonts w:cs="Arial"/>
                    </w:rPr>
                    <w:t xml:space="preserve"> être établi pour un élève qui sollicite sa réinscription dans l’enseignement spécialisé dans un délai de moins de deux ans sauf si l’élève est orienté vers un type différent de celui figurant sur l’attestation initiale. </w:t>
                  </w:r>
                </w:p>
                <w:p>
                  <w:pPr>
                    <w:pBdr>
                      <w:top w:val="single" w:sz="4" w:space="1" w:color="auto"/>
                      <w:left w:val="single" w:sz="4" w:space="1" w:color="auto"/>
                      <w:bottom w:val="single" w:sz="4" w:space="1" w:color="auto"/>
                      <w:right w:val="single" w:sz="4" w:space="1" w:color="auto"/>
                    </w:pBdr>
                    <w:jc w:val="both"/>
                    <w:rPr>
                      <w:rFonts w:cs="Arial"/>
                    </w:rPr>
                  </w:pPr>
                  <w:r>
                    <w:rPr>
                      <w:rFonts w:cs="Arial"/>
                      <w:noProof/>
                      <w:lang w:eastAsia="fr-BE"/>
                    </w:rPr>
                    <mc:AlternateContent>
                      <mc:Choice Requires="wps">
                        <w:drawing>
                          <wp:anchor distT="0" distB="0" distL="114300" distR="114300" simplePos="0" relativeHeight="252084224" behindDoc="0" locked="0" layoutInCell="1" allowOverlap="1">
                            <wp:simplePos x="0" y="0"/>
                            <wp:positionH relativeFrom="column">
                              <wp:posOffset>6298448</wp:posOffset>
                            </wp:positionH>
                            <wp:positionV relativeFrom="paragraph">
                              <wp:posOffset>176973</wp:posOffset>
                            </wp:positionV>
                            <wp:extent cx="0" cy="829340"/>
                            <wp:effectExtent l="0" t="0" r="19050" b="27940"/>
                            <wp:wrapNone/>
                            <wp:docPr id="473" name="Connecteur droit 473"/>
                            <wp:cNvGraphicFramePr/>
                            <a:graphic xmlns:a="http://schemas.openxmlformats.org/drawingml/2006/main">
                              <a:graphicData uri="http://schemas.microsoft.com/office/word/2010/wordprocessingShape">
                                <wps:wsp>
                                  <wps:cNvCnPr/>
                                  <wps:spPr>
                                    <a:xfrm>
                                      <a:off x="0" y="0"/>
                                      <a:ext cx="0" cy="82934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D5C54C" id="Connecteur droit 473" o:spid="_x0000_s1026" style="position:absolute;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5.95pt,13.95pt" to="495.95pt,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" strokecolor="black [3040]"/>
                        </w:pict>
                      </mc:Fallback>
                    </mc:AlternateContent>
                  </w:r>
                </w:p>
                <w:p>
                  <w:pPr>
                    <w:pBdr>
                      <w:top w:val="single" w:sz="4" w:space="1" w:color="auto"/>
                      <w:left w:val="single" w:sz="4" w:space="1" w:color="auto"/>
                      <w:bottom w:val="single" w:sz="4" w:space="1" w:color="auto"/>
                      <w:right w:val="single" w:sz="4" w:space="1" w:color="auto"/>
                    </w:pBdr>
                    <w:jc w:val="both"/>
                    <w:rPr>
                      <w:rFonts w:cs="Arial"/>
                    </w:rPr>
                  </w:pPr>
                  <w:r>
                    <w:rPr>
                      <w:rFonts w:cs="Arial"/>
                    </w:rPr>
                    <w:t xml:space="preserve">Si un élève, en possession d’une attestation d’orientation vers l’enseignement spécialisé, mais qui n’a jamais été inscrit dans l’enseignement spécialisé, sollicite son inscription dans cet enseignement dans un délai de moins de deux ans à compter de la date de la signature de cette attestation d’orientation, un nouveau rapport d’inscription ne doit pas être nécessairement établi sauf si l’élève est réorienté dans un type différent de celui figurant sur l’attestation initiale. </w:t>
                  </w:r>
                </w:p>
                <w:p>
                  <w:pPr>
                    <w:pBdr>
                      <w:top w:val="single" w:sz="4" w:space="1" w:color="auto"/>
                      <w:left w:val="single" w:sz="4" w:space="1" w:color="auto"/>
                      <w:bottom w:val="single" w:sz="4" w:space="1" w:color="auto"/>
                      <w:right w:val="single" w:sz="4" w:space="1" w:color="auto"/>
                    </w:pBdr>
                    <w:jc w:val="both"/>
                    <w:rPr>
                      <w:rFonts w:cs="Arial"/>
                    </w:rPr>
                  </w:pPr>
                </w:p>
                <w:p>
                  <w:pPr>
                    <w:pBdr>
                      <w:top w:val="single" w:sz="4" w:space="1" w:color="auto"/>
                      <w:left w:val="single" w:sz="4" w:space="1" w:color="auto"/>
                      <w:bottom w:val="single" w:sz="4" w:space="1" w:color="auto"/>
                      <w:right w:val="single" w:sz="4" w:space="1" w:color="auto"/>
                    </w:pBdr>
                    <w:jc w:val="both"/>
                    <w:rPr>
                      <w:rFonts w:cs="Arial"/>
                    </w:rPr>
                  </w:pPr>
                  <w:r>
                    <w:rPr>
                      <w:rFonts w:cs="Arial"/>
                    </w:rPr>
                    <w:t xml:space="preserve">Néanmoins, </w:t>
                  </w:r>
                  <w:r>
                    <w:rPr>
                      <w:rFonts w:cs="Arial"/>
                      <w:u w:val="single"/>
                    </w:rPr>
                    <w:t>à la demande</w:t>
                  </w:r>
                  <w:r>
                    <w:rPr>
                      <w:rFonts w:cs="Arial"/>
                    </w:rPr>
                    <w:t xml:space="preserve"> du directeur de l’établissement d’enseignement spécialisé, un rapport succinct sera fourni par le centre PMS de la dernière école fréquentée par l’élève.</w:t>
                  </w:r>
                </w:p>
                <w:p>
                  <w:pPr>
                    <w:tabs>
                      <w:tab w:val="left" w:pos="1031"/>
                    </w:tabs>
                  </w:pPr>
                  <w:bookmarkStart w:id="3023" w:name="_1.2._Dérogation_à"/>
                  <w:bookmarkEnd w:id="3023"/>
                </w:p>
                <w:p>
                  <w:pPr>
                    <w:tabs>
                      <w:tab w:val="left" w:pos="1031"/>
                    </w:tabs>
                    <w:jc w:val="both"/>
                  </w:pPr>
                  <w:r>
                    <w:t>Le Gouvernement peut accorder une dérogation annuelle à une école d’enseignement fondamental ou secondaire spécialisé qui accepte d’inscrire un élève relevant d’un autre type d’enseignement spécialisé que celui ou ceux qu’elle organise ou d’une autre forme d’enseignement spécialisé que celle(s) qu’elle organise, et ce en vertu d’une situation exceptionnelle uniquement motivée par un manque d’offre d’enseignement spécialisé empêchant toute possibilité de scolarisation et sur avis favorable du Conseil Général de l’Enseignement Fondamental.</w:t>
                  </w:r>
                </w:p>
                <w:p>
                  <w:pPr>
                    <w:tabs>
                      <w:tab w:val="left" w:pos="1031"/>
                    </w:tabs>
                    <w:jc w:val="both"/>
                  </w:pPr>
                </w:p>
                <w:p>
                  <w:pPr>
                    <w:tabs>
                      <w:tab w:val="left" w:pos="1031"/>
                    </w:tabs>
                    <w:jc w:val="both"/>
                  </w:pPr>
                  <w:r>
                    <w:t>L’école d’enseignement spécialisé qui accepte d’inscrire cet élève, bénéficie, pour l’élève concerné, pour l’année scolaire en cours, du taux de subvention, ou de la dotation, et des périodes d’accompagnement générées par le nombre guide relatif au type d’enseignement mentionné sur l’attestation d’orientation de l’élève concerné.</w:t>
                  </w:r>
                </w:p>
                <w:p>
                  <w:pPr>
                    <w:tabs>
                      <w:tab w:val="left" w:pos="1031"/>
                    </w:tabs>
                    <w:jc w:val="both"/>
                  </w:pPr>
                </w:p>
                <w:p>
                  <w:pPr>
                    <w:tabs>
                      <w:tab w:val="left" w:pos="1031"/>
                    </w:tabs>
                    <w:jc w:val="both"/>
                  </w:pPr>
                  <w:r>
                    <w:t>Durant la période dérogatoire, l’élève est considéré comme régulièrement inscrit.</w:t>
                  </w:r>
                </w:p>
                <w:p>
                  <w:pPr>
                    <w:tabs>
                      <w:tab w:val="left" w:pos="1031"/>
                    </w:tabs>
                    <w:jc w:val="both"/>
                  </w:pPr>
                </w:p>
                <w:p>
                  <w:pPr>
                    <w:tabs>
                      <w:tab w:val="left" w:pos="1031"/>
                    </w:tabs>
                    <w:jc w:val="both"/>
                  </w:pPr>
                  <w:r>
                    <w:t xml:space="preserve">La dérogation est à demander chaque année pour chaque élève concerné via </w:t>
                  </w:r>
                  <w:hyperlink w:anchor="_Annexe_4_:_1" w:history="1">
                    <w:r>
                      <w:rPr>
                        <w:rStyle w:val="Lienhypertexte"/>
                        <w:rFonts w:cs="Arial"/>
                      </w:rPr>
                      <w:t>l’annexe 3</w:t>
                    </w:r>
                  </w:hyperlink>
                  <w:r>
                    <w:t>.</w:t>
                  </w:r>
                </w:p>
                <w:p>
                  <w:pPr>
                    <w:tabs>
                      <w:tab w:val="left" w:pos="1031"/>
                    </w:tabs>
                  </w:pPr>
                </w:p>
                <w:p>
                  <w:pPr>
                    <w:pStyle w:val="Titre3"/>
                  </w:pPr>
                  <w:bookmarkStart w:id="3024" w:name="__RefHeading__285_957262308"/>
                  <w:bookmarkStart w:id="3025" w:name="_Toc291075429"/>
                  <w:bookmarkStart w:id="3026" w:name="_Toc291075853"/>
                  <w:bookmarkStart w:id="3027" w:name="_Toc291076277"/>
                  <w:bookmarkStart w:id="3028" w:name="_Toc291076701"/>
                  <w:bookmarkStart w:id="3029" w:name="_Toc291077125"/>
                  <w:bookmarkStart w:id="3030" w:name="_Toc293651968"/>
                  <w:bookmarkStart w:id="3031" w:name="_Toc293653551"/>
                  <w:bookmarkStart w:id="3032" w:name="_Toc293654162"/>
                  <w:bookmarkStart w:id="3033" w:name="_Toc294004742"/>
                  <w:bookmarkStart w:id="3034" w:name="_Toc294185238"/>
                  <w:bookmarkStart w:id="3035" w:name="_Toc324166068"/>
                  <w:bookmarkStart w:id="3036" w:name="_Toc324767104"/>
                  <w:bookmarkStart w:id="3037" w:name="_Toc453314494"/>
                  <w:bookmarkStart w:id="3038" w:name="_Toc454980529"/>
                  <w:bookmarkStart w:id="3039" w:name="_Toc18914500"/>
                  <w:bookmarkEnd w:id="3024"/>
                  <w:r>
                    <w:t>2. Age d'admission et de maintien</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pPr>
                    <w:tabs>
                      <w:tab w:val="left" w:pos="1031"/>
                    </w:tabs>
                    <w:jc w:val="both"/>
                  </w:pPr>
                </w:p>
                <w:p>
                  <w:pPr>
                    <w:pStyle w:val="Titre4"/>
                  </w:pPr>
                  <w:bookmarkStart w:id="3040" w:name="_2.1._Dans_l’enseignement"/>
                  <w:bookmarkStart w:id="3041" w:name="_Toc291075430"/>
                  <w:bookmarkStart w:id="3042" w:name="_Toc291075854"/>
                  <w:bookmarkStart w:id="3043" w:name="_Toc291076278"/>
                  <w:bookmarkStart w:id="3044" w:name="_Toc291076702"/>
                  <w:bookmarkStart w:id="3045" w:name="_Toc291077126"/>
                  <w:bookmarkStart w:id="3046" w:name="_Toc293651969"/>
                  <w:bookmarkStart w:id="3047" w:name="_Toc293653552"/>
                  <w:bookmarkStart w:id="3048" w:name="_Toc293654163"/>
                  <w:bookmarkStart w:id="3049" w:name="_Toc294004743"/>
                  <w:bookmarkStart w:id="3050" w:name="_Toc294185239"/>
                  <w:bookmarkStart w:id="3051" w:name="_Toc324166069"/>
                  <w:bookmarkStart w:id="3052" w:name="_Toc324767105"/>
                  <w:bookmarkStart w:id="3053" w:name="_Toc324767963"/>
                  <w:bookmarkStart w:id="3054" w:name="_Toc453314495"/>
                  <w:bookmarkStart w:id="3055" w:name="_Toc454980530"/>
                  <w:bookmarkEnd w:id="3040"/>
                  <w:r>
                    <w:t>2.1. Dans l’enseignement maternel spécialisé</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r>
                    <w:t xml:space="preserve"> </w:t>
                  </w:r>
                </w:p>
                <w:p>
                  <w:pPr>
                    <w:tabs>
                      <w:tab w:val="left" w:pos="1031"/>
                      <w:tab w:val="left" w:pos="1292"/>
                    </w:tabs>
                    <w:jc w:val="both"/>
                  </w:pPr>
                </w:p>
                <w:p>
                  <w:pPr>
                    <w:numPr>
                      <w:ilvl w:val="0"/>
                      <w:numId w:val="9"/>
                    </w:numPr>
                    <w:suppressAutoHyphens/>
                    <w:ind w:left="360" w:hanging="360"/>
                    <w:jc w:val="both"/>
                    <w:rPr>
                      <w:u w:val="single"/>
                    </w:rPr>
                  </w:pPr>
                  <w:r>
                    <w:rPr>
                      <w:u w:val="single"/>
                    </w:rPr>
                    <w:t>Admission</w:t>
                  </w:r>
                </w:p>
                <w:p>
                  <w:pPr>
                    <w:tabs>
                      <w:tab w:val="left" w:pos="142"/>
                      <w:tab w:val="left" w:pos="1031"/>
                    </w:tabs>
                    <w:jc w:val="both"/>
                    <w:rPr>
                      <w:b/>
                      <w:u w:val="single"/>
                    </w:rPr>
                  </w:pPr>
                </w:p>
                <w:p>
                  <w:pPr>
                    <w:tabs>
                      <w:tab w:val="left" w:pos="142"/>
                      <w:tab w:val="left" w:pos="1031"/>
                    </w:tabs>
                    <w:spacing w:line="235" w:lineRule="atLeast"/>
                    <w:jc w:val="both"/>
                  </w:pPr>
                  <w:r>
                    <w:t>Les enfants peuvent être inscrits comme élèves réguliers dans l'enseignement maternel spécialisé, dès qu'ils atteignent l'âge de 2 ans et 6 mois et jusqu'au 31 décembre de l'année au cours de laquelle ils atteignent l'âge de 6 ans.</w:t>
                  </w:r>
                </w:p>
                <w:p>
                  <w:pPr>
                    <w:tabs>
                      <w:tab w:val="left" w:pos="142"/>
                      <w:tab w:val="left" w:pos="1031"/>
                    </w:tabs>
                    <w:spacing w:line="235" w:lineRule="atLeast"/>
                    <w:jc w:val="both"/>
                  </w:pPr>
                </w:p>
                <w:p>
                  <w:pPr>
                    <w:spacing w:line="235" w:lineRule="atLeast"/>
                    <w:jc w:val="both"/>
                  </w:pPr>
                  <w:r>
                    <w:t>Ils peuvent également être admis jusqu'au 31 décembre de l'année au cours de laquelle ils atteignent l'âge de 7 ans, sur la base de l'avis motivé joint au rapport d'inscription.</w:t>
                  </w:r>
                </w:p>
                <w:p>
                  <w:pPr>
                    <w:spacing w:line="235" w:lineRule="atLeast"/>
                    <w:jc w:val="both"/>
                  </w:pPr>
                </w:p>
                <w:p>
                  <w:pPr>
                    <w:spacing w:line="235" w:lineRule="atLeast"/>
                    <w:jc w:val="both"/>
                  </w:pPr>
                  <w:r>
                    <w:t>L'inscription d'un élève au niveau maternel implique l'organisation d'au moins une classe maternelle.</w:t>
                  </w:r>
                </w:p>
                <w:p>
                  <w:pPr>
                    <w:spacing w:line="235" w:lineRule="atLeast"/>
                    <w:jc w:val="both"/>
                  </w:pPr>
                </w:p>
                <w:p>
                  <w:pPr>
                    <w:pBdr>
                      <w:top w:val="single" w:sz="4" w:space="1" w:color="000000"/>
                      <w:left w:val="single" w:sz="4" w:space="4" w:color="000000"/>
                      <w:bottom w:val="single" w:sz="4" w:space="1" w:color="000000"/>
                      <w:right w:val="single" w:sz="4" w:space="4" w:color="000000"/>
                    </w:pBdr>
                    <w:jc w:val="both"/>
                    <w:rPr>
                      <w:b/>
                      <w:u w:val="single"/>
                    </w:rPr>
                  </w:pPr>
                  <w:r>
                    <w:rPr>
                      <w:b/>
                      <w:u w:val="single"/>
                    </w:rPr>
                    <w:t>Remarque :</w:t>
                  </w:r>
                </w:p>
                <w:p>
                  <w:pPr>
                    <w:pBdr>
                      <w:top w:val="single" w:sz="4" w:space="1" w:color="000000"/>
                      <w:left w:val="single" w:sz="4" w:space="4" w:color="000000"/>
                      <w:bottom w:val="single" w:sz="4" w:space="1" w:color="000000"/>
                      <w:right w:val="single" w:sz="4" w:space="4" w:color="000000"/>
                    </w:pBdr>
                    <w:jc w:val="both"/>
                  </w:pPr>
                  <w:r>
                    <w:rPr>
                      <w:u w:val="single"/>
                    </w:rPr>
                    <w:t>Elèves âgés de moins de 2 ans et 6 mois :</w:t>
                  </w:r>
                  <w:r>
                    <w:t xml:space="preserve"> le Gouvernement peut autoriser l’accès à l’enseignement spécialisé de type 7 avant deux ans et six mois à un enfant malentendant ou sourd, lorsqu’un rapport émanant d’un service d’aide précoce ou d’un centre d’audiophonologie établit l’absolue nécessité de la scolarisation.</w:t>
                  </w:r>
                </w:p>
                <w:p>
                  <w:pPr>
                    <w:pBdr>
                      <w:top w:val="single" w:sz="4" w:space="1" w:color="000000"/>
                      <w:left w:val="single" w:sz="4" w:space="4" w:color="000000"/>
                      <w:bottom w:val="single" w:sz="4" w:space="1" w:color="000000"/>
                      <w:right w:val="single" w:sz="4" w:space="4" w:color="000000"/>
                    </w:pBdr>
                    <w:jc w:val="both"/>
                  </w:pPr>
                  <w:r>
                    <w:t xml:space="preserve">L’établissement introduit la demande dès que sa nécessité est constatée. (Voir </w:t>
                  </w:r>
                  <w:hyperlink w:anchor="_Chapitre_18_:" w:history="1">
                    <w:r>
                      <w:rPr>
                        <w:rStyle w:val="Lienhypertexte"/>
                        <w:rFonts w:cs="Arial"/>
                      </w:rPr>
                      <w:t>chapitre 18</w:t>
                    </w:r>
                  </w:hyperlink>
                  <w:r>
                    <w:t xml:space="preserve"> – Introduction des demandes de dérogation d’âge pour les élèves d’enseignement spécialisé)</w:t>
                  </w:r>
                </w:p>
                <w:p>
                  <w:pPr>
                    <w:jc w:val="both"/>
                  </w:pPr>
                </w:p>
                <w:p>
                  <w:pPr>
                    <w:numPr>
                      <w:ilvl w:val="0"/>
                      <w:numId w:val="9"/>
                    </w:numPr>
                    <w:suppressAutoHyphens/>
                    <w:ind w:left="360" w:hanging="360"/>
                    <w:jc w:val="both"/>
                    <w:rPr>
                      <w:u w:val="single"/>
                    </w:rPr>
                  </w:pPr>
                  <w:r>
                    <w:rPr>
                      <w:u w:val="single"/>
                    </w:rPr>
                    <w:t>Maintien</w:t>
                  </w:r>
                </w:p>
                <w:p>
                  <w:pPr>
                    <w:spacing w:line="235" w:lineRule="atLeast"/>
                    <w:jc w:val="both"/>
                    <w:rPr>
                      <w:b/>
                      <w:u w:val="single"/>
                    </w:rPr>
                  </w:pPr>
                </w:p>
                <w:p>
                  <w:pPr>
                    <w:spacing w:line="235" w:lineRule="atLeast"/>
                    <w:jc w:val="both"/>
                  </w:pPr>
                  <w:r>
                    <w:t xml:space="preserve">A titre exceptionnel, les élèves peuvent être maintenus dans l'enseignement maternel spécialisé après les vacances d'été de l'année au cours de laquelle ils atteignent l'âge de 6 ans, sur la base d'un avis motivé du conseil de classe </w:t>
                  </w:r>
                  <w:r>
                    <w:rPr>
                      <w:b/>
                    </w:rPr>
                    <w:t>assisté</w:t>
                  </w:r>
                  <w:r>
                    <w:t xml:space="preserve"> de l'organisme chargé de la guidance. A défaut, il n’y a pas de maintien.</w:t>
                  </w:r>
                </w:p>
                <w:p>
                  <w:pPr>
                    <w:spacing w:line="235" w:lineRule="atLeast"/>
                    <w:jc w:val="both"/>
                  </w:pPr>
                  <w:r>
                    <w:t xml:space="preserve">Ce maintien ne peut être renouvelé qu'une seule fois </w:t>
                  </w:r>
                  <w:r>
                    <w:rPr>
                      <w:b/>
                    </w:rPr>
                    <w:t xml:space="preserve">aux mêmes </w:t>
                  </w:r>
                  <w:r>
                    <w:t>conditions.</w:t>
                  </w:r>
                </w:p>
                <w:p>
                  <w:pPr>
                    <w:spacing w:line="235" w:lineRule="atLeast"/>
                    <w:jc w:val="both"/>
                  </w:pPr>
                </w:p>
                <w:p>
                  <w:pPr>
                    <w:spacing w:line="235" w:lineRule="atLeast"/>
                    <w:jc w:val="both"/>
                  </w:pPr>
                  <w:r>
                    <w:rPr>
                      <w:u w:val="single"/>
                    </w:rPr>
                    <w:t>N.B :</w:t>
                  </w:r>
                  <w:r>
                    <w:t xml:space="preserve"> Les types d'enseignement 1 et 8 ne sont pas organisés au niveau maternel.</w:t>
                  </w:r>
                </w:p>
                <w:p>
                  <w:pPr>
                    <w:spacing w:line="235" w:lineRule="atLeast"/>
                    <w:jc w:val="both"/>
                  </w:pPr>
                </w:p>
                <w:p>
                  <w:pPr>
                    <w:pStyle w:val="Titre4"/>
                  </w:pPr>
                  <w:bookmarkStart w:id="3056" w:name="_2.2._Dans_l'enseignement"/>
                  <w:bookmarkStart w:id="3057" w:name="_Toc291075431"/>
                  <w:bookmarkStart w:id="3058" w:name="_Toc291075855"/>
                  <w:bookmarkStart w:id="3059" w:name="_Toc291076279"/>
                  <w:bookmarkStart w:id="3060" w:name="_Toc291076703"/>
                  <w:bookmarkStart w:id="3061" w:name="_Toc291077127"/>
                  <w:bookmarkStart w:id="3062" w:name="_Toc293651970"/>
                  <w:bookmarkStart w:id="3063" w:name="_Toc293653553"/>
                  <w:bookmarkStart w:id="3064" w:name="_Toc293654164"/>
                  <w:bookmarkStart w:id="3065" w:name="_Toc294004744"/>
                  <w:bookmarkStart w:id="3066" w:name="_Toc294185240"/>
                  <w:bookmarkStart w:id="3067" w:name="_Toc324166070"/>
                  <w:bookmarkStart w:id="3068" w:name="_Toc324767106"/>
                  <w:bookmarkStart w:id="3069" w:name="_Toc324767964"/>
                  <w:bookmarkStart w:id="3070" w:name="_Toc453314496"/>
                  <w:bookmarkStart w:id="3071" w:name="_Toc454980531"/>
                  <w:bookmarkEnd w:id="3056"/>
                  <w:r>
                    <w:rPr>
                      <w:rStyle w:val="CarCar5"/>
                      <w:rFonts w:asciiTheme="majorHAnsi" w:hAnsiTheme="majorHAnsi" w:cstheme="minorBidi"/>
                      <w:b/>
                      <w:lang w:eastAsia="en-US"/>
                    </w:rPr>
                    <w:t>2</w:t>
                  </w:r>
                  <w:r>
                    <w:t>.2. Dans l'enseignement primaire spécialisé</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pPr>
                    <w:spacing w:line="235" w:lineRule="atLeast"/>
                    <w:jc w:val="both"/>
                  </w:pPr>
                </w:p>
                <w:p>
                  <w:pPr>
                    <w:numPr>
                      <w:ilvl w:val="0"/>
                      <w:numId w:val="9"/>
                    </w:numPr>
                    <w:suppressAutoHyphens/>
                    <w:jc w:val="both"/>
                    <w:rPr>
                      <w:u w:val="single"/>
                    </w:rPr>
                  </w:pPr>
                  <w:r>
                    <w:rPr>
                      <w:u w:val="single"/>
                    </w:rPr>
                    <w:t>Admission</w:t>
                  </w:r>
                </w:p>
                <w:p>
                  <w:pPr>
                    <w:tabs>
                      <w:tab w:val="left" w:pos="142"/>
                      <w:tab w:val="left" w:pos="1031"/>
                    </w:tabs>
                    <w:rPr>
                      <w:b/>
                      <w:u w:val="single"/>
                    </w:rPr>
                  </w:pPr>
                </w:p>
                <w:p>
                  <w:pPr>
                    <w:spacing w:line="235" w:lineRule="atLeast"/>
                    <w:jc w:val="both"/>
                  </w:pPr>
                  <w:r>
                    <w:t>Les élèves sont admis dans l'enseignement primaire spécialisé :</w:t>
                  </w:r>
                </w:p>
                <w:p>
                  <w:pPr>
                    <w:spacing w:line="235" w:lineRule="atLeast"/>
                    <w:jc w:val="both"/>
                  </w:pPr>
                </w:p>
                <w:p>
                  <w:pPr>
                    <w:numPr>
                      <w:ilvl w:val="0"/>
                      <w:numId w:val="8"/>
                    </w:numPr>
                    <w:tabs>
                      <w:tab w:val="clear" w:pos="357"/>
                      <w:tab w:val="num" w:pos="851"/>
                    </w:tabs>
                    <w:suppressAutoHyphens/>
                    <w:spacing w:line="235" w:lineRule="atLeast"/>
                    <w:ind w:left="851" w:hanging="425"/>
                    <w:jc w:val="both"/>
                  </w:pPr>
                  <w:r>
                    <w:t>soit après les vacances d'été de l'année civile au cours de laquelle ils atteignent l'âge de 6 ans ;</w:t>
                  </w:r>
                </w:p>
                <w:p>
                  <w:pPr>
                    <w:numPr>
                      <w:ilvl w:val="0"/>
                      <w:numId w:val="8"/>
                    </w:numPr>
                    <w:pBdr>
                      <w:right w:val="single" w:sz="4" w:space="4" w:color="auto"/>
                    </w:pBdr>
                    <w:tabs>
                      <w:tab w:val="clear" w:pos="357"/>
                      <w:tab w:val="num" w:pos="851"/>
                    </w:tabs>
                    <w:suppressAutoHyphens/>
                    <w:spacing w:line="235" w:lineRule="atLeast"/>
                    <w:ind w:left="851" w:hanging="425"/>
                    <w:jc w:val="both"/>
                  </w:pPr>
                  <w:r>
                    <w:t>soit s'ils atteignent, au plus tard le 31 décembre de l'année en cours, l'âge de 13 ou 14 ans, sur base de l'avis motivé du conseil de classe joint au  rapport d'inscription.</w:t>
                  </w:r>
                </w:p>
                <w:p>
                  <w:pPr>
                    <w:numPr>
                      <w:ilvl w:val="0"/>
                      <w:numId w:val="8"/>
                    </w:numPr>
                    <w:tabs>
                      <w:tab w:val="clear" w:pos="357"/>
                      <w:tab w:val="num" w:pos="851"/>
                    </w:tabs>
                    <w:suppressAutoHyphens/>
                    <w:spacing w:line="235" w:lineRule="atLeast"/>
                    <w:ind w:left="851" w:hanging="425"/>
                    <w:jc w:val="both"/>
                  </w:pPr>
                  <w:r>
                    <w:t xml:space="preserve">À titre exceptionnel, dès l’âge de 5 ans, et dans l’intérêt de l’enfant, sur dérogation accordée par le Gouvernement. </w:t>
                  </w:r>
                </w:p>
                <w:p>
                  <w:pPr>
                    <w:suppressAutoHyphens/>
                    <w:spacing w:line="235" w:lineRule="atLeast"/>
                    <w:ind w:left="851"/>
                    <w:jc w:val="both"/>
                  </w:pPr>
                </w:p>
                <w:p>
                  <w:pPr>
                    <w:numPr>
                      <w:ilvl w:val="0"/>
                      <w:numId w:val="9"/>
                    </w:numPr>
                    <w:suppressAutoHyphens/>
                    <w:jc w:val="both"/>
                    <w:rPr>
                      <w:u w:val="single"/>
                    </w:rPr>
                  </w:pPr>
                  <w:r>
                    <w:rPr>
                      <w:u w:val="single"/>
                    </w:rPr>
                    <w:t>Maintien</w:t>
                  </w:r>
                </w:p>
                <w:p>
                  <w:pPr>
                    <w:tabs>
                      <w:tab w:val="left" w:pos="142"/>
                      <w:tab w:val="left" w:pos="1031"/>
                    </w:tabs>
                    <w:jc w:val="both"/>
                    <w:rPr>
                      <w:b/>
                      <w:u w:val="single"/>
                    </w:rPr>
                  </w:pPr>
                </w:p>
                <w:p>
                  <w:pPr>
                    <w:spacing w:line="235" w:lineRule="atLeast"/>
                    <w:jc w:val="both"/>
                  </w:pPr>
                  <w:r>
                    <w:t>A titre exceptionnel, les élèves peuvent être maintenus dans l'enseignement primaire spécialisé après les vacances d'été de l'année au cours de laquelle ils atteignent l'âge de 13 ans sur base d'un avis motivé</w:t>
                  </w:r>
                  <w:r>
                    <w:rPr>
                      <w:b/>
                    </w:rPr>
                    <w:t xml:space="preserve"> </w:t>
                  </w:r>
                  <w:r>
                    <w:t xml:space="preserve">du conseil de classe </w:t>
                  </w:r>
                  <w:r>
                    <w:rPr>
                      <w:b/>
                    </w:rPr>
                    <w:t>assisté</w:t>
                  </w:r>
                  <w:r>
                    <w:t xml:space="preserve"> de l'organisme chargé de la guidance. A défaut, il n’y a pas de maintien.</w:t>
                  </w:r>
                </w:p>
                <w:p>
                  <w:pPr>
                    <w:spacing w:line="235" w:lineRule="atLeast"/>
                    <w:jc w:val="both"/>
                  </w:pPr>
                  <w:r>
                    <w:t xml:space="preserve">Ce maintien ne peut être renouvelé qu'une seule fois </w:t>
                  </w:r>
                  <w:r>
                    <w:rPr>
                      <w:b/>
                    </w:rPr>
                    <w:t>aux mêmes</w:t>
                  </w:r>
                  <w:r>
                    <w:t xml:space="preserve"> conditions.</w:t>
                  </w:r>
                </w:p>
                <w:p>
                  <w:pPr>
                    <w:tabs>
                      <w:tab w:val="left" w:pos="1031"/>
                      <w:tab w:val="left" w:pos="1292"/>
                      <w:tab w:val="left" w:pos="1440"/>
                    </w:tabs>
                    <w:jc w:val="both"/>
                  </w:pPr>
                  <w:bookmarkStart w:id="3072" w:name="_2.3._Dans_l'enseignement"/>
                  <w:bookmarkEnd w:id="3072"/>
                </w:p>
                <w:p>
                  <w:pPr>
                    <w:pStyle w:val="Titre3"/>
                  </w:pPr>
                  <w:bookmarkStart w:id="3073" w:name="_3._Documents_à"/>
                  <w:bookmarkStart w:id="3074" w:name="__RefHeading__287_957262308"/>
                  <w:bookmarkStart w:id="3075" w:name="_Toc291075433"/>
                  <w:bookmarkStart w:id="3076" w:name="_Toc291075857"/>
                  <w:bookmarkStart w:id="3077" w:name="_Toc291076281"/>
                  <w:bookmarkStart w:id="3078" w:name="_Toc291076705"/>
                  <w:bookmarkStart w:id="3079" w:name="_Toc291077129"/>
                  <w:bookmarkStart w:id="3080" w:name="_Toc293651972"/>
                  <w:bookmarkStart w:id="3081" w:name="_Toc293653555"/>
                  <w:bookmarkStart w:id="3082" w:name="_Toc293654166"/>
                  <w:bookmarkStart w:id="3083" w:name="_Toc294004746"/>
                  <w:bookmarkStart w:id="3084" w:name="_Toc294185242"/>
                  <w:bookmarkStart w:id="3085" w:name="_Toc324166072"/>
                  <w:bookmarkStart w:id="3086" w:name="_Toc324767108"/>
                  <w:bookmarkStart w:id="3087" w:name="_Toc453314498"/>
                  <w:bookmarkStart w:id="3088" w:name="_Toc454980533"/>
                  <w:bookmarkStart w:id="3089" w:name="_Toc18914501"/>
                  <w:bookmarkEnd w:id="3073"/>
                  <w:bookmarkEnd w:id="3074"/>
                  <w:r>
                    <w:t>3. Documents à tenir à la disposition du vérificateur</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p>
                  <w:pPr>
                    <w:jc w:val="both"/>
                  </w:pPr>
                  <w:r>
                    <w:t>Lors de l’inscription, le directeur d’école doit réclamer une copie d’un document officiel qui va permettre de compléter les champs suivants :</w:t>
                  </w:r>
                </w:p>
                <w:p>
                  <w:pPr>
                    <w:jc w:val="both"/>
                  </w:pPr>
                </w:p>
                <w:p>
                  <w:pPr>
                    <w:numPr>
                      <w:ilvl w:val="0"/>
                      <w:numId w:val="61"/>
                    </w:numPr>
                    <w:suppressAutoHyphens/>
                    <w:ind w:left="927"/>
                    <w:jc w:val="both"/>
                  </w:pPr>
                  <w:r>
                    <w:t>le nom de l’élève ;</w:t>
                  </w:r>
                </w:p>
                <w:p>
                  <w:pPr>
                    <w:numPr>
                      <w:ilvl w:val="0"/>
                      <w:numId w:val="61"/>
                    </w:numPr>
                    <w:suppressAutoHyphens/>
                    <w:ind w:left="927"/>
                    <w:jc w:val="both"/>
                  </w:pPr>
                  <w:r>
                    <w:t>le prénom de l’élève ;</w:t>
                  </w:r>
                </w:p>
                <w:p>
                  <w:pPr>
                    <w:numPr>
                      <w:ilvl w:val="0"/>
                      <w:numId w:val="61"/>
                    </w:numPr>
                    <w:suppressAutoHyphens/>
                    <w:ind w:left="927"/>
                    <w:jc w:val="both"/>
                  </w:pPr>
                  <w:r>
                    <w:t>la date de naissance ou le numéro de registre national de l’élève.</w:t>
                  </w:r>
                </w:p>
                <w:p>
                  <w:pPr>
                    <w:jc w:val="both"/>
                  </w:pPr>
                </w:p>
                <w:p>
                  <w:pPr>
                    <w:jc w:val="both"/>
                  </w:pPr>
                  <w:r>
                    <w:t>Ces documents officiels feront l’objet d’un contrôle du vérificateur.</w:t>
                  </w:r>
                </w:p>
                <w:p>
                  <w:pPr>
                    <w:jc w:val="both"/>
                  </w:pPr>
                  <w:r>
                    <w:t>Par document officiel, il faut entendre tout écrit produit par une autorité officielle belge ou étrangère qui atteste de l’identité exacte et complète de l’élève ainsi que de sa date de naissance.</w:t>
                  </w:r>
                </w:p>
                <w:p>
                  <w:pPr>
                    <w:jc w:val="both"/>
                  </w:pPr>
                </w:p>
                <w:p>
                  <w:pPr>
                    <w:jc w:val="both"/>
                  </w:pPr>
                  <w:r>
                    <w:t>A titre d’exemples:</w:t>
                  </w:r>
                </w:p>
                <w:p>
                  <w:pPr>
                    <w:jc w:val="both"/>
                  </w:pPr>
                </w:p>
                <w:p>
                  <w:pPr>
                    <w:numPr>
                      <w:ilvl w:val="0"/>
                      <w:numId w:val="62"/>
                    </w:numPr>
                    <w:suppressAutoHyphens/>
                    <w:ind w:left="927"/>
                    <w:jc w:val="both"/>
                  </w:pPr>
                  <w:r>
                    <w:t>une carte d'identité belge ou étrangère ;</w:t>
                  </w:r>
                </w:p>
                <w:p>
                  <w:pPr>
                    <w:numPr>
                      <w:ilvl w:val="0"/>
                      <w:numId w:val="62"/>
                    </w:numPr>
                    <w:suppressAutoHyphens/>
                    <w:ind w:left="927"/>
                    <w:jc w:val="both"/>
                  </w:pPr>
                  <w:r>
                    <w:t>une petite carte d’identité blanche (en Belgique) ;</w:t>
                  </w:r>
                </w:p>
                <w:p>
                  <w:pPr>
                    <w:numPr>
                      <w:ilvl w:val="0"/>
                      <w:numId w:val="62"/>
                    </w:numPr>
                    <w:suppressAutoHyphens/>
                    <w:ind w:left="927"/>
                    <w:jc w:val="both"/>
                  </w:pPr>
                  <w:r>
                    <w:t>un passeport des parents avec le nom des enfants ;</w:t>
                  </w:r>
                </w:p>
                <w:p>
                  <w:pPr>
                    <w:numPr>
                      <w:ilvl w:val="0"/>
                      <w:numId w:val="62"/>
                    </w:numPr>
                    <w:suppressAutoHyphens/>
                    <w:ind w:left="927"/>
                    <w:jc w:val="both"/>
                  </w:pPr>
                  <w:r>
                    <w:t>un extrait d’acte de naissance ;</w:t>
                  </w:r>
                </w:p>
                <w:p>
                  <w:pPr>
                    <w:numPr>
                      <w:ilvl w:val="0"/>
                      <w:numId w:val="62"/>
                    </w:numPr>
                    <w:suppressAutoHyphens/>
                    <w:ind w:left="927"/>
                    <w:jc w:val="both"/>
                  </w:pPr>
                  <w:r>
                    <w:t>une composition de ménage ;</w:t>
                  </w:r>
                </w:p>
                <w:p>
                  <w:pPr>
                    <w:numPr>
                      <w:ilvl w:val="0"/>
                      <w:numId w:val="62"/>
                    </w:numPr>
                    <w:suppressAutoHyphens/>
                    <w:ind w:left="927"/>
                    <w:jc w:val="both"/>
                  </w:pPr>
                  <w:r>
                    <w:t>un document officiel d'identité faisant apparaître que les parents font partie du personnel d'ambassade, de l'OTAN ou du SHAPE ;</w:t>
                  </w:r>
                </w:p>
                <w:p>
                  <w:pPr>
                    <w:numPr>
                      <w:ilvl w:val="0"/>
                      <w:numId w:val="62"/>
                    </w:numPr>
                    <w:suppressAutoHyphens/>
                    <w:ind w:left="927"/>
                    <w:jc w:val="both"/>
                  </w:pPr>
                  <w:r>
                    <w:t>une attestation officielle ou annexe émanant du Ministère de l’intérieur ou du Commissariat général aux réfugiés et aux apatrides.</w:t>
                  </w:r>
                </w:p>
                <w:p>
                  <w:pPr>
                    <w:suppressAutoHyphens/>
                    <w:ind w:left="927"/>
                    <w:jc w:val="both"/>
                  </w:pPr>
                </w:p>
                <w:p>
                  <w:pPr>
                    <w:pStyle w:val="Titre4"/>
                  </w:pPr>
                  <w:bookmarkStart w:id="3090" w:name="_Toc291075434"/>
                  <w:bookmarkStart w:id="3091" w:name="_Toc291075858"/>
                  <w:bookmarkStart w:id="3092" w:name="_Toc291076282"/>
                  <w:bookmarkStart w:id="3093" w:name="_Toc291076706"/>
                  <w:bookmarkStart w:id="3094" w:name="_Toc291077130"/>
                  <w:bookmarkStart w:id="3095" w:name="_Toc293651973"/>
                  <w:bookmarkStart w:id="3096" w:name="_Toc293653556"/>
                  <w:bookmarkStart w:id="3097" w:name="_Toc293654167"/>
                  <w:bookmarkStart w:id="3098" w:name="_Toc294004747"/>
                  <w:bookmarkStart w:id="3099" w:name="_Toc294185243"/>
                  <w:bookmarkStart w:id="3100" w:name="_Toc324166073"/>
                  <w:bookmarkStart w:id="3101" w:name="_Toc324767109"/>
                  <w:bookmarkStart w:id="3102" w:name="_Toc324767967"/>
                  <w:bookmarkStart w:id="3103" w:name="_Toc453314499"/>
                  <w:bookmarkStart w:id="3104" w:name="_Toc454980534"/>
                  <w:r>
                    <w:t>3.1. Fiche individuelle d'inscription</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pPr>
                    <w:jc w:val="both"/>
                  </w:pPr>
                </w:p>
                <w:p>
                  <w:pPr>
                    <w:jc w:val="both"/>
                  </w:pPr>
                  <w:r>
                    <w:t>Les fiches doivent être classées alphabétiquement par classe au niveau fondamental, par section, groupe/finalité, métier et année d'études au niveau secondaire.</w:t>
                  </w:r>
                </w:p>
                <w:p>
                  <w:pPr>
                    <w:jc w:val="both"/>
                  </w:pPr>
                  <w:r>
                    <w:t>Les fiches des élèves entrés après le 30</w:t>
                  </w:r>
                  <w:r>
                    <w:rPr>
                      <w:vertAlign w:val="superscript"/>
                    </w:rPr>
                    <w:t xml:space="preserve">ème </w:t>
                  </w:r>
                  <w:r>
                    <w:t>jour le seront dans l'ordre chronologique de leur arrivée.</w:t>
                  </w:r>
                </w:p>
                <w:p>
                  <w:pPr>
                    <w:jc w:val="both"/>
                  </w:pPr>
                </w:p>
                <w:p>
                  <w:pPr>
                    <w:pStyle w:val="Titre4"/>
                    <w:rPr>
                      <w:rStyle w:val="CarCar5"/>
                      <w:rFonts w:asciiTheme="majorHAnsi" w:hAnsiTheme="majorHAnsi" w:cstheme="minorBidi"/>
                      <w:b/>
                      <w:lang w:eastAsia="en-US"/>
                    </w:rPr>
                  </w:pPr>
                  <w:bookmarkStart w:id="3105" w:name="_3.2._Registres_de"/>
                  <w:bookmarkStart w:id="3106" w:name="_Toc291075435"/>
                  <w:bookmarkStart w:id="3107" w:name="_Toc291075859"/>
                  <w:bookmarkStart w:id="3108" w:name="_Toc291076283"/>
                  <w:bookmarkStart w:id="3109" w:name="_Toc291076707"/>
                  <w:bookmarkStart w:id="3110" w:name="_Toc291077131"/>
                  <w:bookmarkStart w:id="3111" w:name="_Toc293651974"/>
                  <w:bookmarkStart w:id="3112" w:name="_Toc293653557"/>
                  <w:bookmarkStart w:id="3113" w:name="_Toc293654168"/>
                  <w:bookmarkStart w:id="3114" w:name="_Toc294004748"/>
                  <w:bookmarkStart w:id="3115" w:name="_Toc294185244"/>
                  <w:bookmarkStart w:id="3116" w:name="_Toc324166074"/>
                  <w:bookmarkStart w:id="3117" w:name="_Toc324767110"/>
                  <w:bookmarkStart w:id="3118" w:name="_Toc324767968"/>
                  <w:bookmarkStart w:id="3119" w:name="_Toc453314500"/>
                  <w:bookmarkStart w:id="3120" w:name="_Toc454980535"/>
                  <w:bookmarkEnd w:id="3105"/>
                  <w:r>
                    <w:t>3</w:t>
                  </w:r>
                  <w:r>
                    <w:rPr>
                      <w:rStyle w:val="CarCar5"/>
                      <w:rFonts w:asciiTheme="majorHAnsi" w:hAnsiTheme="majorHAnsi" w:cstheme="minorBidi"/>
                      <w:b/>
                      <w:lang w:eastAsia="en-US"/>
                    </w:rPr>
                    <w:t>.2. Registres de présences des élèves</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pPr>
                    <w:tabs>
                      <w:tab w:val="left" w:pos="1031"/>
                      <w:tab w:val="left" w:pos="1292"/>
                      <w:tab w:val="left" w:pos="1440"/>
                    </w:tabs>
                    <w:jc w:val="both"/>
                    <w:rPr>
                      <w:b/>
                    </w:rPr>
                  </w:pPr>
                </w:p>
                <w:p>
                  <w:pPr>
                    <w:jc w:val="both"/>
                  </w:pPr>
                  <w:r>
                    <w:t>Les registres de présences sont tenus dans le même ordre que ci-dessus.</w:t>
                  </w:r>
                </w:p>
                <w:p>
                  <w:pPr>
                    <w:jc w:val="both"/>
                  </w:pPr>
                </w:p>
                <w:p>
                  <w:pPr>
                    <w:jc w:val="both"/>
                  </w:pPr>
                  <w:r>
                    <w:t xml:space="preserve">A chaque début de mois, il est possible de reprendre les élèves suivant l'ordre alphabétique général.  </w:t>
                  </w:r>
                </w:p>
                <w:p>
                  <w:pPr>
                    <w:jc w:val="both"/>
                  </w:pPr>
                  <w:r>
                    <w:t>Dans ce cas, les fiches et les dossiers élèves respectent le même ordre.</w:t>
                  </w:r>
                </w:p>
                <w:p>
                  <w:pPr>
                    <w:jc w:val="both"/>
                  </w:pPr>
                </w:p>
                <w:p>
                  <w:pPr>
                    <w:jc w:val="both"/>
                  </w:pPr>
                  <w:r>
                    <w:t>Les registres doivent être complétés tous les jours lors de la première heure de cours du matin et de l'après-midi.</w:t>
                  </w:r>
                </w:p>
                <w:p>
                  <w:pPr>
                    <w:jc w:val="both"/>
                  </w:pPr>
                </w:p>
                <w:p>
                  <w:pPr>
                    <w:jc w:val="both"/>
                  </w:pPr>
                  <w:r>
                    <w:t>Les élèves absents sont signalés par la lettre "a" affectée le cas échéant :</w:t>
                  </w:r>
                </w:p>
                <w:p>
                  <w:pPr>
                    <w:jc w:val="both"/>
                  </w:pPr>
                </w:p>
                <w:p>
                  <w:pPr>
                    <w:numPr>
                      <w:ilvl w:val="0"/>
                      <w:numId w:val="2"/>
                    </w:numPr>
                    <w:tabs>
                      <w:tab w:val="clear" w:pos="357"/>
                      <w:tab w:val="num" w:pos="900"/>
                    </w:tabs>
                    <w:suppressAutoHyphens/>
                    <w:ind w:left="0" w:firstLine="0"/>
                    <w:jc w:val="both"/>
                  </w:pPr>
                  <w:r>
                    <w:t>de l'exposant "r", lorsque l'élève est en retard ;</w:t>
                  </w:r>
                </w:p>
                <w:p>
                  <w:pPr>
                    <w:numPr>
                      <w:ilvl w:val="0"/>
                      <w:numId w:val="2"/>
                    </w:numPr>
                    <w:tabs>
                      <w:tab w:val="clear" w:pos="357"/>
                      <w:tab w:val="num" w:pos="900"/>
                    </w:tabs>
                    <w:suppressAutoHyphens/>
                    <w:ind w:left="0" w:firstLine="0"/>
                    <w:jc w:val="both"/>
                  </w:pPr>
                  <w:r>
                    <w:t>de l'exposant "e", dès que l'absence est excusée ;</w:t>
                  </w:r>
                </w:p>
                <w:p>
                  <w:pPr>
                    <w:numPr>
                      <w:ilvl w:val="0"/>
                      <w:numId w:val="2"/>
                    </w:numPr>
                    <w:tabs>
                      <w:tab w:val="clear" w:pos="357"/>
                      <w:tab w:val="num" w:pos="900"/>
                    </w:tabs>
                    <w:suppressAutoHyphens/>
                    <w:ind w:left="0" w:firstLine="0"/>
                    <w:jc w:val="both"/>
                  </w:pPr>
                  <w:r>
                    <w:t>de l'exposant "m", lorsque l'absence est justifiée par un certificat médical.</w:t>
                  </w:r>
                </w:p>
                <w:p>
                  <w:pPr>
                    <w:jc w:val="both"/>
                  </w:pPr>
                </w:p>
                <w:p>
                  <w:pPr>
                    <w:jc w:val="both"/>
                  </w:pPr>
                  <w:r>
                    <w:t>Pour les élèves fréquentant l'enseignement maternel subventionné, les totaux mensuels des demi-jours de présences sont établis par type d'enseignement.</w:t>
                  </w:r>
                </w:p>
                <w:p>
                  <w:pPr>
                    <w:jc w:val="both"/>
                  </w:pPr>
                </w:p>
                <w:p>
                  <w:pPr>
                    <w:pBdr>
                      <w:right w:val="single" w:sz="4" w:space="4" w:color="auto"/>
                    </w:pBdr>
                    <w:jc w:val="both"/>
                  </w:pPr>
                  <w:r>
                    <w:t xml:space="preserve">Le registre matricule d’inscription doit être conservé indéfiniment dans l’école et le registre de fréquentation durant 30 ans. En cas de fusion d’écoles ou d’absorption d’une école par une autre, la conservation des registres est assurée par le directeur d’école de la nouvelle entité ainsi constituée. </w:t>
                  </w:r>
                </w:p>
                <w:p>
                  <w:pPr>
                    <w:tabs>
                      <w:tab w:val="left" w:pos="1031"/>
                      <w:tab w:val="left" w:pos="1292"/>
                      <w:tab w:val="left" w:pos="1440"/>
                    </w:tabs>
                    <w:jc w:val="both"/>
                  </w:pPr>
                </w:p>
                <w:p>
                  <w:pPr>
                    <w:pStyle w:val="Titre4"/>
                  </w:pPr>
                  <w:bookmarkStart w:id="3121" w:name="_3.3._Dossier_individuel"/>
                  <w:bookmarkStart w:id="3122" w:name="_Toc291075436"/>
                  <w:bookmarkStart w:id="3123" w:name="_Toc291075860"/>
                  <w:bookmarkStart w:id="3124" w:name="_Toc291076284"/>
                  <w:bookmarkStart w:id="3125" w:name="_Toc291076708"/>
                  <w:bookmarkStart w:id="3126" w:name="_Toc291077132"/>
                  <w:bookmarkStart w:id="3127" w:name="_Toc293651975"/>
                  <w:bookmarkStart w:id="3128" w:name="_Toc293653558"/>
                  <w:bookmarkStart w:id="3129" w:name="_Toc293654169"/>
                  <w:bookmarkStart w:id="3130" w:name="_Toc294004749"/>
                  <w:bookmarkStart w:id="3131" w:name="_Toc294185245"/>
                  <w:bookmarkStart w:id="3132" w:name="_Toc324166075"/>
                  <w:bookmarkStart w:id="3133" w:name="_Toc324767111"/>
                  <w:bookmarkStart w:id="3134" w:name="_Toc324767969"/>
                  <w:bookmarkStart w:id="3135" w:name="_Toc453314501"/>
                  <w:bookmarkStart w:id="3136" w:name="_Toc454980536"/>
                  <w:bookmarkEnd w:id="3121"/>
                  <w:r>
                    <w:t>3.3. Dossier individuel des élèves</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pPr>
                    <w:jc w:val="both"/>
                    <w:rPr>
                      <w:b/>
                    </w:rPr>
                  </w:pPr>
                </w:p>
                <w:p>
                  <w:pPr>
                    <w:jc w:val="both"/>
                  </w:pPr>
                  <w:r>
                    <w:t>Les dossiers sont classés dans le même ordre que les fiches.</w:t>
                  </w:r>
                </w:p>
                <w:p>
                  <w:pPr>
                    <w:jc w:val="both"/>
                  </w:pPr>
                </w:p>
                <w:p>
                  <w:pPr>
                    <w:jc w:val="both"/>
                  </w:pPr>
                  <w:r>
                    <w:t>Le dossier de chaque élève comprend :</w:t>
                  </w:r>
                </w:p>
                <w:p>
                  <w:pPr>
                    <w:jc w:val="both"/>
                  </w:pPr>
                </w:p>
                <w:p>
                  <w:pPr>
                    <w:numPr>
                      <w:ilvl w:val="0"/>
                      <w:numId w:val="29"/>
                    </w:numPr>
                    <w:tabs>
                      <w:tab w:val="clear" w:pos="360"/>
                      <w:tab w:val="left" w:pos="900"/>
                    </w:tabs>
                    <w:suppressAutoHyphens/>
                    <w:ind w:left="927"/>
                    <w:jc w:val="both"/>
                  </w:pPr>
                  <w:r>
                    <w:t>le(s) document(s) relatif(s) au droit d'inscription spécifique (</w:t>
                  </w:r>
                  <w:r>
                    <w:rPr>
                      <w:rFonts w:cs="Arial"/>
                    </w:rPr>
                    <w:t xml:space="preserve">voir </w:t>
                  </w:r>
                  <w:hyperlink w:anchor="_Chapitre_1_:" w:history="1">
                    <w:r>
                      <w:rPr>
                        <w:rStyle w:val="Lienhypertexte"/>
                        <w:rFonts w:cs="Arial"/>
                      </w:rPr>
                      <w:t>chapitre 1</w:t>
                    </w:r>
                  </w:hyperlink>
                  <w:r>
                    <w:t>) ;</w:t>
                  </w:r>
                </w:p>
                <w:p>
                  <w:pPr>
                    <w:numPr>
                      <w:ilvl w:val="0"/>
                      <w:numId w:val="29"/>
                    </w:numPr>
                    <w:tabs>
                      <w:tab w:val="clear" w:pos="360"/>
                      <w:tab w:val="left" w:pos="900"/>
                    </w:tabs>
                    <w:suppressAutoHyphens/>
                    <w:ind w:left="927"/>
                    <w:jc w:val="both"/>
                  </w:pPr>
                  <w:r>
                    <w:t xml:space="preserve">l'attestation d'orientation et le protocole justificatif mentionnés au </w:t>
                  </w:r>
                  <w:hyperlink w:anchor="_Chapitre_1_:" w:history="1">
                    <w:r>
                      <w:rPr>
                        <w:rStyle w:val="Lienhypertexte"/>
                        <w:rFonts w:cs="Arial"/>
                      </w:rPr>
                      <w:t>chapitre 1</w:t>
                    </w:r>
                  </w:hyperlink>
                  <w:r>
                    <w:t>;</w:t>
                  </w:r>
                </w:p>
                <w:p>
                  <w:pPr>
                    <w:numPr>
                      <w:ilvl w:val="0"/>
                      <w:numId w:val="29"/>
                    </w:numPr>
                    <w:tabs>
                      <w:tab w:val="clear" w:pos="360"/>
                      <w:tab w:val="left" w:pos="900"/>
                    </w:tabs>
                    <w:suppressAutoHyphens/>
                    <w:ind w:left="927"/>
                    <w:jc w:val="both"/>
                  </w:pPr>
                  <w:r>
                    <w:t xml:space="preserve">le choix du cours </w:t>
                  </w:r>
                </w:p>
                <w:p>
                  <w:pPr>
                    <w:pStyle w:val="Paragraphedeliste"/>
                    <w:numPr>
                      <w:ilvl w:val="2"/>
                      <w:numId w:val="60"/>
                    </w:numPr>
                    <w:tabs>
                      <w:tab w:val="left" w:pos="900"/>
                    </w:tabs>
                    <w:ind w:left="1491" w:hanging="357"/>
                    <w:jc w:val="both"/>
                    <w:rPr>
                      <w:rFonts w:asciiTheme="majorHAnsi" w:hAnsiTheme="majorHAnsi"/>
                      <w:sz w:val="22"/>
                      <w:szCs w:val="22"/>
                    </w:rPr>
                  </w:pPr>
                  <w:r>
                    <w:rPr>
                      <w:rFonts w:asciiTheme="majorHAnsi" w:hAnsiTheme="majorHAnsi"/>
                      <w:sz w:val="22"/>
                      <w:szCs w:val="22"/>
                    </w:rPr>
                    <w:t>de religion ;</w:t>
                  </w:r>
                </w:p>
                <w:p>
                  <w:pPr>
                    <w:pStyle w:val="Paragraphedeliste"/>
                    <w:numPr>
                      <w:ilvl w:val="2"/>
                      <w:numId w:val="60"/>
                    </w:numPr>
                    <w:tabs>
                      <w:tab w:val="left" w:pos="900"/>
                    </w:tabs>
                    <w:ind w:left="1491" w:hanging="357"/>
                    <w:jc w:val="both"/>
                    <w:rPr>
                      <w:rFonts w:asciiTheme="majorHAnsi" w:hAnsiTheme="majorHAnsi"/>
                      <w:sz w:val="22"/>
                      <w:szCs w:val="22"/>
                    </w:rPr>
                  </w:pPr>
                  <w:r>
                    <w:rPr>
                      <w:rFonts w:asciiTheme="majorHAnsi" w:hAnsiTheme="majorHAnsi"/>
                      <w:sz w:val="22"/>
                      <w:szCs w:val="22"/>
                    </w:rPr>
                    <w:t>de morale non confessionnelle ;</w:t>
                  </w:r>
                </w:p>
                <w:p>
                  <w:pPr>
                    <w:pStyle w:val="Paragraphedeliste"/>
                    <w:numPr>
                      <w:ilvl w:val="2"/>
                      <w:numId w:val="60"/>
                    </w:numPr>
                    <w:tabs>
                      <w:tab w:val="left" w:pos="900"/>
                    </w:tabs>
                    <w:ind w:left="1491" w:hanging="357"/>
                    <w:jc w:val="both"/>
                    <w:rPr>
                      <w:rFonts w:asciiTheme="majorHAnsi" w:hAnsiTheme="majorHAnsi"/>
                      <w:sz w:val="22"/>
                      <w:szCs w:val="22"/>
                    </w:rPr>
                  </w:pPr>
                  <w:r>
                    <w:rPr>
                      <w:rFonts w:asciiTheme="majorHAnsi" w:hAnsiTheme="majorHAnsi"/>
                      <w:sz w:val="22"/>
                      <w:szCs w:val="22"/>
                    </w:rPr>
                    <w:t xml:space="preserve">de philosophie et de citoyenneté (PC) ; </w:t>
                  </w:r>
                </w:p>
                <w:p>
                  <w:pPr>
                    <w:numPr>
                      <w:ilvl w:val="0"/>
                      <w:numId w:val="29"/>
                    </w:numPr>
                    <w:tabs>
                      <w:tab w:val="clear" w:pos="360"/>
                      <w:tab w:val="left" w:pos="900"/>
                    </w:tabs>
                    <w:suppressAutoHyphens/>
                    <w:ind w:left="927"/>
                    <w:jc w:val="both"/>
                  </w:pPr>
                  <w:r>
                    <w:t>l'avis de maintien individuel. (Il s'agit de l'avis de maintien dont le modèle est joint au présent chapitre ;</w:t>
                  </w:r>
                </w:p>
                <w:p>
                  <w:pPr>
                    <w:numPr>
                      <w:ilvl w:val="0"/>
                      <w:numId w:val="29"/>
                    </w:numPr>
                    <w:tabs>
                      <w:tab w:val="clear" w:pos="360"/>
                      <w:tab w:val="left" w:pos="900"/>
                    </w:tabs>
                    <w:suppressAutoHyphens/>
                    <w:ind w:left="927"/>
                    <w:jc w:val="both"/>
                  </w:pPr>
                  <w:r>
                    <w:t xml:space="preserve">les documents justificatifs d'absence (voir </w:t>
                  </w:r>
                  <w:hyperlink w:anchor="_Chapitre_1_:" w:history="1">
                    <w:r>
                      <w:rPr>
                        <w:rStyle w:val="Lienhypertexte"/>
                        <w:rFonts w:cs="Arial"/>
                      </w:rPr>
                      <w:t>chapitre 1</w:t>
                    </w:r>
                  </w:hyperlink>
                  <w:r>
                    <w:t>) ;</w:t>
                  </w:r>
                </w:p>
                <w:p>
                  <w:pPr>
                    <w:numPr>
                      <w:ilvl w:val="0"/>
                      <w:numId w:val="29"/>
                    </w:numPr>
                    <w:tabs>
                      <w:tab w:val="clear" w:pos="360"/>
                      <w:tab w:val="left" w:pos="900"/>
                    </w:tabs>
                    <w:suppressAutoHyphens/>
                    <w:ind w:left="927"/>
                    <w:jc w:val="both"/>
                  </w:pPr>
                  <w:r>
                    <w:t>l’avis motivé du conseil de classe en cas de passage anticipé de l’enseignement primaire spécialisé vers l’enseignement secondaire spécialisé ;</w:t>
                  </w:r>
                </w:p>
                <w:p>
                  <w:pPr>
                    <w:numPr>
                      <w:ilvl w:val="0"/>
                      <w:numId w:val="29"/>
                    </w:numPr>
                    <w:tabs>
                      <w:tab w:val="clear" w:pos="360"/>
                      <w:tab w:val="left" w:pos="900"/>
                    </w:tabs>
                    <w:suppressAutoHyphens/>
                    <w:ind w:left="927"/>
                    <w:jc w:val="both"/>
                    <w:rPr>
                      <w:b/>
                    </w:rPr>
                  </w:pPr>
                  <w:r>
                    <w:t>la demande de dispense des cours philosophiques;</w:t>
                  </w:r>
                </w:p>
                <w:p>
                  <w:pPr>
                    <w:tabs>
                      <w:tab w:val="left" w:pos="900"/>
                    </w:tabs>
                    <w:rPr>
                      <w:b/>
                    </w:rPr>
                  </w:pPr>
                </w:p>
                <w:p>
                  <w:pPr>
                    <w:pBdr>
                      <w:top w:val="single" w:sz="4" w:space="1" w:color="000000"/>
                      <w:left w:val="single" w:sz="4" w:space="4" w:color="000000"/>
                      <w:bottom w:val="single" w:sz="4" w:space="1" w:color="000000"/>
                      <w:right w:val="single" w:sz="4" w:space="4" w:color="000000"/>
                    </w:pBdr>
                    <w:tabs>
                      <w:tab w:val="left" w:pos="709"/>
                    </w:tabs>
                    <w:jc w:val="both"/>
                    <w:rPr>
                      <w:b/>
                      <w:caps/>
                    </w:rPr>
                  </w:pPr>
                  <w:r>
                    <w:rPr>
                      <w:b/>
                      <w:u w:val="single"/>
                    </w:rPr>
                    <w:t>Rappel de la réglementation</w:t>
                  </w:r>
                  <w:r>
                    <w:rPr>
                      <w:b/>
                      <w:caps/>
                    </w:rPr>
                    <w:t xml:space="preserve"> : </w:t>
                  </w:r>
                </w:p>
                <w:p>
                  <w:pPr>
                    <w:pBdr>
                      <w:top w:val="single" w:sz="4" w:space="1" w:color="000000"/>
                      <w:left w:val="single" w:sz="4" w:space="4" w:color="000000"/>
                      <w:bottom w:val="single" w:sz="4" w:space="1" w:color="000000"/>
                      <w:right w:val="single" w:sz="4" w:space="4" w:color="000000"/>
                    </w:pBdr>
                    <w:tabs>
                      <w:tab w:val="left" w:pos="709"/>
                    </w:tabs>
                    <w:jc w:val="both"/>
                  </w:pPr>
                  <w:r>
                    <w:t>L’article 15 §1 du Décret du 3 mars 2004 organisant l'Enseignement spécialisé, stipule que «  les enfants et les adolescents peuvent être inscrits comme élèves réguliers dans l’enseignement secondaire spécialisé sur la base d’un rapport d’inscription délivré conformément aux dispositions de l’article 12 :</w:t>
                  </w:r>
                </w:p>
                <w:p>
                  <w:pPr>
                    <w:pBdr>
                      <w:top w:val="single" w:sz="4" w:space="1" w:color="000000"/>
                      <w:left w:val="single" w:sz="4" w:space="4" w:color="000000"/>
                      <w:bottom w:val="single" w:sz="4" w:space="1" w:color="000000"/>
                      <w:right w:val="single" w:sz="4" w:space="4" w:color="000000"/>
                    </w:pBdr>
                    <w:tabs>
                      <w:tab w:val="left" w:pos="709"/>
                    </w:tabs>
                    <w:jc w:val="both"/>
                  </w:pPr>
                  <w:r>
                    <w:t>1° après les vacances  d’été de l’année en cours de laquelle ils atteignent l’âge de treize ans ;</w:t>
                  </w:r>
                </w:p>
                <w:p>
                  <w:pPr>
                    <w:pBdr>
                      <w:top w:val="single" w:sz="4" w:space="1" w:color="000000"/>
                      <w:left w:val="single" w:sz="4" w:space="4" w:color="000000"/>
                      <w:bottom w:val="single" w:sz="4" w:space="1" w:color="000000"/>
                      <w:right w:val="single" w:sz="4" w:space="4" w:color="000000"/>
                    </w:pBdr>
                    <w:tabs>
                      <w:tab w:val="left" w:pos="709"/>
                    </w:tabs>
                    <w:jc w:val="both"/>
                  </w:pPr>
                  <w:r>
                    <w:t xml:space="preserve">2° sur base </w:t>
                  </w:r>
                  <w:r>
                    <w:rPr>
                      <w:b/>
                      <w:u w:val="single"/>
                    </w:rPr>
                    <w:t>d’un avis motivé</w:t>
                  </w:r>
                  <w:r>
                    <w:t xml:space="preserve"> du conseil de classe joint au rapport d’inscription après les vacances d’été de l’année au cours de laquelle ils atteignent l’âge de douze ans ».</w:t>
                  </w:r>
                </w:p>
                <w:p>
                  <w:pPr>
                    <w:tabs>
                      <w:tab w:val="left" w:pos="900"/>
                    </w:tabs>
                    <w:jc w:val="both"/>
                    <w:rPr>
                      <w:b/>
                    </w:rPr>
                  </w:pPr>
                  <w:bookmarkStart w:id="3137" w:name="_3.4._Registre_matricule"/>
                  <w:bookmarkStart w:id="3138" w:name="_Toc291075437"/>
                  <w:bookmarkStart w:id="3139" w:name="_Toc291075861"/>
                  <w:bookmarkStart w:id="3140" w:name="_Toc291076285"/>
                  <w:bookmarkStart w:id="3141" w:name="_Toc291076709"/>
                  <w:bookmarkStart w:id="3142" w:name="_Toc291077133"/>
                  <w:bookmarkStart w:id="3143" w:name="_Toc293651976"/>
                  <w:bookmarkStart w:id="3144" w:name="_Toc293653559"/>
                  <w:bookmarkStart w:id="3145" w:name="_Toc293654170"/>
                  <w:bookmarkStart w:id="3146" w:name="_Toc294004750"/>
                  <w:bookmarkStart w:id="3147" w:name="_Toc294185246"/>
                  <w:bookmarkStart w:id="3148" w:name="_Toc324166076"/>
                  <w:bookmarkStart w:id="3149" w:name="_Toc324767112"/>
                  <w:bookmarkStart w:id="3150" w:name="_Toc324767970"/>
                  <w:bookmarkEnd w:id="3137"/>
                </w:p>
                <w:bookmarkEnd w:id="3138"/>
                <w:bookmarkEnd w:id="3139"/>
                <w:bookmarkEnd w:id="3140"/>
                <w:bookmarkEnd w:id="3141"/>
                <w:bookmarkEnd w:id="3142"/>
                <w:bookmarkEnd w:id="3143"/>
                <w:bookmarkEnd w:id="3144"/>
                <w:bookmarkEnd w:id="3145"/>
                <w:bookmarkEnd w:id="3146"/>
                <w:bookmarkEnd w:id="3147"/>
                <w:bookmarkEnd w:id="3148"/>
                <w:bookmarkEnd w:id="3149"/>
                <w:bookmarkEnd w:id="3150"/>
                <w:p>
                  <w:pPr>
                    <w:jc w:val="both"/>
                  </w:pPr>
                  <w:r>
                    <w:t xml:space="preserve">Ce registre contient la liste </w:t>
                  </w:r>
                  <w:r>
                    <w:rPr>
                      <w:u w:val="single"/>
                    </w:rPr>
                    <w:t>alphabétique</w:t>
                  </w:r>
                  <w:r>
                    <w:t xml:space="preserve"> des élèves.</w:t>
                  </w:r>
                </w:p>
                <w:p>
                  <w:pPr>
                    <w:jc w:val="both"/>
                  </w:pPr>
                  <w:r>
                    <w:t>Cette liste est arrêtée une première fois le 30 septembre de l'année scolaire. Elle l'est ensuite mois par mois.</w:t>
                  </w:r>
                </w:p>
                <w:p>
                  <w:pPr>
                    <w:jc w:val="both"/>
                  </w:pPr>
                </w:p>
                <w:p>
                  <w:pPr>
                    <w:jc w:val="both"/>
                  </w:pPr>
                  <w:r>
                    <w:t xml:space="preserve">Le registre est divisé en colonnes correspondant aux rubriques suivantes : </w:t>
                  </w:r>
                </w:p>
                <w:p>
                  <w:pPr>
                    <w:jc w:val="both"/>
                  </w:pPr>
                </w:p>
                <w:p>
                  <w:pPr>
                    <w:pStyle w:val="Paragraphedeliste"/>
                    <w:numPr>
                      <w:ilvl w:val="0"/>
                      <w:numId w:val="186"/>
                    </w:numPr>
                    <w:jc w:val="both"/>
                    <w:rPr>
                      <w:rFonts w:asciiTheme="majorHAnsi" w:hAnsiTheme="majorHAnsi"/>
                      <w:sz w:val="22"/>
                      <w:szCs w:val="22"/>
                    </w:rPr>
                  </w:pPr>
                  <w:r>
                    <w:rPr>
                      <w:rFonts w:asciiTheme="majorHAnsi" w:hAnsiTheme="majorHAnsi"/>
                      <w:sz w:val="22"/>
                      <w:szCs w:val="22"/>
                    </w:rPr>
                    <w:t>numéro d'ordre ;</w:t>
                  </w:r>
                </w:p>
                <w:p>
                  <w:pPr>
                    <w:pStyle w:val="Paragraphedeliste"/>
                    <w:numPr>
                      <w:ilvl w:val="0"/>
                      <w:numId w:val="186"/>
                    </w:numPr>
                    <w:jc w:val="both"/>
                    <w:rPr>
                      <w:rFonts w:asciiTheme="majorHAnsi" w:hAnsiTheme="majorHAnsi"/>
                      <w:sz w:val="22"/>
                      <w:szCs w:val="22"/>
                    </w:rPr>
                  </w:pPr>
                  <w:r>
                    <w:rPr>
                      <w:rFonts w:asciiTheme="majorHAnsi" w:hAnsiTheme="majorHAnsi"/>
                      <w:sz w:val="22"/>
                      <w:szCs w:val="22"/>
                    </w:rPr>
                    <w:t>nom et prénom des élèves ;</w:t>
                  </w:r>
                </w:p>
                <w:p>
                  <w:pPr>
                    <w:pStyle w:val="Paragraphedeliste"/>
                    <w:numPr>
                      <w:ilvl w:val="0"/>
                      <w:numId w:val="186"/>
                    </w:numPr>
                    <w:jc w:val="both"/>
                    <w:rPr>
                      <w:rFonts w:asciiTheme="majorHAnsi" w:hAnsiTheme="majorHAnsi"/>
                      <w:sz w:val="22"/>
                      <w:szCs w:val="22"/>
                    </w:rPr>
                  </w:pPr>
                  <w:r>
                    <w:rPr>
                      <w:rFonts w:asciiTheme="majorHAnsi" w:hAnsiTheme="majorHAnsi"/>
                      <w:sz w:val="22"/>
                      <w:szCs w:val="22"/>
                    </w:rPr>
                    <w:t xml:space="preserve">lieu et date de naissance ; </w:t>
                  </w:r>
                </w:p>
                <w:p>
                  <w:pPr>
                    <w:pStyle w:val="Paragraphedeliste"/>
                    <w:numPr>
                      <w:ilvl w:val="0"/>
                      <w:numId w:val="186"/>
                    </w:numPr>
                    <w:jc w:val="both"/>
                    <w:rPr>
                      <w:rFonts w:asciiTheme="majorHAnsi" w:hAnsiTheme="majorHAnsi"/>
                      <w:sz w:val="22"/>
                      <w:szCs w:val="22"/>
                    </w:rPr>
                  </w:pPr>
                  <w:r>
                    <w:rPr>
                      <w:rFonts w:asciiTheme="majorHAnsi" w:hAnsiTheme="majorHAnsi"/>
                      <w:sz w:val="22"/>
                      <w:szCs w:val="22"/>
                    </w:rPr>
                    <w:t xml:space="preserve">date d'entrée ; </w:t>
                  </w:r>
                </w:p>
                <w:p>
                  <w:pPr>
                    <w:pStyle w:val="Paragraphedeliste"/>
                    <w:numPr>
                      <w:ilvl w:val="0"/>
                      <w:numId w:val="186"/>
                    </w:numPr>
                    <w:jc w:val="both"/>
                    <w:rPr>
                      <w:rFonts w:asciiTheme="majorHAnsi" w:hAnsiTheme="majorHAnsi"/>
                      <w:sz w:val="22"/>
                      <w:szCs w:val="22"/>
                    </w:rPr>
                  </w:pPr>
                  <w:r>
                    <w:rPr>
                      <w:rFonts w:asciiTheme="majorHAnsi" w:hAnsiTheme="majorHAnsi"/>
                      <w:sz w:val="22"/>
                      <w:szCs w:val="22"/>
                    </w:rPr>
                    <w:t xml:space="preserve">type d'enseignement ; </w:t>
                  </w:r>
                </w:p>
                <w:p>
                  <w:pPr>
                    <w:pStyle w:val="Paragraphedeliste"/>
                    <w:numPr>
                      <w:ilvl w:val="0"/>
                      <w:numId w:val="186"/>
                    </w:numPr>
                    <w:jc w:val="both"/>
                    <w:rPr>
                      <w:rFonts w:asciiTheme="majorHAnsi" w:hAnsiTheme="majorHAnsi"/>
                      <w:sz w:val="22"/>
                      <w:szCs w:val="22"/>
                    </w:rPr>
                  </w:pPr>
                  <w:r>
                    <w:rPr>
                      <w:rFonts w:asciiTheme="majorHAnsi" w:hAnsiTheme="majorHAnsi"/>
                      <w:sz w:val="22"/>
                      <w:szCs w:val="22"/>
                    </w:rPr>
                    <w:t>secteur et phase dans l'enseignement secondaire ;</w:t>
                  </w:r>
                </w:p>
                <w:p>
                  <w:pPr>
                    <w:pStyle w:val="Paragraphedeliste"/>
                    <w:numPr>
                      <w:ilvl w:val="0"/>
                      <w:numId w:val="186"/>
                    </w:numPr>
                    <w:jc w:val="both"/>
                    <w:rPr>
                      <w:rFonts w:asciiTheme="majorHAnsi" w:hAnsiTheme="majorHAnsi"/>
                      <w:sz w:val="22"/>
                      <w:szCs w:val="22"/>
                    </w:rPr>
                  </w:pPr>
                  <w:r>
                    <w:rPr>
                      <w:rFonts w:asciiTheme="majorHAnsi" w:hAnsiTheme="majorHAnsi"/>
                      <w:sz w:val="22"/>
                      <w:szCs w:val="22"/>
                    </w:rPr>
                    <w:t>observations.</w:t>
                  </w:r>
                </w:p>
                <w:p>
                  <w:pPr>
                    <w:jc w:val="both"/>
                  </w:pPr>
                </w:p>
                <w:p>
                  <w:pPr>
                    <w:jc w:val="both"/>
                  </w:pPr>
                  <w:r>
                    <w:t>Dans cette dernière colonne doivent être signalé(e)s les dates de sortie, les changements de secteur, etc.</w:t>
                  </w:r>
                </w:p>
                <w:p>
                  <w:pPr>
                    <w:jc w:val="both"/>
                  </w:pPr>
                </w:p>
                <w:p>
                  <w:pPr>
                    <w:jc w:val="both"/>
                    <w:rPr>
                      <w:u w:val="single"/>
                    </w:rPr>
                  </w:pPr>
                  <w:r>
                    <w:t xml:space="preserve">Une gestion informatisée du registre matricule peut être utilisé si le programme comporte des informations identiques et des clés de sécurité empêchant la modification a posteriori des données encodées.  </w:t>
                  </w:r>
                  <w:r>
                    <w:rPr>
                      <w:u w:val="single"/>
                    </w:rPr>
                    <w:t>Cette gestion doit faire l’objet d’un accord préalable du service de Vérification.</w:t>
                  </w:r>
                </w:p>
                <w:p>
                  <w:pPr>
                    <w:tabs>
                      <w:tab w:val="left" w:pos="1031"/>
                      <w:tab w:val="left" w:pos="1292"/>
                      <w:tab w:val="left" w:pos="1440"/>
                    </w:tabs>
                    <w:jc w:val="both"/>
                  </w:pPr>
                </w:p>
                <w:p>
                  <w:pPr>
                    <w:pStyle w:val="Titre4"/>
                  </w:pPr>
                  <w:bookmarkStart w:id="3151" w:name="_Toc291075438"/>
                  <w:bookmarkStart w:id="3152" w:name="_Toc291075862"/>
                  <w:bookmarkStart w:id="3153" w:name="_Toc291076286"/>
                  <w:bookmarkStart w:id="3154" w:name="_Toc291076710"/>
                  <w:bookmarkStart w:id="3155" w:name="_Toc291077134"/>
                  <w:bookmarkStart w:id="3156" w:name="_Toc293651977"/>
                  <w:bookmarkStart w:id="3157" w:name="_Toc293653560"/>
                  <w:bookmarkStart w:id="3158" w:name="_Toc293654171"/>
                  <w:bookmarkStart w:id="3159" w:name="_Toc294004751"/>
                  <w:bookmarkStart w:id="3160" w:name="_Toc294185247"/>
                  <w:bookmarkStart w:id="3161" w:name="_Toc324166077"/>
                  <w:bookmarkStart w:id="3162" w:name="_Toc324767113"/>
                  <w:bookmarkStart w:id="3163" w:name="_Toc324767971"/>
                  <w:bookmarkStart w:id="3164" w:name="_Toc453314502"/>
                  <w:bookmarkStart w:id="3165" w:name="_Toc454980537"/>
                  <w:r>
                    <w:t>3.4. Registre des procès-verbaux des conseils de classe</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pPr>
                    <w:tabs>
                      <w:tab w:val="left" w:pos="1031"/>
                      <w:tab w:val="left" w:pos="1292"/>
                      <w:tab w:val="left" w:pos="1440"/>
                    </w:tabs>
                    <w:jc w:val="both"/>
                  </w:pPr>
                </w:p>
                <w:p>
                  <w:pPr>
                    <w:jc w:val="both"/>
                  </w:pPr>
                  <w:r>
                    <w:t>Tous les documents relatifs aux conseils de classe restent en permanence dans l'établissement à la disposition de la vérification.</w:t>
                  </w:r>
                </w:p>
                <w:p>
                  <w:pPr>
                    <w:jc w:val="both"/>
                  </w:pPr>
                </w:p>
                <w:p>
                  <w:pPr>
                    <w:jc w:val="both"/>
                  </w:pPr>
                  <w:r>
                    <w:t>Les admissions d'élèves dans une classe déterminée, les passages de classe, l'organisation des classes sont de la compétence du conseil de classe assisté de l'organisme chargé de la guidance.</w:t>
                  </w:r>
                </w:p>
                <w:p>
                  <w:pPr>
                    <w:jc w:val="both"/>
                  </w:pPr>
                </w:p>
                <w:p>
                  <w:pPr>
                    <w:jc w:val="both"/>
                  </w:pPr>
                  <w:r>
                    <w:t>Toutes les décisions sont consignées dans le registre des procès-verbaux des conseils de classe.</w:t>
                  </w:r>
                </w:p>
                <w:p>
                  <w:pPr>
                    <w:jc w:val="both"/>
                  </w:pPr>
                </w:p>
                <w:p>
                  <w:pPr>
                    <w:jc w:val="both"/>
                  </w:pPr>
                  <w:r>
                    <w:t>Si le passage d'un élève  d'une année d'études à une autre s'impose dans le courant de l'année scolaire, il est procédé de la même manière.</w:t>
                  </w:r>
                </w:p>
                <w:p>
                  <w:pPr>
                    <w:tabs>
                      <w:tab w:val="left" w:pos="1031"/>
                      <w:tab w:val="left" w:pos="1292"/>
                      <w:tab w:val="left" w:pos="1440"/>
                    </w:tabs>
                    <w:jc w:val="both"/>
                  </w:pPr>
                </w:p>
                <w:p>
                  <w:pPr>
                    <w:pStyle w:val="Titre4"/>
                  </w:pPr>
                  <w:bookmarkStart w:id="3166" w:name="_Toc291075440"/>
                  <w:bookmarkStart w:id="3167" w:name="_Toc291075864"/>
                  <w:bookmarkStart w:id="3168" w:name="_Toc291076288"/>
                  <w:bookmarkStart w:id="3169" w:name="_Toc291076712"/>
                  <w:bookmarkStart w:id="3170" w:name="_Toc291077136"/>
                  <w:bookmarkStart w:id="3171" w:name="_Toc293651979"/>
                  <w:bookmarkStart w:id="3172" w:name="_Toc293653562"/>
                  <w:bookmarkStart w:id="3173" w:name="_Toc293654173"/>
                  <w:bookmarkStart w:id="3174" w:name="_Toc294004753"/>
                  <w:bookmarkStart w:id="3175" w:name="_Toc294185249"/>
                  <w:bookmarkStart w:id="3176" w:name="_Toc324166079"/>
                  <w:bookmarkStart w:id="3177" w:name="_Toc324767115"/>
                  <w:bookmarkStart w:id="3178" w:name="_Toc324767973"/>
                  <w:bookmarkStart w:id="3179" w:name="_Toc453314504"/>
                  <w:bookmarkStart w:id="3180" w:name="_Toc454980539"/>
                  <w:r>
                    <w:t>3.5. Transmission des dossiers élèves</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pPr>
                    <w:tabs>
                      <w:tab w:val="left" w:pos="1031"/>
                      <w:tab w:val="left" w:pos="1292"/>
                      <w:tab w:val="left" w:pos="1440"/>
                    </w:tabs>
                    <w:jc w:val="both"/>
                  </w:pPr>
                </w:p>
                <w:p>
                  <w:pPr>
                    <w:jc w:val="both"/>
                  </w:pPr>
                  <w:r>
                    <w:t>Le chef d'établissement est tenu de remettre immédiatement l'attestation de fréquentation et éventuellement de réussite à tout élève quittant son établissement en cours d'année scolaire ou qui ne s'y réinscrit pas.</w:t>
                  </w:r>
                </w:p>
                <w:p>
                  <w:pPr>
                    <w:jc w:val="both"/>
                  </w:pPr>
                  <w:r>
                    <w:t>Sur accord de l’élève majeur, des parents ou de la personne investie de l’autorité parentale, l'attestation d’orientation peut être transmise directement à l'établissement qui accueille l'élève lors d'un changement d'établissement, en même temps que le dossier complet. (Protocole justificatif, avis de maintien, attestations de fréquentation et de réussite, documents d'identité).</w:t>
                  </w:r>
                </w:p>
                <w:p>
                  <w:pPr>
                    <w:jc w:val="both"/>
                  </w:pPr>
                  <w:r>
                    <w:t>Sinon, elle est restituée à une des personnes mentionnées ci-dessus.</w:t>
                  </w:r>
                </w:p>
                <w:p>
                  <w:pPr>
                    <w:jc w:val="both"/>
                  </w:pPr>
                </w:p>
                <w:p>
                  <w:pPr>
                    <w:jc w:val="both"/>
                  </w:pPr>
                  <w:r>
                    <w:t xml:space="preserve">Le dossier d’orientation originale doit être transmis dans la huitaine à l’école d’accueil. </w:t>
                  </w:r>
                </w:p>
                <w:p>
                  <w:pPr>
                    <w:jc w:val="both"/>
                  </w:pPr>
                </w:p>
                <w:p>
                  <w:pPr>
                    <w:jc w:val="both"/>
                    <w:rPr>
                      <w:b/>
                    </w:rPr>
                  </w:pPr>
                  <w:r>
                    <w:rPr>
                      <w:b/>
                    </w:rPr>
                    <w:t>Une copie du dossier est toujours conservée au sein de l'établissement quitté.</w:t>
                  </w:r>
                </w:p>
                <w:p>
                  <w:pPr>
                    <w:jc w:val="both"/>
                  </w:pPr>
                </w:p>
                <w:p>
                  <w:pPr>
                    <w:pStyle w:val="Titre4"/>
                  </w:pPr>
                  <w:bookmarkStart w:id="3181" w:name="_Toc291075441"/>
                  <w:bookmarkStart w:id="3182" w:name="_Toc291075865"/>
                  <w:bookmarkStart w:id="3183" w:name="_Toc291076289"/>
                  <w:bookmarkStart w:id="3184" w:name="_Toc291076713"/>
                  <w:bookmarkStart w:id="3185" w:name="_Toc291077137"/>
                  <w:bookmarkStart w:id="3186" w:name="_Toc293651980"/>
                  <w:bookmarkStart w:id="3187" w:name="_Toc293653563"/>
                  <w:bookmarkStart w:id="3188" w:name="_Toc293654174"/>
                  <w:bookmarkStart w:id="3189" w:name="_Toc294004754"/>
                  <w:bookmarkStart w:id="3190" w:name="_Toc294185250"/>
                  <w:bookmarkStart w:id="3191" w:name="_Toc324166080"/>
                  <w:bookmarkStart w:id="3192" w:name="_Toc324767116"/>
                  <w:bookmarkStart w:id="3193" w:name="_Toc324767974"/>
                  <w:bookmarkStart w:id="3194" w:name="_Toc453314505"/>
                  <w:bookmarkStart w:id="3195" w:name="_Toc454980540"/>
                  <w:r>
                    <w:t>3.6. Enseignement de type 5</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r>
                    <w:t xml:space="preserve"> </w:t>
                  </w:r>
                </w:p>
                <w:p>
                  <w:pPr>
                    <w:tabs>
                      <w:tab w:val="left" w:pos="1031"/>
                      <w:tab w:val="left" w:pos="1292"/>
                      <w:tab w:val="left" w:pos="1440"/>
                    </w:tabs>
                    <w:jc w:val="both"/>
                    <w:rPr>
                      <w:b/>
                    </w:rPr>
                  </w:pPr>
                </w:p>
                <w:p>
                  <w:pPr>
                    <w:jc w:val="both"/>
                  </w:pPr>
                  <w:r>
                    <w:t xml:space="preserve">Les formalités administratives pour l'entrée, le séjour et la sortie des élèves fréquentant l'enseignement spécialisé de type 5 sont  reprises dans le </w:t>
                  </w:r>
                  <w:hyperlink w:anchor="_chapitre_12_:" w:history="1">
                    <w:r>
                      <w:rPr>
                        <w:rStyle w:val="Lienhypertexte"/>
                        <w:rFonts w:cs="Arial"/>
                      </w:rPr>
                      <w:t>chapitre 12</w:t>
                    </w:r>
                  </w:hyperlink>
                  <w:r>
                    <w:t xml:space="preserve"> des présentes directives et recommandations.</w:t>
                  </w:r>
                </w:p>
                <w:p>
                  <w:pPr>
                    <w:tabs>
                      <w:tab w:val="left" w:pos="1031"/>
                      <w:tab w:val="left" w:pos="1292"/>
                      <w:tab w:val="left" w:pos="1440"/>
                    </w:tabs>
                    <w:jc w:val="both"/>
                  </w:pPr>
                </w:p>
                <w:p>
                  <w:pPr>
                    <w:pStyle w:val="Titre4"/>
                  </w:pPr>
                  <w:bookmarkStart w:id="3196" w:name="_3.9._Internats_et"/>
                  <w:bookmarkStart w:id="3197" w:name="_Toc291075442"/>
                  <w:bookmarkStart w:id="3198" w:name="_Toc291075866"/>
                  <w:bookmarkStart w:id="3199" w:name="_Toc291076290"/>
                  <w:bookmarkStart w:id="3200" w:name="_Toc291076714"/>
                  <w:bookmarkStart w:id="3201" w:name="_Toc291077138"/>
                  <w:bookmarkStart w:id="3202" w:name="_Toc293651981"/>
                  <w:bookmarkStart w:id="3203" w:name="_Toc293653564"/>
                  <w:bookmarkStart w:id="3204" w:name="_Toc293654175"/>
                  <w:bookmarkStart w:id="3205" w:name="_Toc294004755"/>
                  <w:bookmarkStart w:id="3206" w:name="_Toc294185251"/>
                  <w:bookmarkStart w:id="3207" w:name="_Toc324166081"/>
                  <w:bookmarkStart w:id="3208" w:name="_Toc324767117"/>
                  <w:bookmarkStart w:id="3209" w:name="_Toc324767975"/>
                  <w:bookmarkStart w:id="3210" w:name="_Toc453314506"/>
                  <w:bookmarkStart w:id="3211" w:name="_Toc454980541"/>
                  <w:bookmarkEnd w:id="3196"/>
                  <w:r>
                    <w:t>3.7. Internats, homes d'accueil</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r>
                    <w:t xml:space="preserve"> et homes d’accueil permanent</w:t>
                  </w:r>
                  <w:bookmarkEnd w:id="3210"/>
                  <w:bookmarkEnd w:id="3211"/>
                </w:p>
                <w:p>
                  <w:pPr>
                    <w:tabs>
                      <w:tab w:val="left" w:pos="1031"/>
                      <w:tab w:val="left" w:pos="1292"/>
                      <w:tab w:val="left" w:pos="1440"/>
                    </w:tabs>
                    <w:ind w:hanging="1031"/>
                    <w:jc w:val="both"/>
                  </w:pPr>
                </w:p>
                <w:p>
                  <w:pPr>
                    <w:numPr>
                      <w:ilvl w:val="0"/>
                      <w:numId w:val="5"/>
                    </w:numPr>
                    <w:suppressAutoHyphens/>
                    <w:jc w:val="both"/>
                    <w:rPr>
                      <w:u w:val="single"/>
                    </w:rPr>
                  </w:pPr>
                  <w:r>
                    <w:rPr>
                      <w:u w:val="single"/>
                    </w:rPr>
                    <w:t>Le dossier administratif individuel</w:t>
                  </w:r>
                </w:p>
                <w:p>
                  <w:pPr>
                    <w:jc w:val="both"/>
                  </w:pPr>
                </w:p>
                <w:p>
                  <w:pPr>
                    <w:jc w:val="both"/>
                  </w:pPr>
                  <w:r>
                    <w:t>Dans un internat ou dans un home d'accueil, ce dossier doit comporter :</w:t>
                  </w:r>
                </w:p>
                <w:p>
                  <w:pPr>
                    <w:jc w:val="both"/>
                  </w:pPr>
                </w:p>
                <w:p>
                  <w:pPr>
                    <w:pStyle w:val="Paragraphedeliste"/>
                    <w:numPr>
                      <w:ilvl w:val="0"/>
                      <w:numId w:val="187"/>
                    </w:numPr>
                    <w:tabs>
                      <w:tab w:val="clear" w:pos="851"/>
                      <w:tab w:val="num" w:pos="1276"/>
                    </w:tabs>
                    <w:ind w:left="1276" w:hanging="425"/>
                    <w:jc w:val="both"/>
                    <w:rPr>
                      <w:rFonts w:asciiTheme="majorHAnsi" w:hAnsiTheme="majorHAnsi"/>
                      <w:sz w:val="22"/>
                      <w:szCs w:val="22"/>
                    </w:rPr>
                  </w:pPr>
                  <w:r>
                    <w:rPr>
                      <w:rFonts w:asciiTheme="majorHAnsi" w:hAnsiTheme="majorHAnsi"/>
                      <w:sz w:val="22"/>
                      <w:szCs w:val="22"/>
                    </w:rPr>
                    <w:t>la fiche d'inscription ;</w:t>
                  </w:r>
                </w:p>
                <w:p>
                  <w:pPr>
                    <w:pStyle w:val="Paragraphedeliste"/>
                    <w:numPr>
                      <w:ilvl w:val="0"/>
                      <w:numId w:val="187"/>
                    </w:numPr>
                    <w:tabs>
                      <w:tab w:val="clear" w:pos="851"/>
                      <w:tab w:val="num" w:pos="1276"/>
                    </w:tabs>
                    <w:ind w:left="1276" w:hanging="425"/>
                    <w:jc w:val="both"/>
                    <w:rPr>
                      <w:rFonts w:asciiTheme="majorHAnsi" w:hAnsiTheme="majorHAnsi"/>
                      <w:sz w:val="22"/>
                      <w:szCs w:val="22"/>
                    </w:rPr>
                  </w:pPr>
                  <w:r>
                    <w:rPr>
                      <w:rFonts w:asciiTheme="majorHAnsi" w:hAnsiTheme="majorHAnsi"/>
                      <w:sz w:val="22"/>
                      <w:szCs w:val="22"/>
                    </w:rPr>
                    <w:t>une copie de l'attestation d’orientation ;</w:t>
                  </w:r>
                </w:p>
                <w:p>
                  <w:pPr>
                    <w:pStyle w:val="Paragraphedeliste"/>
                    <w:numPr>
                      <w:ilvl w:val="0"/>
                      <w:numId w:val="187"/>
                    </w:numPr>
                    <w:tabs>
                      <w:tab w:val="clear" w:pos="851"/>
                      <w:tab w:val="num" w:pos="1276"/>
                    </w:tabs>
                    <w:ind w:left="1276" w:hanging="425"/>
                    <w:jc w:val="both"/>
                    <w:rPr>
                      <w:rFonts w:asciiTheme="majorHAnsi" w:hAnsiTheme="majorHAnsi"/>
                      <w:sz w:val="22"/>
                      <w:szCs w:val="22"/>
                    </w:rPr>
                  </w:pPr>
                  <w:r>
                    <w:rPr>
                      <w:rFonts w:asciiTheme="majorHAnsi" w:hAnsiTheme="majorHAnsi"/>
                      <w:sz w:val="22"/>
                      <w:szCs w:val="22"/>
                    </w:rPr>
                    <w:t>une attestation de fréquentation de l’année scolaire en cours rédigée par l'établissement d'enseignement fréquenté (</w:t>
                  </w:r>
                  <w:hyperlink w:anchor="_Annexe_5_:_2" w:history="1">
                    <w:r>
                      <w:rPr>
                        <w:rStyle w:val="Lienhypertexte"/>
                        <w:rFonts w:asciiTheme="majorHAnsi" w:hAnsiTheme="majorHAnsi" w:cs="Arial"/>
                        <w:sz w:val="22"/>
                        <w:szCs w:val="22"/>
                      </w:rPr>
                      <w:t>annexe 4</w:t>
                    </w:r>
                  </w:hyperlink>
                  <w:r>
                    <w:rPr>
                      <w:rFonts w:asciiTheme="majorHAnsi" w:hAnsiTheme="majorHAnsi"/>
                      <w:sz w:val="22"/>
                      <w:szCs w:val="22"/>
                    </w:rPr>
                    <w:t>).</w:t>
                  </w:r>
                </w:p>
                <w:p>
                  <w:pPr>
                    <w:tabs>
                      <w:tab w:val="left" w:pos="1031"/>
                      <w:tab w:val="left" w:pos="1292"/>
                      <w:tab w:val="left" w:pos="1440"/>
                    </w:tabs>
                    <w:jc w:val="both"/>
                  </w:pPr>
                </w:p>
                <w:p>
                  <w:pPr>
                    <w:numPr>
                      <w:ilvl w:val="0"/>
                      <w:numId w:val="5"/>
                    </w:numPr>
                    <w:suppressAutoHyphens/>
                    <w:jc w:val="both"/>
                    <w:rPr>
                      <w:u w:val="single"/>
                    </w:rPr>
                  </w:pPr>
                  <w:r>
                    <w:rPr>
                      <w:u w:val="single"/>
                    </w:rPr>
                    <w:t>Le registre de présences</w:t>
                  </w:r>
                </w:p>
                <w:p>
                  <w:pPr>
                    <w:jc w:val="both"/>
                  </w:pPr>
                </w:p>
                <w:p>
                  <w:pPr>
                    <w:pStyle w:val="Paragraphedeliste"/>
                    <w:numPr>
                      <w:ilvl w:val="0"/>
                      <w:numId w:val="188"/>
                    </w:numPr>
                    <w:tabs>
                      <w:tab w:val="clear" w:pos="567"/>
                      <w:tab w:val="num" w:pos="1276"/>
                    </w:tabs>
                    <w:ind w:left="1276" w:hanging="425"/>
                    <w:jc w:val="both"/>
                    <w:rPr>
                      <w:rFonts w:asciiTheme="majorHAnsi" w:hAnsiTheme="majorHAnsi"/>
                      <w:sz w:val="22"/>
                      <w:szCs w:val="22"/>
                    </w:rPr>
                  </w:pPr>
                  <w:r>
                    <w:rPr>
                      <w:rFonts w:asciiTheme="majorHAnsi" w:hAnsiTheme="majorHAnsi"/>
                      <w:sz w:val="22"/>
                      <w:szCs w:val="22"/>
                    </w:rPr>
                    <w:t>pour l'internat de semaine, ce registre est le même que celui tenu dans les classes ;</w:t>
                  </w:r>
                </w:p>
                <w:p>
                  <w:pPr>
                    <w:pStyle w:val="Paragraphedeliste"/>
                    <w:numPr>
                      <w:ilvl w:val="0"/>
                      <w:numId w:val="188"/>
                    </w:numPr>
                    <w:tabs>
                      <w:tab w:val="clear" w:pos="567"/>
                      <w:tab w:val="num" w:pos="1276"/>
                    </w:tabs>
                    <w:ind w:left="1276" w:hanging="425"/>
                    <w:jc w:val="both"/>
                    <w:rPr>
                      <w:rFonts w:asciiTheme="majorHAnsi" w:hAnsiTheme="majorHAnsi"/>
                      <w:sz w:val="22"/>
                      <w:szCs w:val="22"/>
                      <w:u w:val="single"/>
                    </w:rPr>
                  </w:pPr>
                  <w:r>
                    <w:rPr>
                      <w:rFonts w:asciiTheme="majorHAnsi" w:hAnsiTheme="majorHAnsi"/>
                      <w:sz w:val="22"/>
                      <w:szCs w:val="22"/>
                    </w:rPr>
                    <w:t xml:space="preserve">pour l'accueil permanent, le modèle n'est pas imposé. Sa présentation doit cependant permettre le contrôle des tableaux récapitulatifs des présences prises en considération pour le calcul des moyennes de l'année par sexe, type, niveau et forme. </w:t>
                  </w:r>
                  <w:r>
                    <w:rPr>
                      <w:rFonts w:asciiTheme="majorHAnsi" w:hAnsiTheme="majorHAnsi"/>
                      <w:sz w:val="22"/>
                      <w:szCs w:val="22"/>
                      <w:u w:val="single"/>
                    </w:rPr>
                    <w:t>Elle doit faire l’objet d’un accord préalable du service de Vérification.</w:t>
                  </w:r>
                </w:p>
                <w:p>
                  <w:pPr>
                    <w:tabs>
                      <w:tab w:val="left" w:pos="1031"/>
                      <w:tab w:val="left" w:pos="1292"/>
                      <w:tab w:val="left" w:pos="1440"/>
                    </w:tabs>
                    <w:jc w:val="both"/>
                  </w:pPr>
                </w:p>
                <w:p>
                  <w:pPr>
                    <w:pStyle w:val="Titre4"/>
                  </w:pPr>
                  <w:bookmarkStart w:id="3212" w:name="_3.10._Comptabilisation_des"/>
                  <w:bookmarkStart w:id="3213" w:name="_Toc453314507"/>
                  <w:bookmarkStart w:id="3214" w:name="_Toc454980542"/>
                  <w:bookmarkStart w:id="3215" w:name="_Toc291075443"/>
                  <w:bookmarkStart w:id="3216" w:name="_Toc291075867"/>
                  <w:bookmarkStart w:id="3217" w:name="_Toc291076291"/>
                  <w:bookmarkStart w:id="3218" w:name="_Toc291076715"/>
                  <w:bookmarkStart w:id="3219" w:name="_Toc291077139"/>
                  <w:bookmarkStart w:id="3220" w:name="_Toc293651982"/>
                  <w:bookmarkStart w:id="3221" w:name="_Toc293653565"/>
                  <w:bookmarkStart w:id="3222" w:name="_Toc293654176"/>
                  <w:bookmarkStart w:id="3223" w:name="_Toc294004756"/>
                  <w:bookmarkStart w:id="3224" w:name="_Toc294185252"/>
                  <w:bookmarkStart w:id="3225" w:name="_Toc324166082"/>
                  <w:bookmarkStart w:id="3226" w:name="_Toc324767118"/>
                  <w:bookmarkStart w:id="3227" w:name="_Toc324767976"/>
                  <w:bookmarkEnd w:id="3212"/>
                  <w:r>
                    <w:t>3.8. Comptabilisation des élèves</w:t>
                  </w:r>
                  <w:bookmarkEnd w:id="3213"/>
                  <w:bookmarkEnd w:id="3214"/>
                  <w:r>
                    <w:t xml:space="preserve"> </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pPr>
                    <w:tabs>
                      <w:tab w:val="left" w:pos="1031"/>
                      <w:tab w:val="left" w:pos="1292"/>
                      <w:tab w:val="left" w:pos="1440"/>
                    </w:tabs>
                    <w:spacing w:line="237" w:lineRule="atLeast"/>
                    <w:jc w:val="both"/>
                  </w:pPr>
                </w:p>
                <w:p>
                  <w:pPr>
                    <w:jc w:val="both"/>
                  </w:pPr>
                  <w:r>
                    <w:t>Pour être comptabilisé, l’élève doit, d’une part, être régulièrement inscrit c’est-à-dire satisfaire aux conditions d’âge et d’admission et, d’autre part, fréquenter régulièrement l’école.</w:t>
                  </w:r>
                </w:p>
                <w:p>
                  <w:pPr>
                    <w:jc w:val="both"/>
                  </w:pPr>
                </w:p>
                <w:p>
                  <w:pPr>
                    <w:jc w:val="both"/>
                  </w:pPr>
                  <w:r>
                    <w:t>Dans l’enseignement spécialisé, le chef d’établissement doit rester attentif aux absences non justifiées et doit impérativement signaler au Service du Contrôle de l’obligation scolaire, au plus tard le premier jour ouvrable qui suit, les élèves qui se sont absentés 9 demi-jours de manière injustifiée dans le primaire spécialisé et 10 demi-jours dans le secondaire spécialisé. Toute nouvelle absence injustifiée doit être signalée mensuellement selon les mêmes procédures.</w:t>
                  </w:r>
                </w:p>
                <w:p>
                  <w:pPr>
                    <w:jc w:val="both"/>
                  </w:pPr>
                </w:p>
                <w:p>
                  <w:pPr>
                    <w:jc w:val="both"/>
                  </w:pPr>
                  <w:r>
                    <w:t>Cette formalité, prévue dans l’intérêt de l’élève, permettra par ailleurs de le comptabiliser comme s’il avait fréquenté régulièrement les cours.</w:t>
                  </w:r>
                </w:p>
                <w:p>
                  <w:pPr>
                    <w:jc w:val="both"/>
                  </w:pPr>
                </w:p>
                <w:p>
                  <w:pPr>
                    <w:jc w:val="both"/>
                  </w:pPr>
                  <w:r>
                    <w:t>En cas de litige entre un établissement scolaire et le service de la vérification de la population scolaire, le chef d’établissement devra exposer de manière claire et circonstanciée ledit litige, documents à l’appui, en vue d’être soumis à la Direction générale de l’Enseignement obligatoire qui statuera.</w:t>
                  </w:r>
                </w:p>
                <w:p>
                  <w:pPr>
                    <w:jc w:val="both"/>
                  </w:pPr>
                </w:p>
                <w:p>
                  <w:pPr>
                    <w:jc w:val="both"/>
                    <w:rPr>
                      <w:b/>
                      <w:bCs/>
                    </w:rPr>
                  </w:pPr>
                  <w:r>
                    <w:rPr>
                      <w:b/>
                      <w:bCs/>
                    </w:rPr>
                    <w:t>Consignes particulières pour la tenue des registres durant le mois de septembre :</w:t>
                  </w:r>
                </w:p>
                <w:p>
                  <w:pPr>
                    <w:jc w:val="both"/>
                  </w:pPr>
                </w:p>
                <w:p>
                  <w:pPr>
                    <w:jc w:val="both"/>
                  </w:pPr>
                  <w:r>
                    <w:t>Un élève inscrit dans une école en date du 30 juin et qui ne se représente pas le 1</w:t>
                  </w:r>
                  <w:r>
                    <w:rPr>
                      <w:vertAlign w:val="superscript"/>
                    </w:rPr>
                    <w:t>er</w:t>
                  </w:r>
                  <w:r>
                    <w:t xml:space="preserve"> septembre suivant doit figurer dans le relevé des élèves inscrits, en début du registre de fréquentation et dans le relevé de la page du mois de septembre si :</w:t>
                  </w:r>
                </w:p>
                <w:p>
                  <w:pPr>
                    <w:jc w:val="both"/>
                  </w:pPr>
                </w:p>
                <w:p>
                  <w:pPr>
                    <w:pStyle w:val="Paragraphedeliste"/>
                    <w:numPr>
                      <w:ilvl w:val="0"/>
                      <w:numId w:val="64"/>
                    </w:numPr>
                    <w:suppressAutoHyphens w:val="0"/>
                    <w:ind w:left="1134" w:hanging="425"/>
                    <w:jc w:val="both"/>
                    <w:rPr>
                      <w:rFonts w:asciiTheme="majorHAnsi" w:hAnsiTheme="majorHAnsi"/>
                      <w:sz w:val="22"/>
                      <w:szCs w:val="22"/>
                    </w:rPr>
                  </w:pPr>
                  <w:r>
                    <w:rPr>
                      <w:rFonts w:asciiTheme="majorHAnsi" w:hAnsiTheme="majorHAnsi"/>
                      <w:sz w:val="22"/>
                      <w:szCs w:val="22"/>
                    </w:rPr>
                    <w:t>son inscription n’a pas été retirée ;</w:t>
                  </w:r>
                </w:p>
                <w:p>
                  <w:pPr>
                    <w:pStyle w:val="Paragraphedeliste"/>
                    <w:numPr>
                      <w:ilvl w:val="0"/>
                      <w:numId w:val="64"/>
                    </w:numPr>
                    <w:suppressAutoHyphens w:val="0"/>
                    <w:ind w:left="1134" w:hanging="425"/>
                    <w:jc w:val="both"/>
                    <w:rPr>
                      <w:rFonts w:asciiTheme="majorHAnsi" w:hAnsiTheme="majorHAnsi"/>
                      <w:sz w:val="22"/>
                      <w:szCs w:val="22"/>
                    </w:rPr>
                  </w:pPr>
                  <w:r>
                    <w:rPr>
                      <w:rFonts w:asciiTheme="majorHAnsi" w:hAnsiTheme="majorHAnsi"/>
                      <w:sz w:val="22"/>
                      <w:szCs w:val="22"/>
                    </w:rPr>
                    <w:t>s’il n’a pas fait l’objet d’un changement d’école en fin d’année scolaire précédente ;</w:t>
                  </w:r>
                </w:p>
                <w:p>
                  <w:pPr>
                    <w:jc w:val="both"/>
                  </w:pPr>
                </w:p>
                <w:p>
                  <w:pPr>
                    <w:jc w:val="both"/>
                  </w:pPr>
                  <w:r>
                    <w:t>Dès que cet élève compte 9 demi-jours d’absence injustifiée, le chef d’établissement le signale impérativement auprès du service du contrôle de l’obligation scolaire.</w:t>
                  </w:r>
                </w:p>
                <w:p>
                  <w:pPr>
                    <w:jc w:val="both"/>
                  </w:pPr>
                </w:p>
                <w:p>
                  <w:pPr>
                    <w:jc w:val="both"/>
                  </w:pPr>
                  <w:r>
                    <w:t>Si cet élève est en absence injustifiée durant tout le mois de septembre, son inscription doit être clôturée et il doit être sorti du registre matricule des inscriptions et du registre de fréquentation avant le 30 septembre. Il ne pourra en aucun cas être repris dans les différentes collectes de populations scolaires du 30 septembre : comptage des élèves et calcul de l’encadrement.</w:t>
                  </w:r>
                </w:p>
                <w:p>
                  <w:pPr>
                    <w:jc w:val="both"/>
                  </w:pPr>
                  <w:r>
                    <w:t>De plus, le chef d’établissement fera un dernier signalement au service du contrôle de l’obligation scolaire en précisant que cet élève ne s’est jamais présenté dans l’établissement depuis le début de l’année scolaire et que dès lors son inscription doit être clôturée.</w:t>
                  </w:r>
                </w:p>
                <w:p>
                  <w:pPr>
                    <w:tabs>
                      <w:tab w:val="left" w:pos="1031"/>
                      <w:tab w:val="left" w:pos="1292"/>
                      <w:tab w:val="left" w:pos="1440"/>
                    </w:tabs>
                    <w:spacing w:line="237" w:lineRule="atLeast"/>
                    <w:jc w:val="both"/>
                  </w:pPr>
                </w:p>
                <w:p>
                  <w:pPr>
                    <w:pStyle w:val="Titre3"/>
                  </w:pPr>
                  <w:bookmarkStart w:id="3228" w:name="_4._Annexes"/>
                  <w:bookmarkStart w:id="3229" w:name="__RefHeading__289_957262308"/>
                  <w:bookmarkStart w:id="3230" w:name="_Toc291075444"/>
                  <w:bookmarkStart w:id="3231" w:name="_Toc291075868"/>
                  <w:bookmarkStart w:id="3232" w:name="_Toc291076292"/>
                  <w:bookmarkStart w:id="3233" w:name="_Toc291076716"/>
                  <w:bookmarkStart w:id="3234" w:name="_Toc291077140"/>
                  <w:bookmarkStart w:id="3235" w:name="_Toc293651983"/>
                  <w:bookmarkStart w:id="3236" w:name="_Toc293653566"/>
                  <w:bookmarkStart w:id="3237" w:name="_Toc293654177"/>
                  <w:bookmarkStart w:id="3238" w:name="_Toc294004757"/>
                  <w:bookmarkStart w:id="3239" w:name="_Toc294185253"/>
                  <w:bookmarkStart w:id="3240" w:name="_Toc324166083"/>
                  <w:bookmarkStart w:id="3241" w:name="_Toc324767119"/>
                  <w:bookmarkStart w:id="3242" w:name="_Toc453314508"/>
                  <w:bookmarkStart w:id="3243" w:name="_Toc454980543"/>
                  <w:bookmarkStart w:id="3244" w:name="_Toc18914502"/>
                  <w:bookmarkEnd w:id="3228"/>
                  <w:bookmarkEnd w:id="3229"/>
                  <w:r>
                    <w:t>4. Annexes</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p>
                  <w:r>
                    <w:br w:type="page"/>
                  </w:r>
                </w:p>
                <w:p>
                  <w:pPr>
                    <w:pStyle w:val="Titre4"/>
                  </w:pPr>
                  <w:bookmarkStart w:id="3245" w:name="_Annexe_1_:_14"/>
                  <w:bookmarkStart w:id="3246" w:name="_Toc453314510"/>
                  <w:bookmarkStart w:id="3247" w:name="_Toc454980544"/>
                  <w:bookmarkEnd w:id="3245"/>
                  <w:r>
                    <w:t>Annexe 1 : Avis de maintien dans l’enseignement spécialisé</w:t>
                  </w:r>
                  <w:bookmarkEnd w:id="3246"/>
                  <w:bookmarkEnd w:id="3247"/>
                </w:p>
                <w:p>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b/>
                    </w:rPr>
                  </w:pPr>
                </w:p>
                <w:p>
                  <w:pPr>
                    <w:pStyle w:val="Corpsdetexte"/>
                    <w:jc w:val="center"/>
                    <w:rPr>
                      <w:b/>
                    </w:rPr>
                  </w:pPr>
                  <w:r>
                    <w:rPr>
                      <w:b/>
                    </w:rPr>
                    <w:t>ENSEIGNEMENT SPECIALISE</w:t>
                  </w:r>
                  <w:r>
                    <w:rPr>
                      <w:b/>
                    </w:rPr>
                    <w:br/>
                  </w:r>
                </w:p>
                <w:p>
                  <w:pPr>
                    <w:pStyle w:val="Corpsdetexte"/>
                    <w:jc w:val="center"/>
                    <w:rPr>
                      <w:b/>
                    </w:rPr>
                  </w:pPr>
                  <w:r>
                    <w:rPr>
                      <w:b/>
                    </w:rPr>
                    <w:t>COMMUNAUTE FRANCAISE</w:t>
                  </w:r>
                </w:p>
                <w:p>
                  <w:pPr>
                    <w:pStyle w:val="Corpsdetexte"/>
                  </w:pPr>
                </w:p>
                <w:p>
                  <w:pPr>
                    <w:pStyle w:val="Corpsdetexte"/>
                  </w:pPr>
                </w:p>
                <w:p>
                  <w:pPr>
                    <w:pStyle w:val="Corpsdetexte"/>
                  </w:pPr>
                  <w:r>
                    <w:t xml:space="preserve">ETABLISSEMENT : </w:t>
                  </w:r>
                </w:p>
                <w:p>
                  <w:pPr>
                    <w:pStyle w:val="Corpsdetexte"/>
                  </w:pPr>
                </w:p>
                <w:p>
                  <w:pPr>
                    <w:pStyle w:val="Corpsdetexte"/>
                  </w:pPr>
                </w:p>
                <w:p>
                  <w:pPr>
                    <w:pStyle w:val="Corpsdetexte"/>
                  </w:pPr>
                  <w:r>
                    <w:t>Numéro FASE :</w:t>
                  </w:r>
                </w:p>
                <w:p>
                  <w:pPr>
                    <w:pStyle w:val="Corpsdetexte"/>
                  </w:pPr>
                </w:p>
                <w:p>
                  <w:pPr>
                    <w:pStyle w:val="Corpsdetexte"/>
                  </w:pPr>
                  <w:r>
                    <w:t xml:space="preserve">(NOM-Prénom) </w:t>
                  </w:r>
                  <w:r>
                    <w:tab/>
                  </w:r>
                  <w:r>
                    <w:tab/>
                  </w:r>
                  <w:r>
                    <w:tab/>
                  </w:r>
                  <w:r>
                    <w:tab/>
                  </w:r>
                  <w:r>
                    <w:tab/>
                  </w:r>
                  <w:r>
                    <w:tab/>
                  </w:r>
                  <w:r>
                    <w:tab/>
                  </w:r>
                  <w:r>
                    <w:tab/>
                    <w:t xml:space="preserve">, Président du Conseil de classe, assisté de (NOM-Prénom) </w:t>
                  </w:r>
                  <w:r>
                    <w:tab/>
                  </w:r>
                  <w:r>
                    <w:tab/>
                  </w:r>
                  <w:r>
                    <w:tab/>
                  </w:r>
                  <w:r>
                    <w:tab/>
                  </w:r>
                  <w:r>
                    <w:tab/>
                  </w:r>
                  <w:r>
                    <w:tab/>
                    <w:t xml:space="preserve">, délégué du centre P.M.S. chargé de la guidance auprès de l’établissement susmentionné, </w:t>
                  </w:r>
                </w:p>
                <w:p>
                  <w:pPr>
                    <w:pStyle w:val="Corpsdetexte"/>
                  </w:pPr>
                </w:p>
                <w:p>
                  <w:pPr>
                    <w:pStyle w:val="Corpsdetexte"/>
                  </w:pPr>
                  <w:r>
                    <w:t xml:space="preserve">certifie que le Conseil de classe – qui s’est réuni le </w:t>
                  </w:r>
                  <w:r>
                    <w:tab/>
                  </w:r>
                  <w:r>
                    <w:tab/>
                  </w:r>
                  <w:r>
                    <w:tab/>
                  </w:r>
                </w:p>
                <w:p>
                  <w:pPr>
                    <w:pStyle w:val="Corpsdetexte"/>
                  </w:pPr>
                </w:p>
                <w:p>
                  <w:pPr>
                    <w:pStyle w:val="Corpsdetexte"/>
                  </w:pPr>
                  <w:r>
                    <w:t xml:space="preserve">s’est prononcé pour le maintien au niveau maternel – primaire (*) de </w:t>
                  </w:r>
                </w:p>
                <w:p>
                  <w:pPr>
                    <w:pStyle w:val="Corpsdetexte"/>
                  </w:pPr>
                </w:p>
                <w:p>
                  <w:pPr>
                    <w:pStyle w:val="Corpsdetexte"/>
                  </w:pPr>
                  <w:r>
                    <w:t>l’élève suivant :</w:t>
                  </w:r>
                </w:p>
                <w:p>
                  <w:pPr>
                    <w:pStyle w:val="Corpsdetexte"/>
                  </w:pPr>
                </w:p>
                <w:p>
                  <w:pPr>
                    <w:pStyle w:val="Corpsdetexte"/>
                  </w:pPr>
                </w:p>
                <w:p>
                  <w:pPr>
                    <w:pStyle w:val="Corpsdetexte"/>
                  </w:pPr>
                  <w:r>
                    <w:t xml:space="preserve">NOM : </w:t>
                  </w:r>
                </w:p>
                <w:p>
                  <w:pPr>
                    <w:pStyle w:val="Corpsdetexte"/>
                  </w:pPr>
                </w:p>
                <w:p>
                  <w:pPr>
                    <w:pStyle w:val="Corpsdetexte"/>
                  </w:pPr>
                  <w:r>
                    <w:t>PRENOM :</w:t>
                  </w:r>
                </w:p>
                <w:p>
                  <w:pPr>
                    <w:pStyle w:val="Corpsdetexte"/>
                  </w:pPr>
                </w:p>
                <w:p>
                  <w:pPr>
                    <w:pStyle w:val="Corpsdetexte"/>
                  </w:pPr>
                  <w:r>
                    <w:t xml:space="preserve">Type d’enseignement spécialisé : </w:t>
                  </w:r>
                </w:p>
                <w:p>
                  <w:pPr>
                    <w:pStyle w:val="Corpsdetexte"/>
                  </w:pPr>
                </w:p>
                <w:p>
                  <w:pPr>
                    <w:pStyle w:val="Corpsdetexte"/>
                  </w:pPr>
                  <w:r>
                    <w:t>Niveau :</w:t>
                  </w:r>
                </w:p>
                <w:p>
                  <w:pPr>
                    <w:pStyle w:val="Corpsdetexte"/>
                  </w:pPr>
                </w:p>
                <w:p>
                  <w:pPr>
                    <w:pStyle w:val="Corpsdetexte"/>
                  </w:pPr>
                  <w:r>
                    <w:t>Année d’études :</w:t>
                  </w:r>
                </w:p>
                <w:p>
                  <w:pPr>
                    <w:pStyle w:val="Corpsdetexte"/>
                  </w:pPr>
                </w:p>
                <w:p>
                  <w:pPr>
                    <w:pStyle w:val="Corpsdetexte"/>
                  </w:pPr>
                </w:p>
                <w:p>
                  <w:pPr>
                    <w:pStyle w:val="Corpsdetexte"/>
                  </w:pPr>
                  <w:r>
                    <w:t>Cette décision est fondée sur le(s) motif(s) suivant(s) :</w:t>
                  </w:r>
                </w:p>
                <w:p>
                  <w:pPr>
                    <w:rPr>
                      <w:lang w:eastAsia="ar-SA"/>
                    </w:rPr>
                  </w:pPr>
                </w:p>
                <w:p>
                  <w:pPr>
                    <w:rPr>
                      <w:lang w:eastAsia="ar-SA"/>
                    </w:rPr>
                  </w:pPr>
                </w:p>
                <w:p>
                  <w:pPr>
                    <w:rPr>
                      <w:lang w:eastAsia="ar-SA"/>
                    </w:rPr>
                  </w:pPr>
                </w:p>
                <w:p>
                  <w:pPr>
                    <w:rPr>
                      <w:lang w:eastAsia="ar-SA"/>
                    </w:rPr>
                  </w:pPr>
                </w:p>
                <w:p>
                  <w:pPr>
                    <w:rPr>
                      <w:lang w:eastAsia="ar-SA"/>
                    </w:rPr>
                  </w:pPr>
                </w:p>
                <w:p>
                  <w:pPr>
                    <w:pStyle w:val="Corpsdetexte"/>
                  </w:pPr>
                  <w:r>
                    <w:t>Le (La) Président(e),</w:t>
                  </w:r>
                </w:p>
                <w:p>
                  <w:pPr>
                    <w:rPr>
                      <w:lang w:eastAsia="ar-SA"/>
                    </w:rPr>
                  </w:pPr>
                </w:p>
                <w:p>
                  <w:pPr>
                    <w:rPr>
                      <w:lang w:eastAsia="ar-SA"/>
                    </w:rPr>
                  </w:pPr>
                </w:p>
                <w:p>
                  <w:pPr>
                    <w:rPr>
                      <w:lang w:eastAsia="ar-SA"/>
                    </w:rPr>
                  </w:pPr>
                </w:p>
                <w:p>
                  <w:r>
                    <w:t>(*) Biffer les mentions inutiles</w:t>
                  </w:r>
                </w:p>
                <w:p>
                  <w:r>
                    <w:br w:type="page"/>
                  </w:r>
                </w:p>
                <w:p>
                  <w:pPr>
                    <w:pStyle w:val="Titre4"/>
                  </w:pPr>
                  <w:r>
                    <w:t>Annexe 2 : Passage anticipé dans l’enseignement secondaire spécialisé</w:t>
                  </w:r>
                </w:p>
                <w:p>
                  <w:pPr>
                    <w:framePr w:hSpace="141" w:wrap="around" w:vAnchor="page" w:hAnchor="page" w:x="3895" w:y="1966"/>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ind w:left="709"/>
                    <w:jc w:val="center"/>
                    <w:rPr>
                      <w:b/>
                    </w:rPr>
                  </w:pPr>
                  <w:r>
                    <w:rPr>
                      <w:b/>
                    </w:rPr>
                    <w:t>ENSEIGNEMENT SPECIALISE</w:t>
                  </w:r>
                </w:p>
                <w:p>
                  <w:pPr>
                    <w:jc w:val="center"/>
                    <w:rPr>
                      <w:b/>
                      <w:u w:val="single"/>
                    </w:rPr>
                  </w:pPr>
                </w:p>
                <w:p>
                  <w:pPr>
                    <w:jc w:val="center"/>
                  </w:pPr>
                </w:p>
                <w:p>
                  <w:pPr>
                    <w:pStyle w:val="Corpsdetexte"/>
                    <w:jc w:val="center"/>
                  </w:pPr>
                  <w:bookmarkStart w:id="3248" w:name="_Toc453314511"/>
                  <w:bookmarkStart w:id="3249" w:name="_Toc454980545"/>
                  <w:r>
                    <w:t>(Article 15§1er du décret du 3 mars 2004)</w:t>
                  </w:r>
                </w:p>
                <w:p>
                  <w:pPr>
                    <w:jc w:val="center"/>
                    <w:rPr>
                      <w:lang w:eastAsia="ar-SA"/>
                    </w:rPr>
                  </w:pPr>
                </w:p>
                <w:p>
                  <w:pPr>
                    <w:pStyle w:val="Corpsdetexte"/>
                    <w:jc w:val="center"/>
                    <w:rPr>
                      <w:b/>
                    </w:rPr>
                  </w:pPr>
                  <w:r>
                    <w:rPr>
                      <w:b/>
                    </w:rPr>
                    <w:t>COMMUNAUTE FRANCAISE</w:t>
                  </w:r>
                </w:p>
                <w:p>
                  <w:pPr>
                    <w:pStyle w:val="Corpsdetexte"/>
                  </w:pPr>
                </w:p>
                <w:p>
                  <w:pPr>
                    <w:pStyle w:val="Corpsdetexte"/>
                  </w:pPr>
                </w:p>
                <w:p>
                  <w:pPr>
                    <w:pStyle w:val="Corpsdetexte"/>
                  </w:pPr>
                  <w:r>
                    <w:t xml:space="preserve">ETABLISSEMENT : </w:t>
                  </w:r>
                </w:p>
                <w:p>
                  <w:pPr>
                    <w:pStyle w:val="Corpsdetexte"/>
                  </w:pPr>
                </w:p>
                <w:p>
                  <w:pPr>
                    <w:pStyle w:val="Corpsdetexte"/>
                  </w:pPr>
                </w:p>
                <w:p>
                  <w:pPr>
                    <w:pStyle w:val="Corpsdetexte"/>
                  </w:pPr>
                  <w:r>
                    <w:t>Numéro FASE :</w:t>
                  </w:r>
                </w:p>
                <w:p>
                  <w:pPr>
                    <w:pStyle w:val="Corpsdetexte"/>
                  </w:pPr>
                </w:p>
                <w:p>
                  <w:pPr>
                    <w:pStyle w:val="Corpsdetexte"/>
                  </w:pPr>
                </w:p>
                <w:p>
                  <w:pPr>
                    <w:pStyle w:val="Corpsdetexte"/>
                  </w:pPr>
                  <w:r>
                    <w:t xml:space="preserve">(NOM-Prénom) </w:t>
                  </w:r>
                  <w:r>
                    <w:tab/>
                  </w:r>
                  <w:r>
                    <w:tab/>
                  </w:r>
                  <w:r>
                    <w:tab/>
                  </w:r>
                  <w:r>
                    <w:tab/>
                  </w:r>
                  <w:r>
                    <w:tab/>
                  </w:r>
                  <w:r>
                    <w:tab/>
                  </w:r>
                  <w:r>
                    <w:tab/>
                  </w:r>
                  <w:r>
                    <w:tab/>
                  </w:r>
                  <w:r>
                    <w:tab/>
                    <w:t xml:space="preserve">, Président du Conseil de classe, certifie que le Conseil de classe – qui s’est réuni le </w:t>
                  </w:r>
                  <w:r>
                    <w:tab/>
                  </w:r>
                  <w:r>
                    <w:tab/>
                  </w:r>
                  <w:r>
                    <w:tab/>
                  </w:r>
                </w:p>
                <w:p>
                  <w:pPr>
                    <w:pStyle w:val="Corpsdetexte"/>
                  </w:pPr>
                </w:p>
                <w:p>
                  <w:pPr>
                    <w:pStyle w:val="Corpsdetexte"/>
                  </w:pPr>
                  <w:r>
                    <w:t>s’est prononcé pour le passage anticipé au niveau secondaire spécialisé de l’élève suivant :</w:t>
                  </w:r>
                </w:p>
                <w:p>
                  <w:pPr>
                    <w:pStyle w:val="Corpsdetexte"/>
                  </w:pPr>
                </w:p>
                <w:p>
                  <w:pPr>
                    <w:pStyle w:val="Corpsdetexte"/>
                  </w:pPr>
                </w:p>
                <w:p>
                  <w:pPr>
                    <w:pStyle w:val="Corpsdetexte"/>
                  </w:pPr>
                  <w:r>
                    <w:t xml:space="preserve">NOM : </w:t>
                  </w:r>
                </w:p>
                <w:p>
                  <w:pPr>
                    <w:pStyle w:val="Corpsdetexte"/>
                  </w:pPr>
                </w:p>
                <w:p>
                  <w:pPr>
                    <w:pStyle w:val="Corpsdetexte"/>
                  </w:pPr>
                  <w:r>
                    <w:t>PRENOM :</w:t>
                  </w:r>
                </w:p>
                <w:p>
                  <w:pPr>
                    <w:pStyle w:val="Corpsdetexte"/>
                  </w:pPr>
                </w:p>
                <w:p>
                  <w:pPr>
                    <w:pStyle w:val="Corpsdetexte"/>
                  </w:pPr>
                  <w:r>
                    <w:t xml:space="preserve">Type d’enseignement spécialisé : </w:t>
                  </w:r>
                </w:p>
                <w:p>
                  <w:pPr>
                    <w:pStyle w:val="Corpsdetexte"/>
                  </w:pPr>
                </w:p>
                <w:p>
                  <w:pPr>
                    <w:pStyle w:val="Corpsdetexte"/>
                  </w:pPr>
                </w:p>
                <w:p>
                  <w:pPr>
                    <w:pStyle w:val="Corpsdetexte"/>
                  </w:pPr>
                </w:p>
                <w:p>
                  <w:pPr>
                    <w:pStyle w:val="Corpsdetexte"/>
                  </w:pPr>
                </w:p>
                <w:p>
                  <w:pPr>
                    <w:pStyle w:val="Corpsdetexte"/>
                  </w:pPr>
                </w:p>
                <w:p>
                  <w:pPr>
                    <w:pStyle w:val="Corpsdetexte"/>
                  </w:pPr>
                  <w:r>
                    <w:t>Cette décision est fondée sur le(s) motif(s) suivant(s) :</w:t>
                  </w:r>
                </w:p>
                <w:p>
                  <w:pPr>
                    <w:pStyle w:val="Corpsdetexte"/>
                  </w:pPr>
                </w:p>
                <w:p>
                  <w:pPr>
                    <w:pStyle w:val="Corpsdetexte"/>
                  </w:pPr>
                </w:p>
                <w:p>
                  <w:pPr>
                    <w:pStyle w:val="Corpsdetexte"/>
                  </w:pPr>
                </w:p>
                <w:p>
                  <w:pPr>
                    <w:pStyle w:val="Corpsdetexte"/>
                  </w:pPr>
                </w:p>
                <w:p>
                  <w:pPr>
                    <w:pStyle w:val="Corpsdetexte"/>
                  </w:pPr>
                </w:p>
                <w:p>
                  <w:pPr>
                    <w:pStyle w:val="Corpsdetexte"/>
                  </w:pPr>
                </w:p>
                <w:p>
                  <w:pPr>
                    <w:pStyle w:val="Corpsdetexte"/>
                  </w:pPr>
                </w:p>
                <w:p>
                  <w:pPr>
                    <w:pStyle w:val="Corpsdetexte"/>
                  </w:pPr>
                </w:p>
                <w:p>
                  <w:pPr>
                    <w:pStyle w:val="Corpsdetexte"/>
                  </w:pPr>
                </w:p>
                <w:p>
                  <w:pPr>
                    <w:pStyle w:val="Corpsdetexte"/>
                  </w:pPr>
                  <w:r>
                    <w:t>Le (La) Président(e),</w:t>
                  </w:r>
                </w:p>
                <w:p>
                  <w:pPr>
                    <w:rPr>
                      <w:b/>
                      <w:u w:val="single"/>
                    </w:rPr>
                  </w:pPr>
                </w:p>
                <w:p>
                  <w:pPr>
                    <w:rPr>
                      <w:b/>
                      <w:u w:val="single"/>
                    </w:rPr>
                  </w:pPr>
                </w:p>
                <w:p>
                  <w:pPr>
                    <w:pStyle w:val="Titre4"/>
                  </w:pPr>
                  <w:bookmarkStart w:id="3250" w:name="_Annexe_4_:_1"/>
                  <w:bookmarkStart w:id="3251" w:name="_Annexe_3_:"/>
                  <w:bookmarkEnd w:id="3248"/>
                  <w:bookmarkEnd w:id="3249"/>
                  <w:bookmarkEnd w:id="3250"/>
                  <w:bookmarkEnd w:id="3251"/>
                  <w:r>
                    <w:br w:type="page"/>
                  </w:r>
                  <w:bookmarkStart w:id="3252" w:name="_Toc453314512"/>
                  <w:bookmarkStart w:id="3253" w:name="_Toc454980546"/>
                  <w:r>
                    <w:t>Annexe 3 : Dérogation annuelle à l’inscription – élève relevant d’un autre type ou d’une autre forme  d’enseignement</w:t>
                  </w:r>
                  <w:bookmarkEnd w:id="3252"/>
                  <w:bookmarkEnd w:id="3253"/>
                </w:p>
                <w:p/>
                <w:p>
                  <w:pPr>
                    <w:pStyle w:val="Corpsdetexte"/>
                    <w:ind w:left="3402"/>
                  </w:pPr>
                  <w:r>
                    <w:t>Conseil général pour l’Enseignement Fondamental</w:t>
                  </w:r>
                </w:p>
                <w:p>
                  <w:pPr>
                    <w:pStyle w:val="Corpsdetexte"/>
                    <w:ind w:left="3402"/>
                  </w:pPr>
                  <w:r>
                    <w:t>Monsieur Patrick MALCOTTE</w:t>
                  </w:r>
                </w:p>
                <w:p>
                  <w:pPr>
                    <w:pStyle w:val="Corpsdetexte"/>
                    <w:ind w:left="3402"/>
                  </w:pPr>
                  <w:r>
                    <w:t>Bureau 2F246</w:t>
                  </w:r>
                </w:p>
                <w:p>
                  <w:pPr>
                    <w:pStyle w:val="Corpsdetexte"/>
                    <w:ind w:left="3402"/>
                  </w:pPr>
                  <w:r>
                    <w:t>Rue Adolphe Lavallée, 1</w:t>
                  </w:r>
                </w:p>
                <w:p>
                  <w:pPr>
                    <w:pStyle w:val="Corpsdetexte"/>
                    <w:ind w:left="3402"/>
                  </w:pPr>
                  <w:r>
                    <w:t>1080   BRUXELLES</w:t>
                  </w:r>
                </w:p>
                <w:p>
                  <w:pPr>
                    <w:rPr>
                      <w:i/>
                    </w:rPr>
                  </w:pPr>
                </w:p>
                <w:p>
                  <w:pPr>
                    <w:jc w:val="both"/>
                    <w:rPr>
                      <w:i/>
                    </w:rPr>
                  </w:pPr>
                  <w:r>
                    <w:rPr>
                      <w:i/>
                    </w:rPr>
                    <w:t>Base légale : article 15ter du décret du 3 mars 2004 organisant l’enseignement spécialisé - Dérogation permettant à une école d’inscrire un élève relevant d’un autre type d’enseignement spécialisé que celui ou ceux qu’elle organise ou d’une autre forme d’enseignement spécialisé que celle(s) qu’elle organise, et ce en vertu d’une situation exceptionnelle uniquement motivée par un manque d’offre d’enseignement spécialisé empêchant toute possibilité de scolarisation.</w:t>
                  </w:r>
                </w:p>
                <w:p>
                  <w:pPr>
                    <w:rPr>
                      <w:i/>
                    </w:rPr>
                  </w:pPr>
                </w:p>
                <w:p>
                  <w:pPr>
                    <w:pBdr>
                      <w:right w:val="single" w:sz="4" w:space="4" w:color="auto"/>
                    </w:pBdr>
                  </w:pPr>
                  <w:r>
                    <w:t xml:space="preserve">Cette dérogation annuelle est accordée à UN établissement scolaire donc en cas de changement d’école, l’établissement scolaire d’arrivée devra introduire une nouvelle demande de dérogation « autres types ». </w:t>
                  </w:r>
                </w:p>
                <w:p>
                  <w:pPr>
                    <w:pBdr>
                      <w:right w:val="single" w:sz="4" w:space="4" w:color="auto"/>
                    </w:pBdr>
                    <w:rPr>
                      <w:b/>
                    </w:rPr>
                  </w:pPr>
                  <w:r>
                    <w:rPr>
                      <w:b/>
                    </w:rPr>
                    <w:t xml:space="preserve">Les demandes de dérogation « autre type » ou « autre forme » doivent systématiquement être accompagnées de l’attestation d’orientation des élèves. </w:t>
                  </w:r>
                </w:p>
                <w:p>
                  <w:pPr>
                    <w:tabs>
                      <w:tab w:val="left" w:pos="1134"/>
                    </w:tabs>
                  </w:pPr>
                </w:p>
                <w:p>
                  <w:pPr>
                    <w:pBdr>
                      <w:top w:val="single" w:sz="4" w:space="1" w:color="auto"/>
                      <w:left w:val="single" w:sz="4" w:space="4" w:color="auto"/>
                      <w:bottom w:val="single" w:sz="4" w:space="1" w:color="auto"/>
                      <w:right w:val="single" w:sz="4" w:space="4" w:color="auto"/>
                    </w:pBdr>
                    <w:tabs>
                      <w:tab w:val="left" w:pos="1134"/>
                    </w:tabs>
                  </w:pPr>
                  <w:r>
                    <w:t xml:space="preserve">Etablissement d’enseignement spécialisé concerné : </w:t>
                  </w:r>
                </w:p>
                <w:p>
                  <w:pPr>
                    <w:pBdr>
                      <w:top w:val="single" w:sz="4" w:space="1" w:color="auto"/>
                      <w:left w:val="single" w:sz="4" w:space="4" w:color="auto"/>
                      <w:bottom w:val="single" w:sz="4" w:space="1" w:color="auto"/>
                      <w:right w:val="single" w:sz="4" w:space="4" w:color="auto"/>
                    </w:pBdr>
                    <w:tabs>
                      <w:tab w:val="left" w:pos="1134"/>
                    </w:tabs>
                  </w:pPr>
                  <w:r>
                    <w:t>N° FASE :</w:t>
                  </w:r>
                </w:p>
                <w:p>
                  <w:pPr>
                    <w:pBdr>
                      <w:top w:val="single" w:sz="4" w:space="1" w:color="auto"/>
                      <w:left w:val="single" w:sz="4" w:space="4" w:color="auto"/>
                      <w:bottom w:val="single" w:sz="4" w:space="1" w:color="auto"/>
                      <w:right w:val="single" w:sz="4" w:space="4" w:color="auto"/>
                    </w:pBdr>
                    <w:tabs>
                      <w:tab w:val="left" w:pos="1134"/>
                    </w:tabs>
                  </w:pPr>
                  <w:r>
                    <w:t>Dénomination :</w:t>
                  </w:r>
                  <w:r>
                    <w:br/>
                    <w:t>Adresse :</w:t>
                  </w:r>
                </w:p>
                <w:p>
                  <w:pPr>
                    <w:pBdr>
                      <w:top w:val="single" w:sz="4" w:space="1" w:color="auto"/>
                      <w:left w:val="single" w:sz="4" w:space="4" w:color="auto"/>
                      <w:bottom w:val="single" w:sz="4" w:space="1" w:color="auto"/>
                      <w:right w:val="single" w:sz="4" w:space="4" w:color="auto"/>
                    </w:pBdr>
                    <w:tabs>
                      <w:tab w:val="left" w:pos="1134"/>
                    </w:tabs>
                  </w:pPr>
                  <w:r>
                    <w:t xml:space="preserve">Code postal : </w:t>
                  </w:r>
                </w:p>
                <w:p>
                  <w:pPr>
                    <w:pBdr>
                      <w:top w:val="single" w:sz="4" w:space="1" w:color="auto"/>
                      <w:left w:val="single" w:sz="4" w:space="4" w:color="auto"/>
                      <w:bottom w:val="single" w:sz="4" w:space="1" w:color="auto"/>
                      <w:right w:val="single" w:sz="4" w:space="4" w:color="auto"/>
                    </w:pBdr>
                    <w:tabs>
                      <w:tab w:val="left" w:pos="1134"/>
                    </w:tabs>
                  </w:pPr>
                  <w:r>
                    <w:t>Localité:</w:t>
                  </w:r>
                </w:p>
                <w:p>
                  <w:pPr>
                    <w:tabs>
                      <w:tab w:val="left" w:pos="1134"/>
                    </w:tabs>
                    <w:rPr>
                      <w:b/>
                    </w:rPr>
                  </w:pPr>
                </w:p>
                <w:p>
                  <w:pPr>
                    <w:pBdr>
                      <w:top w:val="single" w:sz="4" w:space="1" w:color="000000"/>
                      <w:left w:val="single" w:sz="4" w:space="4" w:color="000000"/>
                      <w:bottom w:val="single" w:sz="4" w:space="1" w:color="000000"/>
                      <w:right w:val="single" w:sz="4" w:space="21" w:color="000000"/>
                    </w:pBdr>
                    <w:tabs>
                      <w:tab w:val="left" w:pos="1134"/>
                    </w:tabs>
                    <w:ind w:right="239"/>
                    <w:jc w:val="both"/>
                    <w:rPr>
                      <w:u w:val="single"/>
                    </w:rPr>
                  </w:pPr>
                  <w:r>
                    <w:rPr>
                      <w:u w:val="single"/>
                    </w:rPr>
                    <w:t>Élève concerné(e) :</w:t>
                  </w:r>
                </w:p>
                <w:p>
                  <w:pPr>
                    <w:pBdr>
                      <w:top w:val="single" w:sz="4" w:space="1" w:color="000000"/>
                      <w:left w:val="single" w:sz="4" w:space="4" w:color="000000"/>
                      <w:bottom w:val="single" w:sz="4" w:space="1" w:color="000000"/>
                      <w:right w:val="single" w:sz="4" w:space="21" w:color="000000"/>
                    </w:pBdr>
                    <w:tabs>
                      <w:tab w:val="left" w:pos="1134"/>
                    </w:tabs>
                    <w:ind w:right="239"/>
                    <w:jc w:val="both"/>
                  </w:pPr>
                  <w:r>
                    <w:t>NOM:                                                   Prénom :                                  Date de naissance :</w:t>
                  </w:r>
                </w:p>
                <w:p>
                  <w:pPr>
                    <w:pBdr>
                      <w:top w:val="single" w:sz="4" w:space="1" w:color="000000"/>
                      <w:left w:val="single" w:sz="4" w:space="4" w:color="000000"/>
                      <w:bottom w:val="single" w:sz="4" w:space="1" w:color="000000"/>
                      <w:right w:val="single" w:sz="4" w:space="21" w:color="000000"/>
                    </w:pBdr>
                    <w:tabs>
                      <w:tab w:val="left" w:pos="1134"/>
                    </w:tabs>
                    <w:ind w:right="239"/>
                    <w:jc w:val="both"/>
                  </w:pPr>
                  <w:r>
                    <w:rPr>
                      <w:noProof/>
                      <w:lang w:eastAsia="fr-BE"/>
                    </w:rPr>
                    <mc:AlternateContent>
                      <mc:Choice Requires="wps">
                        <w:drawing>
                          <wp:anchor distT="0" distB="0" distL="114300" distR="114300" simplePos="0" relativeHeight="252086272" behindDoc="0" locked="0" layoutInCell="1" allowOverlap="1">
                            <wp:simplePos x="0" y="0"/>
                            <wp:positionH relativeFrom="column">
                              <wp:posOffset>6251945</wp:posOffset>
                            </wp:positionH>
                            <wp:positionV relativeFrom="paragraph">
                              <wp:posOffset>221334</wp:posOffset>
                            </wp:positionV>
                            <wp:extent cx="0" cy="255181"/>
                            <wp:effectExtent l="0" t="0" r="19050" b="31115"/>
                            <wp:wrapNone/>
                            <wp:docPr id="475" name="Connecteur droit 475"/>
                            <wp:cNvGraphicFramePr/>
                            <a:graphic xmlns:a="http://schemas.openxmlformats.org/drawingml/2006/main">
                              <a:graphicData uri="http://schemas.microsoft.com/office/word/2010/wordprocessingShape">
                                <wps:wsp>
                                  <wps:cNvCnPr/>
                                  <wps:spPr>
                                    <a:xfrm>
                                      <a:off x="0" y="0"/>
                                      <a:ext cx="0" cy="255181"/>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E4CDED3" id="Connecteur droit 475" o:spid="_x0000_s1026" style="position:absolute;z-index:252086272;visibility:visible;mso-wrap-style:square;mso-wrap-distance-left:9pt;mso-wrap-distance-top:0;mso-wrap-distance-right:9pt;mso-wrap-distance-bottom:0;mso-position-horizontal:absolute;mso-position-horizontal-relative:text;mso-position-vertical:absolute;mso-position-vertical-relative:text" from="492.3pt,17.45pt" to="492.3pt,3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" strokecolor="black [3040]"/>
                        </w:pict>
                      </mc:Fallback>
                    </mc:AlternateContent>
                  </w:r>
                </w:p>
                <w:p>
                  <w:pPr>
                    <w:pBdr>
                      <w:top w:val="single" w:sz="4" w:space="1" w:color="000000"/>
                      <w:left w:val="single" w:sz="4" w:space="4" w:color="000000"/>
                      <w:bottom w:val="single" w:sz="4" w:space="1" w:color="000000"/>
                      <w:right w:val="single" w:sz="4" w:space="21" w:color="000000"/>
                    </w:pBdr>
                    <w:tabs>
                      <w:tab w:val="left" w:pos="1134"/>
                    </w:tabs>
                    <w:ind w:right="239"/>
                    <w:jc w:val="both"/>
                  </w:pPr>
                  <w:r>
                    <w:t xml:space="preserve">Type d’enseignement renseigné sur l’attestation d’orientation </w:t>
                  </w:r>
                  <w:r>
                    <w:rPr>
                      <w:b/>
                    </w:rPr>
                    <w:t>(joindre une copie de l’attestation d’orientation)</w:t>
                  </w:r>
                  <w:r>
                    <w:t xml:space="preserve"> : 1 - 2 – 3 – 4 – 5 – 6 – 7 – 8 </w:t>
                  </w:r>
                </w:p>
                <w:p>
                  <w:pPr>
                    <w:pBdr>
                      <w:top w:val="single" w:sz="4" w:space="1" w:color="000000"/>
                      <w:left w:val="single" w:sz="4" w:space="4" w:color="000000"/>
                      <w:bottom w:val="single" w:sz="4" w:space="1" w:color="000000"/>
                      <w:right w:val="single" w:sz="4" w:space="21" w:color="000000"/>
                    </w:pBdr>
                    <w:tabs>
                      <w:tab w:val="left" w:pos="1134"/>
                    </w:tabs>
                    <w:ind w:right="239"/>
                    <w:jc w:val="both"/>
                  </w:pPr>
                  <w:r>
                    <w:rPr>
                      <w:highlight w:val="lightGray"/>
                    </w:rPr>
                    <w:t>Pour l’enseignement secondaire, forme d’enseignement décidé par le Conseil de classe : 1 – 2 – 3 - 4</w:t>
                  </w:r>
                </w:p>
                <w:p>
                  <w:pPr>
                    <w:pBdr>
                      <w:top w:val="single" w:sz="4" w:space="1" w:color="000000"/>
                      <w:left w:val="single" w:sz="4" w:space="4" w:color="000000"/>
                      <w:bottom w:val="single" w:sz="4" w:space="1" w:color="000000"/>
                      <w:right w:val="single" w:sz="4" w:space="21" w:color="000000"/>
                    </w:pBdr>
                    <w:tabs>
                      <w:tab w:val="left" w:pos="1134"/>
                    </w:tabs>
                    <w:ind w:right="239"/>
                    <w:jc w:val="both"/>
                  </w:pPr>
                  <w:r>
                    <w:t>Parcours de l’élève (écoles antérieures, niveaux, formes et/ou types d’enseignement fréquentés)</w:t>
                  </w:r>
                </w:p>
                <w:p>
                  <w:pPr>
                    <w:pBdr>
                      <w:top w:val="single" w:sz="4" w:space="1" w:color="000000"/>
                      <w:left w:val="single" w:sz="4" w:space="4" w:color="000000"/>
                      <w:bottom w:val="single" w:sz="4" w:space="1" w:color="000000"/>
                      <w:right w:val="single" w:sz="4" w:space="21" w:color="000000"/>
                    </w:pBdr>
                    <w:tabs>
                      <w:tab w:val="left" w:pos="1134"/>
                    </w:tabs>
                    <w:ind w:right="239"/>
                    <w:jc w:val="both"/>
                  </w:pPr>
                </w:p>
                <w:p>
                  <w:pPr>
                    <w:pBdr>
                      <w:top w:val="single" w:sz="4" w:space="1" w:color="000000"/>
                      <w:left w:val="single" w:sz="4" w:space="4" w:color="000000"/>
                      <w:bottom w:val="single" w:sz="4" w:space="1" w:color="000000"/>
                      <w:right w:val="single" w:sz="4" w:space="21" w:color="000000"/>
                    </w:pBdr>
                    <w:tabs>
                      <w:tab w:val="left" w:pos="1134"/>
                    </w:tabs>
                    <w:ind w:right="239"/>
                    <w:jc w:val="both"/>
                  </w:pPr>
                  <w:r>
                    <w:t xml:space="preserve">2017-2018 : </w:t>
                  </w:r>
                </w:p>
                <w:p>
                  <w:pPr>
                    <w:pBdr>
                      <w:top w:val="single" w:sz="4" w:space="1" w:color="000000"/>
                      <w:left w:val="single" w:sz="4" w:space="4" w:color="000000"/>
                      <w:bottom w:val="single" w:sz="4" w:space="1" w:color="000000"/>
                      <w:right w:val="single" w:sz="4" w:space="21" w:color="000000"/>
                    </w:pBdr>
                    <w:tabs>
                      <w:tab w:val="left" w:pos="1134"/>
                    </w:tabs>
                    <w:ind w:right="239"/>
                    <w:jc w:val="both"/>
                  </w:pPr>
                </w:p>
                <w:p>
                  <w:pPr>
                    <w:pBdr>
                      <w:top w:val="single" w:sz="4" w:space="1" w:color="000000"/>
                      <w:left w:val="single" w:sz="4" w:space="4" w:color="000000"/>
                      <w:bottom w:val="single" w:sz="4" w:space="1" w:color="000000"/>
                      <w:right w:val="single" w:sz="4" w:space="21" w:color="000000"/>
                    </w:pBdr>
                    <w:tabs>
                      <w:tab w:val="left" w:pos="1134"/>
                    </w:tabs>
                    <w:ind w:right="239"/>
                    <w:jc w:val="both"/>
                  </w:pPr>
                  <w:r>
                    <w:t>2016-2017 :</w:t>
                  </w:r>
                </w:p>
                <w:p>
                  <w:pPr>
                    <w:pBdr>
                      <w:top w:val="single" w:sz="4" w:space="1" w:color="000000"/>
                      <w:left w:val="single" w:sz="4" w:space="4" w:color="000000"/>
                      <w:bottom w:val="single" w:sz="4" w:space="1" w:color="000000"/>
                      <w:right w:val="single" w:sz="4" w:space="21" w:color="000000"/>
                    </w:pBdr>
                    <w:tabs>
                      <w:tab w:val="left" w:pos="1134"/>
                    </w:tabs>
                    <w:ind w:right="239"/>
                    <w:jc w:val="both"/>
                  </w:pPr>
                </w:p>
                <w:p>
                  <w:pPr>
                    <w:pBdr>
                      <w:top w:val="single" w:sz="4" w:space="1" w:color="000000"/>
                      <w:left w:val="single" w:sz="4" w:space="4" w:color="000000"/>
                      <w:bottom w:val="single" w:sz="4" w:space="1" w:color="000000"/>
                      <w:right w:val="single" w:sz="4" w:space="21" w:color="000000"/>
                    </w:pBdr>
                    <w:tabs>
                      <w:tab w:val="left" w:pos="1134"/>
                    </w:tabs>
                    <w:ind w:right="239"/>
                    <w:jc w:val="both"/>
                  </w:pPr>
                  <w:r>
                    <w:t>2015-2016 :</w:t>
                  </w:r>
                </w:p>
                <w:p>
                  <w:pPr>
                    <w:pBdr>
                      <w:top w:val="single" w:sz="4" w:space="1" w:color="000000"/>
                      <w:left w:val="single" w:sz="4" w:space="4" w:color="000000"/>
                      <w:bottom w:val="single" w:sz="4" w:space="1" w:color="000000"/>
                      <w:right w:val="single" w:sz="4" w:space="21" w:color="000000"/>
                    </w:pBdr>
                    <w:tabs>
                      <w:tab w:val="left" w:pos="1134"/>
                    </w:tabs>
                    <w:ind w:right="239"/>
                    <w:jc w:val="both"/>
                  </w:pPr>
                </w:p>
                <w:p>
                  <w:pPr>
                    <w:pBdr>
                      <w:top w:val="single" w:sz="4" w:space="1" w:color="000000"/>
                      <w:left w:val="single" w:sz="4" w:space="4" w:color="000000"/>
                      <w:bottom w:val="single" w:sz="4" w:space="1" w:color="000000"/>
                      <w:right w:val="single" w:sz="4" w:space="21" w:color="000000"/>
                    </w:pBdr>
                    <w:tabs>
                      <w:tab w:val="left" w:pos="1134"/>
                    </w:tabs>
                    <w:ind w:right="239"/>
                    <w:jc w:val="both"/>
                  </w:pPr>
                  <w:r>
                    <w:t>Dérogation demandée pour l’année scolaire: 201… – 202…</w:t>
                  </w:r>
                </w:p>
                <w:p>
                  <w:pPr>
                    <w:pBdr>
                      <w:top w:val="single" w:sz="4" w:space="1" w:color="000000"/>
                      <w:left w:val="single" w:sz="4" w:space="4" w:color="000000"/>
                      <w:bottom w:val="single" w:sz="4" w:space="1" w:color="000000"/>
                      <w:right w:val="single" w:sz="4" w:space="21" w:color="000000"/>
                    </w:pBdr>
                    <w:tabs>
                      <w:tab w:val="left" w:pos="1134"/>
                    </w:tabs>
                    <w:ind w:right="239"/>
                  </w:pPr>
                </w:p>
                <w:p>
                  <w:pPr>
                    <w:tabs>
                      <w:tab w:val="left" w:pos="1134"/>
                    </w:tabs>
                    <w:ind w:right="239"/>
                  </w:pPr>
                </w:p>
                <w:tbl>
                  <w:tblPr>
                    <w:tblW w:w="9725" w:type="dxa"/>
                    <w:tblInd w:w="-147" w:type="dxa"/>
                    <w:tblLayout w:type="fixed"/>
                    <w:tblLook w:val="0000" w:firstRow="0" w:lastRow="0" w:firstColumn="0" w:lastColumn="0" w:noHBand="0" w:noVBand="0"/>
                  </w:tblPr>
                  <w:tblGrid>
                    <w:gridCol w:w="9725"/>
                  </w:tblGrid>
                  <w:tr>
                    <w:trPr>
                      <w:trHeight w:val="1795"/>
                    </w:trPr>
                    <w:tc>
                      <w:tcPr>
                        <w:tcW w:w="9725" w:type="dxa"/>
                        <w:tcBorders>
                          <w:top w:val="single" w:sz="4" w:space="0" w:color="000000"/>
                          <w:left w:val="single" w:sz="4" w:space="0" w:color="000000"/>
                          <w:bottom w:val="single" w:sz="4" w:space="0" w:color="000000"/>
                          <w:right w:val="single" w:sz="4" w:space="0" w:color="000000"/>
                        </w:tcBorders>
                      </w:tcPr>
                      <w:p>
                        <w:pPr>
                          <w:tabs>
                            <w:tab w:val="left" w:pos="1134"/>
                          </w:tabs>
                        </w:pPr>
                        <w:r>
                          <w:rPr>
                            <w:u w:val="single"/>
                          </w:rPr>
                          <w:t>Eléments étayant le manque d’offre empêchant la scolarisation de l’élève</w:t>
                        </w:r>
                        <w:r>
                          <w:t> :</w:t>
                        </w:r>
                      </w:p>
                      <w:p>
                        <w:pPr>
                          <w:tabs>
                            <w:tab w:val="left" w:pos="1134"/>
                          </w:tabs>
                        </w:pPr>
                      </w:p>
                      <w:p>
                        <w:pPr>
                          <w:tabs>
                            <w:tab w:val="left" w:pos="1134"/>
                          </w:tabs>
                        </w:pPr>
                      </w:p>
                      <w:p>
                        <w:pPr>
                          <w:autoSpaceDE w:val="0"/>
                          <w:autoSpaceDN w:val="0"/>
                          <w:adjustRightInd w:val="0"/>
                          <w:rPr>
                            <w:lang w:eastAsia="fr-FR"/>
                          </w:rPr>
                        </w:pPr>
                      </w:p>
                    </w:tc>
                  </w:tr>
                </w:tbl>
                <w:p>
                  <w:pPr>
                    <w:tabs>
                      <w:tab w:val="left" w:pos="1134"/>
                    </w:tabs>
                  </w:pPr>
                  <w:r>
                    <w:rPr>
                      <w:noProof/>
                      <w:lang w:eastAsia="fr-BE"/>
                    </w:rPr>
                    <mc:AlternateContent>
                      <mc:Choice Requires="wps">
                        <w:drawing>
                          <wp:anchor distT="0" distB="0" distL="114300" distR="114300" simplePos="0" relativeHeight="252109824" behindDoc="0" locked="0" layoutInCell="1" allowOverlap="1">
                            <wp:simplePos x="0" y="0"/>
                            <wp:positionH relativeFrom="column">
                              <wp:posOffset>-138430</wp:posOffset>
                            </wp:positionH>
                            <wp:positionV relativeFrom="paragraph">
                              <wp:posOffset>125730</wp:posOffset>
                            </wp:positionV>
                            <wp:extent cx="6391275" cy="695325"/>
                            <wp:effectExtent l="0" t="0" r="28575" b="28575"/>
                            <wp:wrapNone/>
                            <wp:docPr id="45" name="Rectangle 45"/>
                            <wp:cNvGraphicFramePr/>
                            <a:graphic xmlns:a="http://schemas.openxmlformats.org/drawingml/2006/main">
                              <a:graphicData uri="http://schemas.microsoft.com/office/word/2010/wordprocessingShape">
                                <wps:wsp>
                                  <wps:cNvSpPr/>
                                  <wps:spPr>
                                    <a:xfrm>
                                      <a:off x="0" y="0"/>
                                      <a:ext cx="6391275" cy="69532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8DE377" id="Rectangle 45" o:spid="_x0000_s1026" style="position:absolute;margin-left:-10.9pt;margin-top:9.9pt;width:503.25pt;height:54.75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" filled="f" strokecolor="black [3213]" strokeweight=".25pt"/>
                        </w:pict>
                      </mc:Fallback>
                    </mc:AlternateContent>
                  </w:r>
                </w:p>
                <w:p>
                  <w:r>
                    <w:rPr>
                      <w:u w:val="single"/>
                    </w:rPr>
                    <w:t>Dispositions pratiques et pédagogies prises en vue d’accueillir l’élève</w:t>
                  </w:r>
                  <w:r>
                    <w:t> :</w:t>
                  </w:r>
                </w:p>
                <w:tbl>
                  <w:tblPr>
                    <w:tblpPr w:leftFromText="141" w:rightFromText="141" w:vertAnchor="text" w:horzAnchor="margin" w:tblpXSpec="center" w:tblpY="628"/>
                    <w:tblW w:w="10045" w:type="dxa"/>
                    <w:tblLayout w:type="fixed"/>
                    <w:tblLook w:val="0000" w:firstRow="0" w:lastRow="0" w:firstColumn="0" w:lastColumn="0" w:noHBand="0" w:noVBand="0"/>
                  </w:tblPr>
                  <w:tblGrid>
                    <w:gridCol w:w="2098"/>
                    <w:gridCol w:w="4707"/>
                    <w:gridCol w:w="3240"/>
                  </w:tblGrid>
                  <w:tr>
                    <w:tc>
                      <w:tcPr>
                        <w:tcW w:w="2098" w:type="dxa"/>
                        <w:tcBorders>
                          <w:top w:val="single" w:sz="4" w:space="0" w:color="000000"/>
                          <w:left w:val="single" w:sz="4" w:space="0" w:color="000000"/>
                          <w:bottom w:val="single" w:sz="4" w:space="0" w:color="000000"/>
                        </w:tcBorders>
                      </w:tcPr>
                      <w:p>
                        <w:pPr>
                          <w:tabs>
                            <w:tab w:val="left" w:pos="1134"/>
                          </w:tabs>
                          <w:snapToGrid w:val="0"/>
                        </w:pPr>
                        <w:r>
                          <w:t>Date</w:t>
                        </w:r>
                      </w:p>
                    </w:tc>
                    <w:tc>
                      <w:tcPr>
                        <w:tcW w:w="4707" w:type="dxa"/>
                        <w:tcBorders>
                          <w:top w:val="single" w:sz="4" w:space="0" w:color="000000"/>
                          <w:left w:val="single" w:sz="4" w:space="0" w:color="000000"/>
                          <w:bottom w:val="single" w:sz="4" w:space="0" w:color="000000"/>
                        </w:tcBorders>
                      </w:tcPr>
                      <w:p>
                        <w:pPr>
                          <w:tabs>
                            <w:tab w:val="left" w:pos="1134"/>
                          </w:tabs>
                          <w:snapToGrid w:val="0"/>
                        </w:pPr>
                        <w:r>
                          <w:t>Nom de la Direction</w:t>
                        </w:r>
                      </w:p>
                    </w:tc>
                    <w:tc>
                      <w:tcPr>
                        <w:tcW w:w="3240" w:type="dxa"/>
                        <w:tcBorders>
                          <w:top w:val="single" w:sz="4" w:space="0" w:color="000000"/>
                          <w:left w:val="single" w:sz="4" w:space="0" w:color="000000"/>
                          <w:bottom w:val="single" w:sz="4" w:space="0" w:color="000000"/>
                          <w:right w:val="single" w:sz="4" w:space="0" w:color="000000"/>
                        </w:tcBorders>
                      </w:tcPr>
                      <w:p>
                        <w:pPr>
                          <w:tabs>
                            <w:tab w:val="left" w:pos="1134"/>
                          </w:tabs>
                          <w:snapToGrid w:val="0"/>
                        </w:pPr>
                        <w:r>
                          <w:t>Signature</w:t>
                        </w:r>
                      </w:p>
                    </w:tc>
                  </w:tr>
                  <w:tr>
                    <w:trPr>
                      <w:trHeight w:val="171"/>
                    </w:trPr>
                    <w:tc>
                      <w:tcPr>
                        <w:tcW w:w="2098" w:type="dxa"/>
                        <w:tcBorders>
                          <w:top w:val="single" w:sz="4" w:space="0" w:color="000000"/>
                          <w:left w:val="single" w:sz="4" w:space="0" w:color="000000"/>
                          <w:bottom w:val="single" w:sz="4" w:space="0" w:color="000000"/>
                        </w:tcBorders>
                      </w:tcPr>
                      <w:p>
                        <w:pPr>
                          <w:tabs>
                            <w:tab w:val="left" w:pos="1134"/>
                          </w:tabs>
                          <w:snapToGrid w:val="0"/>
                        </w:pPr>
                      </w:p>
                      <w:p>
                        <w:pPr>
                          <w:tabs>
                            <w:tab w:val="left" w:pos="1134"/>
                          </w:tabs>
                          <w:snapToGrid w:val="0"/>
                        </w:pPr>
                      </w:p>
                    </w:tc>
                    <w:tc>
                      <w:tcPr>
                        <w:tcW w:w="4707" w:type="dxa"/>
                        <w:tcBorders>
                          <w:top w:val="single" w:sz="4" w:space="0" w:color="000000"/>
                          <w:left w:val="single" w:sz="4" w:space="0" w:color="000000"/>
                          <w:bottom w:val="single" w:sz="4" w:space="0" w:color="000000"/>
                        </w:tcBorders>
                      </w:tcPr>
                      <w:p>
                        <w:pPr>
                          <w:tabs>
                            <w:tab w:val="left" w:pos="1134"/>
                          </w:tabs>
                          <w:snapToGrid w:val="0"/>
                        </w:pPr>
                      </w:p>
                      <w:p>
                        <w:pPr>
                          <w:tabs>
                            <w:tab w:val="left" w:pos="1134"/>
                          </w:tabs>
                          <w:snapToGrid w:val="0"/>
                        </w:pPr>
                      </w:p>
                    </w:tc>
                    <w:tc>
                      <w:tcPr>
                        <w:tcW w:w="3240" w:type="dxa"/>
                        <w:tcBorders>
                          <w:top w:val="single" w:sz="4" w:space="0" w:color="000000"/>
                          <w:left w:val="single" w:sz="4" w:space="0" w:color="000000"/>
                          <w:bottom w:val="single" w:sz="4" w:space="0" w:color="000000"/>
                          <w:right w:val="single" w:sz="4" w:space="0" w:color="000000"/>
                        </w:tcBorders>
                      </w:tcPr>
                      <w:p>
                        <w:pPr>
                          <w:tabs>
                            <w:tab w:val="left" w:pos="1134"/>
                          </w:tabs>
                        </w:pPr>
                      </w:p>
                    </w:tc>
                  </w:tr>
                </w:tbl>
                <w:p>
                  <w:pPr>
                    <w:tabs>
                      <w:tab w:val="left" w:pos="1134"/>
                    </w:tabs>
                  </w:pPr>
                </w:p>
                <w:tbl>
                  <w:tblPr>
                    <w:tblpPr w:leftFromText="141" w:rightFromText="141" w:vertAnchor="page" w:horzAnchor="margin" w:tblpXSpec="center" w:tblpY="4021"/>
                    <w:tblW w:w="10045" w:type="dxa"/>
                    <w:tblLayout w:type="fixed"/>
                    <w:tblLook w:val="0000" w:firstRow="0" w:lastRow="0" w:firstColumn="0" w:lastColumn="0" w:noHBand="0" w:noVBand="0"/>
                  </w:tblPr>
                  <w:tblGrid>
                    <w:gridCol w:w="2098"/>
                    <w:gridCol w:w="4707"/>
                    <w:gridCol w:w="3240"/>
                  </w:tblGrid>
                  <w:tr>
                    <w:tc>
                      <w:tcPr>
                        <w:tcW w:w="2098" w:type="dxa"/>
                        <w:tcBorders>
                          <w:top w:val="single" w:sz="4" w:space="0" w:color="000000"/>
                          <w:left w:val="single" w:sz="4" w:space="0" w:color="000000"/>
                          <w:bottom w:val="single" w:sz="4" w:space="0" w:color="000000"/>
                        </w:tcBorders>
                      </w:tcPr>
                      <w:p>
                        <w:pPr>
                          <w:tabs>
                            <w:tab w:val="left" w:pos="1134"/>
                          </w:tabs>
                          <w:snapToGrid w:val="0"/>
                        </w:pPr>
                        <w:r>
                          <w:t>Date</w:t>
                        </w:r>
                      </w:p>
                    </w:tc>
                    <w:tc>
                      <w:tcPr>
                        <w:tcW w:w="4707" w:type="dxa"/>
                        <w:tcBorders>
                          <w:top w:val="single" w:sz="4" w:space="0" w:color="000000"/>
                          <w:left w:val="single" w:sz="4" w:space="0" w:color="000000"/>
                          <w:bottom w:val="single" w:sz="4" w:space="0" w:color="000000"/>
                        </w:tcBorders>
                      </w:tcPr>
                      <w:p>
                        <w:pPr>
                          <w:tabs>
                            <w:tab w:val="left" w:pos="1134"/>
                          </w:tabs>
                          <w:snapToGrid w:val="0"/>
                        </w:pPr>
                        <w:r>
                          <w:t>Nom et qualité de la personne investie de l’autorité parentale</w:t>
                        </w:r>
                      </w:p>
                    </w:tc>
                    <w:tc>
                      <w:tcPr>
                        <w:tcW w:w="3240" w:type="dxa"/>
                        <w:tcBorders>
                          <w:top w:val="single" w:sz="4" w:space="0" w:color="000000"/>
                          <w:left w:val="single" w:sz="4" w:space="0" w:color="000000"/>
                          <w:bottom w:val="single" w:sz="4" w:space="0" w:color="000000"/>
                          <w:right w:val="single" w:sz="4" w:space="0" w:color="000000"/>
                        </w:tcBorders>
                      </w:tcPr>
                      <w:p>
                        <w:pPr>
                          <w:tabs>
                            <w:tab w:val="left" w:pos="1134"/>
                          </w:tabs>
                          <w:snapToGrid w:val="0"/>
                        </w:pPr>
                        <w:r>
                          <w:t>Signature</w:t>
                        </w:r>
                      </w:p>
                    </w:tc>
                  </w:tr>
                  <w:tr>
                    <w:tc>
                      <w:tcPr>
                        <w:tcW w:w="2098" w:type="dxa"/>
                        <w:tcBorders>
                          <w:top w:val="single" w:sz="4" w:space="0" w:color="000000"/>
                          <w:left w:val="single" w:sz="4" w:space="0" w:color="000000"/>
                          <w:bottom w:val="single" w:sz="4" w:space="0" w:color="000000"/>
                        </w:tcBorders>
                      </w:tcPr>
                      <w:p>
                        <w:pPr>
                          <w:tabs>
                            <w:tab w:val="left" w:pos="1134"/>
                          </w:tabs>
                          <w:snapToGrid w:val="0"/>
                        </w:pPr>
                      </w:p>
                      <w:p>
                        <w:pPr>
                          <w:tabs>
                            <w:tab w:val="left" w:pos="1134"/>
                          </w:tabs>
                          <w:snapToGrid w:val="0"/>
                        </w:pPr>
                      </w:p>
                    </w:tc>
                    <w:tc>
                      <w:tcPr>
                        <w:tcW w:w="4707" w:type="dxa"/>
                        <w:tcBorders>
                          <w:top w:val="single" w:sz="4" w:space="0" w:color="000000"/>
                          <w:left w:val="single" w:sz="4" w:space="0" w:color="000000"/>
                          <w:bottom w:val="single" w:sz="4" w:space="0" w:color="000000"/>
                        </w:tcBorders>
                      </w:tcPr>
                      <w:p>
                        <w:pPr>
                          <w:tabs>
                            <w:tab w:val="left" w:pos="1134"/>
                          </w:tabs>
                          <w:snapToGrid w:val="0"/>
                        </w:pPr>
                      </w:p>
                      <w:p>
                        <w:pPr>
                          <w:tabs>
                            <w:tab w:val="left" w:pos="1134"/>
                          </w:tabs>
                          <w:snapToGrid w:val="0"/>
                        </w:pPr>
                      </w:p>
                    </w:tc>
                    <w:tc>
                      <w:tcPr>
                        <w:tcW w:w="3240" w:type="dxa"/>
                        <w:tcBorders>
                          <w:top w:val="single" w:sz="4" w:space="0" w:color="000000"/>
                          <w:left w:val="single" w:sz="4" w:space="0" w:color="000000"/>
                          <w:bottom w:val="single" w:sz="4" w:space="0" w:color="000000"/>
                          <w:right w:val="single" w:sz="4" w:space="0" w:color="000000"/>
                        </w:tcBorders>
                      </w:tcPr>
                      <w:p>
                        <w:pPr>
                          <w:tabs>
                            <w:tab w:val="left" w:pos="1134"/>
                          </w:tabs>
                          <w:snapToGrid w:val="0"/>
                        </w:pPr>
                      </w:p>
                      <w:p>
                        <w:pPr>
                          <w:tabs>
                            <w:tab w:val="left" w:pos="1134"/>
                          </w:tabs>
                        </w:pPr>
                      </w:p>
                    </w:tc>
                  </w:tr>
                </w:tbl>
                <w:p>
                  <w:pPr>
                    <w:rPr>
                      <w:rFonts w:eastAsia="Times New Roman" w:cs="Arial"/>
                      <w:lang w:eastAsia="ar-SA"/>
                    </w:rPr>
                  </w:pPr>
                  <w:r>
                    <w:rPr>
                      <w:b/>
                    </w:rPr>
                    <w:br w:type="page"/>
                  </w:r>
                </w:p>
                <w:p/>
                <w:p>
                  <w:pPr>
                    <w:pStyle w:val="Titre4"/>
                  </w:pPr>
                  <w:bookmarkStart w:id="3254" w:name="_Annexe_5_:_2"/>
                  <w:bookmarkStart w:id="3255" w:name="_Annexe_4_:"/>
                  <w:bookmarkStart w:id="3256" w:name="_Toc453314513"/>
                  <w:bookmarkStart w:id="3257" w:name="_Toc454980547"/>
                  <w:bookmarkEnd w:id="3254"/>
                  <w:bookmarkEnd w:id="3255"/>
                  <w:r>
                    <w:t>Annexe 4 : Attestation de fréquentation d’un établissement d’enseignement spécialisé à l’attention d’une structure d’accueil</w:t>
                  </w:r>
                  <w:bookmarkEnd w:id="3256"/>
                  <w:bookmarkEnd w:id="3257"/>
                </w:p>
                <w:p>
                  <w:pPr>
                    <w:jc w:val="both"/>
                  </w:pPr>
                </w:p>
                <w:p>
                  <w:pPr>
                    <w:jc w:val="center"/>
                    <w:rPr>
                      <w:b/>
                      <w:caps/>
                    </w:rPr>
                  </w:pPr>
                  <w:r>
                    <w:rPr>
                      <w:b/>
                      <w:caps/>
                    </w:rPr>
                    <w:t>Communauté française</w:t>
                  </w:r>
                </w:p>
                <w:p>
                  <w:pPr>
                    <w:jc w:val="both"/>
                  </w:pPr>
                </w:p>
                <w:p>
                  <w:pPr>
                    <w:pStyle w:val="Titre"/>
                    <w:jc w:val="both"/>
                    <w:rPr>
                      <w:sz w:val="22"/>
                      <w:szCs w:val="22"/>
                    </w:rPr>
                  </w:pPr>
                </w:p>
                <w:p>
                  <w:pPr>
                    <w:jc w:val="both"/>
                  </w:pPr>
                </w:p>
                <w:p>
                  <w:pPr>
                    <w:jc w:val="both"/>
                  </w:pPr>
                  <w:r>
                    <w:t>DENOMINATION ET SIEGE DE L’ETABLISSEMENT</w:t>
                  </w:r>
                </w:p>
                <w:p>
                  <w:pPr>
                    <w:jc w:val="both"/>
                  </w:pPr>
                </w:p>
                <w:p>
                  <w:pPr>
                    <w:jc w:val="both"/>
                  </w:pPr>
                </w:p>
                <w:p>
                  <w:pPr>
                    <w:jc w:val="both"/>
                  </w:pPr>
                </w:p>
                <w:p>
                  <w:pPr>
                    <w:jc w:val="both"/>
                  </w:pPr>
                  <w:r>
                    <w:t>Numéro FASE :</w:t>
                  </w:r>
                </w:p>
                <w:p>
                  <w:pPr>
                    <w:jc w:val="both"/>
                  </w:pPr>
                </w:p>
                <w:p>
                  <w:pPr>
                    <w:jc w:val="both"/>
                  </w:pPr>
                  <w:r>
                    <w:t xml:space="preserve">Je soussigné(e) </w:t>
                  </w:r>
                </w:p>
                <w:p>
                  <w:pPr>
                    <w:jc w:val="both"/>
                  </w:pPr>
                </w:p>
                <w:p>
                  <w:pPr>
                    <w:jc w:val="both"/>
                  </w:pPr>
                  <w:r>
                    <w:t>Chef(fe) de l’établissement susmentionné, atteste que</w:t>
                  </w:r>
                </w:p>
                <w:p>
                  <w:pPr>
                    <w:jc w:val="both"/>
                  </w:pPr>
                </w:p>
                <w:p>
                  <w:pPr>
                    <w:jc w:val="both"/>
                  </w:pPr>
                  <w:r>
                    <w:t xml:space="preserve">(NOM , Prénom) </w:t>
                  </w:r>
                </w:p>
                <w:p>
                  <w:pPr>
                    <w:jc w:val="both"/>
                  </w:pPr>
                </w:p>
                <w:p>
                  <w:pPr>
                    <w:jc w:val="both"/>
                  </w:pPr>
                  <w:r>
                    <w:t xml:space="preserve">Né(e) le </w:t>
                  </w:r>
                  <w:r>
                    <w:tab/>
                  </w:r>
                  <w:r>
                    <w:tab/>
                  </w:r>
                  <w:r>
                    <w:tab/>
                  </w:r>
                  <w:r>
                    <w:tab/>
                  </w:r>
                  <w:r>
                    <w:tab/>
                  </w:r>
                  <w:r>
                    <w:tab/>
                  </w:r>
                  <w:r>
                    <w:tab/>
                    <w:t xml:space="preserve">, à </w:t>
                  </w:r>
                </w:p>
                <w:p>
                  <w:pPr>
                    <w:jc w:val="both"/>
                  </w:pPr>
                </w:p>
                <w:p>
                  <w:pPr>
                    <w:jc w:val="both"/>
                  </w:pPr>
                  <w:r>
                    <w:t>suit les cours au sein de notre établissement pendant l’année scolaire 20…. – 20…. et relève des niveau, type et forme suivants :</w:t>
                  </w:r>
                </w:p>
                <w:p/>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tc>
                      <w:tcPr>
                        <w:tcW w:w="3070" w:type="dxa"/>
                      </w:tcPr>
                      <w:p>
                        <w:r>
                          <w:t>Niveau</w:t>
                        </w:r>
                      </w:p>
                    </w:tc>
                    <w:tc>
                      <w:tcPr>
                        <w:tcW w:w="3071" w:type="dxa"/>
                      </w:tcPr>
                      <w:p>
                        <w:r>
                          <w:t>Type</w:t>
                        </w:r>
                      </w:p>
                    </w:tc>
                    <w:tc>
                      <w:tcPr>
                        <w:tcW w:w="3071" w:type="dxa"/>
                      </w:tcPr>
                      <w:p>
                        <w:r>
                          <w:t>Forme</w:t>
                        </w:r>
                      </w:p>
                    </w:tc>
                  </w:tr>
                  <w:tr>
                    <w:tc>
                      <w:tcPr>
                        <w:tcW w:w="3070" w:type="dxa"/>
                      </w:tcPr>
                      <w:p>
                        <w:r>
                          <w:t>Fondamental</w:t>
                        </w:r>
                      </w:p>
                    </w:tc>
                    <w:tc>
                      <w:tcPr>
                        <w:tcW w:w="3071" w:type="dxa"/>
                      </w:tcPr>
                      <w:p/>
                    </w:tc>
                    <w:tc>
                      <w:tcPr>
                        <w:tcW w:w="3071" w:type="dxa"/>
                        <w:shd w:val="thinDiagCross" w:color="auto" w:fill="auto"/>
                      </w:tcPr>
                      <w:p/>
                    </w:tc>
                  </w:tr>
                  <w:tr>
                    <w:tc>
                      <w:tcPr>
                        <w:tcW w:w="3070" w:type="dxa"/>
                      </w:tcPr>
                      <w:p>
                        <w:r>
                          <w:t>Secondaire</w:t>
                        </w:r>
                      </w:p>
                    </w:tc>
                    <w:tc>
                      <w:tcPr>
                        <w:tcW w:w="3071" w:type="dxa"/>
                      </w:tcPr>
                      <w:p/>
                    </w:tc>
                    <w:tc>
                      <w:tcPr>
                        <w:tcW w:w="3071" w:type="dxa"/>
                        <w:shd w:val="clear" w:color="auto" w:fill="FFFFFF"/>
                      </w:tcPr>
                      <w:p/>
                    </w:tc>
                  </w:tr>
                </w:tbl>
                <w:p/>
                <w:p/>
                <w:p>
                  <w:r>
                    <w:t>Sceau de l’établissement</w:t>
                  </w:r>
                  <w:r>
                    <w:tab/>
                  </w:r>
                  <w:r>
                    <w:tab/>
                  </w:r>
                  <w:r>
                    <w:tab/>
                  </w:r>
                  <w:r>
                    <w:tab/>
                  </w:r>
                  <w:r>
                    <w:tab/>
                  </w:r>
                  <w:r>
                    <w:tab/>
                    <w:t>Lieu et date</w:t>
                  </w:r>
                </w:p>
                <w:p/>
                <w:p/>
                <w:p/>
                <w:p/>
                <w:p>
                  <w:r>
                    <w:t>Le (La) Chef(fe) d’établissement</w:t>
                  </w:r>
                </w:p>
                <w:p>
                  <w:r>
                    <w:t>(NOM et signature)</w:t>
                  </w:r>
                </w:p>
                <w:p/>
                <w:p>
                  <w:pPr>
                    <w:pStyle w:val="Corpsdetexte"/>
                    <w:sectPr>
                      <w:headerReference w:type="default" r:id="rId198"/>
                      <w:footerReference w:type="default" r:id="rId199"/>
                      <w:pgSz w:w="11906" w:h="16838"/>
                      <w:pgMar w:top="1134" w:right="1134" w:bottom="1134" w:left="1418" w:header="709" w:footer="283" w:gutter="0"/>
                      <w:cols w:space="720"/>
                      <w:titlePg/>
                      <w:docGrid w:linePitch="299"/>
                    </w:sectPr>
                  </w:pPr>
                  <w:bookmarkStart w:id="3258" w:name="_Annexe_6_:"/>
                  <w:bookmarkStart w:id="3259" w:name="_Chapitre_16_:"/>
                  <w:bookmarkStart w:id="3260" w:name="_Toc477623831"/>
                  <w:bookmarkStart w:id="3261" w:name="_Toc477767696"/>
                  <w:bookmarkEnd w:id="3258"/>
                  <w:bookmarkEnd w:id="3259"/>
                </w:p>
                <w:p>
                  <w:pPr>
                    <w:pStyle w:val="Titre2"/>
                  </w:pPr>
                  <w:bookmarkStart w:id="3262" w:name="_Toc18914503"/>
                  <w:r>
                    <w:t>Chapitre</w:t>
                  </w:r>
                  <w:bookmarkEnd w:id="3260"/>
                  <w:bookmarkEnd w:id="3261"/>
                  <w:r>
                    <w:t xml:space="preserve"> 16 : </w:t>
                  </w:r>
                  <w:bookmarkStart w:id="3263" w:name="_Toc477623832"/>
                  <w:bookmarkStart w:id="3264" w:name="_Toc477767697"/>
                  <w:r>
                    <w:t>La Vérification de la population scolaire et de la comptabilité</w:t>
                  </w:r>
                  <w:bookmarkEnd w:id="3263"/>
                  <w:bookmarkEnd w:id="3264"/>
                  <w:bookmarkEnd w:id="3262"/>
                </w:p>
                <w:p>
                  <w:pPr>
                    <w:jc w:val="both"/>
                    <w:rPr>
                      <w:b/>
                      <w:u w:val="single"/>
                    </w:rPr>
                  </w:pPr>
                </w:p>
                <w:p>
                  <w:pPr>
                    <w:jc w:val="both"/>
                    <w:rPr>
                      <w:b/>
                      <w:u w:val="single"/>
                    </w:rPr>
                  </w:pPr>
                </w:p>
                <w:p>
                  <w:pPr>
                    <w:jc w:val="both"/>
                    <w:rPr>
                      <w:b/>
                      <w:u w:val="single"/>
                    </w:rPr>
                  </w:pPr>
                </w:p>
                <w:p>
                  <w:pPr>
                    <w:jc w:val="both"/>
                    <w:rPr>
                      <w:b/>
                      <w:u w:val="single"/>
                    </w:rPr>
                  </w:pPr>
                </w:p>
                <w:p>
                  <w:pPr>
                    <w:jc w:val="both"/>
                    <w:rPr>
                      <w:b/>
                      <w:u w:val="single"/>
                    </w:rPr>
                  </w:pPr>
                </w:p>
                <w:p>
                  <w:pPr>
                    <w:ind w:firstLine="284"/>
                    <w:jc w:val="both"/>
                    <w:rPr>
                      <w:b/>
                      <w:u w:val="single"/>
                    </w:rPr>
                  </w:pPr>
                  <w:r>
                    <w:rPr>
                      <w:b/>
                      <w:u w:val="single"/>
                    </w:rPr>
                    <w:t xml:space="preserve">Bases légales : </w:t>
                  </w:r>
                </w:p>
                <w:p>
                  <w:pPr>
                    <w:jc w:val="both"/>
                    <w:rPr>
                      <w:b/>
                      <w:u w:val="single"/>
                    </w:rPr>
                  </w:pPr>
                </w:p>
                <w:p>
                  <w:pPr>
                    <w:numPr>
                      <w:ilvl w:val="0"/>
                      <w:numId w:val="44"/>
                    </w:numPr>
                    <w:suppressAutoHyphens/>
                    <w:ind w:left="284" w:hanging="284"/>
                    <w:jc w:val="both"/>
                    <w:rPr>
                      <w:bCs/>
                      <w:iCs/>
                    </w:rPr>
                  </w:pPr>
                  <w:hyperlink r:id="rId200" w:history="1">
                    <w:r>
                      <w:rPr>
                        <w:rStyle w:val="Lienhypertexte"/>
                        <w:rFonts w:cs="CenturySchoolbook,Bold"/>
                        <w:bCs/>
                      </w:rPr>
                      <w:t>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hyperlink>
                </w:p>
                <w:p>
                  <w:pPr>
                    <w:pStyle w:val="Paragraphedeliste"/>
                    <w:numPr>
                      <w:ilvl w:val="0"/>
                      <w:numId w:val="208"/>
                    </w:numPr>
                    <w:ind w:left="284" w:hanging="284"/>
                    <w:jc w:val="both"/>
                    <w:rPr>
                      <w:rFonts w:asciiTheme="majorHAnsi" w:hAnsiTheme="majorHAnsi"/>
                      <w:color w:val="00B050"/>
                      <w:sz w:val="22"/>
                      <w:szCs w:val="22"/>
                    </w:rPr>
                  </w:pPr>
                  <w:hyperlink r:id="rId201" w:history="1">
                    <w:r>
                      <w:rPr>
                        <w:rStyle w:val="Lienhypertexte"/>
                        <w:rFonts w:asciiTheme="majorHAnsi" w:hAnsiTheme="majorHAnsi" w:cs="Arial"/>
                        <w:sz w:val="22"/>
                        <w:szCs w:val="22"/>
                      </w:rPr>
                      <w:t>Circulaire 6495 du 16 janvier 2018 relative à l’inscription dans l’enseignement francophone d’élevés scolarisés en Communauté flamande ou en Communauté germanophone et pour lesquels une attestation d’entrée en enseignement spécialisé est requise</w:t>
                    </w:r>
                  </w:hyperlink>
                </w:p>
                <w:p>
                  <w:pPr>
                    <w:rPr>
                      <w:color w:val="00B050"/>
                    </w:rPr>
                  </w:pPr>
                </w:p>
                <w:p>
                  <w:pPr>
                    <w:pBdr>
                      <w:top w:val="single" w:sz="4" w:space="1" w:color="000000"/>
                      <w:left w:val="single" w:sz="4" w:space="4" w:color="000000"/>
                      <w:bottom w:val="single" w:sz="4" w:space="1" w:color="000000"/>
                      <w:right w:val="single" w:sz="4" w:space="4" w:color="000000"/>
                    </w:pBdr>
                    <w:jc w:val="both"/>
                    <w:rPr>
                      <w:b/>
                    </w:rPr>
                  </w:pPr>
                  <w:r>
                    <w:rPr>
                      <w:b/>
                      <w:u w:val="single"/>
                    </w:rPr>
                    <w:t>Remarque préliminaire </w:t>
                  </w:r>
                  <w:r>
                    <w:rPr>
                      <w:b/>
                    </w:rPr>
                    <w:t xml:space="preserve">: </w:t>
                  </w:r>
                  <w:r>
                    <w:t>la correspondance destinée au vérificateur doit lui être adressée directement à son domicile.</w:t>
                  </w:r>
                </w:p>
                <w:p>
                  <w:pPr>
                    <w:rPr>
                      <w:b/>
                    </w:rPr>
                  </w:pPr>
                </w:p>
                <w:p>
                  <w:pPr>
                    <w:pStyle w:val="Titre3"/>
                  </w:pPr>
                  <w:bookmarkStart w:id="3265" w:name="_1._Les_vérificateurs"/>
                  <w:bookmarkStart w:id="3266" w:name="__RefHeading__277_957262308"/>
                  <w:bookmarkStart w:id="3267" w:name="_Toc291075423"/>
                  <w:bookmarkStart w:id="3268" w:name="_Toc291075847"/>
                  <w:bookmarkStart w:id="3269" w:name="_Toc291076271"/>
                  <w:bookmarkStart w:id="3270" w:name="_Toc291076695"/>
                  <w:bookmarkStart w:id="3271" w:name="_Toc291077119"/>
                  <w:bookmarkStart w:id="3272" w:name="_Toc293651962"/>
                  <w:bookmarkStart w:id="3273" w:name="_Toc293653545"/>
                  <w:bookmarkStart w:id="3274" w:name="_Toc293654156"/>
                  <w:bookmarkStart w:id="3275" w:name="_Toc294004736"/>
                  <w:bookmarkStart w:id="3276" w:name="_Toc294185232"/>
                  <w:bookmarkStart w:id="3277" w:name="_Toc324166062"/>
                  <w:bookmarkStart w:id="3278" w:name="_Toc324767098"/>
                  <w:bookmarkStart w:id="3279" w:name="_Toc453314486"/>
                  <w:bookmarkStart w:id="3280" w:name="_Toc454980521"/>
                  <w:bookmarkStart w:id="3281" w:name="_Toc478740711"/>
                  <w:bookmarkStart w:id="3282" w:name="_Toc18914504"/>
                  <w:bookmarkEnd w:id="3265"/>
                  <w:bookmarkEnd w:id="3266"/>
                  <w:r>
                    <w:rPr>
                      <w:bCs/>
                    </w:rPr>
                    <w:t xml:space="preserve">1. </w:t>
                  </w:r>
                  <w:bookmarkStart w:id="3283" w:name="_1.1._Les_Vérificateurs"/>
                  <w:bookmarkStart w:id="3284" w:name="_Toc291075424"/>
                  <w:bookmarkStart w:id="3285" w:name="_Toc291075848"/>
                  <w:bookmarkStart w:id="3286" w:name="_Toc291076272"/>
                  <w:bookmarkStart w:id="3287" w:name="_Toc291076696"/>
                  <w:bookmarkStart w:id="3288" w:name="_Toc291077120"/>
                  <w:bookmarkStart w:id="3289" w:name="_Toc293651963"/>
                  <w:bookmarkStart w:id="3290" w:name="_Toc293653546"/>
                  <w:bookmarkStart w:id="3291" w:name="_Toc293654157"/>
                  <w:bookmarkStart w:id="3292" w:name="_Toc294004737"/>
                  <w:bookmarkStart w:id="3293" w:name="_Toc294185233"/>
                  <w:bookmarkStart w:id="3294" w:name="_Toc324166063"/>
                  <w:bookmarkStart w:id="3295" w:name="_Toc324767099"/>
                  <w:bookmarkStart w:id="3296" w:name="_Toc324767957"/>
                  <w:bookmarkEnd w:id="3267"/>
                  <w:bookmarkEnd w:id="3268"/>
                  <w:bookmarkEnd w:id="3269"/>
                  <w:bookmarkEnd w:id="3270"/>
                  <w:bookmarkEnd w:id="3271"/>
                  <w:bookmarkEnd w:id="3272"/>
                  <w:bookmarkEnd w:id="3273"/>
                  <w:bookmarkEnd w:id="3274"/>
                  <w:bookmarkEnd w:id="3275"/>
                  <w:bookmarkEnd w:id="3276"/>
                  <w:bookmarkEnd w:id="3277"/>
                  <w:bookmarkEnd w:id="3278"/>
                  <w:bookmarkEnd w:id="3283"/>
                  <w:r>
                    <w:t>Les vérificateurs de la population scolaire</w:t>
                  </w:r>
                  <w:bookmarkEnd w:id="3279"/>
                  <w:bookmarkEnd w:id="3280"/>
                  <w:bookmarkEnd w:id="3281"/>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82"/>
                </w:p>
                <w:p>
                  <w:pPr>
                    <w:rPr>
                      <w:lang w:val="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0"/>
                    <w:gridCol w:w="4684"/>
                  </w:tblGrid>
                  <w:tr>
                    <w:tc>
                      <w:tcPr>
                        <w:tcW w:w="4660" w:type="dxa"/>
                      </w:tcPr>
                      <w:p>
                        <w:pPr>
                          <w:jc w:val="center"/>
                          <w:rPr>
                            <w:lang w:val="nb-NO"/>
                          </w:rPr>
                        </w:pPr>
                      </w:p>
                      <w:p>
                        <w:pPr>
                          <w:jc w:val="center"/>
                          <w:rPr>
                            <w:lang w:val="nb-NO"/>
                          </w:rPr>
                        </w:pPr>
                        <w:r>
                          <w:rPr>
                            <w:lang w:val="nb-NO"/>
                          </w:rPr>
                          <w:t>Benoît DENEIRE : Gradué</w:t>
                        </w:r>
                      </w:p>
                      <w:p>
                        <w:pPr>
                          <w:jc w:val="center"/>
                        </w:pPr>
                        <w:r>
                          <w:t>Rue de la Croix, 17</w:t>
                        </w:r>
                      </w:p>
                      <w:p>
                        <w:pPr>
                          <w:jc w:val="center"/>
                          <w:rPr>
                            <w:lang w:val="nl-BE"/>
                          </w:rPr>
                        </w:pPr>
                        <w:r>
                          <w:rPr>
                            <w:lang w:val="nl-BE"/>
                          </w:rPr>
                          <w:t>7608   WIERS</w:t>
                        </w:r>
                      </w:p>
                      <w:p>
                        <w:pPr>
                          <w:jc w:val="center"/>
                          <w:rPr>
                            <w:lang w:val="pt-PT"/>
                          </w:rPr>
                        </w:pPr>
                        <w:r>
                          <w:rPr>
                            <w:lang w:val="pt-PT"/>
                          </w:rPr>
                          <w:t>GSM : 0479/88.00.05</w:t>
                        </w:r>
                      </w:p>
                      <w:p>
                        <w:pPr>
                          <w:jc w:val="center"/>
                          <w:rPr>
                            <w:lang w:val="pt-PT"/>
                          </w:rPr>
                        </w:pPr>
                        <w:r>
                          <w:rPr>
                            <w:bCs/>
                          </w:rPr>
                          <w:sym w:font="Wingdings" w:char="F03A"/>
                        </w:r>
                        <w:r>
                          <w:rPr>
                            <w:bCs/>
                            <w:lang w:val="nl-BE"/>
                          </w:rPr>
                          <w:t xml:space="preserve"> : </w:t>
                        </w:r>
                        <w:hyperlink r:id="rId202" w:history="1">
                          <w:r>
                            <w:rPr>
                              <w:rStyle w:val="Lienhypertexte"/>
                              <w:rFonts w:cs="Arial"/>
                              <w:lang w:val="pt-PT"/>
                            </w:rPr>
                            <w:t>benoit.deneire@cfwb.be</w:t>
                          </w:r>
                        </w:hyperlink>
                      </w:p>
                      <w:p>
                        <w:pPr>
                          <w:jc w:val="center"/>
                          <w:rPr>
                            <w:lang w:val="nl-BE"/>
                          </w:rPr>
                        </w:pPr>
                      </w:p>
                    </w:tc>
                    <w:tc>
                      <w:tcPr>
                        <w:tcW w:w="4684" w:type="dxa"/>
                      </w:tcPr>
                      <w:p>
                        <w:pPr>
                          <w:jc w:val="center"/>
                          <w:rPr>
                            <w:lang w:val="nl-BE"/>
                          </w:rPr>
                        </w:pPr>
                      </w:p>
                      <w:p>
                        <w:pPr>
                          <w:jc w:val="center"/>
                        </w:pPr>
                        <w:r>
                          <w:t>Carine COSARO : Graduée</w:t>
                        </w:r>
                      </w:p>
                      <w:p>
                        <w:pPr>
                          <w:jc w:val="center"/>
                        </w:pPr>
                        <w:r>
                          <w:t>Place Communale, 9</w:t>
                        </w:r>
                      </w:p>
                      <w:p>
                        <w:pPr>
                          <w:jc w:val="center"/>
                          <w:rPr>
                            <w:lang w:val="nl-BE"/>
                          </w:rPr>
                        </w:pPr>
                        <w:r>
                          <w:rPr>
                            <w:lang w:val="nl-BE"/>
                          </w:rPr>
                          <w:t>7350   HENSIES</w:t>
                        </w:r>
                      </w:p>
                      <w:p>
                        <w:pPr>
                          <w:jc w:val="center"/>
                          <w:rPr>
                            <w:lang w:val="pt-PT"/>
                          </w:rPr>
                        </w:pPr>
                        <w:r>
                          <w:rPr>
                            <w:lang w:val="pt-PT"/>
                          </w:rPr>
                          <w:t>GSM : 0479/54.33.77</w:t>
                        </w:r>
                      </w:p>
                      <w:p>
                        <w:pPr>
                          <w:jc w:val="center"/>
                          <w:rPr>
                            <w:lang w:val="pt-PT"/>
                          </w:rPr>
                        </w:pPr>
                        <w:r>
                          <w:rPr>
                            <w:bCs/>
                          </w:rPr>
                          <w:sym w:font="Wingdings" w:char="F03A"/>
                        </w:r>
                        <w:r>
                          <w:rPr>
                            <w:bCs/>
                            <w:lang w:val="nl-BE"/>
                          </w:rPr>
                          <w:t xml:space="preserve"> : </w:t>
                        </w:r>
                        <w:hyperlink r:id="rId203" w:history="1">
                          <w:r>
                            <w:rPr>
                              <w:rStyle w:val="Lienhypertexte"/>
                              <w:rFonts w:cs="Arial"/>
                              <w:lang w:val="pt-PT"/>
                            </w:rPr>
                            <w:t>carine.cosaro@cfwb.be</w:t>
                          </w:r>
                        </w:hyperlink>
                      </w:p>
                      <w:p>
                        <w:pPr>
                          <w:jc w:val="center"/>
                          <w:rPr>
                            <w:lang w:val="nl-BE"/>
                          </w:rPr>
                        </w:pPr>
                      </w:p>
                    </w:tc>
                  </w:tr>
                  <w:tr>
                    <w:tc>
                      <w:tcPr>
                        <w:tcW w:w="4660" w:type="dxa"/>
                      </w:tcPr>
                      <w:p>
                        <w:pPr>
                          <w:jc w:val="center"/>
                        </w:pPr>
                        <w:r>
                          <w:t>Marie-Françoise BOULONNE : Graduée</w:t>
                        </w:r>
                      </w:p>
                      <w:p>
                        <w:pPr>
                          <w:jc w:val="center"/>
                        </w:pPr>
                        <w:r>
                          <w:t>Avenue des Alliés, 55</w:t>
                        </w:r>
                      </w:p>
                      <w:p>
                        <w:pPr>
                          <w:jc w:val="center"/>
                          <w:rPr>
                            <w:lang w:val="en-US"/>
                          </w:rPr>
                        </w:pPr>
                        <w:r>
                          <w:rPr>
                            <w:lang w:val="en-US"/>
                          </w:rPr>
                          <w:t>7540 KAIN</w:t>
                        </w:r>
                      </w:p>
                      <w:p>
                        <w:pPr>
                          <w:jc w:val="center"/>
                          <w:rPr>
                            <w:lang w:val="en-US"/>
                          </w:rPr>
                        </w:pPr>
                        <w:r>
                          <w:rPr>
                            <w:lang w:val="en-US"/>
                          </w:rPr>
                          <w:t xml:space="preserve">GSM : 0476/97.40.42 </w:t>
                        </w:r>
                      </w:p>
                      <w:p>
                        <w:pPr>
                          <w:jc w:val="center"/>
                          <w:rPr>
                            <w:b/>
                            <w:lang w:val="en-US"/>
                          </w:rPr>
                        </w:pPr>
                        <w:r>
                          <w:rPr>
                            <w:bCs/>
                          </w:rPr>
                          <w:sym w:font="Wingdings" w:char="F03A"/>
                        </w:r>
                        <w:r>
                          <w:rPr>
                            <w:bCs/>
                            <w:lang w:val="en-US"/>
                          </w:rPr>
                          <w:t xml:space="preserve"> : </w:t>
                        </w:r>
                        <w:hyperlink r:id="rId204" w:history="1">
                          <w:r>
                            <w:rPr>
                              <w:rStyle w:val="Lienhypertexte"/>
                              <w:bCs/>
                              <w:color w:val="auto"/>
                              <w:lang w:val="en-US"/>
                            </w:rPr>
                            <w:t>marie-francoise.boulonne</w:t>
                          </w:r>
                          <w:r>
                            <w:rPr>
                              <w:rStyle w:val="Lienhypertexte"/>
                              <w:rFonts w:cstheme="minorBidi"/>
                              <w:bCs/>
                              <w:color w:val="auto"/>
                              <w:lang w:val="en-US"/>
                            </w:rPr>
                            <w:t>@cfwb.be</w:t>
                          </w:r>
                        </w:hyperlink>
                      </w:p>
                      <w:p>
                        <w:pPr>
                          <w:jc w:val="center"/>
                          <w:rPr>
                            <w:lang w:val="en-US"/>
                          </w:rPr>
                        </w:pPr>
                      </w:p>
                    </w:tc>
                    <w:tc>
                      <w:tcPr>
                        <w:tcW w:w="4684" w:type="dxa"/>
                        <w:vAlign w:val="center"/>
                      </w:tcPr>
                      <w:p>
                        <w:pPr>
                          <w:jc w:val="center"/>
                        </w:pPr>
                        <w:r>
                          <w:t>Samantha MATHAEY : Graduée</w:t>
                        </w:r>
                      </w:p>
                      <w:p>
                        <w:pPr>
                          <w:jc w:val="center"/>
                        </w:pPr>
                        <w:r>
                          <w:t>Rue François Dimanche, 25</w:t>
                        </w:r>
                      </w:p>
                      <w:p>
                        <w:pPr>
                          <w:jc w:val="center"/>
                          <w:rPr>
                            <w:lang w:val="en-US"/>
                          </w:rPr>
                        </w:pPr>
                        <w:r>
                          <w:rPr>
                            <w:lang w:val="en-US"/>
                          </w:rPr>
                          <w:t>6250 ROSELIES</w:t>
                        </w:r>
                      </w:p>
                      <w:p>
                        <w:pPr>
                          <w:jc w:val="center"/>
                          <w:rPr>
                            <w:lang w:val="en-US"/>
                          </w:rPr>
                        </w:pPr>
                        <w:r>
                          <w:rPr>
                            <w:lang w:val="en-US"/>
                          </w:rPr>
                          <w:t>Gsm : 0471/17.32.11</w:t>
                        </w:r>
                      </w:p>
                      <w:p>
                        <w:pPr>
                          <w:jc w:val="center"/>
                          <w:rPr>
                            <w:b/>
                            <w:lang w:val="en-US"/>
                          </w:rPr>
                        </w:pPr>
                        <w:r>
                          <w:rPr>
                            <w:bCs/>
                          </w:rPr>
                          <w:sym w:font="Wingdings" w:char="F03A"/>
                        </w:r>
                        <w:r>
                          <w:rPr>
                            <w:bCs/>
                            <w:lang w:val="en-US"/>
                          </w:rPr>
                          <w:t xml:space="preserve"> : </w:t>
                        </w:r>
                        <w:hyperlink r:id="rId205" w:history="1">
                          <w:r>
                            <w:rPr>
                              <w:rStyle w:val="Lienhypertexte"/>
                              <w:rFonts w:cstheme="minorBidi"/>
                              <w:bCs/>
                              <w:color w:val="auto"/>
                              <w:lang w:val="en-US"/>
                            </w:rPr>
                            <w:t>samantha.mathaey@cfwb.be</w:t>
                          </w:r>
                        </w:hyperlink>
                      </w:p>
                      <w:p>
                        <w:pPr>
                          <w:jc w:val="center"/>
                          <w:rPr>
                            <w:lang w:val="en-US"/>
                          </w:rPr>
                        </w:pPr>
                      </w:p>
                    </w:tc>
                  </w:tr>
                </w:tbl>
                <w:p>
                  <w:pPr>
                    <w:rPr>
                      <w:lang w:val="pt-PT"/>
                    </w:rPr>
                  </w:pPr>
                </w:p>
                <w:p>
                  <w:pPr>
                    <w:pBdr>
                      <w:top w:val="single" w:sz="4" w:space="1" w:color="auto"/>
                      <w:left w:val="single" w:sz="4" w:space="4" w:color="auto"/>
                      <w:bottom w:val="single" w:sz="4" w:space="1" w:color="auto"/>
                      <w:right w:val="single" w:sz="4" w:space="4" w:color="auto"/>
                    </w:pBdr>
                    <w:jc w:val="both"/>
                    <w:rPr>
                      <w:b/>
                      <w:lang w:val="pt-PT"/>
                    </w:rPr>
                  </w:pPr>
                  <w:r>
                    <w:rPr>
                      <w:b/>
                      <w:u w:val="single"/>
                      <w:lang w:val="pt-PT"/>
                    </w:rPr>
                    <w:t>Remarque:</w:t>
                  </w:r>
                  <w:r>
                    <w:rPr>
                      <w:b/>
                      <w:lang w:val="pt-PT"/>
                    </w:rPr>
                    <w:t xml:space="preserve"> </w:t>
                  </w:r>
                  <w:r>
                    <w:rPr>
                      <w:lang w:val="pt-PT"/>
                    </w:rPr>
                    <w:t>les établissements scolaires disposent d’un délai de 10 jours ouvrables, à dater du lendemain de la visite du (de la) vérificateur (trice) dans l’école, pour lui faire parvenir les documents nécessaires à la finalisation de son rapport.</w:t>
                  </w:r>
                </w:p>
                <w:p>
                  <w:bookmarkStart w:id="3297" w:name="_1.2._Service_de"/>
                  <w:bookmarkStart w:id="3298" w:name="_Toc291075425"/>
                  <w:bookmarkStart w:id="3299" w:name="_Toc291075849"/>
                  <w:bookmarkStart w:id="3300" w:name="_Toc291076273"/>
                  <w:bookmarkStart w:id="3301" w:name="_Toc291076697"/>
                  <w:bookmarkStart w:id="3302" w:name="_Toc291077121"/>
                  <w:bookmarkStart w:id="3303" w:name="_Toc293651964"/>
                  <w:bookmarkStart w:id="3304" w:name="_Toc293653547"/>
                  <w:bookmarkStart w:id="3305" w:name="_Toc293654158"/>
                  <w:bookmarkStart w:id="3306" w:name="_Toc294004738"/>
                  <w:bookmarkStart w:id="3307" w:name="_Toc294185234"/>
                  <w:bookmarkStart w:id="3308" w:name="_Toc324166064"/>
                  <w:bookmarkStart w:id="3309" w:name="_Toc324767100"/>
                  <w:bookmarkStart w:id="3310" w:name="_Toc324767958"/>
                  <w:bookmarkEnd w:id="3297"/>
                </w:p>
                <w:p>
                  <w:pPr>
                    <w:pBdr>
                      <w:top w:val="single" w:sz="4" w:space="1" w:color="auto"/>
                      <w:left w:val="single" w:sz="4" w:space="4" w:color="auto"/>
                      <w:bottom w:val="single" w:sz="4" w:space="1" w:color="auto"/>
                      <w:right w:val="single" w:sz="4" w:space="1" w:color="auto"/>
                    </w:pBdr>
                    <w:jc w:val="both"/>
                    <w:rPr>
                      <w:b/>
                      <w:lang w:val="pt-PT"/>
                    </w:rPr>
                  </w:pPr>
                  <w:r>
                    <w:rPr>
                      <w:lang w:val="pt-PT"/>
                    </w:rPr>
                    <w:sym w:font="Wingdings" w:char="F047"/>
                  </w:r>
                  <w:r>
                    <w:rPr>
                      <w:lang w:val="pt-PT"/>
                    </w:rPr>
                    <w:t xml:space="preserve">  </w:t>
                  </w:r>
                  <w:r>
                    <w:rPr>
                      <w:b/>
                      <w:lang w:val="pt-PT"/>
                    </w:rPr>
                    <w:t>Tout chef d’établissement doit assurer la responsabilité du pilotage de tout document administratif.  A ce titre, il doit faire preuve de vigilance et de proactivité afin que les retards dans la production des pièces ne se reproduisent plus.</w:t>
                  </w:r>
                </w:p>
                <w:p>
                  <w:pPr>
                    <w:pBdr>
                      <w:top w:val="single" w:sz="4" w:space="1" w:color="auto"/>
                      <w:left w:val="single" w:sz="4" w:space="4" w:color="auto"/>
                      <w:bottom w:val="single" w:sz="4" w:space="1" w:color="auto"/>
                      <w:right w:val="single" w:sz="4" w:space="1" w:color="auto"/>
                    </w:pBdr>
                    <w:jc w:val="both"/>
                    <w:rPr>
                      <w:b/>
                    </w:rPr>
                  </w:pPr>
                  <w:r>
                    <w:rPr>
                      <w:b/>
                      <w:noProof/>
                      <w:lang w:eastAsia="fr-BE"/>
                    </w:rPr>
                    <mc:AlternateContent>
                      <mc:Choice Requires="wps">
                        <w:drawing>
                          <wp:anchor distT="0" distB="0" distL="114300" distR="114300" simplePos="0" relativeHeight="252089344" behindDoc="0" locked="0" layoutInCell="1" allowOverlap="1">
                            <wp:simplePos x="0" y="0"/>
                            <wp:positionH relativeFrom="column">
                              <wp:posOffset>6129021</wp:posOffset>
                            </wp:positionH>
                            <wp:positionV relativeFrom="paragraph">
                              <wp:posOffset>22860</wp:posOffset>
                            </wp:positionV>
                            <wp:extent cx="0" cy="342900"/>
                            <wp:effectExtent l="0" t="0" r="19050" b="19050"/>
                            <wp:wrapNone/>
                            <wp:docPr id="470" name="Connecteur droit 470"/>
                            <wp:cNvGraphicFramePr/>
                            <a:graphic xmlns:a="http://schemas.openxmlformats.org/drawingml/2006/main">
                              <a:graphicData uri="http://schemas.microsoft.com/office/word/2010/wordprocessingShape">
                                <wps:wsp>
                                  <wps:cNvCnPr/>
                                  <wps:spPr>
                                    <a:xfrm>
                                      <a:off x="0" y="0"/>
                                      <a:ext cx="0" cy="3429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4B321E5E" id="Connecteur droit 470" o:spid="_x0000_s1026" style="position:absolute;z-index:252089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82.6pt,1.8pt" to="482.6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" strokecolor="black [3040]"/>
                        </w:pict>
                      </mc:Fallback>
                    </mc:AlternateContent>
                  </w:r>
                  <w:r>
                    <w:rPr>
                      <w:b/>
                    </w:rPr>
                    <w:t xml:space="preserve">Tout chef d’établissement est autorisé à transmettre une copie de l’attestation d’orientation à un Administrateur d’internat, de home d’accueil ou de home d’accueil permanent. </w:t>
                  </w:r>
                </w:p>
                <w:p>
                  <w:pPr>
                    <w:jc w:val="both"/>
                  </w:pPr>
                </w:p>
                <w:p>
                  <w:pPr>
                    <w:pStyle w:val="Titre4"/>
                  </w:pPr>
                  <w:bookmarkStart w:id="3311" w:name="_1.1._Les_modalités"/>
                  <w:bookmarkStart w:id="3312" w:name="_Toc453314487"/>
                  <w:bookmarkStart w:id="3313" w:name="_Toc454980522"/>
                  <w:bookmarkStart w:id="3314" w:name="_Toc478740712"/>
                  <w:bookmarkEnd w:id="3311"/>
                  <w:r>
                    <w:t>1.1. Les modalités de contrôle</w:t>
                  </w:r>
                  <w:bookmarkEnd w:id="3312"/>
                  <w:bookmarkEnd w:id="3313"/>
                  <w:bookmarkEnd w:id="3314"/>
                </w:p>
                <w:p>
                  <w:pPr>
                    <w:jc w:val="both"/>
                  </w:pPr>
                </w:p>
                <w:p>
                  <w:pPr>
                    <w:pStyle w:val="Retraitcorpsdetexte3"/>
                    <w:spacing w:after="0"/>
                    <w:ind w:left="0"/>
                    <w:jc w:val="both"/>
                    <w:rPr>
                      <w:rFonts w:asciiTheme="majorHAnsi" w:hAnsiTheme="majorHAnsi"/>
                      <w:sz w:val="22"/>
                      <w:szCs w:val="22"/>
                    </w:rPr>
                  </w:pPr>
                  <w:r>
                    <w:rPr>
                      <w:rFonts w:asciiTheme="majorHAnsi" w:hAnsiTheme="majorHAnsi"/>
                      <w:sz w:val="22"/>
                      <w:szCs w:val="22"/>
                    </w:rPr>
                    <w:t>Pour permettre à la direction de l’établissement de se préparer à sa visite, le vérificateur prendra contact avec elle afin de fixer une date disponible commune à laquelle il pourra effectuer son contrôle.</w:t>
                  </w:r>
                </w:p>
                <w:p>
                  <w:pPr>
                    <w:pStyle w:val="Retraitcorpsdetexte3"/>
                    <w:spacing w:after="0"/>
                    <w:ind w:left="0"/>
                    <w:jc w:val="both"/>
                    <w:rPr>
                      <w:rFonts w:asciiTheme="majorHAnsi" w:hAnsiTheme="majorHAnsi"/>
                      <w:sz w:val="22"/>
                      <w:szCs w:val="22"/>
                    </w:rPr>
                  </w:pPr>
                </w:p>
                <w:p>
                  <w:pPr>
                    <w:jc w:val="both"/>
                  </w:pPr>
                  <w:r>
                    <w:t>Cependant, le vérificateur reste habilité à effectuer son contrôle à l’improviste, c’est-à-dire sans prise de rendez-vous préalable, au sein de l’établissement scolaire ainsi qu’au sein de chacune de ses implantations, et ce à tout moment de l’année. Il peut exercer cette visite seul ou accompagné d’autre(s) membre(s) des services du gouvernement.</w:t>
                  </w:r>
                </w:p>
                <w:p>
                  <w:pPr>
                    <w:jc w:val="both"/>
                  </w:pPr>
                </w:p>
                <w:p>
                  <w:pPr>
                    <w:pStyle w:val="Retraitcorpsdetexte3"/>
                    <w:ind w:left="0"/>
                    <w:jc w:val="both"/>
                    <w:rPr>
                      <w:rFonts w:asciiTheme="majorHAnsi" w:hAnsiTheme="majorHAnsi"/>
                    </w:rPr>
                  </w:pPr>
                  <w:r>
                    <w:rPr>
                      <w:rFonts w:asciiTheme="majorHAnsi" w:hAnsiTheme="majorHAnsi"/>
                      <w:sz w:val="22"/>
                      <w:szCs w:val="22"/>
                      <w:lang w:eastAsia="fr-FR"/>
                    </w:rPr>
                    <w:t xml:space="preserve">Le vérificateur est aussi habilité à faire l’appel dans une classe dans le but d’effectuer un contrôle de registre. </w:t>
                  </w:r>
                </w:p>
                <w:p>
                  <w:pPr>
                    <w:pStyle w:val="Retraitcorpsdetexte3"/>
                    <w:ind w:left="0"/>
                    <w:jc w:val="both"/>
                    <w:rPr>
                      <w:rFonts w:asciiTheme="majorHAnsi" w:hAnsiTheme="majorHAnsi"/>
                      <w:sz w:val="22"/>
                      <w:szCs w:val="22"/>
                      <w:lang w:eastAsia="fr-FR"/>
                    </w:rPr>
                  </w:pPr>
                  <w:r>
                    <w:rPr>
                      <w:rFonts w:asciiTheme="majorHAnsi" w:hAnsiTheme="majorHAnsi"/>
                      <w:sz w:val="22"/>
                      <w:szCs w:val="22"/>
                      <w:lang w:eastAsia="fr-FR"/>
                    </w:rPr>
                    <w:t xml:space="preserve">Les visites de classes se font à l’improviste. Elles ne seront pas prévues à l’avance et ne se feront pas en même temps que le contrôle normal. </w:t>
                  </w:r>
                </w:p>
                <w:p>
                  <w:pPr>
                    <w:jc w:val="both"/>
                  </w:pPr>
                </w:p>
                <w:p>
                  <w:pPr>
                    <w:pStyle w:val="Retraitcorpsdetexte3"/>
                    <w:ind w:left="0"/>
                    <w:jc w:val="both"/>
                    <w:rPr>
                      <w:rFonts w:asciiTheme="majorHAnsi" w:hAnsiTheme="majorHAnsi"/>
                      <w:sz w:val="22"/>
                      <w:szCs w:val="22"/>
                      <w:lang w:eastAsia="fr-FR"/>
                    </w:rPr>
                  </w:pPr>
                  <w:r>
                    <w:rPr>
                      <w:rFonts w:asciiTheme="majorHAnsi" w:hAnsiTheme="majorHAnsi"/>
                      <w:sz w:val="22"/>
                      <w:szCs w:val="22"/>
                      <w:lang w:eastAsia="fr-FR"/>
                    </w:rPr>
                    <w:t xml:space="preserve">L’enseignement maternel est un niveau d’enseignement distinct du primaire. Cela suppose que des élèves non encore soumis à l’obligation scolaire doivent se retrouver dans un même groupe et être renseignés dans un registre spécifique à ce groupe classe. </w:t>
                  </w:r>
                </w:p>
                <w:p>
                  <w:pPr>
                    <w:pStyle w:val="Retraitcorpsdetexte3"/>
                    <w:ind w:left="0"/>
                    <w:jc w:val="both"/>
                    <w:rPr>
                      <w:rFonts w:asciiTheme="majorHAnsi" w:hAnsiTheme="majorHAnsi"/>
                      <w:sz w:val="22"/>
                      <w:szCs w:val="22"/>
                      <w:lang w:eastAsia="fr-FR"/>
                    </w:rPr>
                  </w:pPr>
                  <w:r>
                    <w:rPr>
                      <w:rFonts w:asciiTheme="majorHAnsi" w:hAnsiTheme="majorHAnsi"/>
                      <w:sz w:val="22"/>
                      <w:szCs w:val="22"/>
                      <w:lang w:eastAsia="fr-FR"/>
                    </w:rPr>
                    <w:t xml:space="preserve">Par conséquent, dès que des élèves sont inscrits en maternel, il y a lieu d’organiser une classe maternelle. </w:t>
                  </w:r>
                </w:p>
                <w:p>
                  <w:pPr>
                    <w:pStyle w:val="Retraitcorpsdetexte3"/>
                    <w:ind w:left="0"/>
                    <w:rPr>
                      <w:rFonts w:asciiTheme="majorHAnsi" w:hAnsiTheme="majorHAnsi"/>
                      <w:sz w:val="22"/>
                      <w:szCs w:val="22"/>
                      <w:lang w:eastAsia="fr-FR"/>
                    </w:rPr>
                  </w:pPr>
                </w:p>
                <w:p>
                  <w:pPr>
                    <w:pStyle w:val="Titre4"/>
                  </w:pPr>
                  <w:bookmarkStart w:id="3315" w:name="_1.2._Liste_des"/>
                  <w:bookmarkStart w:id="3316" w:name="_1.2._La_liste"/>
                  <w:bookmarkStart w:id="3317" w:name="_Toc453314488"/>
                  <w:bookmarkStart w:id="3318" w:name="_Toc454980523"/>
                  <w:bookmarkStart w:id="3319" w:name="_Toc478740713"/>
                  <w:bookmarkEnd w:id="3315"/>
                  <w:bookmarkEnd w:id="3316"/>
                  <w:r>
                    <w:t>1.2. La liste des documents à tenir à disposition des vérificateurs</w:t>
                  </w:r>
                  <w:bookmarkEnd w:id="3317"/>
                  <w:bookmarkEnd w:id="3318"/>
                  <w:bookmarkEnd w:id="3319"/>
                </w:p>
                <w:p>
                  <w:pPr>
                    <w:jc w:val="both"/>
                  </w:pPr>
                </w:p>
                <w:p>
                  <w:pPr>
                    <w:jc w:val="both"/>
                  </w:pPr>
                  <w:r>
                    <w:t xml:space="preserve">Vous trouverez ci-joint une liste </w:t>
                  </w:r>
                  <w:r>
                    <w:rPr>
                      <w:b/>
                    </w:rPr>
                    <w:t>non exhaustive</w:t>
                  </w:r>
                  <w:r>
                    <w:t xml:space="preserve"> des documents à tenir à disposition des vérificateurs, avec mention du chapitre y relatif.  </w:t>
                  </w:r>
                </w:p>
                <w:p>
                  <w:pPr>
                    <w:jc w:val="both"/>
                  </w:pPr>
                </w:p>
                <w:p>
                  <w:pPr>
                    <w:pStyle w:val="TM3"/>
                    <w:numPr>
                      <w:ilvl w:val="0"/>
                      <w:numId w:val="189"/>
                    </w:numPr>
                    <w:ind w:left="567" w:hanging="425"/>
                    <w:jc w:val="both"/>
                    <w:rPr>
                      <w:szCs w:val="22"/>
                    </w:rPr>
                  </w:pPr>
                  <w:r>
                    <w:rPr>
                      <w:szCs w:val="22"/>
                    </w:rPr>
                    <w:t>Fiche individuelle d'inscription (</w:t>
                  </w:r>
                  <w:hyperlink w:anchor="_Chapitre_16_:" w:history="1">
                    <w:r>
                      <w:rPr>
                        <w:rStyle w:val="Lienhypertexte"/>
                        <w:szCs w:val="22"/>
                      </w:rPr>
                      <w:t>chapitre 16</w:t>
                    </w:r>
                  </w:hyperlink>
                  <w:r>
                    <w:rPr>
                      <w:szCs w:val="22"/>
                    </w:rPr>
                    <w:t>)</w:t>
                  </w:r>
                </w:p>
                <w:p>
                  <w:pPr>
                    <w:pStyle w:val="TM3"/>
                    <w:numPr>
                      <w:ilvl w:val="0"/>
                      <w:numId w:val="189"/>
                    </w:numPr>
                    <w:ind w:left="567" w:hanging="425"/>
                    <w:jc w:val="both"/>
                    <w:rPr>
                      <w:szCs w:val="22"/>
                    </w:rPr>
                  </w:pPr>
                  <w:r>
                    <w:rPr>
                      <w:szCs w:val="22"/>
                    </w:rPr>
                    <w:t>Registres de présences des élèves (</w:t>
                  </w:r>
                  <w:hyperlink w:anchor="_Chapitre_16_:" w:history="1">
                    <w:r>
                      <w:rPr>
                        <w:rStyle w:val="Lienhypertexte"/>
                        <w:szCs w:val="22"/>
                      </w:rPr>
                      <w:t>chapitre 16</w:t>
                    </w:r>
                  </w:hyperlink>
                  <w:r>
                    <w:rPr>
                      <w:szCs w:val="22"/>
                    </w:rPr>
                    <w:t>)</w:t>
                  </w:r>
                </w:p>
                <w:p>
                  <w:pPr>
                    <w:pStyle w:val="TM3"/>
                    <w:numPr>
                      <w:ilvl w:val="0"/>
                      <w:numId w:val="189"/>
                    </w:numPr>
                    <w:ind w:left="567" w:hanging="425"/>
                    <w:jc w:val="both"/>
                    <w:rPr>
                      <w:szCs w:val="22"/>
                    </w:rPr>
                  </w:pPr>
                  <w:r>
                    <w:rPr>
                      <w:szCs w:val="22"/>
                    </w:rPr>
                    <w:t xml:space="preserve">Dossier individuel des élèves qui comprend les documents suivants : </w:t>
                  </w:r>
                </w:p>
                <w:p>
                  <w:pPr>
                    <w:numPr>
                      <w:ilvl w:val="1"/>
                      <w:numId w:val="189"/>
                    </w:numPr>
                    <w:tabs>
                      <w:tab w:val="left" w:pos="900"/>
                    </w:tabs>
                    <w:suppressAutoHyphens/>
                    <w:jc w:val="both"/>
                  </w:pPr>
                  <w:r>
                    <w:t>Le(s) document(s) relatif(s) au droit d'inscription spécifique (</w:t>
                  </w:r>
                  <w:hyperlink w:anchor="_Chapitre_1_:" w:history="1">
                    <w:r>
                      <w:rPr>
                        <w:rStyle w:val="Lienhypertexte"/>
                        <w:rFonts w:cstheme="minorBidi"/>
                      </w:rPr>
                      <w:t>chapitre 1</w:t>
                    </w:r>
                  </w:hyperlink>
                  <w:r>
                    <w:t>)</w:t>
                  </w:r>
                </w:p>
                <w:p>
                  <w:pPr>
                    <w:numPr>
                      <w:ilvl w:val="1"/>
                      <w:numId w:val="189"/>
                    </w:numPr>
                    <w:tabs>
                      <w:tab w:val="left" w:pos="900"/>
                    </w:tabs>
                    <w:suppressAutoHyphens/>
                    <w:jc w:val="both"/>
                  </w:pPr>
                  <w:r>
                    <w:t>L'attestation d'orientation et le protocole justificatif (</w:t>
                  </w:r>
                  <w:hyperlink w:anchor="_Chapitre_1_:" w:history="1">
                    <w:r>
                      <w:rPr>
                        <w:rStyle w:val="Lienhypertexte"/>
                        <w:rFonts w:cstheme="minorBidi"/>
                      </w:rPr>
                      <w:t>chapitre 1</w:t>
                    </w:r>
                  </w:hyperlink>
                  <w:r>
                    <w:t>) + annexe éventuelle</w:t>
                  </w:r>
                </w:p>
                <w:p>
                  <w:pPr>
                    <w:numPr>
                      <w:ilvl w:val="1"/>
                      <w:numId w:val="189"/>
                    </w:numPr>
                    <w:tabs>
                      <w:tab w:val="left" w:pos="900"/>
                    </w:tabs>
                    <w:suppressAutoHyphens/>
                    <w:jc w:val="both"/>
                  </w:pPr>
                  <w:r>
                    <w:t>Le choix religion/morale non confessionnelle (</w:t>
                  </w:r>
                  <w:hyperlink w:anchor="_Chapitre_16_:" w:history="1">
                    <w:r>
                      <w:rPr>
                        <w:rStyle w:val="Lienhypertexte"/>
                      </w:rPr>
                      <w:t>chapitre 16</w:t>
                    </w:r>
                  </w:hyperlink>
                  <w:r>
                    <w:t>)</w:t>
                  </w:r>
                </w:p>
                <w:p>
                  <w:pPr>
                    <w:numPr>
                      <w:ilvl w:val="1"/>
                      <w:numId w:val="189"/>
                    </w:numPr>
                    <w:tabs>
                      <w:tab w:val="left" w:pos="900"/>
                    </w:tabs>
                    <w:suppressAutoHyphens/>
                    <w:jc w:val="both"/>
                  </w:pPr>
                  <w:r>
                    <w:t xml:space="preserve">L'avis de maintien individuel. (modèle au </w:t>
                  </w:r>
                  <w:hyperlink w:anchor="_Chapitre_17_:" w:history="1">
                    <w:r>
                      <w:rPr>
                        <w:rStyle w:val="Lienhypertexte"/>
                        <w:rFonts w:cs="Arial"/>
                      </w:rPr>
                      <w:t>chapitre 17</w:t>
                    </w:r>
                  </w:hyperlink>
                  <w:r>
                    <w:t>)</w:t>
                  </w:r>
                </w:p>
                <w:p>
                  <w:pPr>
                    <w:numPr>
                      <w:ilvl w:val="1"/>
                      <w:numId w:val="189"/>
                    </w:numPr>
                    <w:tabs>
                      <w:tab w:val="left" w:pos="900"/>
                    </w:tabs>
                    <w:suppressAutoHyphens/>
                    <w:jc w:val="both"/>
                  </w:pPr>
                  <w:r>
                    <w:t>Les documents justificatifs d'absence (</w:t>
                  </w:r>
                  <w:hyperlink w:anchor="_Chapitre_1_:" w:history="1">
                    <w:r>
                      <w:rPr>
                        <w:rStyle w:val="Lienhypertexte"/>
                        <w:rFonts w:cstheme="minorBidi"/>
                      </w:rPr>
                      <w:t>chapitre 1</w:t>
                    </w:r>
                  </w:hyperlink>
                  <w:r>
                    <w:t>)</w:t>
                  </w:r>
                </w:p>
                <w:p>
                  <w:pPr>
                    <w:numPr>
                      <w:ilvl w:val="1"/>
                      <w:numId w:val="189"/>
                    </w:numPr>
                    <w:tabs>
                      <w:tab w:val="left" w:pos="900"/>
                    </w:tabs>
                    <w:suppressAutoHyphens/>
                    <w:jc w:val="both"/>
                  </w:pPr>
                  <w:r>
                    <w:t>L’avis motivé du conseil de classe en cas de passage anticipé de l’enseignement primaire spécialisé vers l’enseignement secondaire spécialisé (</w:t>
                  </w:r>
                  <w:hyperlink w:anchor="_Chapitre_16_:" w:history="1">
                    <w:r>
                      <w:rPr>
                        <w:rStyle w:val="Lienhypertexte"/>
                      </w:rPr>
                      <w:t>chapitre 16</w:t>
                    </w:r>
                  </w:hyperlink>
                  <w:r>
                    <w:t>).</w:t>
                  </w:r>
                </w:p>
                <w:p>
                  <w:pPr>
                    <w:numPr>
                      <w:ilvl w:val="1"/>
                      <w:numId w:val="189"/>
                    </w:numPr>
                    <w:tabs>
                      <w:tab w:val="left" w:pos="900"/>
                    </w:tabs>
                    <w:suppressAutoHyphens/>
                    <w:jc w:val="both"/>
                    <w:rPr>
                      <w:b/>
                    </w:rPr>
                  </w:pPr>
                  <w:r>
                    <w:t>La demande de dispense (</w:t>
                  </w:r>
                  <w:hyperlink w:anchor="_Chapitre_14_:" w:history="1">
                    <w:r>
                      <w:rPr>
                        <w:rStyle w:val="Lienhypertexte"/>
                        <w:rFonts w:cs="Arial"/>
                      </w:rPr>
                      <w:t>Chapitre 14</w:t>
                    </w:r>
                  </w:hyperlink>
                  <w:r>
                    <w:rPr>
                      <w:rFonts w:cs="Arial"/>
                    </w:rPr>
                    <w:t xml:space="preserve">) </w:t>
                  </w:r>
                </w:p>
                <w:p>
                  <w:pPr>
                    <w:numPr>
                      <w:ilvl w:val="1"/>
                      <w:numId w:val="189"/>
                    </w:numPr>
                    <w:jc w:val="both"/>
                  </w:pPr>
                  <w:r>
                    <w:t>Dossiers d’absences de longue durée (</w:t>
                  </w:r>
                  <w:hyperlink w:anchor="_Chapitre_16_:" w:history="1">
                    <w:r>
                      <w:rPr>
                        <w:rStyle w:val="Lienhypertexte"/>
                      </w:rPr>
                      <w:t>chapitre 16</w:t>
                    </w:r>
                  </w:hyperlink>
                  <w:r>
                    <w:t>)</w:t>
                  </w:r>
                </w:p>
                <w:p>
                  <w:pPr>
                    <w:numPr>
                      <w:ilvl w:val="1"/>
                      <w:numId w:val="189"/>
                    </w:numPr>
                    <w:jc w:val="both"/>
                  </w:pPr>
                  <w:r>
                    <w:t>Dénonciations d’absences d’élèves en âge d’obligation scolaire : convocation des parents, signalements au SCOS,… (</w:t>
                  </w:r>
                  <w:hyperlink w:anchor="_Chapitre_1_:" w:history="1">
                    <w:r>
                      <w:rPr>
                        <w:rStyle w:val="Lienhypertexte"/>
                        <w:rFonts w:cstheme="minorBidi"/>
                      </w:rPr>
                      <w:t>chapitre 1</w:t>
                    </w:r>
                  </w:hyperlink>
                  <w:r>
                    <w:t>)</w:t>
                  </w:r>
                </w:p>
                <w:p>
                  <w:pPr>
                    <w:pStyle w:val="TM3"/>
                    <w:numPr>
                      <w:ilvl w:val="1"/>
                      <w:numId w:val="189"/>
                    </w:numPr>
                    <w:jc w:val="both"/>
                    <w:rPr>
                      <w:szCs w:val="22"/>
                    </w:rPr>
                  </w:pPr>
                  <w:r>
                    <w:rPr>
                      <w:szCs w:val="22"/>
                    </w:rPr>
                    <w:t>Registre matricule des élèves (</w:t>
                  </w:r>
                  <w:hyperlink w:anchor="_Chapitre_16_:" w:history="1">
                    <w:r>
                      <w:rPr>
                        <w:rStyle w:val="Lienhypertexte"/>
                        <w:szCs w:val="22"/>
                      </w:rPr>
                      <w:t>chapitre 16</w:t>
                    </w:r>
                  </w:hyperlink>
                  <w:r>
                    <w:rPr>
                      <w:rFonts w:cs="Times New Roman"/>
                      <w:szCs w:val="22"/>
                    </w:rPr>
                    <w:t>)</w:t>
                  </w:r>
                </w:p>
                <w:p>
                  <w:pPr>
                    <w:pStyle w:val="TM3"/>
                    <w:numPr>
                      <w:ilvl w:val="1"/>
                      <w:numId w:val="189"/>
                    </w:numPr>
                    <w:jc w:val="both"/>
                    <w:rPr>
                      <w:szCs w:val="22"/>
                    </w:rPr>
                  </w:pPr>
                  <w:r>
                    <w:rPr>
                      <w:szCs w:val="22"/>
                    </w:rPr>
                    <w:t>Registre des procès-verbaux des conseils de classe (</w:t>
                  </w:r>
                  <w:hyperlink w:anchor="_Chapitre_16_:" w:history="1">
                    <w:r>
                      <w:rPr>
                        <w:rStyle w:val="Lienhypertexte"/>
                        <w:szCs w:val="22"/>
                      </w:rPr>
                      <w:t>chapitre 16</w:t>
                    </w:r>
                  </w:hyperlink>
                  <w:r>
                    <w:rPr>
                      <w:rFonts w:cs="Times New Roman"/>
                      <w:szCs w:val="22"/>
                    </w:rPr>
                    <w:t>)</w:t>
                  </w:r>
                </w:p>
                <w:p>
                  <w:pPr>
                    <w:pStyle w:val="TM3"/>
                    <w:numPr>
                      <w:ilvl w:val="1"/>
                      <w:numId w:val="189"/>
                    </w:numPr>
                    <w:rPr>
                      <w:szCs w:val="22"/>
                    </w:rPr>
                  </w:pPr>
                  <w:r>
                    <w:rPr>
                      <w:szCs w:val="22"/>
                    </w:rPr>
                    <w:t>Dérogations d’âge (</w:t>
                  </w:r>
                  <w:hyperlink w:anchor="_Chapitre_18_:" w:history="1">
                    <w:r>
                      <w:rPr>
                        <w:rStyle w:val="Lienhypertexte"/>
                        <w:szCs w:val="22"/>
                      </w:rPr>
                      <w:t>chapitre 18</w:t>
                    </w:r>
                  </w:hyperlink>
                  <w:r>
                    <w:rPr>
                      <w:szCs w:val="22"/>
                    </w:rPr>
                    <w:t>)</w:t>
                  </w:r>
                </w:p>
                <w:p>
                  <w:pPr>
                    <w:pStyle w:val="TM3"/>
                    <w:numPr>
                      <w:ilvl w:val="1"/>
                      <w:numId w:val="189"/>
                    </w:numPr>
                    <w:jc w:val="both"/>
                    <w:rPr>
                      <w:szCs w:val="22"/>
                    </w:rPr>
                  </w:pPr>
                  <w:r>
                    <w:rPr>
                      <w:szCs w:val="22"/>
                    </w:rPr>
                    <w:t>Dossier d’intégration de l’élève (copie des protocoles, des bilans, …) (</w:t>
                  </w:r>
                  <w:hyperlink w:anchor="_Chapitre_13_:" w:history="1">
                    <w:r>
                      <w:rPr>
                        <w:rStyle w:val="Lienhypertexte"/>
                        <w:rFonts w:cs="Arial"/>
                        <w:szCs w:val="22"/>
                      </w:rPr>
                      <w:t>chapitre 13</w:t>
                    </w:r>
                  </w:hyperlink>
                  <w:r>
                    <w:rPr>
                      <w:szCs w:val="22"/>
                    </w:rPr>
                    <w:t>)</w:t>
                  </w:r>
                </w:p>
                <w:p>
                  <w:pPr>
                    <w:pStyle w:val="TM3"/>
                    <w:numPr>
                      <w:ilvl w:val="1"/>
                      <w:numId w:val="189"/>
                    </w:numPr>
                    <w:jc w:val="both"/>
                    <w:rPr>
                      <w:szCs w:val="22"/>
                    </w:rPr>
                  </w:pPr>
                  <w:r>
                    <w:rPr>
                      <w:szCs w:val="22"/>
                    </w:rPr>
                    <w:t>Attestations de placement (</w:t>
                  </w:r>
                  <w:hyperlink w:anchor="_Chapitre_1_:" w:history="1">
                    <w:r>
                      <w:rPr>
                        <w:rStyle w:val="Lienhypertexte"/>
                        <w:rFonts w:cstheme="minorBidi"/>
                        <w:szCs w:val="22"/>
                      </w:rPr>
                      <w:t>chapitre 1</w:t>
                    </w:r>
                  </w:hyperlink>
                  <w:r>
                    <w:rPr>
                      <w:szCs w:val="22"/>
                    </w:rPr>
                    <w:t>)</w:t>
                  </w:r>
                </w:p>
                <w:p>
                  <w:pPr>
                    <w:pStyle w:val="TM3"/>
                    <w:numPr>
                      <w:ilvl w:val="1"/>
                      <w:numId w:val="189"/>
                    </w:numPr>
                    <w:jc w:val="both"/>
                    <w:rPr>
                      <w:szCs w:val="22"/>
                    </w:rPr>
                  </w:pPr>
                  <w:r>
                    <w:rPr>
                      <w:szCs w:val="22"/>
                    </w:rPr>
                    <w:t xml:space="preserve">Attestations délivrées par le conseiller ou le directeur de l’Aide à la Jeunesse </w:t>
                  </w:r>
                  <w:r>
                    <w:rPr>
                      <w:szCs w:val="22"/>
                    </w:rPr>
                    <w:br w:type="textWrapping" w:clear="all"/>
                    <w:t>(</w:t>
                  </w:r>
                  <w:hyperlink w:anchor="_Chapitre_1_:" w:history="1">
                    <w:r>
                      <w:rPr>
                        <w:rStyle w:val="Lienhypertexte"/>
                        <w:rFonts w:cstheme="minorBidi"/>
                        <w:szCs w:val="22"/>
                      </w:rPr>
                      <w:t>chapitre 1</w:t>
                    </w:r>
                  </w:hyperlink>
                  <w:r>
                    <w:rPr>
                      <w:szCs w:val="22"/>
                    </w:rPr>
                    <w:t>)</w:t>
                  </w:r>
                </w:p>
                <w:p>
                  <w:pPr>
                    <w:pStyle w:val="TM3"/>
                    <w:numPr>
                      <w:ilvl w:val="1"/>
                      <w:numId w:val="189"/>
                    </w:numPr>
                    <w:jc w:val="both"/>
                    <w:rPr>
                      <w:szCs w:val="22"/>
                    </w:rPr>
                  </w:pPr>
                  <w:r>
                    <w:rPr>
                      <w:szCs w:val="22"/>
                    </w:rPr>
                    <w:t xml:space="preserve">Refus d’inscription ou de réinscription : attestation de demande d’inscription </w:t>
                  </w:r>
                  <w:r>
                    <w:rPr>
                      <w:szCs w:val="22"/>
                    </w:rPr>
                    <w:br w:type="textWrapping" w:clear="all"/>
                    <w:t>(</w:t>
                  </w:r>
                  <w:hyperlink w:anchor="_Chapitre_1_:" w:history="1">
                    <w:r>
                      <w:rPr>
                        <w:rStyle w:val="Lienhypertexte"/>
                        <w:rFonts w:cstheme="minorBidi"/>
                        <w:szCs w:val="22"/>
                      </w:rPr>
                      <w:t>chapitre 1</w:t>
                    </w:r>
                  </w:hyperlink>
                  <w:r>
                    <w:rPr>
                      <w:szCs w:val="22"/>
                    </w:rPr>
                    <w:t>)</w:t>
                  </w:r>
                </w:p>
                <w:p>
                  <w:pPr>
                    <w:pStyle w:val="TM3"/>
                    <w:numPr>
                      <w:ilvl w:val="1"/>
                      <w:numId w:val="189"/>
                    </w:numPr>
                    <w:jc w:val="both"/>
                    <w:rPr>
                      <w:szCs w:val="22"/>
                    </w:rPr>
                  </w:pPr>
                  <w:r>
                    <w:rPr>
                      <w:szCs w:val="22"/>
                    </w:rPr>
                    <w:t>Exclusions : dossiers disciplinaires et signalement des exclusions (</w:t>
                  </w:r>
                  <w:hyperlink w:anchor="_Chapitre_1_:" w:history="1">
                    <w:r>
                      <w:rPr>
                        <w:rStyle w:val="Lienhypertexte"/>
                        <w:rFonts w:cstheme="minorBidi"/>
                        <w:szCs w:val="22"/>
                      </w:rPr>
                      <w:t>chapitre 1</w:t>
                    </w:r>
                  </w:hyperlink>
                  <w:r>
                    <w:rPr>
                      <w:szCs w:val="22"/>
                    </w:rPr>
                    <w:t>)</w:t>
                  </w:r>
                </w:p>
                <w:p>
                  <w:pPr>
                    <w:pStyle w:val="Paragraphedeliste"/>
                    <w:numPr>
                      <w:ilvl w:val="1"/>
                      <w:numId w:val="189"/>
                    </w:numPr>
                    <w:pBdr>
                      <w:right w:val="single" w:sz="4" w:space="4" w:color="auto"/>
                    </w:pBdr>
                    <w:rPr>
                      <w:rFonts w:asciiTheme="majorHAnsi" w:hAnsiTheme="majorHAnsi"/>
                      <w:sz w:val="22"/>
                      <w:szCs w:val="22"/>
                    </w:rPr>
                  </w:pPr>
                  <w:r>
                    <w:rPr>
                      <w:rFonts w:asciiTheme="majorHAnsi" w:hAnsiTheme="majorHAnsi"/>
                      <w:sz w:val="22"/>
                      <w:szCs w:val="22"/>
                    </w:rPr>
                    <w:t>Formulaire de changement d’école (</w:t>
                  </w:r>
                  <w:hyperlink w:anchor="_Chapitre_1_:" w:history="1">
                    <w:r>
                      <w:rPr>
                        <w:rStyle w:val="Lienhypertexte"/>
                        <w:rFonts w:asciiTheme="majorHAnsi" w:hAnsiTheme="majorHAnsi" w:cs="Arial"/>
                        <w:sz w:val="22"/>
                        <w:szCs w:val="22"/>
                      </w:rPr>
                      <w:t>Chapitre 1</w:t>
                    </w:r>
                  </w:hyperlink>
                  <w:r>
                    <w:rPr>
                      <w:rFonts w:asciiTheme="majorHAnsi" w:hAnsiTheme="majorHAnsi"/>
                      <w:sz w:val="22"/>
                      <w:szCs w:val="22"/>
                    </w:rPr>
                    <w:t xml:space="preserve">) </w:t>
                  </w:r>
                </w:p>
                <w:p>
                  <w:pPr>
                    <w:pStyle w:val="TM3"/>
                    <w:numPr>
                      <w:ilvl w:val="0"/>
                      <w:numId w:val="189"/>
                    </w:numPr>
                    <w:jc w:val="both"/>
                    <w:rPr>
                      <w:szCs w:val="22"/>
                    </w:rPr>
                  </w:pPr>
                  <w:r>
                    <w:rPr>
                      <w:szCs w:val="22"/>
                    </w:rPr>
                    <w:t>Pour les internats, homes d'accueil et homes d’accueil permanent (</w:t>
                  </w:r>
                  <w:hyperlink w:anchor="_Chapitre_16_:" w:history="1">
                    <w:r>
                      <w:rPr>
                        <w:rStyle w:val="Lienhypertexte"/>
                        <w:szCs w:val="22"/>
                      </w:rPr>
                      <w:t>chapitre 16</w:t>
                    </w:r>
                  </w:hyperlink>
                  <w:r>
                    <w:rPr>
                      <w:szCs w:val="22"/>
                    </w:rPr>
                    <w:t>):</w:t>
                  </w:r>
                </w:p>
                <w:p>
                  <w:pPr>
                    <w:pStyle w:val="TM3"/>
                    <w:numPr>
                      <w:ilvl w:val="1"/>
                      <w:numId w:val="189"/>
                    </w:numPr>
                    <w:jc w:val="both"/>
                    <w:rPr>
                      <w:szCs w:val="22"/>
                    </w:rPr>
                  </w:pPr>
                  <w:r>
                    <w:rPr>
                      <w:szCs w:val="22"/>
                    </w:rPr>
                    <w:t>Le dossier administratif individuel comprenant la fiche d’inscription, une copie de l’attestation CPMS, une attestation de fréquentation de l’année scolaire en cours de l’établissement d’enseignement.</w:t>
                  </w:r>
                </w:p>
                <w:p>
                  <w:pPr>
                    <w:pStyle w:val="TM3"/>
                    <w:numPr>
                      <w:ilvl w:val="1"/>
                      <w:numId w:val="189"/>
                    </w:numPr>
                    <w:jc w:val="both"/>
                    <w:rPr>
                      <w:szCs w:val="22"/>
                    </w:rPr>
                  </w:pPr>
                  <w:r>
                    <w:rPr>
                      <w:szCs w:val="22"/>
                    </w:rPr>
                    <w:t>Le registre de présences</w:t>
                  </w:r>
                </w:p>
                <w:p>
                  <w:pPr>
                    <w:numPr>
                      <w:ilvl w:val="0"/>
                      <w:numId w:val="189"/>
                    </w:numPr>
                    <w:jc w:val="both"/>
                  </w:pPr>
                  <w:r>
                    <w:t>Dossier de l’élève en enseignement de type 5 (</w:t>
                  </w:r>
                  <w:hyperlink w:anchor="_chapitre_12_:" w:history="1">
                    <w:r>
                      <w:rPr>
                        <w:rStyle w:val="Lienhypertexte"/>
                        <w:rFonts w:cs="Arial"/>
                      </w:rPr>
                      <w:t>chapitre 12</w:t>
                    </w:r>
                  </w:hyperlink>
                  <w:r>
                    <w:t>)</w:t>
                  </w:r>
                </w:p>
                <w:p>
                  <w:pPr>
                    <w:numPr>
                      <w:ilvl w:val="0"/>
                      <w:numId w:val="189"/>
                    </w:numPr>
                    <w:jc w:val="both"/>
                    <w:rPr>
                      <w:color w:val="7030A0"/>
                    </w:rPr>
                  </w:pPr>
                  <w:r>
                    <w:t>L’annexe à l’attestation d’admission (pédagogies adaptées) (</w:t>
                  </w:r>
                  <w:hyperlink w:anchor="_Chapitre_14_:" w:history="1">
                    <w:r>
                      <w:rPr>
                        <w:rStyle w:val="Lienhypertexte"/>
                        <w:rFonts w:cstheme="minorBidi"/>
                      </w:rPr>
                      <w:t>Chapitre 14</w:t>
                    </w:r>
                  </w:hyperlink>
                  <w:r>
                    <w:t xml:space="preserve">) </w:t>
                  </w:r>
                </w:p>
                <w:p>
                  <w:pPr>
                    <w:ind w:left="720"/>
                    <w:jc w:val="both"/>
                    <w:rPr>
                      <w:color w:val="7030A0"/>
                    </w:rPr>
                  </w:pPr>
                </w:p>
                <w:p>
                  <w:pPr>
                    <w:pStyle w:val="Titre3"/>
                  </w:pPr>
                  <w:bookmarkStart w:id="3320" w:name="_2._Le_service"/>
                  <w:bookmarkStart w:id="3321" w:name="_Toc453314489"/>
                  <w:bookmarkStart w:id="3322" w:name="_Toc454980524"/>
                  <w:bookmarkStart w:id="3323" w:name="_Toc478740714"/>
                  <w:bookmarkStart w:id="3324" w:name="_Toc18914505"/>
                  <w:bookmarkEnd w:id="3320"/>
                  <w:r>
                    <w:t>2. Le service de la vérification comptable</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21"/>
                  <w:bookmarkEnd w:id="3322"/>
                  <w:bookmarkEnd w:id="3323"/>
                  <w:bookmarkEnd w:id="3324"/>
                </w:p>
                <w:p>
                  <w:pPr>
                    <w:jc w:val="both"/>
                  </w:pPr>
                </w:p>
                <w:p>
                  <w:pPr>
                    <w:tabs>
                      <w:tab w:val="left" w:pos="709"/>
                      <w:tab w:val="left" w:pos="1303"/>
                      <w:tab w:val="left" w:pos="1586"/>
                      <w:tab w:val="left" w:pos="1813"/>
                      <w:tab w:val="left" w:pos="3174"/>
                      <w:tab w:val="left" w:pos="3967"/>
                      <w:tab w:val="left" w:pos="4591"/>
                      <w:tab w:val="left" w:pos="4818"/>
                    </w:tabs>
                    <w:jc w:val="both"/>
                    <w:rPr>
                      <w:bCs/>
                      <w:iCs/>
                    </w:rPr>
                  </w:pPr>
                  <w:r>
                    <w:rPr>
                      <w:bCs/>
                      <w:iCs/>
                    </w:rPr>
                    <w:t>Les compétences du service de l’inspection en matière de respect des conditions d’hygiène et de salubrité des bâtiments scolaires subventionnés ont été transférées au service de la vérification comptable en vertu du 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p>
                <w:p>
                  <w:pPr>
                    <w:tabs>
                      <w:tab w:val="left" w:pos="709"/>
                      <w:tab w:val="left" w:pos="1303"/>
                      <w:tab w:val="left" w:pos="1586"/>
                      <w:tab w:val="left" w:pos="1813"/>
                      <w:tab w:val="left" w:pos="3174"/>
                      <w:tab w:val="left" w:pos="3967"/>
                      <w:tab w:val="left" w:pos="4591"/>
                      <w:tab w:val="left" w:pos="4818"/>
                    </w:tabs>
                    <w:jc w:val="both"/>
                    <w:rPr>
                      <w:bCs/>
                      <w:iCs/>
                    </w:rPr>
                  </w:pPr>
                </w:p>
                <w:p>
                  <w:pPr>
                    <w:pStyle w:val="NormalWeb"/>
                    <w:jc w:val="both"/>
                    <w:rPr>
                      <w:rFonts w:asciiTheme="majorHAnsi" w:hAnsiTheme="majorHAnsi"/>
                      <w:color w:val="555555"/>
                      <w:szCs w:val="22"/>
                      <w:lang w:val="fr-FR" w:eastAsia="fr-FR"/>
                    </w:rPr>
                  </w:pPr>
                  <w:r>
                    <w:rPr>
                      <w:rFonts w:asciiTheme="majorHAnsi" w:hAnsiTheme="majorHAnsi"/>
                      <w:bCs/>
                      <w:iCs/>
                      <w:szCs w:val="22"/>
                    </w:rPr>
                    <w:t xml:space="preserve">Il y a lieu de se référer à la </w:t>
                  </w:r>
                  <w:hyperlink r:id="rId206" w:history="1">
                    <w:r>
                      <w:rPr>
                        <w:rStyle w:val="Lienhypertexte"/>
                        <w:rFonts w:asciiTheme="majorHAnsi" w:hAnsiTheme="majorHAnsi"/>
                        <w:bCs/>
                        <w:szCs w:val="22"/>
                        <w:lang w:val="fr-FR" w:eastAsia="fr-FR"/>
                      </w:rPr>
                      <w:t>Circulaire 4375 du 4 avril 2013 relative à l’adresse électronique mise à disposition des établissements pour contacter le Service de la vérification comptable</w:t>
                    </w:r>
                  </w:hyperlink>
                  <w:r>
                    <w:rPr>
                      <w:rFonts w:asciiTheme="majorHAnsi" w:hAnsiTheme="majorHAnsi"/>
                      <w:color w:val="555555"/>
                      <w:szCs w:val="22"/>
                      <w:lang w:val="fr-FR" w:eastAsia="fr-FR"/>
                    </w:rPr>
                    <w:t xml:space="preserve"> </w:t>
                  </w:r>
                </w:p>
                <w:p>
                  <w:pPr>
                    <w:tabs>
                      <w:tab w:val="left" w:pos="709"/>
                      <w:tab w:val="left" w:pos="1303"/>
                      <w:tab w:val="left" w:pos="1586"/>
                      <w:tab w:val="left" w:pos="1813"/>
                      <w:tab w:val="left" w:pos="3174"/>
                      <w:tab w:val="left" w:pos="3967"/>
                      <w:tab w:val="left" w:pos="4591"/>
                      <w:tab w:val="left" w:pos="4818"/>
                    </w:tabs>
                    <w:jc w:val="both"/>
                    <w:rPr>
                      <w:bCs/>
                      <w:iCs/>
                      <w:lang w:val="fr-FR"/>
                    </w:rPr>
                  </w:pPr>
                </w:p>
                <w:p>
                  <w:pPr>
                    <w:pStyle w:val="Titre3"/>
                    <w:rPr>
                      <w:lang w:val="fr-FR"/>
                    </w:rPr>
                  </w:pPr>
                  <w:bookmarkStart w:id="3325" w:name="_3._Liste_des"/>
                  <w:bookmarkStart w:id="3326" w:name="_Toc478740715"/>
                  <w:bookmarkStart w:id="3327" w:name="_Toc18914506"/>
                  <w:bookmarkEnd w:id="3325"/>
                  <w:r>
                    <w:rPr>
                      <w:lang w:val="fr-FR"/>
                    </w:rPr>
                    <w:t>3. Liste des zones géographique par vérificateur</w:t>
                  </w:r>
                  <w:bookmarkEnd w:id="3326"/>
                  <w:bookmarkEnd w:id="3327"/>
                </w:p>
                <w:p>
                  <w:pPr>
                    <w:rPr>
                      <w:lang w:val="fr-FR"/>
                    </w:rPr>
                  </w:pPr>
                </w:p>
                <w:tbl>
                  <w:tblPr>
                    <w:tblW w:w="10168" w:type="dxa"/>
                    <w:tblCellMar>
                      <w:left w:w="70" w:type="dxa"/>
                      <w:right w:w="70" w:type="dxa"/>
                    </w:tblCellMar>
                    <w:tblLook w:val="04A0" w:firstRow="1" w:lastRow="0" w:firstColumn="1" w:lastColumn="0" w:noHBand="0" w:noVBand="1"/>
                  </w:tblPr>
                  <w:tblGrid>
                    <w:gridCol w:w="1120"/>
                    <w:gridCol w:w="2561"/>
                    <w:gridCol w:w="2977"/>
                    <w:gridCol w:w="628"/>
                    <w:gridCol w:w="2882"/>
                  </w:tblGrid>
                  <w:tr>
                    <w:trPr>
                      <w:cantSplit/>
                      <w:trHeight w:val="288"/>
                      <w:tblHeader/>
                    </w:trPr>
                    <w:tc>
                      <w:tcPr>
                        <w:tcW w:w="10168"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pPr>
                          <w:jc w:val="center"/>
                          <w:rPr>
                            <w:b/>
                            <w:lang w:val="fr-FR"/>
                          </w:rPr>
                        </w:pPr>
                        <w:r>
                          <w:rPr>
                            <w:b/>
                            <w:lang w:val="fr-FR"/>
                          </w:rPr>
                          <w:t>Benoît DENEIRE</w:t>
                        </w:r>
                      </w:p>
                      <w:p>
                        <w:pPr>
                          <w:jc w:val="center"/>
                          <w:rPr>
                            <w:rFonts w:eastAsia="Times New Roman" w:cs="Calibri"/>
                            <w:b/>
                            <w:bCs/>
                            <w:color w:val="000000"/>
                            <w:lang w:eastAsia="fr-BE"/>
                          </w:rPr>
                        </w:pPr>
                      </w:p>
                    </w:tc>
                  </w:tr>
                  <w:tr>
                    <w:trPr>
                      <w:cantSplit/>
                      <w:trHeight w:val="288"/>
                      <w:tblHeader/>
                    </w:trPr>
                    <w:tc>
                      <w:tcPr>
                        <w:tcW w:w="112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Fase</w:t>
                        </w:r>
                      </w:p>
                    </w:tc>
                    <w:tc>
                      <w:tcPr>
                        <w:tcW w:w="2561"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Nom abrégé</w:t>
                        </w:r>
                      </w:p>
                    </w:tc>
                    <w:tc>
                      <w:tcPr>
                        <w:tcW w:w="2977"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Adresse</w:t>
                        </w:r>
                      </w:p>
                    </w:tc>
                    <w:tc>
                      <w:tcPr>
                        <w:tcW w:w="628"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CP</w:t>
                        </w:r>
                      </w:p>
                    </w:tc>
                    <w:tc>
                      <w:tcPr>
                        <w:tcW w:w="2882"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Localité</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ALEXANDRE HERLIN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Dilbeek, 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1082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BERCHEM-SAINTE-AGATHE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MARRONNIERS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Zaman, 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FOREST</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TREMPLIN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Lusambo, 35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FOREST</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264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JOIE DE VIVRE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Jean-Joseph Crocq,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1090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JETTE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265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DECOUVERTE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Louis de Brouckère, 29</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1083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GANSHOREN</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266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BOURGEONS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Van Overbeke,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1083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GANSHOREN</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300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CIME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Merode, 398-400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FOREST</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321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CHAMP TOURNESOLS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Henri Van Bortonne, 12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1090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JETTE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354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NICOLAS SMELTEN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Cité joyeuse,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1080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MOLENBEEK-SAINT-JEAN</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376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CORDEE (fondamental)</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Dries, 27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FOREST</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377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DU PARVIS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Louis Coenen 12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1060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SAINT-GILLES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391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 GABRIEL</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Secours, 39</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1210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SAINT-JOSSE-TEN-NOODE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434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STS JEAN &amp; NICOLAS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d'Anethan, 33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1030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SCHAERBEEK</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795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Viviers au Bois, 50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7970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BELOEIL</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938</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CENTRE JEAN HERBET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Faubourg de Charleroi, 3B</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6041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GOSSELIES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Beaumont, 266</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6030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MARCHIENNE-AU-PONT</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Débarcadère, 100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MARCINELLE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960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CERISIERS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Tombe, 307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MARCINELLE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961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BOIS MARCELLE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Nalinnes, 630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MARCINELLE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971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CLINIQUE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Lodelinsart, 157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MONTIGNIES-SUR-SAMBRE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972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SOLEIL LEVANT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Grimard, 175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MONTIGNIES-SUR-SAMBRE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973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CLINIQUE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Lodelinsart, 157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MONTIGNIES-SUR-SAMBRE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1022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MURETS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Hubert Bayet,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6180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COURCELLES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1024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Place Larsimont, 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TRAZEGNIES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1062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EXUPERY FOND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l'Abbaye d'Aulne,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6142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LEERNES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1063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EXUPERY</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l'Abbaye d'Aulne,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6142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LEERNES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1065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CORDEE (primaire)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Culots, 28</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6140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FONTAINE-L'EVEQUE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1086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ARTISANALE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Wilmet, 42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MONTIGNY-LE-TILLEUL</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1421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AMI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Gustave Boel, 25A</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LOUVIERE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1423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EPSIS Roger Roch</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Auguste Brichant 60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LOUVIERE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1424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 L’Envolée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Pensionnat, 20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7110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HOUDENG-AIMERIES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1425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Temple, 3-5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LOUVIERE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1426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CLAIR LOGIS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Baume, 114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LOUVIERE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1427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PIOLET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Franco-Belge, 55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LOUVIERE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1486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Auguste Guerlement, 34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6150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ANDERLUES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1487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ESESCF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Auguste Guerlement, 36</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6150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ANDERLUES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1511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REGIONALE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Clerfayt, 104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7131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WAUDREZ</w:t>
                        </w:r>
                      </w:p>
                    </w:tc>
                  </w:tr>
                  <w:tr>
                    <w:trPr>
                      <w:trHeight w:val="600"/>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1531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STE CHRETIENNE (secondaire)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Boulevard Louise, 23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6460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CHIMAY</w:t>
                        </w:r>
                      </w:p>
                    </w:tc>
                  </w:tr>
                  <w:tr>
                    <w:trPr>
                      <w:trHeight w:val="600"/>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1532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STE CHRETIENNE (primaire)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Boulevard Louise, 23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6460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CHIMAY</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1552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ARTHUR REGNIERS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lang w:val="nl-BE"/>
                          </w:rPr>
                        </w:pPr>
                        <w:r>
                          <w:rPr>
                            <w:rFonts w:ascii="Calibri" w:hAnsi="Calibri" w:cs="Calibri"/>
                            <w:color w:val="000000"/>
                            <w:lang w:val="nl-BE"/>
                          </w:rPr>
                          <w:t>Rue E. Drory Van Den Eynde,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6543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BIENNE-LEZ-HAPPART</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1563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L'HEUREUX ABRI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Beauwelz, 13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6590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MOMIGNIES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1564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L'HEUREUX ABRI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Beauwelz, 13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6590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MOMIGNIES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1573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PIERRE DANAUX</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Crombouly, 74B</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6530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THUIN</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1585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BRUYERES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Sanatorium, 74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6120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JAMIOULX</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1638</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FOYER (sec.)</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Place de Roucourt, 11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7601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ROUCOURT</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1739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PORTE OUVERTE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Couvent, 42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7903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BLICQUY</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1740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FRANCOIS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Saint Martin, 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7900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LEUZE</w:t>
                        </w:r>
                      </w:p>
                    </w:tc>
                  </w:tr>
                </w:tbl>
                <w:p>
                  <w:pPr>
                    <w:rPr>
                      <w:lang w:val="fr-FR"/>
                    </w:rPr>
                  </w:pPr>
                </w:p>
                <w:p>
                  <w:pPr>
                    <w:rPr>
                      <w:lang w:val="fr-FR"/>
                    </w:rPr>
                  </w:pPr>
                </w:p>
                <w:p>
                  <w:pPr>
                    <w:rPr>
                      <w:lang w:val="fr-FR"/>
                    </w:rPr>
                  </w:pPr>
                  <w:r>
                    <w:rPr>
                      <w:lang w:val="fr-FR"/>
                    </w:rPr>
                    <w:br w:type="page"/>
                  </w:r>
                </w:p>
                <w:p>
                  <w:pPr>
                    <w:rPr>
                      <w:lang w:val="fr-FR"/>
                    </w:rPr>
                  </w:pPr>
                </w:p>
                <w:tbl>
                  <w:tblPr>
                    <w:tblW w:w="9835" w:type="dxa"/>
                    <w:tblCellMar>
                      <w:left w:w="70" w:type="dxa"/>
                      <w:right w:w="70" w:type="dxa"/>
                    </w:tblCellMar>
                    <w:tblLook w:val="04A0" w:firstRow="1" w:lastRow="0" w:firstColumn="1" w:lastColumn="0" w:noHBand="0" w:noVBand="1"/>
                  </w:tblPr>
                  <w:tblGrid>
                    <w:gridCol w:w="846"/>
                    <w:gridCol w:w="2693"/>
                    <w:gridCol w:w="3119"/>
                    <w:gridCol w:w="850"/>
                    <w:gridCol w:w="2327"/>
                  </w:tblGrid>
                  <w:tr>
                    <w:trPr>
                      <w:cantSplit/>
                      <w:trHeight w:val="288"/>
                      <w:tblHeader/>
                    </w:trPr>
                    <w:tc>
                      <w:tcPr>
                        <w:tcW w:w="9835"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pPr>
                          <w:jc w:val="center"/>
                          <w:rPr>
                            <w:b/>
                            <w:lang w:val="fr-FR"/>
                          </w:rPr>
                        </w:pPr>
                        <w:r>
                          <w:rPr>
                            <w:b/>
                            <w:lang w:val="fr-FR"/>
                          </w:rPr>
                          <w:t>Carine COSARO</w:t>
                        </w:r>
                      </w:p>
                      <w:p>
                        <w:pPr>
                          <w:jc w:val="center"/>
                          <w:rPr>
                            <w:rFonts w:eastAsia="Times New Roman" w:cs="Calibri"/>
                            <w:b/>
                            <w:bCs/>
                            <w:color w:val="000000"/>
                            <w:lang w:eastAsia="fr-BE"/>
                          </w:rPr>
                        </w:pPr>
                      </w:p>
                    </w:tc>
                  </w:tr>
                  <w:tr>
                    <w:trPr>
                      <w:cantSplit/>
                      <w:trHeight w:val="288"/>
                      <w:tblHeader/>
                    </w:trPr>
                    <w:tc>
                      <w:tcPr>
                        <w:tcW w:w="846"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Fase</w:t>
                        </w:r>
                      </w:p>
                    </w:tc>
                    <w:tc>
                      <w:tcPr>
                        <w:tcW w:w="2693"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Nom abrégé</w:t>
                        </w:r>
                      </w:p>
                    </w:tc>
                    <w:tc>
                      <w:tcPr>
                        <w:tcW w:w="3119"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Adresse</w:t>
                        </w:r>
                      </w:p>
                    </w:tc>
                    <w:tc>
                      <w:tcPr>
                        <w:tcW w:w="85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CP</w:t>
                        </w:r>
                      </w:p>
                    </w:tc>
                    <w:tc>
                      <w:tcPr>
                        <w:tcW w:w="2327"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Localité</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SUREAUX</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Boulevard Sylvain Dupuis, 112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ANDERLECHT</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ACACIAS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Place Séverine,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ANDERLECHT</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L'ETINCELLE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Vétérinaires, 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ANDERLECHT</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CHANTERELLE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Blaes, 120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BRUXELLES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CHARLES GHEUDE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Tanneurs, 41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BRUXELLES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NOTRE DAME DE JOIE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Ernest Allard, 28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BRUXELLES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VLAESENDAEL</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François Vekemans, 73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NEDER-OVER-HEEMBEEK</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PARC ASTRID</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 Madrid, 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BRUXELLES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JULES ANSPACH</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Vautour, 68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BRUXELLES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PAGODES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 Versailles, 87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LAEKEN</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195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ROBERT DUBOIS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Jean-Joseph Crocq, 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LAEKEN</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330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FAMILLE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Jean Jacquet, 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1081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KOEKELBERG</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545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MANOIR D'ANJOU</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Drève d'Argenteuil, 10C</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WATERLOO</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MAISON FAMILIALE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Soleil levant, 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BRAINE-L'ALLEUD</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Guéménée, 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BRAINE-L'ALLEUD</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650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METIERS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du Malgras,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NIVELLES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670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SOURCE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 La Rochefoucault, 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1330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RIXENSART</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717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GRAND TOUR</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Venelle de Terlongval, 55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WAVRE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718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MOINEAUX</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Venelle de Terlongval, 57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WAVRE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726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CHARDONS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Acacias,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1450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CHASTRE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734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DESIRE DENUIT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du Catty,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LASNE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751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CLAIRS VALLONS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Mont Saint-Guibert, 24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OTTIGNIES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754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L'ESCALE FONDAM.</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Allée de Clerlande,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OTTIGNIES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768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JEAN BOSCO</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Venelle des Sorbiers,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1450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CHASTRE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1197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L'EAU VIVE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Mine,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7012</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FLENU</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1198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L’OREE DU BOIS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Impasse de la Chapelle, 40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7021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HAVRE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1222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SAINT-VINCENT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France, 39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7034</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OBOURG</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1223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L'ESPERANCE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Joncquois, 120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MONS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1224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L'ARBRE VERT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du Roeulx, 122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MONS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1225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IPES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Temple,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7011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GHLIN</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1246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EPSESCF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Plat Rie, 345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7390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QUAREGNON</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1288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CORDEE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Berchon, 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WASMES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1290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CLAIRIERE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Berchon, 161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WASMES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1291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PLEIN AIR</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Berchon, 163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WASMES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1365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ROSERAIE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 la Houssière, 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BRAINE-LE-COMTE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1407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SNARK</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Vivier, 43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7110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HOUDENG-AIMERIES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1409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ROCAILLES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Salvotte</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7110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HOUDENG-AIMERIES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EPSIS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à Rocs,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SOIGNIES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1473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SOURCE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du Roeulx,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SOIGNIES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1541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IMCE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Maubeuge, 170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6560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ERQUELINNES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3108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Roly, 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5660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MARIEMBOURG</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3122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DOMINIQUE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Place de l'Hôtel de Ville,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5620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FLORENNES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3135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JEAN-BAPT. HERMAN</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d'Omezée,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5600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OMEZEE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4804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IRSA T6 et 8</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Waterloo, 1508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5697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L'ESCALPADE (fondamental)</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Ferme des Bruyères, 26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1348</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LOUVAIN-LA-NEUVE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5982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NOS PILIFS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des Pagodes, 212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LAEKEN</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9999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CASCADES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Rieu du Cœur, 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7390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QUAREGNON</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HACF Mariembourg</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Roly, 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5660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MARIEMBOURG</w:t>
                        </w:r>
                      </w:p>
                    </w:tc>
                  </w:tr>
                  <w:tr>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95077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ESCALE SECONDAIRE N°1</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Allée de Clerlande,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OTTIGNIES</w:t>
                        </w:r>
                      </w:p>
                    </w:tc>
                  </w:tr>
                  <w:tr>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95259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Ados Pilifs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Heembeek, 127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BRUXELLES</w:t>
                        </w:r>
                      </w:p>
                    </w:tc>
                  </w:tr>
                  <w:tr>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95381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ESCALE SECONDAIRE N°2</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 J. Pastur, 49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95382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ESCALPADE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Place Albert 1er,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LIMAL</w:t>
                        </w:r>
                      </w:p>
                    </w:tc>
                  </w:tr>
                </w:tbl>
                <w:p>
                  <w:pPr>
                    <w:rPr>
                      <w:lang w:val="fr-FR"/>
                    </w:rPr>
                  </w:pPr>
                </w:p>
                <w:p>
                  <w:pPr>
                    <w:rPr>
                      <w:lang w:val="fr-FR"/>
                    </w:rPr>
                  </w:pPr>
                </w:p>
                <w:p>
                  <w:pPr>
                    <w:rPr>
                      <w:lang w:val="fr-FR"/>
                    </w:rPr>
                  </w:pPr>
                </w:p>
                <w:tbl>
                  <w:tblPr>
                    <w:tblW w:w="9776" w:type="dxa"/>
                    <w:tblLayout w:type="fixed"/>
                    <w:tblCellMar>
                      <w:left w:w="70" w:type="dxa"/>
                      <w:right w:w="70" w:type="dxa"/>
                    </w:tblCellMar>
                    <w:tblLook w:val="04A0" w:firstRow="1" w:lastRow="0" w:firstColumn="1" w:lastColumn="0" w:noHBand="0" w:noVBand="1"/>
                  </w:tblPr>
                  <w:tblGrid>
                    <w:gridCol w:w="987"/>
                    <w:gridCol w:w="2552"/>
                    <w:gridCol w:w="3117"/>
                    <w:gridCol w:w="710"/>
                    <w:gridCol w:w="2410"/>
                  </w:tblGrid>
                  <w:tr>
                    <w:trPr>
                      <w:cantSplit/>
                      <w:trHeight w:val="288"/>
                      <w:tblHeader/>
                    </w:trPr>
                    <w:tc>
                      <w:tcPr>
                        <w:tcW w:w="9776"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pPr>
                          <w:jc w:val="center"/>
                          <w:rPr>
                            <w:b/>
                            <w:lang w:val="fr-FR"/>
                          </w:rPr>
                        </w:pPr>
                        <w:r>
                          <w:rPr>
                            <w:b/>
                            <w:lang w:val="fr-FR"/>
                          </w:rPr>
                          <w:t>Vu le départ de Madame Céline PETERS, une nouvelle répartition des écoles vous sera communiquée dans le courant du mois de septembre 2019.</w:t>
                        </w:r>
                      </w:p>
                      <w:p>
                        <w:pPr>
                          <w:jc w:val="center"/>
                          <w:rPr>
                            <w:rFonts w:eastAsia="Times New Roman" w:cs="Calibri"/>
                            <w:b/>
                            <w:bCs/>
                            <w:color w:val="000000"/>
                            <w:lang w:eastAsia="fr-BE"/>
                          </w:rPr>
                        </w:pPr>
                      </w:p>
                    </w:tc>
                  </w:tr>
                  <w:tr>
                    <w:trPr>
                      <w:cantSplit/>
                      <w:trHeight w:val="288"/>
                      <w:tblHeader/>
                    </w:trPr>
                    <w:tc>
                      <w:tcPr>
                        <w:tcW w:w="987"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Fase</w:t>
                        </w:r>
                      </w:p>
                    </w:tc>
                    <w:tc>
                      <w:tcPr>
                        <w:tcW w:w="2552"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Nom abrégé</w:t>
                        </w:r>
                      </w:p>
                    </w:tc>
                    <w:tc>
                      <w:tcPr>
                        <w:tcW w:w="3117"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Adresse</w:t>
                        </w:r>
                      </w:p>
                    </w:tc>
                    <w:tc>
                      <w:tcPr>
                        <w:tcW w:w="71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CP</w:t>
                        </w:r>
                      </w:p>
                    </w:tc>
                    <w:tc>
                      <w:tcPr>
                        <w:tcW w:w="241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Localité</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1829</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CASTORS ANS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Zoning, 120</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4430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ANS</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1850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JEAN XXIII (secondaire)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Cité Cowette, 18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4610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BEYNE-HEUSAY</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1859</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JEAN XXIII (Primaire)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Basse Méhagne, 4</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4053</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EMBOURG</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1865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ROCHES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Grottes, 20</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4170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COMBLAIN-AU-PONT</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1904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HENRI RIKIR</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Fexhe, 76</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4041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MILMORT</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1905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AU VERT VINAVE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Bouxthay, 181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4041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VOTTEM</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1906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CENTRE SPECIALISE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Place Jean Jaurès, 3</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4040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HERSTAL</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1989</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 Vincent Ferrer</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Boulevard de Froidmont, 10</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1990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EPSESCF E.MEYLAERS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Nicolas Spiroux, 62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4030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GRIVEGNEE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1991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ANDREA JADOULLE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Vaussale, 14</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4031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ANGLEUR</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2054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PARC ASTRID</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Quai de Wallonie, 3</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2061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IRHOV SECONDAIRE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Monulphe, 80</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2063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CASTORS A</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Sainte-Marguerite, 318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2109</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PETITE ECOLE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Churchill, 79</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4420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MONTEGNEE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2161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NOTRE DAME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l'Institut, 40</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4632</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CEREXHE-HEUSEUX</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2164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INST PROVINCIAL</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Paul d'Andrimont, 24</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4630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MICHEROUX</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2179</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PARENTHESE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Berneau, 16</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4600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VISE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2197</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 SAIVE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Champs, 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4671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SAIVE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2235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Albert de T'Serclaes, 58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4821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ANDRIMONT</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2265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JOSEPH (secondaire)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Victor David, 12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4830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LIMBOURG</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2266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JOSEPH (primaire)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Victor David, 12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4830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LIMBOURG</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2300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EDOUARD</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Route de l'Amblève, 88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4987</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STOUMONT</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2311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ÉCUREUILS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Hovémont, 32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4910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THEUX</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2350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EESSCF</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Wallons, 59</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4800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VERVIERS</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2351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MAURICE HEUSE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Heusy, 98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4800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VERVIERS</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2470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EPESL</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Bastogne, 33</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6700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ARLON</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2510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 Croix-Blanche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Chapelle, 131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6600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BASTOGNE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2511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MARDASSON (primaire)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Maies, 29</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6600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BASTOGNE</w:t>
                        </w:r>
                      </w:p>
                    </w:tc>
                  </w:tr>
                  <w:tr>
                    <w:trPr>
                      <w:trHeight w:val="600"/>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2512</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MARDASSON (secondaire)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Maies, 29</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6600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BASTOGNE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2533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EPESP</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 xml:space="preserve">Rue Dinez, 1 </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6661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Houffalize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2543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IESPSCF</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Château, 19</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6690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VIELSALM</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2564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CLAIRVAL (secondaire)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Terre aux Ris, 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6940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BARVAUX</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2565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CLAIRVAL (primaire)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Terre aux Ris, 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6940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BARVAUX</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2574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VAL D'AISNE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Briscol, 12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6997</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EREZEE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2598</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ESESCF</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Mionvaux, 33</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6900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WAHA - MARLOIE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2599</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Mionvaux, 35</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6900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WAHA - MARLOIE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2607</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EPESP</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Alliés, 32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6953</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FORRIERES</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2728</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PROVIDENCE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Saint-Antoine, 199A</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6740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ETALLE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2765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EPESP</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Nouvelle, 28B</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6760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ETHE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2766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ESESCF</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Morel, 71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6762</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SAINT-MARD</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3145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IRHOV FONDAMENTAL</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Monulphe, 78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5334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HACF MARLOIE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Libert, 12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6900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Marche-en-Famenne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5865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COLLINE DE L'EVEIL</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Boulevard Ernest Solvay, 244</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HACF - Les Acacias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Albert Thomas, 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4821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ANDRIMONT</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HAPCF Comblain-au-Pont</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Sosson, 28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4170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COMBLAIN-AU-PONT</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HACF MILMORT</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Fexhe, 76</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4041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MILMORT</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HACF SAIVE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Champs, 3</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4671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SAIVE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HAPCF Saint-Mard</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Morel, 71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6762</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SAINT-MARD</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95397</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JOËLLE ROBINS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Quai de Wallonie, 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bl>
                <w:p>
                  <w:pPr>
                    <w:rPr>
                      <w:lang w:val="fr-FR"/>
                    </w:rPr>
                  </w:pPr>
                  <w:r>
                    <w:rPr>
                      <w:lang w:val="fr-FR"/>
                    </w:rPr>
                    <w:br w:type="page"/>
                  </w:r>
                </w:p>
                <w:p>
                  <w:pPr>
                    <w:rPr>
                      <w:lang w:val="fr-FR"/>
                    </w:rPr>
                  </w:pPr>
                </w:p>
                <w:tbl>
                  <w:tblPr>
                    <w:tblW w:w="9807" w:type="dxa"/>
                    <w:tblLayout w:type="fixed"/>
                    <w:tblCellMar>
                      <w:left w:w="70" w:type="dxa"/>
                      <w:right w:w="70" w:type="dxa"/>
                    </w:tblCellMar>
                    <w:tblLook w:val="04A0" w:firstRow="1" w:lastRow="0" w:firstColumn="1" w:lastColumn="0" w:noHBand="0" w:noVBand="1"/>
                  </w:tblPr>
                  <w:tblGrid>
                    <w:gridCol w:w="1129"/>
                    <w:gridCol w:w="2694"/>
                    <w:gridCol w:w="2988"/>
                    <w:gridCol w:w="697"/>
                    <w:gridCol w:w="2299"/>
                  </w:tblGrid>
                  <w:tr>
                    <w:trPr>
                      <w:cantSplit/>
                      <w:trHeight w:val="288"/>
                      <w:tblHeader/>
                    </w:trPr>
                    <w:tc>
                      <w:tcPr>
                        <w:tcW w:w="9807"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pPr>
                          <w:jc w:val="center"/>
                          <w:rPr>
                            <w:b/>
                            <w:lang w:val="fr-FR"/>
                          </w:rPr>
                        </w:pPr>
                        <w:r>
                          <w:rPr>
                            <w:b/>
                            <w:lang w:val="fr-FR"/>
                          </w:rPr>
                          <w:t>Samantha MATHAEY</w:t>
                        </w:r>
                      </w:p>
                      <w:p>
                        <w:pPr>
                          <w:jc w:val="center"/>
                          <w:rPr>
                            <w:rFonts w:eastAsia="Times New Roman" w:cs="Calibri"/>
                            <w:b/>
                            <w:bCs/>
                            <w:color w:val="000000"/>
                            <w:lang w:eastAsia="fr-BE"/>
                          </w:rPr>
                        </w:pPr>
                      </w:p>
                    </w:tc>
                  </w:tr>
                  <w:tr>
                    <w:trPr>
                      <w:cantSplit/>
                      <w:trHeight w:val="288"/>
                      <w:tblHeader/>
                    </w:trPr>
                    <w:tc>
                      <w:tcPr>
                        <w:tcW w:w="1129"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Fase</w:t>
                        </w:r>
                      </w:p>
                    </w:tc>
                    <w:tc>
                      <w:tcPr>
                        <w:tcW w:w="269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Nom abrégé</w:t>
                        </w:r>
                      </w:p>
                    </w:tc>
                    <w:tc>
                      <w:tcPr>
                        <w:tcW w:w="2988"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Adresse</w:t>
                        </w:r>
                      </w:p>
                    </w:tc>
                    <w:tc>
                      <w:tcPr>
                        <w:tcW w:w="697"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CP</w:t>
                        </w:r>
                      </w:p>
                    </w:tc>
                    <w:tc>
                      <w:tcPr>
                        <w:tcW w:w="2299"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Localité</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Loverval, 262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6200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CHATELET</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MONT CHEVREUIL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François Dimanche, 42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ROSELIES</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1584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Boutis, 62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6120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NALINNES</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1752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Velbruck, 22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4540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AMAY</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1754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d'Ampsin, 9</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4540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AMAY</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1783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CHATEAU VERT (fond.)</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de Perwez, 16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BEN-AHIN</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1784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CHATEAU VERT (sec.)</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de Perwez, 16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BEN-AHIN</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1789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STE CLAIRE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Larrons, 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HUY</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2056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LEOPOLD MOTTET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Place Sainte-Walburge,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2057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FONTAINEBLEAU</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Fexhe, 58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2060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ROBERT BRASSEUR</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Jean d'Outremeuse, 57</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2062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CENTRE MAGHIN</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Maghin, 22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TRIXHES III</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Roi Albert, 102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4102</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OUGREE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2135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Davy, 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SERAING</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2136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SAINTE MARIE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Place Merlot, 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SERAING</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2138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BUISSONNIERE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Petit-Bourgogne, 21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SERAING</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2210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L'ENVOL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Herdier, 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4400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FLEMALLE-HAUTE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2390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JOSEPH (primaire)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Émile Lejeune,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GEER</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2391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JOSEPH (secondaire)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Emile Lejeune,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GEER</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2400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ORCHIDEES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Huy, 28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4280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HANNUT</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2810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FORGES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Quai de l'Industrie, 28C</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CINEY</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2811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CAPUCINES 1</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d'Huart, 156 A</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CINEY</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2813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L'ETINCELLE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Saint-Pierre, 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CINEY</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2828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 « Le Caillou »</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Général Hodges, 7A</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ANSEREMME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2845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EPSIS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Cardijn, 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5364</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SCHALTIN</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2881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VINCENT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Colonel Tachet des Combes, 15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5530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YVOIR</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2899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LAMBERT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d'Anton, 302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5300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BONNEVILLE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2900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Ciney, 246E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5300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ANDENNE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2970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Sedent, 28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JAMBES</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2981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REUMONJOIE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de Reumont, 143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MALONNE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2982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REUMONJOIE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de Reumont, 171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MALONNE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2983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BERTHUIN</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Fond de Malonne, 120</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MALONNE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2985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STE CLAIRE (sec.)</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l'Institut, 30</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5004</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BOUGE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3013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SITREE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Pierre Houbotte, 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VEDRIN</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3014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 NICOLAS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Balart, 44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NAMUR</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3015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PLEIN AIR</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Baron Fallon, 34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NAMUR</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3076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Mazy, 27A</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5030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GEMBLOUX</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3086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Bosquet, 75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5060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AUVELAIS</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3134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Calamine, 32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PHILIPPEVILLE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3136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NOTRE DAME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Récollets,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PHILIPPEVILLE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5741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PETITE SOURCE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Wavre, 94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BOSSUT</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5870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CREVE-COEUR 1</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Crève-Cœur,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HACF FLEMALLE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 Piombino,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4400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FLEMALLE-HAUTE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HACF LIEGE-COINTE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Julien d'Andrimont, 26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HAPCF Anseremme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Général Hodges, 7B</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ANSEREMME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95276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JEANNE ROMBAUT T1</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Bonne Nouvelle 7b 1étage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95316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CAPUCINES 2</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d'Huart, 156 B</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CINEY</w:t>
                        </w:r>
                      </w:p>
                    </w:tc>
                  </w:tr>
                </w:tbl>
                <w:p>
                  <w:pPr>
                    <w:rPr>
                      <w:lang w:val="fr-FR"/>
                    </w:rPr>
                  </w:pPr>
                </w:p>
                <w:p>
                  <w:pPr>
                    <w:rPr>
                      <w:lang w:val="fr-FR"/>
                    </w:rPr>
                  </w:pPr>
                  <w:r>
                    <w:rPr>
                      <w:lang w:val="fr-FR"/>
                    </w:rPr>
                    <w:br w:type="page"/>
                  </w:r>
                </w:p>
                <w:p>
                  <w:pPr>
                    <w:rPr>
                      <w:lang w:val="fr-FR"/>
                    </w:rPr>
                  </w:pPr>
                </w:p>
                <w:tbl>
                  <w:tblPr>
                    <w:tblW w:w="5231" w:type="pct"/>
                    <w:tblCellMar>
                      <w:left w:w="70" w:type="dxa"/>
                      <w:right w:w="70" w:type="dxa"/>
                    </w:tblCellMar>
                    <w:tblLook w:val="04A0" w:firstRow="1" w:lastRow="0" w:firstColumn="1" w:lastColumn="0" w:noHBand="0" w:noVBand="1"/>
                  </w:tblPr>
                  <w:tblGrid>
                    <w:gridCol w:w="980"/>
                    <w:gridCol w:w="2424"/>
                    <w:gridCol w:w="2968"/>
                    <w:gridCol w:w="712"/>
                    <w:gridCol w:w="2692"/>
                  </w:tblGrid>
                  <w:tr>
                    <w:trPr>
                      <w:cantSplit/>
                      <w:trHeight w:val="28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pPr>
                          <w:jc w:val="center"/>
                          <w:rPr>
                            <w:b/>
                            <w:lang w:val="fr-FR"/>
                          </w:rPr>
                        </w:pPr>
                        <w:r>
                          <w:rPr>
                            <w:b/>
                            <w:lang w:val="fr-FR"/>
                          </w:rPr>
                          <w:t>Marie-Françoise BOULONNE</w:t>
                        </w:r>
                      </w:p>
                      <w:p>
                        <w:pPr>
                          <w:jc w:val="center"/>
                          <w:rPr>
                            <w:rFonts w:eastAsia="Times New Roman" w:cs="Calibri"/>
                            <w:b/>
                            <w:bCs/>
                            <w:color w:val="000000"/>
                            <w:lang w:eastAsia="fr-BE"/>
                          </w:rPr>
                        </w:pPr>
                      </w:p>
                    </w:tc>
                  </w:tr>
                  <w:tr>
                    <w:trPr>
                      <w:cantSplit/>
                      <w:trHeight w:val="288"/>
                      <w:tblHeader/>
                    </w:trPr>
                    <w:tc>
                      <w:tcPr>
                        <w:tcW w:w="50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Fase</w:t>
                        </w:r>
                      </w:p>
                    </w:tc>
                    <w:tc>
                      <w:tcPr>
                        <w:tcW w:w="1240" w:type="pct"/>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Nom abrégé</w:t>
                        </w:r>
                      </w:p>
                    </w:tc>
                    <w:tc>
                      <w:tcPr>
                        <w:tcW w:w="1518" w:type="pct"/>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Adresse</w:t>
                        </w:r>
                      </w:p>
                    </w:tc>
                    <w:tc>
                      <w:tcPr>
                        <w:tcW w:w="364" w:type="pct"/>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CP</w:t>
                        </w:r>
                      </w:p>
                    </w:tc>
                    <w:tc>
                      <w:tcPr>
                        <w:tcW w:w="1377" w:type="pct"/>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Localité</w:t>
                        </w:r>
                      </w:p>
                    </w:tc>
                  </w:tr>
                  <w:tr>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STE BERNADETTE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Square du Sacré-Cœur, 2A</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AUDERGHEM</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Charles Schaller, 87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AUDERGHEM</w:t>
                        </w:r>
                      </w:p>
                    </w:tc>
                  </w:tr>
                  <w:tr>
                    <w:trPr>
                      <w:trHeight w:val="278"/>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STE BERNADETTE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Square du Sacré-Cœur, 2A</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AUDERGHEM</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CARREFOURS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Fétis, 29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ETTERBEEK</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CBIMC</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Père Eudore Devroye, 14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ETTERBEEK</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294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MOUETTES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des Éperons d'Or, 16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IXELLES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295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ETOILE DU BERGER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Croix, 39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IXELLES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301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EDMOND PEETERS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Viaduc, 97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IXELLES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435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CHAZAL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Chazal, 181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SCHAERBEEK</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436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VALLEE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Grande Rue au Bois, 78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SCHAERBEEK</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471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BLES D'OR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Dieweg, 57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472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IRSA T7</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Waterloo, 1508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473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MERLO</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Merlo, 16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474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IRSA</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Waterloo, 1508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475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DECROLY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Bambou, 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476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ICPP</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Polders, 51-53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481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DECROLY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Bambou, 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600"/>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495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CLAIRIERE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des Hannetons, 58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WATERMAEL-BOITSFORT</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498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CLAIRIERE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des Hannetons, 58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WATERMAEL-BOITSFORT</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524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INTEGREE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Rive, 99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WOLUWE-SAINT-LAMBERT</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525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CHARMILLE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 la Charmille,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WOLUWE-SAINT-LAMBERT</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526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CETD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Albert Dumont, 40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WOLUWE-SAINT-LAMBERT</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546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JOLI BOIS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Val des Epinettes, 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WOLUWE-SAINT-PIERRE</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787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ITESS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Boulevard du Château, 14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7800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ATH</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806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SAINTE-GERTRUDE (sec.)</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Bauffe,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BRUGELETTE</w:t>
                        </w:r>
                      </w:p>
                    </w:tc>
                  </w:tr>
                  <w:tr>
                    <w:trPr>
                      <w:trHeight w:val="600"/>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807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SAINTE-GERTRUDE (fond.)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de Wisbecq,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BRUGELETTE</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828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IEPSESCF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Route de Lessines, 27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7911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FRASNES-LEZ-BUISSENAL</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1316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HENRI - AUBIERS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des Châteaux, 74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7780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COMINES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1348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L'éveil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Coquinie, 285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MOUSCRON</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1349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TREMPLIN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Bouverie, 25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MOUSCRON</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1350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BENGALIS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Rolleghem, 166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MOUSCRON</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1444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de Papignies, 38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LESSINES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1445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AUDACIEUX</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Parvis Saint Roch, 18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LESSINES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1622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TRIEUX</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Cornet, 47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7730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LEERS-NORD</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1623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GOELETTE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Mitoyen, 12B</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7730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ESTAIMPUIS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1691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Co'Kain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Breuze, 9bis</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KAIN</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1692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SAULCHOIR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Combattants, 47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7503</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FROYENNES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1693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COLIBRIS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Crampon, 43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7500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TOURNAI</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1714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ILM</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Lille, 198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7500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TOURNAI</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1720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TREFLE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Lannoy 53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7740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PECQ</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5149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COLIBRIS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Saulchoir, 56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KAIN</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9997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HACF Kain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Breuze, 9bis</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KAIN</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9998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HAPCF Lessines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de Papignies, 38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LESSINES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95442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 Ventourne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Route Provinciale, 291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1301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BIERGES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95464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EEFS LES ASTRÔN'AUTES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Trône, 111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IXELLES</w:t>
                        </w:r>
                      </w:p>
                    </w:tc>
                  </w:tr>
                </w:tbl>
                <w:p>
                  <w:pPr>
                    <w:rPr>
                      <w:lang w:val="fr-FR"/>
                    </w:rPr>
                  </w:pPr>
                </w:p>
                <w:p>
                  <w:pPr>
                    <w:rPr>
                      <w:lang w:val="fr-FR"/>
                    </w:rPr>
                  </w:pPr>
                  <w:r>
                    <w:rPr>
                      <w:lang w:val="fr-FR"/>
                    </w:rPr>
                    <w:br w:type="page"/>
                  </w:r>
                </w:p>
                <w:p>
                  <w:pPr>
                    <w:rPr>
                      <w:lang w:val="fr-FR"/>
                    </w:rPr>
                  </w:pPr>
                </w:p>
                <w:p>
                  <w:pPr>
                    <w:pStyle w:val="Titre3"/>
                    <w:rPr>
                      <w:lang w:val="fr-FR"/>
                    </w:rPr>
                  </w:pPr>
                  <w:bookmarkStart w:id="3328" w:name="_4._Foire_aux"/>
                  <w:bookmarkStart w:id="3329" w:name="_Toc18914507"/>
                  <w:bookmarkEnd w:id="3328"/>
                  <w:r>
                    <w:rPr>
                      <w:lang w:val="fr-FR"/>
                    </w:rPr>
                    <w:t>4. Foire aux questions</w:t>
                  </w:r>
                  <w:bookmarkEnd w:id="3329"/>
                </w:p>
                <w:p>
                  <w:pPr>
                    <w:jc w:val="both"/>
                    <w:rPr>
                      <w:lang w:val="fr-FR"/>
                    </w:rPr>
                  </w:pPr>
                </w:p>
                <w:p>
                  <w:pPr>
                    <w:spacing w:after="200" w:line="276" w:lineRule="auto"/>
                    <w:jc w:val="both"/>
                    <w:rPr>
                      <w:b/>
                    </w:rPr>
                  </w:pPr>
                  <w:r>
                    <w:rPr>
                      <w:b/>
                    </w:rPr>
                    <w:t xml:space="preserve">1) S’il y a un recomptage à la baisse au 30/09, le chef d’établissement ou le PO doit-il mettre fin au contrat voire placer le membre du personnel en disponibilité par défaut d’emploi après le 30/09 ou après le passage du vérificateur? </w:t>
                  </w:r>
                </w:p>
                <w:p>
                  <w:pPr>
                    <w:jc w:val="both"/>
                  </w:pPr>
                  <w:r>
                    <w:t xml:space="preserve">La direction ou le PO doit prendre les dispositions nécessaires pour mettre fin au contrat ou placer le membre du personnel en disponibilité par défaut d’emploi dès le 30/09. </w:t>
                  </w:r>
                </w:p>
                <w:p>
                  <w:pPr>
                    <w:jc w:val="both"/>
                  </w:pPr>
                  <w:r>
                    <w:t>A partir du 01/10 c’est le nouveau capital-périodes qui prendra cours. Si la direction ou le PO souhaite conserver son personnel jusqu’au passage du vérificateur ce sera le PO de l’école qui devra assumer le paiement du traitement du membre du personnel à due concurrence.</w:t>
                  </w:r>
                </w:p>
                <w:p>
                  <w:pPr>
                    <w:jc w:val="both"/>
                  </w:pPr>
                </w:p>
                <w:p>
                  <w:pPr>
                    <w:spacing w:after="200" w:line="276" w:lineRule="auto"/>
                    <w:jc w:val="both"/>
                    <w:rPr>
                      <w:b/>
                    </w:rPr>
                  </w:pPr>
                  <w:r>
                    <w:rPr>
                      <w:b/>
                    </w:rPr>
                    <w:t xml:space="preserve">2) Lorsqu’il n’y a pas de variation de 5% au 30/09 et que le vérificateur viendrait à décompter un ou plusieurs élèves et que l’école serait suite au décompte des élèves en variation à la baisse, que se passe-t-il si la direction a conservé tout son personnel ? </w:t>
                  </w:r>
                </w:p>
                <w:p>
                  <w:pPr>
                    <w:jc w:val="both"/>
                  </w:pPr>
                  <w:r>
                    <w:t>Ce sera le PO de l’école qui devra prendre en charge la différence.</w:t>
                  </w:r>
                </w:p>
                <w:p>
                  <w:pPr>
                    <w:jc w:val="both"/>
                  </w:pPr>
                </w:p>
                <w:p>
                  <w:pPr>
                    <w:spacing w:after="200" w:line="276" w:lineRule="auto"/>
                    <w:jc w:val="both"/>
                    <w:rPr>
                      <w:b/>
                    </w:rPr>
                  </w:pPr>
                  <w:r>
                    <w:rPr>
                      <w:b/>
                    </w:rPr>
                    <w:t>3) Un élève inscrit dans une école d’enseignement spécialisé et dans une école de type 5 est-il comptabilisable dans les deux écoles ?</w:t>
                  </w:r>
                </w:p>
                <w:p>
                  <w:pPr>
                    <w:jc w:val="both"/>
                  </w:pPr>
                  <w:r>
                    <w:t>Un élève qui relève de l’enseignement spécialisé de type 3 par exemple et qui est relève également de l’enseignement spécialisé de type 5 bénéficie d’une double inscription. Il est comptabilisé dans les deux écoles pour autant que l’école d’origine de type 3 ait un certificat médical couvrant l’élève pour la période du comptage. Il compte dans l’école de type 3 pour le comptage enseignant mais pas pour le paramédical (car il en bénéficie déjà dans l’école de type 5) sauf dérogation accordée par le Gouvernement pour des élèves externes en raison de leur handicap.</w:t>
                  </w:r>
                </w:p>
                <w:p>
                  <w:pPr>
                    <w:jc w:val="both"/>
                  </w:pPr>
                </w:p>
                <w:p>
                  <w:pPr>
                    <w:spacing w:after="200" w:line="276" w:lineRule="auto"/>
                    <w:jc w:val="both"/>
                    <w:rPr>
                      <w:b/>
                    </w:rPr>
                  </w:pPr>
                  <w:r>
                    <w:rPr>
                      <w:b/>
                    </w:rPr>
                    <w:t>4) Lorsqu’un élève est en « enseignement à domicile », la direction peut-elle utiliser les périodes dès le 1er septembre ou doit-elle attendre le comptage de la population scolaire au 30 septembre ?</w:t>
                  </w:r>
                </w:p>
                <w:p>
                  <w:pPr>
                    <w:jc w:val="both"/>
                  </w:pPr>
                  <w:r>
                    <w:t>Si la commission consultative a marqué son accord pour l’année scolaire en cours (dérogation à demander s’il n’y a pas d’accord pour l’année scolaire en cours), la direction peut utiliser les périodes dès le 1er septembre. Un élève à domicile est comptabilisable s’il est considéré comme régulier (selon le décret du spécialisé) mais l’élève à domicile n’étant pas repris dans la dépêche du 15/01 de l’année scolaire passée qui détermine l’encadrement au 1</w:t>
                  </w:r>
                  <w:r>
                    <w:rPr>
                      <w:vertAlign w:val="superscript"/>
                    </w:rPr>
                    <w:t>er</w:t>
                  </w:r>
                  <w:r>
                    <w:t xml:space="preserve"> septembre suivant, l’élève à domicile sera comptabilisé dans la dépêche du 30/09. On peut donc considérer que les périodes pour l’élève à domicile sont valables dès le 1er septembre.</w:t>
                  </w:r>
                </w:p>
                <w:p>
                  <w:pPr>
                    <w:jc w:val="both"/>
                  </w:pPr>
                </w:p>
                <w:p>
                  <w:pPr>
                    <w:spacing w:after="200" w:line="276" w:lineRule="auto"/>
                    <w:jc w:val="both"/>
                    <w:rPr>
                      <w:b/>
                    </w:rPr>
                  </w:pPr>
                  <w:r>
                    <w:rPr>
                      <w:b/>
                    </w:rPr>
                    <w:t xml:space="preserve">5) Un élève qui a 12 ans et qui n’a jamais fréquenté un établissement d’enseignement spécialisé peut-il être inscrit dans un établissement d’enseignement secondaire spécialisé ? </w:t>
                  </w:r>
                </w:p>
                <w:p>
                  <w:pPr>
                    <w:jc w:val="both"/>
                  </w:pPr>
                  <w:r>
                    <w:t xml:space="preserve">Pour toute nouvelle inscription d’un élève dans une école d’enseignement spécialisé, la direction de l’école doit avoir une attestation d’orientation pour l’élève. La direction de l’école se réfèrera au niveau indiqué sur l’attestation d’orientation émise par le CPMS ou par le médecin habilité à délivrer une attestation d’orientation. Si l’attestation d’orientation mentionne que l’élève relève du niveau fondamental par exemple, l’élève ne pourra pas être inscrit dans une école d’enseignement secondaire spécialisé. </w:t>
                  </w:r>
                </w:p>
                <w:p>
                  <w:pPr>
                    <w:jc w:val="both"/>
                  </w:pPr>
                </w:p>
                <w:p>
                  <w:pPr>
                    <w:jc w:val="both"/>
                  </w:pPr>
                  <w:r>
                    <w:t>Cela est identique pour un élève en âge d’être inscrit dans l’enseignement primaire spécialisé et qui serait toujours de niveau maternel sur l’attestation d’orientation, il doit dans ce cas être comptabilisé dans le niveau maternel.</w:t>
                  </w:r>
                </w:p>
                <w:p>
                  <w:pPr>
                    <w:spacing w:after="200" w:line="276" w:lineRule="auto"/>
                    <w:jc w:val="both"/>
                    <w:rPr>
                      <w:b/>
                    </w:rPr>
                  </w:pPr>
                  <w:r>
                    <w:rPr>
                      <w:b/>
                    </w:rPr>
                    <w:t>6) Quand faut-il faire un registre de fréquentation dans l’école d’enseignement spécialisé pour les élèves en intégration ?</w:t>
                  </w:r>
                </w:p>
                <w:p>
                  <w:pPr>
                    <w:jc w:val="both"/>
                  </w:pPr>
                  <w:r>
                    <w:t>Les présences de tous les élèves intégrés doivent être reprises dans un registre de fréquentation avec les justificatifs d’absences. Si un élève est en absence injustifiée et qu’il a atteint le quota de nombre de demi-jours d’absence injustifiée, c’est à la direction de l’établissement d’enseignement spécialisé de faire le(s) signalement(s) à la DGEO.</w:t>
                  </w:r>
                </w:p>
                <w:p>
                  <w:pPr>
                    <w:jc w:val="both"/>
                  </w:pPr>
                </w:p>
                <w:p>
                  <w:pPr>
                    <w:spacing w:after="200" w:line="276" w:lineRule="auto"/>
                    <w:jc w:val="both"/>
                    <w:rPr>
                      <w:b/>
                    </w:rPr>
                  </w:pPr>
                  <w:r>
                    <w:rPr>
                      <w:b/>
                    </w:rPr>
                    <w:t>7) Que faut-il présenter comme document pour un élève débutant l’intégration ?</w:t>
                  </w:r>
                </w:p>
                <w:p>
                  <w:pPr>
                    <w:jc w:val="both"/>
                  </w:pPr>
                  <w:r>
                    <w:t>Le dossier administratif complet de l’élève (identique au dossier d’un élève inscrit dans l’école) et le protocole d’intégration (annexe 2).</w:t>
                  </w:r>
                </w:p>
                <w:p>
                  <w:pPr>
                    <w:jc w:val="both"/>
                    <w:rPr>
                      <w:lang w:val="fr-FR"/>
                    </w:rPr>
                  </w:pPr>
                </w:p>
                <w:p>
                  <w:pPr>
                    <w:jc w:val="both"/>
                    <w:rPr>
                      <w:b/>
                    </w:rPr>
                  </w:pPr>
                  <w:r>
                    <w:rPr>
                      <w:b/>
                    </w:rPr>
                    <w:t>8) Peut-on modifier une attestation de type vers le T5 ?</w:t>
                  </w:r>
                </w:p>
                <w:p>
                  <w:pPr>
                    <w:jc w:val="both"/>
                  </w:pPr>
                </w:p>
                <w:p>
                  <w:pPr>
                    <w:jc w:val="both"/>
                  </w:pPr>
                  <w:r>
                    <w:t>Non, une nouvelle attestation doit être rédigée par un pédiatre ou un médecin-chef de clinique.</w:t>
                  </w:r>
                </w:p>
                <w:p>
                  <w:pPr>
                    <w:jc w:val="both"/>
                  </w:pPr>
                </w:p>
                <w:p>
                  <w:pPr>
                    <w:jc w:val="both"/>
                    <w:rPr>
                      <w:b/>
                    </w:rPr>
                  </w:pPr>
                  <w:r>
                    <w:rPr>
                      <w:b/>
                    </w:rPr>
                    <w:t xml:space="preserve">9) Je n’arrive pas à dénoncer par le formulaire électronique un élève proche de sa majorité. </w:t>
                  </w:r>
                </w:p>
                <w:p>
                  <w:pPr>
                    <w:jc w:val="both"/>
                  </w:pPr>
                </w:p>
                <w:p>
                  <w:pPr>
                    <w:jc w:val="both"/>
                    <w:rPr>
                      <w:color w:val="0A0A0A"/>
                      <w:spacing w:val="2"/>
                    </w:rPr>
                  </w:pPr>
                  <w:r>
                    <w:rPr>
                      <w:color w:val="0A0A0A"/>
                      <w:spacing w:val="2"/>
                    </w:rPr>
                    <w:t>Si l’élève atteint par exemple l’âge de 18 ans le 31 décembre 2018, l’obligation scolaire s’arrête au 30/06/2018. Ainsi à partir du 1</w:t>
                  </w:r>
                  <w:r>
                    <w:rPr>
                      <w:color w:val="0A0A0A"/>
                      <w:spacing w:val="2"/>
                      <w:vertAlign w:val="superscript"/>
                    </w:rPr>
                    <w:t>er</w:t>
                  </w:r>
                  <w:r>
                    <w:rPr>
                      <w:color w:val="0A0A0A"/>
                      <w:spacing w:val="2"/>
                    </w:rPr>
                    <w:t xml:space="preserve"> septembre 2018, il n’est plus soumis à l’obligation scolaire et par conséquent, l’application n’enregistrera plus ses absences injustifiées éventuelles.</w:t>
                  </w:r>
                </w:p>
                <w:p>
                  <w:pPr>
                    <w:pStyle w:val="Textebrut"/>
                    <w:ind w:left="720"/>
                    <w:jc w:val="both"/>
                    <w:rPr>
                      <w:rFonts w:asciiTheme="majorHAnsi" w:hAnsiTheme="majorHAnsi"/>
                      <w:szCs w:val="22"/>
                    </w:rPr>
                  </w:pPr>
                </w:p>
                <w:p>
                  <w:pPr>
                    <w:rPr>
                      <w:lang w:val="fr-FR"/>
                    </w:rPr>
                  </w:pPr>
                </w:p>
                <w:p>
                  <w:pPr>
                    <w:rPr>
                      <w:rFonts w:eastAsiaTheme="minorEastAsia"/>
                      <w:lang w:eastAsia="fr-BE"/>
                    </w:rPr>
                  </w:pPr>
                  <w:r>
                    <w:rPr>
                      <w:rFonts w:eastAsiaTheme="minorEastAsia"/>
                      <w:lang w:eastAsia="fr-BE"/>
                    </w:rPr>
                    <w:br w:type="page"/>
                  </w:r>
                </w:p>
                <w:p>
                  <w:pPr>
                    <w:rPr>
                      <w:rFonts w:eastAsiaTheme="minorEastAsia"/>
                      <w:lang w:eastAsia="fr-BE"/>
                    </w:rPr>
                  </w:pPr>
                </w:p>
                <w:p>
                  <w:pPr>
                    <w:pStyle w:val="Titre2"/>
                  </w:pPr>
                  <w:bookmarkStart w:id="3330" w:name="_Chapitre_17_:"/>
                  <w:bookmarkStart w:id="3331" w:name="_Toc18914508"/>
                  <w:bookmarkStart w:id="3332" w:name="_Toc478740717"/>
                  <w:bookmarkEnd w:id="3330"/>
                  <w:r>
                    <w:t>Chapitre 17 : Modèles des attestations de fréquentation délivrées dans l’enseignement primaire spécialisé</w:t>
                  </w:r>
                  <w:bookmarkEnd w:id="3331"/>
                  <w:r>
                    <w:t xml:space="preserve"> </w:t>
                  </w:r>
                  <w:bookmarkEnd w:id="3332"/>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p>
                  <w:pPr>
                    <w:rPr>
                      <w:rFonts w:cs="Century Schoolbook"/>
                      <w:b/>
                      <w:bCs/>
                      <w:color w:val="000000"/>
                      <w:u w:val="single"/>
                      <w:lang w:val="fr-FR" w:eastAsia="fr-FR"/>
                    </w:rPr>
                  </w:pPr>
                  <w:r>
                    <w:rPr>
                      <w:rFonts w:cs="Century Schoolbook"/>
                      <w:b/>
                      <w:bCs/>
                      <w:color w:val="000000"/>
                      <w:u w:val="single"/>
                      <w:lang w:val="fr-FR" w:eastAsia="fr-FR"/>
                    </w:rPr>
                    <w:t xml:space="preserve">Bases légales : </w:t>
                  </w:r>
                </w:p>
                <w:p>
                  <w:pPr>
                    <w:jc w:val="center"/>
                    <w:rPr>
                      <w:rFonts w:cs="Century Schoolbook"/>
                      <w:b/>
                      <w:bCs/>
                      <w:color w:val="000000"/>
                      <w:lang w:val="fr-FR" w:eastAsia="fr-FR"/>
                    </w:rPr>
                  </w:pPr>
                </w:p>
                <w:p>
                  <w:pPr>
                    <w:numPr>
                      <w:ilvl w:val="0"/>
                      <w:numId w:val="45"/>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pPr>
                  <w:hyperlink r:id="rId207" w:history="1">
                    <w:r>
                      <w:rPr>
                        <w:rStyle w:val="Lienhypertexte"/>
                        <w:rFonts w:cs="Arial"/>
                      </w:rPr>
                      <w:t>Décret du 3 mars 2004 organisant l’enseignement spécialisé</w:t>
                    </w:r>
                  </w:hyperlink>
                  <w:r>
                    <w:t>.</w:t>
                  </w:r>
                </w:p>
                <w:p>
                  <w:pPr>
                    <w:numPr>
                      <w:ilvl w:val="0"/>
                      <w:numId w:val="45"/>
                    </w:numPr>
                    <w:suppressAutoHyphens/>
                    <w:rPr>
                      <w:rStyle w:val="Lienhypertexte"/>
                      <w:rFonts w:cstheme="minorBidi"/>
                    </w:rPr>
                  </w:pPr>
                  <w:r>
                    <w:rPr>
                      <w:rFonts w:cs="Century Schoolbook"/>
                      <w:bCs/>
                      <w:lang w:val="fr-FR" w:eastAsia="fr-FR"/>
                    </w:rPr>
                    <w:fldChar w:fldCharType="begin"/>
                  </w:r>
                  <w:r>
                    <w:rPr>
                      <w:rFonts w:cs="Century Schoolbook"/>
                      <w:bCs/>
                      <w:lang w:val="fr-FR" w:eastAsia="fr-FR"/>
                    </w:rPr>
                    <w:instrText xml:space="preserve"> HYPERLINK "http://www.gallilex.cfwb.be/document/pdf/30975_000.pdf" </w:instrText>
                  </w:r>
                  <w:r>
                    <w:rPr>
                      <w:rFonts w:cs="Century Schoolbook"/>
                      <w:bCs/>
                      <w:lang w:val="fr-FR" w:eastAsia="fr-FR"/>
                    </w:rPr>
                    <w:fldChar w:fldCharType="separate"/>
                  </w:r>
                  <w:r>
                    <w:rPr>
                      <w:rStyle w:val="Lienhypertexte"/>
                      <w:rFonts w:cs="Century Schoolbook"/>
                      <w:bCs/>
                      <w:lang w:val="fr-FR" w:eastAsia="fr-FR"/>
                    </w:rPr>
                    <w:t>Arrêté du Gouvernement de la Communauté française du 23 juin 2006 fixant les modèles d’attestations délivrées dans l’Enseignement spécialisé.</w:t>
                  </w:r>
                </w:p>
                <w:p>
                  <w:r>
                    <w:rPr>
                      <w:rFonts w:cs="Century Schoolbook"/>
                      <w:bCs/>
                      <w:lang w:val="fr-FR" w:eastAsia="fr-FR"/>
                    </w:rPr>
                    <w:fldChar w:fldCharType="end"/>
                  </w:r>
                </w:p>
                <w:p/>
                <w:p/>
                <w:p/>
                <w:p>
                  <w:r>
                    <w:br w:type="page"/>
                  </w:r>
                </w:p>
                <w:p/>
                <w:p>
                  <w:pPr>
                    <w:pStyle w:val="Titre4"/>
                  </w:pPr>
                  <w:bookmarkStart w:id="3333" w:name="_Annexe_1_:_16"/>
                  <w:bookmarkStart w:id="3334" w:name="_Toc453314542"/>
                  <w:bookmarkStart w:id="3335" w:name="_Toc454980574"/>
                  <w:bookmarkEnd w:id="3333"/>
                  <w:r>
                    <w:t>Annexe 1 : Attestation de fréquentation de l’enseignement primaire spécialisé</w:t>
                  </w:r>
                  <w:bookmarkEnd w:id="3334"/>
                  <w:bookmarkEnd w:id="3335"/>
                </w:p>
                <w:p>
                  <w:pPr>
                    <w:jc w:val="center"/>
                  </w:pPr>
                </w:p>
                <w:p>
                  <w:pPr>
                    <w:jc w:val="center"/>
                    <w:rPr>
                      <w:b/>
                      <w:caps/>
                    </w:rPr>
                  </w:pPr>
                  <w:r>
                    <w:rPr>
                      <w:b/>
                      <w:caps/>
                    </w:rPr>
                    <w:t>Communauté française</w:t>
                  </w:r>
                </w:p>
                <w:p>
                  <w:pPr>
                    <w:pStyle w:val="Titre"/>
                    <w:rPr>
                      <w:b/>
                      <w:sz w:val="22"/>
                      <w:szCs w:val="22"/>
                    </w:rPr>
                  </w:pPr>
                </w:p>
                <w:p/>
                <w:p>
                  <w:pPr>
                    <w:rPr>
                      <w:caps/>
                    </w:rPr>
                  </w:pPr>
                  <w:r>
                    <w:rPr>
                      <w:caps/>
                    </w:rPr>
                    <w:t>Dénomination et siège de l’établissement :</w:t>
                  </w:r>
                </w:p>
                <w:p/>
                <w:p/>
                <w:p/>
                <w:p/>
                <w:p>
                  <w:r>
                    <w:t>Numéro FASE :</w:t>
                  </w:r>
                </w:p>
                <w:p/>
                <w:p>
                  <w:r>
                    <w:t xml:space="preserve">Je soussigné(e) </w:t>
                  </w:r>
                </w:p>
                <w:p/>
                <w:p>
                  <w:r>
                    <w:t>Chef(fe) de l’établissement susmentionné, atteste que</w:t>
                  </w:r>
                </w:p>
                <w:p/>
                <w:p>
                  <w:r>
                    <w:t xml:space="preserve">(NOM, Prénom) </w:t>
                  </w:r>
                </w:p>
                <w:p/>
                <w:p>
                  <w:pPr>
                    <w:tabs>
                      <w:tab w:val="left" w:pos="5387"/>
                    </w:tabs>
                  </w:pPr>
                  <w:r>
                    <w:t xml:space="preserve">né(e) le </w:t>
                  </w:r>
                  <w:r>
                    <w:tab/>
                    <w:t xml:space="preserve">, à </w:t>
                  </w:r>
                </w:p>
                <w:p>
                  <w:pPr>
                    <w:tabs>
                      <w:tab w:val="left" w:pos="5387"/>
                    </w:tabs>
                  </w:pPr>
                </w:p>
                <w:p>
                  <w:pPr>
                    <w:tabs>
                      <w:tab w:val="left" w:pos="5387"/>
                    </w:tabs>
                  </w:pPr>
                  <w:r>
                    <w:t>a suivi les cours de l’enseignement spécialisé primaire du type</w:t>
                  </w:r>
                </w:p>
                <w:p>
                  <w:pPr>
                    <w:tabs>
                      <w:tab w:val="left" w:pos="5387"/>
                    </w:tabs>
                  </w:pPr>
                </w:p>
                <w:p>
                  <w:pPr>
                    <w:tabs>
                      <w:tab w:val="left" w:pos="3119"/>
                      <w:tab w:val="left" w:pos="5387"/>
                    </w:tabs>
                  </w:pPr>
                  <w:r>
                    <w:t>du</w:t>
                  </w:r>
                  <w:r>
                    <w:tab/>
                    <w:t>au</w:t>
                  </w:r>
                  <w:r>
                    <w:tab/>
                  </w:r>
                </w:p>
                <w:p>
                  <w:pPr>
                    <w:tabs>
                      <w:tab w:val="left" w:pos="5387"/>
                    </w:tabs>
                  </w:pPr>
                </w:p>
                <w:p>
                  <w:pPr>
                    <w:tabs>
                      <w:tab w:val="left" w:pos="-720"/>
                      <w:tab w:val="left" w:pos="1"/>
                      <w:tab w:val="left" w:pos="941"/>
                      <w:tab w:val="left" w:pos="1440"/>
                      <w:tab w:val="left" w:pos="2160"/>
                      <w:tab w:val="left" w:pos="2880"/>
                      <w:tab w:val="left" w:pos="3600"/>
                      <w:tab w:val="left" w:pos="4320"/>
                      <w:tab w:val="left" w:pos="5040"/>
                      <w:tab w:val="left" w:pos="5387"/>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La présente attestation est délivrée en exécution de l’article 28 du Décret du 3 mars 2004 organisant l’enseignement spécialisé</w:t>
                  </w:r>
                </w:p>
                <w:p>
                  <w:pPr>
                    <w:tabs>
                      <w:tab w:val="left" w:pos="5387"/>
                    </w:tabs>
                  </w:pPr>
                </w:p>
                <w:p>
                  <w:pPr>
                    <w:tabs>
                      <w:tab w:val="left" w:pos="5387"/>
                    </w:tabs>
                  </w:pPr>
                </w:p>
                <w:p>
                  <w:pPr>
                    <w:tabs>
                      <w:tab w:val="left" w:pos="5387"/>
                    </w:tabs>
                  </w:pPr>
                </w:p>
                <w:p>
                  <w:pPr>
                    <w:tabs>
                      <w:tab w:val="left" w:pos="5387"/>
                    </w:tabs>
                  </w:pPr>
                  <w:r>
                    <w:t>Sceau de l’établissement :</w:t>
                  </w:r>
                  <w:r>
                    <w:tab/>
                    <w:t>Lieu et date :</w:t>
                  </w:r>
                </w:p>
                <w:p/>
                <w:p/>
                <w:p/>
                <w:p/>
                <w:p>
                  <w:r>
                    <w:t>Le (La) Chef(fe) d’établissement :</w:t>
                  </w:r>
                </w:p>
                <w:p>
                  <w:r>
                    <w:t>(NOM et signature)</w:t>
                  </w:r>
                </w:p>
                <w:p/>
                <w:p>
                  <w:r>
                    <w:br w:type="page"/>
                  </w:r>
                </w:p>
                <w:sdt>
                  <w:sdtPr>
                    <w:rPr>
                      <w:rFonts w:asciiTheme="majorHAnsi" w:eastAsiaTheme="minorHAnsi" w:hAnsiTheme="majorHAnsi"/>
                      <w:sz w:val="24"/>
                      <w:lang w:eastAsia="en-US"/>
                    </w:rPr>
                    <w:id w:val="-1226288555"/>
                    <w:docPartObj>
                      <w:docPartGallery w:val="Cover Pages"/>
                      <w:docPartUnique/>
                    </w:docPartObj>
                  </w:sdtPr>
                  <w:sdtEndPr>
                    <w:rPr>
                      <w:sz w:val="22"/>
                    </w:rPr>
                  </w:sdtEndPr>
                  <w:sdtContent>
                    <w:p>
                      <w:pPr>
                        <w:pStyle w:val="Sansinterligne"/>
                        <w:jc w:val="both"/>
                        <w:rPr>
                          <w:rFonts w:asciiTheme="majorHAnsi" w:hAnsiTheme="majorHAnsi"/>
                        </w:rPr>
                      </w:pPr>
                    </w:p>
                    <w:p>
                      <w:pPr>
                        <w:pStyle w:val="Titre2"/>
                      </w:pPr>
                      <w:bookmarkStart w:id="3336" w:name="_Chapitre_18_:"/>
                      <w:bookmarkStart w:id="3337" w:name="_Toc477623843"/>
                      <w:bookmarkStart w:id="3338" w:name="_Toc477767710"/>
                      <w:bookmarkStart w:id="3339" w:name="_Toc18914509"/>
                      <w:bookmarkEnd w:id="3336"/>
                      <w:r>
                        <w:t>Chapitre</w:t>
                      </w:r>
                      <w:bookmarkEnd w:id="3337"/>
                      <w:bookmarkEnd w:id="3338"/>
                      <w:r>
                        <w:t xml:space="preserve"> 18 :</w:t>
                      </w:r>
                      <w:bookmarkStart w:id="3340" w:name="_Toc477623844"/>
                      <w:bookmarkStart w:id="3341" w:name="_Toc477767711"/>
                      <w:r>
                        <w:t xml:space="preserve"> Introduction des demandes de dérogation d’âge</w:t>
                      </w:r>
                      <w:bookmarkEnd w:id="3340"/>
                      <w:bookmarkEnd w:id="3341"/>
                      <w:bookmarkEnd w:id="3339"/>
                    </w:p>
                    <w:p>
                      <w:pPr>
                        <w:jc w:val="both"/>
                      </w:pPr>
                    </w:p>
                    <w:p>
                      <w:pPr>
                        <w:jc w:val="both"/>
                        <w:rPr>
                          <w:rFonts w:eastAsiaTheme="minorEastAsia"/>
                          <w:lang w:eastAsia="fr-BE"/>
                        </w:rPr>
                      </w:pPr>
                    </w:p>
                    <w:p>
                      <w:pPr>
                        <w:jc w:val="both"/>
                        <w:rPr>
                          <w:rFonts w:eastAsiaTheme="minorEastAsia"/>
                          <w:lang w:eastAsia="fr-BE"/>
                        </w:rPr>
                      </w:pPr>
                    </w:p>
                    <w:p>
                      <w:pPr>
                        <w:jc w:val="both"/>
                        <w:rPr>
                          <w:rFonts w:eastAsiaTheme="minorEastAsia"/>
                          <w:lang w:eastAsia="fr-BE"/>
                        </w:rPr>
                      </w:pPr>
                    </w:p>
                    <w:p>
                      <w:pPr>
                        <w:jc w:val="both"/>
                        <w:rPr>
                          <w:rFonts w:eastAsiaTheme="minorEastAsia"/>
                          <w:lang w:eastAsia="fr-BE"/>
                        </w:rPr>
                      </w:pPr>
                    </w:p>
                  </w:sdtContent>
                </w:sdt>
                <w:p>
                  <w:pPr>
                    <w:jc w:val="both"/>
                    <w:rPr>
                      <w:b/>
                      <w:u w:val="single"/>
                    </w:rPr>
                  </w:pPr>
                  <w:r>
                    <w:rPr>
                      <w:b/>
                      <w:u w:val="single"/>
                    </w:rPr>
                    <w:t>Bases légales :</w:t>
                  </w:r>
                </w:p>
                <w:p>
                  <w:pPr>
                    <w:jc w:val="both"/>
                    <w:rPr>
                      <w:b/>
                      <w:u w:val="single"/>
                    </w:rPr>
                  </w:pPr>
                </w:p>
                <w:p>
                  <w:pPr>
                    <w:numPr>
                      <w:ilvl w:val="0"/>
                      <w:numId w:val="46"/>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pPr>
                  <w:hyperlink r:id="rId208" w:history="1">
                    <w:r>
                      <w:rPr>
                        <w:rStyle w:val="Lienhypertexte"/>
                        <w:rFonts w:cs="Arial"/>
                      </w:rPr>
                      <w:t>Décret du 3 mars 2004 organisant l’enseignement spécialisé</w:t>
                    </w:r>
                  </w:hyperlink>
                </w:p>
                <w:p>
                  <w:pPr>
                    <w:jc w:val="both"/>
                  </w:pPr>
                </w:p>
                <w:p>
                  <w:pPr>
                    <w:jc w:val="both"/>
                    <w:rPr>
                      <w:color w:val="000000"/>
                    </w:rPr>
                  </w:pPr>
                  <w:hyperlink w:anchor="_Annexe_1_:_17" w:history="1">
                    <w:r>
                      <w:rPr>
                        <w:rStyle w:val="Lienhypertexte"/>
                        <w:rFonts w:cstheme="minorBidi"/>
                      </w:rPr>
                      <w:t>L’annexe 1</w:t>
                    </w:r>
                  </w:hyperlink>
                  <w:r>
                    <w:t xml:space="preserve"> </w:t>
                  </w:r>
                  <w:r>
                    <w:rPr>
                      <w:color w:val="000000"/>
                    </w:rPr>
                    <w:t>est à renvoyer à l’adresse suivante :</w:t>
                  </w:r>
                </w:p>
                <w:p>
                  <w:pPr>
                    <w:jc w:val="both"/>
                    <w:rPr>
                      <w:color w:val="000000"/>
                    </w:rPr>
                  </w:pPr>
                </w:p>
                <w:p>
                  <w:pPr>
                    <w:jc w:val="center"/>
                    <w:rPr>
                      <w:color w:val="0000FF"/>
                      <w:u w:val="single"/>
                    </w:rPr>
                  </w:pPr>
                  <w:r>
                    <w:rPr>
                      <w:color w:val="0000FF"/>
                    </w:rPr>
                    <w:t>derogations_age_specialise@cfwb.be</w:t>
                  </w:r>
                </w:p>
                <w:p>
                  <w:pPr>
                    <w:widowControl w:val="0"/>
                    <w:tabs>
                      <w:tab w:val="left" w:pos="181"/>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s>
                    <w:ind w:right="-1"/>
                    <w:jc w:val="both"/>
                    <w:rPr>
                      <w:color w:val="000000"/>
                    </w:rPr>
                  </w:pPr>
                </w:p>
                <w:p>
                  <w:pPr>
                    <w:pBdr>
                      <w:top w:val="single" w:sz="4" w:space="1" w:color="auto"/>
                      <w:left w:val="single" w:sz="4" w:space="4" w:color="auto"/>
                      <w:bottom w:val="single" w:sz="4" w:space="1" w:color="auto"/>
                      <w:right w:val="single" w:sz="4" w:space="4" w:color="auto"/>
                    </w:pBdr>
                    <w:jc w:val="both"/>
                  </w:pPr>
                  <w:r>
                    <w:rPr>
                      <w:b/>
                      <w:u w:val="single"/>
                    </w:rPr>
                    <w:t>Remarque :</w:t>
                  </w:r>
                  <w:r>
                    <w:rPr>
                      <w:b/>
                    </w:rPr>
                    <w:t xml:space="preserve"> vous devez introduire l’annexe 1 par mail, en lieu et place de la voie postale, avec demande d’accusé de réception électronique.</w:t>
                  </w:r>
                </w:p>
                <w:p>
                  <w:pPr>
                    <w:widowControl w:val="0"/>
                    <w:ind w:right="-249"/>
                    <w:jc w:val="both"/>
                  </w:pPr>
                </w:p>
                <w:p>
                  <w:pPr>
                    <w:widowControl w:val="0"/>
                    <w:ind w:right="16"/>
                    <w:jc w:val="both"/>
                    <w:rPr>
                      <w:color w:val="000000"/>
                    </w:rPr>
                  </w:pPr>
                  <w:hyperlink w:anchor="_Annexe_2_:_2" w:history="1">
                    <w:r>
                      <w:rPr>
                        <w:rStyle w:val="Lienhypertexte"/>
                        <w:rFonts w:cs="Arial"/>
                      </w:rPr>
                      <w:t>L’annexe 2 </w:t>
                    </w:r>
                    <w:r>
                      <w:rPr>
                        <w:rStyle w:val="Lienhypertexte"/>
                        <w:rFonts w:cs="Arial"/>
                        <w:color w:val="000000"/>
                      </w:rPr>
                      <w:t>:</w:t>
                    </w:r>
                  </w:hyperlink>
                  <w:r>
                    <w:rPr>
                      <w:color w:val="000000"/>
                    </w:rPr>
                    <w:t xml:space="preserve"> demande de dérogation à l’inscription dès l’âge de cinq ans dans l’enseignement primaire spécialisé est à renvoyer à l’adresse suivante :</w:t>
                  </w:r>
                </w:p>
                <w:p>
                  <w:pPr>
                    <w:widowControl w:val="0"/>
                    <w:ind w:right="-249"/>
                    <w:jc w:val="both"/>
                    <w:rPr>
                      <w:color w:val="000000"/>
                    </w:rPr>
                  </w:pPr>
                </w:p>
                <w:p>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color w:val="000000"/>
                    </w:rPr>
                  </w:pPr>
                  <w:r>
                    <w:rPr>
                      <w:color w:val="000000"/>
                    </w:rPr>
                    <w:t>Service général de l’Inspection</w:t>
                  </w:r>
                </w:p>
                <w:p>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color w:val="000000"/>
                    </w:rPr>
                  </w:pPr>
                  <w:r>
                    <w:rPr>
                      <w:color w:val="000000"/>
                    </w:rPr>
                    <w:t>Service de l’Inspection de l’Enseignement spécialisé</w:t>
                  </w:r>
                </w:p>
                <w:p>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color w:val="000000"/>
                    </w:rPr>
                  </w:pPr>
                  <w:r>
                    <w:rPr>
                      <w:color w:val="000000"/>
                    </w:rPr>
                    <w:t>Monsieur l’Inspecteur coordonnateur Pierre FENAILLE</w:t>
                  </w:r>
                </w:p>
                <w:p>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Bureau 3P05</w:t>
                  </w:r>
                </w:p>
                <w:p>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Avenue du Port, 16</w:t>
                  </w:r>
                </w:p>
                <w:p>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1080  BRUXELLES</w:t>
                  </w:r>
                </w:p>
                <w:p>
                  <w:pPr>
                    <w:pBdr>
                      <w:top w:val="single" w:sz="4" w:space="1" w:color="auto"/>
                      <w:left w:val="single" w:sz="4" w:space="4" w:color="auto"/>
                      <w:bottom w:val="single" w:sz="4" w:space="1" w:color="auto"/>
                      <w:right w:val="single" w:sz="4" w:space="4" w:color="auto"/>
                    </w:pBdr>
                    <w:jc w:val="center"/>
                    <w:rPr>
                      <w:color w:val="000000"/>
                    </w:rPr>
                  </w:pPr>
                  <w:r>
                    <w:rPr>
                      <w:color w:val="000000"/>
                    </w:rPr>
                    <w:sym w:font="Wingdings" w:char="F028"/>
                  </w:r>
                  <w:r>
                    <w:rPr>
                      <w:color w:val="000000"/>
                    </w:rPr>
                    <w:t xml:space="preserve"> : 02/690.80.92 - </w:t>
                  </w:r>
                  <w:r>
                    <w:rPr>
                      <w:bCs/>
                      <w:color w:val="000000"/>
                    </w:rPr>
                    <w:sym w:font="Wingdings" w:char="F03A"/>
                  </w:r>
                  <w:r>
                    <w:rPr>
                      <w:bCs/>
                      <w:color w:val="000000"/>
                    </w:rPr>
                    <w:t> :</w:t>
                  </w:r>
                  <w:r>
                    <w:rPr>
                      <w:color w:val="000000"/>
                    </w:rPr>
                    <w:t xml:space="preserve"> </w:t>
                  </w:r>
                  <w:hyperlink r:id="rId209" w:history="1">
                    <w:r>
                      <w:rPr>
                        <w:rStyle w:val="Lienhypertexte"/>
                        <w:rFonts w:cs="Arial"/>
                      </w:rPr>
                      <w:t>pierre.fenaille@cfwb.be</w:t>
                    </w:r>
                  </w:hyperlink>
                  <w:r>
                    <w:rPr>
                      <w:color w:val="000000"/>
                    </w:rPr>
                    <w:t xml:space="preserve"> </w:t>
                  </w:r>
                </w:p>
                <w:p>
                  <w:pPr>
                    <w:widowControl w:val="0"/>
                    <w:ind w:right="-249"/>
                  </w:pPr>
                </w:p>
                <w:p>
                  <w:pPr>
                    <w:pStyle w:val="Titre3"/>
                  </w:pPr>
                  <w:bookmarkStart w:id="3342" w:name="_1._Dispositions_générales"/>
                  <w:bookmarkStart w:id="3343" w:name="_Toc453314560"/>
                  <w:bookmarkStart w:id="3344" w:name="_Toc454980592"/>
                  <w:bookmarkStart w:id="3345" w:name="_Toc18914510"/>
                  <w:bookmarkEnd w:id="3342"/>
                  <w:r>
                    <w:t>1. Dispositions générales</w:t>
                  </w:r>
                  <w:bookmarkEnd w:id="3343"/>
                  <w:bookmarkEnd w:id="3344"/>
                  <w:bookmarkEnd w:id="3345"/>
                </w:p>
                <w:p>
                  <w:pPr>
                    <w:widowControl w:val="0"/>
                    <w:ind w:right="16"/>
                    <w:jc w:val="both"/>
                  </w:pPr>
                </w:p>
                <w:p>
                  <w:pPr>
                    <w:widowControl w:val="0"/>
                    <w:ind w:right="16"/>
                    <w:jc w:val="both"/>
                  </w:pPr>
                  <w:r>
                    <w:t>Les maintiens dans l’enseignement maternel et primaire relèvent de la compétence du Conseil de classe assisté de l’organisme chargé de la guidance (</w:t>
                  </w:r>
                  <w:hyperlink w:anchor="_Chapitre_15_:" w:history="1">
                    <w:r>
                      <w:rPr>
                        <w:rStyle w:val="Lienhypertexte"/>
                        <w:rFonts w:cstheme="minorBidi"/>
                      </w:rPr>
                      <w:t xml:space="preserve">voir </w:t>
                    </w:r>
                    <w:r>
                      <w:rPr>
                        <w:rStyle w:val="Lienhypertexte"/>
                        <w:rFonts w:cs="Arial"/>
                      </w:rPr>
                      <w:t>chapitre 15</w:t>
                    </w:r>
                  </w:hyperlink>
                  <w:r>
                    <w:t>)</w:t>
                  </w:r>
                </w:p>
                <w:p>
                  <w:pPr>
                    <w:widowControl w:val="0"/>
                    <w:ind w:right="16"/>
                    <w:jc w:val="both"/>
                  </w:pPr>
                </w:p>
                <w:p>
                  <w:pPr>
                    <w:jc w:val="both"/>
                  </w:pPr>
                  <w:r>
                    <w:t>Toutefois, le Décret du 3 mars 2004 organisant l'Enseignement spécialisé prévoit certaines dérogations d’âges prévues en ses articles 13, 14 et 15 §1</w:t>
                  </w:r>
                  <w:r>
                    <w:rPr>
                      <w:vertAlign w:val="superscript"/>
                    </w:rPr>
                    <w:t>er</w:t>
                  </w:r>
                  <w:r>
                    <w:t>.</w:t>
                  </w:r>
                </w:p>
                <w:p>
                  <w:bookmarkStart w:id="3346" w:name="_Toc453314561"/>
                  <w:bookmarkStart w:id="3347" w:name="_Toc454980593"/>
                </w:p>
                <w:p>
                  <w:pPr>
                    <w:pStyle w:val="Titre3"/>
                  </w:pPr>
                  <w:bookmarkStart w:id="3348" w:name="_Toc18914511"/>
                  <w:r>
                    <w:t>2. Types de dérogation</w:t>
                  </w:r>
                  <w:bookmarkEnd w:id="3346"/>
                  <w:bookmarkEnd w:id="3347"/>
                  <w:bookmarkEnd w:id="3348"/>
                </w:p>
                <w:p>
                  <w:pPr>
                    <w:jc w:val="both"/>
                  </w:pPr>
                </w:p>
                <w:p>
                  <w:pPr>
                    <w:pStyle w:val="Titre4"/>
                  </w:pPr>
                  <w:bookmarkStart w:id="3349" w:name="_Toc453314562"/>
                  <w:bookmarkStart w:id="3350" w:name="_Toc454980594"/>
                  <w:r>
                    <w:t>2.1. Demande de dérogation pour les élèves de moins de 2 ans et six mois</w:t>
                  </w:r>
                  <w:bookmarkEnd w:id="3349"/>
                  <w:bookmarkEnd w:id="3350"/>
                  <w:r>
                    <w:t xml:space="preserve"> </w:t>
                  </w:r>
                </w:p>
                <w:p>
                  <w:pPr>
                    <w:jc w:val="both"/>
                    <w:rPr>
                      <w:color w:val="000000"/>
                    </w:rPr>
                  </w:pPr>
                </w:p>
                <w:p>
                  <w:pPr>
                    <w:jc w:val="both"/>
                  </w:pPr>
                  <w:r>
                    <w:rPr>
                      <w:color w:val="000000"/>
                    </w:rPr>
                    <w:t xml:space="preserve">L’Administration </w:t>
                  </w:r>
                  <w:r>
                    <w:t>peut autoriser l’accès à l’enseignement spécialisé de type 7 avant deux ans et six mois à un enfant malentendant ou sourd, lorsqu’un rapport émanant d’un service d’aide précoce ou d’un centre d’audiophonologie établit l’absolue nécessité de la scolarisation.</w:t>
                  </w:r>
                </w:p>
                <w:p>
                  <w:pPr>
                    <w:pStyle w:val="Normalcentr1"/>
                    <w:ind w:left="0" w:right="16"/>
                    <w:rPr>
                      <w:rFonts w:asciiTheme="majorHAnsi" w:hAnsiTheme="majorHAnsi"/>
                      <w:szCs w:val="22"/>
                    </w:rPr>
                  </w:pPr>
                </w:p>
                <w:p>
                  <w:pPr>
                    <w:pStyle w:val="Titre5"/>
                  </w:pPr>
                  <w:bookmarkStart w:id="3351" w:name="_2.1.1._Introduction_de"/>
                  <w:bookmarkStart w:id="3352" w:name="_Toc453314563"/>
                  <w:bookmarkStart w:id="3353" w:name="_Toc454980595"/>
                  <w:bookmarkEnd w:id="3351"/>
                  <w:r>
                    <w:t xml:space="preserve">2.1.1. Introduction de la demande de dérogation </w:t>
                  </w:r>
                  <w:r>
                    <w:rPr>
                      <w:iCs/>
                    </w:rPr>
                    <w:t>pour les élèves de moins de 2 ans et six mois</w:t>
                  </w:r>
                  <w:bookmarkEnd w:id="3352"/>
                  <w:bookmarkEnd w:id="3353"/>
                </w:p>
                <w:p>
                  <w:pPr>
                    <w:pStyle w:val="Normalcentr1"/>
                    <w:ind w:left="0" w:right="16"/>
                    <w:jc w:val="both"/>
                    <w:rPr>
                      <w:rFonts w:asciiTheme="majorHAnsi" w:hAnsiTheme="majorHAnsi"/>
                      <w:szCs w:val="22"/>
                    </w:rPr>
                  </w:pPr>
                </w:p>
                <w:p>
                  <w:pPr>
                    <w:widowControl w:val="0"/>
                    <w:tabs>
                      <w:tab w:val="left" w:pos="714"/>
                    </w:tabs>
                    <w:ind w:right="-1"/>
                    <w:jc w:val="both"/>
                    <w:rPr>
                      <w:i/>
                    </w:rPr>
                  </w:pPr>
                  <w:r>
                    <w:rPr>
                      <w:b/>
                    </w:rPr>
                    <w:t xml:space="preserve">Le chef d’établissement </w:t>
                  </w:r>
                  <w:r>
                    <w:t>remplit l'</w:t>
                  </w:r>
                  <w:r>
                    <w:fldChar w:fldCharType="begin"/>
                  </w:r>
                  <w:r>
                    <w:instrText xml:space="preserve"> REF _Ref11402990 \h </w:instrText>
                  </w:r>
                  <w:r>
                    <w:fldChar w:fldCharType="separate"/>
                  </w:r>
                  <w:r>
                    <w:t>Annexe 1 : Demande de dérogation pour un élève malentendant âgé de moins de deux ans et six mois</w:t>
                  </w:r>
                  <w:r>
                    <w:fldChar w:fldCharType="end"/>
                  </w:r>
                  <w:r>
                    <w:t>en</w:t>
                  </w:r>
                  <w:r>
                    <w:rPr>
                      <w:b/>
                    </w:rPr>
                    <w:t xml:space="preserve"> 1 SEUL exemplaire</w:t>
                  </w:r>
                  <w:r>
                    <w:t xml:space="preserve">. Cette dernière est introduite dès que la nécessité est constatée à l’adresse mentionnée </w:t>
                  </w:r>
                  <w:r>
                    <w:rPr>
                      <w:i/>
                    </w:rPr>
                    <w:t>supra.</w:t>
                  </w:r>
                </w:p>
                <w:p>
                  <w:pPr>
                    <w:widowControl w:val="0"/>
                    <w:tabs>
                      <w:tab w:val="left" w:pos="714"/>
                    </w:tabs>
                    <w:ind w:right="-1"/>
                    <w:jc w:val="both"/>
                    <w:rPr>
                      <w:i/>
                    </w:rPr>
                  </w:pPr>
                </w:p>
                <w:p>
                  <w:pPr>
                    <w:widowControl w:val="0"/>
                    <w:tabs>
                      <w:tab w:val="left" w:pos="714"/>
                    </w:tabs>
                    <w:ind w:right="-1"/>
                    <w:jc w:val="both"/>
                  </w:pPr>
                  <w:r>
                    <w:t xml:space="preserve">L’annexe doit être signée </w:t>
                  </w:r>
                  <w:r>
                    <w:rPr>
                      <w:color w:val="000000"/>
                    </w:rPr>
                    <w:t>par les parents ou la personne investie de l’autorité parentale</w:t>
                  </w:r>
                  <w:r>
                    <w:t xml:space="preserve"> et être accompagnée par le protocole d’un service d’aide précoce ou d’un centre d’audiophonologie afin d’être prise en considération.</w:t>
                  </w:r>
                </w:p>
                <w:p>
                  <w:pPr>
                    <w:pStyle w:val="Normalcentr1"/>
                    <w:ind w:left="0" w:right="16"/>
                    <w:jc w:val="both"/>
                    <w:rPr>
                      <w:rFonts w:asciiTheme="majorHAnsi" w:hAnsiTheme="majorHAnsi"/>
                      <w:szCs w:val="22"/>
                    </w:rPr>
                  </w:pPr>
                </w:p>
                <w:p>
                  <w:pPr>
                    <w:pStyle w:val="Titre4"/>
                  </w:pPr>
                  <w:bookmarkStart w:id="3354" w:name="_3.2._Demandes_de"/>
                  <w:bookmarkStart w:id="3355" w:name="_2.2._Demande_de"/>
                  <w:bookmarkStart w:id="3356" w:name="_Toc453314564"/>
                  <w:bookmarkStart w:id="3357" w:name="_Toc454980596"/>
                  <w:bookmarkEnd w:id="3354"/>
                  <w:bookmarkEnd w:id="3355"/>
                  <w:r>
                    <w:rPr>
                      <w:bCs/>
                    </w:rPr>
                    <w:t xml:space="preserve">2.2. </w:t>
                  </w:r>
                  <w:r>
                    <w:t>Demande de dérogation à l’inscription dès l’âge de 5 ans dans l’enseignement primaire spécialisé</w:t>
                  </w:r>
                  <w:bookmarkEnd w:id="3356"/>
                  <w:bookmarkEnd w:id="3357"/>
                </w:p>
                <w:p>
                  <w:pPr>
                    <w:ind w:right="-1"/>
                    <w:jc w:val="both"/>
                  </w:pPr>
                </w:p>
                <w:p>
                  <w:pPr>
                    <w:ind w:right="-1"/>
                    <w:jc w:val="both"/>
                    <w:rPr>
                      <w:b/>
                      <w:bCs/>
                      <w:u w:val="single"/>
                    </w:rPr>
                  </w:pPr>
                  <w:r>
                    <w:t>A titre exceptionnel et dans l'intérêt de l'enfant, si les conditions prévues à l'article 1er, § 4 de la loi du 29 juin 1983 relative à l'obligation scolaire sont respectées, l’Administration peut autoriser un élève à fréquenter l'enseignement primaire spécialisé dès l'âge de 5 ans.</w:t>
                  </w:r>
                </w:p>
                <w:p>
                  <w:pPr>
                    <w:ind w:right="-1"/>
                    <w:jc w:val="both"/>
                    <w:rPr>
                      <w:b/>
                      <w:bCs/>
                      <w:u w:val="single"/>
                    </w:rPr>
                  </w:pPr>
                </w:p>
                <w:p>
                  <w:pPr>
                    <w:pStyle w:val="Titre5"/>
                  </w:pPr>
                  <w:bookmarkStart w:id="3358" w:name="_Toc453314565"/>
                  <w:bookmarkStart w:id="3359" w:name="_Toc454980597"/>
                  <w:r>
                    <w:rPr>
                      <w:bCs/>
                    </w:rPr>
                    <w:t xml:space="preserve">2.2.1. Introduction de la demande de dérogation </w:t>
                  </w:r>
                  <w:r>
                    <w:t>à l’inscription dès l’âge de 5 ans dans l’enseignement primaire spécialisé</w:t>
                  </w:r>
                  <w:bookmarkEnd w:id="3358"/>
                  <w:bookmarkEnd w:id="3359"/>
                </w:p>
                <w:p>
                  <w:pPr>
                    <w:ind w:right="-1"/>
                    <w:jc w:val="both"/>
                    <w:rPr>
                      <w:b/>
                      <w:bCs/>
                      <w:u w:val="single"/>
                    </w:rPr>
                  </w:pPr>
                </w:p>
                <w:p>
                  <w:pPr>
                    <w:widowControl w:val="0"/>
                    <w:tabs>
                      <w:tab w:val="left" w:pos="714"/>
                    </w:tabs>
                    <w:ind w:right="-1"/>
                    <w:jc w:val="both"/>
                    <w:rPr>
                      <w:i/>
                    </w:rPr>
                  </w:pPr>
                  <w:r>
                    <w:rPr>
                      <w:b/>
                    </w:rPr>
                    <w:t>Le chef d’établissement</w:t>
                  </w:r>
                  <w:r>
                    <w:t xml:space="preserve"> remplit </w:t>
                  </w:r>
                  <w:hyperlink w:anchor="_Annexe_2_:_6" w:history="1">
                    <w:r>
                      <w:rPr>
                        <w:rStyle w:val="Lienhypertexte"/>
                        <w:rFonts w:cstheme="minorBidi"/>
                      </w:rPr>
                      <w:t>l’Annexe 2</w:t>
                    </w:r>
                  </w:hyperlink>
                  <w:r>
                    <w:rPr>
                      <w:rStyle w:val="Lienhypertexte"/>
                      <w:rFonts w:cs="Arial"/>
                      <w:highlight w:val="yellow"/>
                    </w:rPr>
                    <w:fldChar w:fldCharType="begin"/>
                  </w:r>
                  <w:r>
                    <w:rPr>
                      <w:rStyle w:val="Lienhypertexte"/>
                      <w:rFonts w:cs="Arial"/>
                      <w:highlight w:val="yellow"/>
                    </w:rPr>
                    <w:instrText xml:space="preserve"> REF _Ref11402787 \h </w:instrText>
                  </w:r>
                  <w:r>
                    <w:rPr>
                      <w:rStyle w:val="Lienhypertexte"/>
                      <w:rFonts w:cs="Arial"/>
                      <w:highlight w:val="yellow"/>
                    </w:rPr>
                  </w:r>
                  <w:r>
                    <w:rPr>
                      <w:rStyle w:val="Lienhypertexte"/>
                      <w:rFonts w:cs="Arial"/>
                      <w:highlight w:val="yellow"/>
                    </w:rPr>
                    <w:fldChar w:fldCharType="separate"/>
                  </w:r>
                  <w:r>
                    <w:t>Annexe 2 : Demande de dérogation à l’inscription dès l’âge de cinq ans dans l’enseignement primaire spécialisé</w:t>
                  </w:r>
                  <w:r>
                    <w:rPr>
                      <w:rStyle w:val="Lienhypertexte"/>
                      <w:rFonts w:cs="Arial"/>
                      <w:highlight w:val="yellow"/>
                    </w:rPr>
                    <w:fldChar w:fldCharType="end"/>
                  </w:r>
                  <w:r>
                    <w:t xml:space="preserve"> en</w:t>
                  </w:r>
                  <w:r>
                    <w:rPr>
                      <w:b/>
                    </w:rPr>
                    <w:t xml:space="preserve"> 1 SEUL exemplaire</w:t>
                  </w:r>
                  <w:r>
                    <w:t xml:space="preserve">. La demande est introduite auprès du Service de l’Inspection de l’enseignement spécialisé dès que la nécessité est constatée à l’adresse mentionnée </w:t>
                  </w:r>
                  <w:r>
                    <w:rPr>
                      <w:i/>
                    </w:rPr>
                    <w:t>supra.</w:t>
                  </w:r>
                </w:p>
                <w:p>
                  <w:pPr>
                    <w:widowControl w:val="0"/>
                    <w:tabs>
                      <w:tab w:val="left" w:pos="714"/>
                    </w:tabs>
                    <w:ind w:right="-1"/>
                    <w:jc w:val="both"/>
                    <w:rPr>
                      <w:i/>
                    </w:rPr>
                  </w:pPr>
                </w:p>
                <w:p>
                  <w:pPr>
                    <w:widowControl w:val="0"/>
                    <w:ind w:right="-1"/>
                    <w:jc w:val="both"/>
                  </w:pPr>
                  <w:r>
                    <w:rPr>
                      <w:color w:val="000000"/>
                    </w:rPr>
                    <w:t>Les parents ou la personne investie de l’autorité parentale doivent/doit</w:t>
                  </w:r>
                  <w:r>
                    <w:t xml:space="preserve"> signer l’annexe.</w:t>
                  </w:r>
                </w:p>
                <w:p>
                  <w:pPr>
                    <w:widowControl w:val="0"/>
                    <w:tabs>
                      <w:tab w:val="left" w:pos="714"/>
                    </w:tabs>
                    <w:ind w:right="-1"/>
                    <w:jc w:val="both"/>
                    <w:rPr>
                      <w:i/>
                    </w:rPr>
                  </w:pPr>
                </w:p>
                <w:p>
                  <w:pPr>
                    <w:pStyle w:val="Titre3"/>
                  </w:pPr>
                  <w:bookmarkStart w:id="3360" w:name="_2.3._Demandes_de"/>
                  <w:bookmarkStart w:id="3361" w:name="_Toc453314570"/>
                  <w:bookmarkStart w:id="3362" w:name="_Toc454980602"/>
                  <w:bookmarkStart w:id="3363" w:name="_Toc18914512"/>
                  <w:bookmarkEnd w:id="3360"/>
                  <w:r>
                    <w:t>3. Annexes</w:t>
                  </w:r>
                  <w:bookmarkEnd w:id="3361"/>
                  <w:bookmarkEnd w:id="3362"/>
                  <w:bookmarkEnd w:id="3363"/>
                </w:p>
                <w:p>
                  <w:pPr>
                    <w:pStyle w:val="Titre4"/>
                  </w:pPr>
                  <w:bookmarkStart w:id="3364" w:name="_Annexe_1_:_17"/>
                  <w:bookmarkEnd w:id="3364"/>
                  <w:r>
                    <w:br w:type="page"/>
                  </w:r>
                  <w:bookmarkStart w:id="3365" w:name="_Toc453314571"/>
                  <w:bookmarkStart w:id="3366" w:name="_Toc454980603"/>
                  <w:bookmarkStart w:id="3367" w:name="_Ref11402914"/>
                  <w:bookmarkStart w:id="3368" w:name="_Ref11402990"/>
                  <w:bookmarkStart w:id="3369" w:name="_Ref11403304"/>
                  <w:r>
                    <w:t>Annexe 1 : Demande de dérogation pour un élève malentendant âgé de moins de deux ans et six mois</w:t>
                  </w:r>
                  <w:bookmarkEnd w:id="3365"/>
                  <w:bookmarkEnd w:id="3366"/>
                  <w:bookmarkEnd w:id="3367"/>
                  <w:bookmarkEnd w:id="3368"/>
                  <w:bookmarkEnd w:id="3369"/>
                </w:p>
                <w:p>
                  <w:pPr>
                    <w:rPr>
                      <w:b/>
                    </w:rPr>
                  </w:pPr>
                </w:p>
                <w:p>
                  <w:pPr>
                    <w:jc w:val="center"/>
                    <w:rPr>
                      <w:b/>
                    </w:rPr>
                  </w:pPr>
                  <w:r>
                    <w:rPr>
                      <w:b/>
                    </w:rPr>
                    <w:t>ETABLISSEMENT SCOLAIRE INTRODUISANT LA DEMANDE :</w:t>
                  </w:r>
                </w:p>
                <w:p>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tc>
                      <w:tcPr>
                        <w:tcW w:w="4606" w:type="dxa"/>
                      </w:tcPr>
                      <w:p>
                        <w:pPr>
                          <w:jc w:val="center"/>
                          <w:rPr>
                            <w:b/>
                          </w:rPr>
                        </w:pPr>
                        <w:r>
                          <w:rPr>
                            <w:b/>
                          </w:rPr>
                          <w:t>NOM de la Direction</w:t>
                        </w:r>
                      </w:p>
                    </w:tc>
                    <w:tc>
                      <w:tcPr>
                        <w:tcW w:w="4606" w:type="dxa"/>
                      </w:tcPr>
                      <w:p>
                        <w:pPr>
                          <w:jc w:val="center"/>
                          <w:rPr>
                            <w:b/>
                          </w:rPr>
                        </w:pPr>
                      </w:p>
                    </w:tc>
                  </w:tr>
                  <w:tr>
                    <w:tc>
                      <w:tcPr>
                        <w:tcW w:w="4606" w:type="dxa"/>
                      </w:tcPr>
                      <w:p>
                        <w:pPr>
                          <w:jc w:val="center"/>
                          <w:rPr>
                            <w:b/>
                          </w:rPr>
                        </w:pPr>
                        <w:r>
                          <w:t>Prénom de la Direction</w:t>
                        </w:r>
                      </w:p>
                    </w:tc>
                    <w:tc>
                      <w:tcPr>
                        <w:tcW w:w="4606" w:type="dxa"/>
                      </w:tcPr>
                      <w:p>
                        <w:pPr>
                          <w:jc w:val="center"/>
                          <w:rPr>
                            <w:b/>
                          </w:rPr>
                        </w:pPr>
                      </w:p>
                    </w:tc>
                  </w:tr>
                  <w:tr>
                    <w:tc>
                      <w:tcPr>
                        <w:tcW w:w="4606" w:type="dxa"/>
                      </w:tcPr>
                      <w:p>
                        <w:pPr>
                          <w:jc w:val="center"/>
                        </w:pPr>
                        <w:r>
                          <w:t>Numéro FASE</w:t>
                        </w:r>
                      </w:p>
                    </w:tc>
                    <w:tc>
                      <w:tcPr>
                        <w:tcW w:w="4606" w:type="dxa"/>
                      </w:tcPr>
                      <w:p>
                        <w:pPr>
                          <w:jc w:val="center"/>
                          <w:rPr>
                            <w:b/>
                          </w:rPr>
                        </w:pPr>
                      </w:p>
                    </w:tc>
                  </w:tr>
                  <w:tr>
                    <w:tc>
                      <w:tcPr>
                        <w:tcW w:w="4606" w:type="dxa"/>
                      </w:tcPr>
                      <w:p>
                        <w:pPr>
                          <w:jc w:val="center"/>
                        </w:pPr>
                        <w:r>
                          <w:t>Adresse</w:t>
                        </w:r>
                      </w:p>
                    </w:tc>
                    <w:tc>
                      <w:tcPr>
                        <w:tcW w:w="4606" w:type="dxa"/>
                      </w:tcPr>
                      <w:p>
                        <w:pPr>
                          <w:jc w:val="center"/>
                          <w:rPr>
                            <w:b/>
                          </w:rPr>
                        </w:pPr>
                      </w:p>
                    </w:tc>
                  </w:tr>
                  <w:tr>
                    <w:tc>
                      <w:tcPr>
                        <w:tcW w:w="4606" w:type="dxa"/>
                      </w:tcPr>
                      <w:p>
                        <w:pPr>
                          <w:jc w:val="center"/>
                        </w:pPr>
                        <w:r>
                          <w:t>CP &amp; LOCALITE</w:t>
                        </w:r>
                      </w:p>
                    </w:tc>
                    <w:tc>
                      <w:tcPr>
                        <w:tcW w:w="4606" w:type="dxa"/>
                      </w:tcPr>
                      <w:p>
                        <w:pPr>
                          <w:jc w:val="center"/>
                          <w:rPr>
                            <w:b/>
                          </w:rPr>
                        </w:pPr>
                      </w:p>
                    </w:tc>
                  </w:tr>
                  <w:tr>
                    <w:tc>
                      <w:tcPr>
                        <w:tcW w:w="4606" w:type="dxa"/>
                      </w:tcPr>
                      <w:p>
                        <w:pPr>
                          <w:jc w:val="center"/>
                        </w:pPr>
                        <w:r>
                          <w:t>Numéro de téléphone</w:t>
                        </w:r>
                      </w:p>
                    </w:tc>
                    <w:tc>
                      <w:tcPr>
                        <w:tcW w:w="4606" w:type="dxa"/>
                      </w:tcPr>
                      <w:p>
                        <w:pPr>
                          <w:jc w:val="center"/>
                          <w:rPr>
                            <w:b/>
                          </w:rPr>
                        </w:pPr>
                      </w:p>
                    </w:tc>
                  </w:tr>
                </w:tbl>
                <w:p>
                  <w:pPr>
                    <w:rPr>
                      <w:b/>
                    </w:rPr>
                  </w:pPr>
                </w:p>
                <w:p>
                  <w:pPr>
                    <w:jc w:val="center"/>
                    <w:rPr>
                      <w:b/>
                    </w:rPr>
                  </w:pPr>
                  <w:r>
                    <w:rPr>
                      <w:b/>
                    </w:rPr>
                    <w:t>RESPONSABLE AYANT PRIS EN CHARGE LE DOSSIER DE L’ELEVE :</w:t>
                  </w:r>
                </w:p>
                <w:p>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tc>
                      <w:tcPr>
                        <w:tcW w:w="4606" w:type="dxa"/>
                      </w:tcPr>
                      <w:p>
                        <w:pPr>
                          <w:jc w:val="center"/>
                          <w:rPr>
                            <w:b/>
                          </w:rPr>
                        </w:pPr>
                        <w:r>
                          <w:rPr>
                            <w:b/>
                          </w:rPr>
                          <w:t xml:space="preserve">NOM </w:t>
                        </w:r>
                      </w:p>
                    </w:tc>
                    <w:tc>
                      <w:tcPr>
                        <w:tcW w:w="4606" w:type="dxa"/>
                      </w:tcPr>
                      <w:p>
                        <w:pPr>
                          <w:jc w:val="center"/>
                          <w:rPr>
                            <w:b/>
                          </w:rPr>
                        </w:pPr>
                      </w:p>
                    </w:tc>
                  </w:tr>
                  <w:tr>
                    <w:tc>
                      <w:tcPr>
                        <w:tcW w:w="4606" w:type="dxa"/>
                      </w:tcPr>
                      <w:p>
                        <w:pPr>
                          <w:jc w:val="center"/>
                          <w:rPr>
                            <w:b/>
                          </w:rPr>
                        </w:pPr>
                        <w:r>
                          <w:t xml:space="preserve">Prénom </w:t>
                        </w:r>
                      </w:p>
                    </w:tc>
                    <w:tc>
                      <w:tcPr>
                        <w:tcW w:w="4606" w:type="dxa"/>
                      </w:tcPr>
                      <w:p>
                        <w:pPr>
                          <w:jc w:val="center"/>
                          <w:rPr>
                            <w:b/>
                          </w:rPr>
                        </w:pPr>
                      </w:p>
                    </w:tc>
                  </w:tr>
                  <w:tr>
                    <w:tc>
                      <w:tcPr>
                        <w:tcW w:w="4606" w:type="dxa"/>
                      </w:tcPr>
                      <w:p>
                        <w:pPr>
                          <w:jc w:val="center"/>
                        </w:pPr>
                        <w:r>
                          <w:t>Fonction</w:t>
                        </w:r>
                      </w:p>
                    </w:tc>
                    <w:tc>
                      <w:tcPr>
                        <w:tcW w:w="4606" w:type="dxa"/>
                      </w:tcPr>
                      <w:p>
                        <w:pPr>
                          <w:jc w:val="center"/>
                          <w:rPr>
                            <w:b/>
                          </w:rPr>
                        </w:pPr>
                      </w:p>
                    </w:tc>
                  </w:tr>
                  <w:tr>
                    <w:tc>
                      <w:tcPr>
                        <w:tcW w:w="4606" w:type="dxa"/>
                      </w:tcPr>
                      <w:p>
                        <w:pPr>
                          <w:jc w:val="center"/>
                        </w:pPr>
                        <w:r>
                          <w:t>Numéro de téléphone</w:t>
                        </w:r>
                      </w:p>
                    </w:tc>
                    <w:tc>
                      <w:tcPr>
                        <w:tcW w:w="4606" w:type="dxa"/>
                      </w:tcPr>
                      <w:p>
                        <w:pPr>
                          <w:jc w:val="center"/>
                          <w:rPr>
                            <w:b/>
                          </w:rPr>
                        </w:pPr>
                      </w:p>
                    </w:tc>
                  </w:tr>
                </w:tbl>
                <w:p>
                  <w:pPr>
                    <w:rPr>
                      <w:b/>
                    </w:rPr>
                  </w:pPr>
                </w:p>
                <w:p>
                  <w:pPr>
                    <w:jc w:val="center"/>
                    <w:rPr>
                      <w:b/>
                    </w:rPr>
                  </w:pPr>
                  <w:r>
                    <w:rPr>
                      <w:b/>
                    </w:rPr>
                    <w:t>ELEVE :</w:t>
                  </w:r>
                </w:p>
                <w:p>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tc>
                      <w:tcPr>
                        <w:tcW w:w="4606" w:type="dxa"/>
                      </w:tcPr>
                      <w:p>
                        <w:pPr>
                          <w:jc w:val="center"/>
                          <w:rPr>
                            <w:b/>
                          </w:rPr>
                        </w:pPr>
                        <w:r>
                          <w:rPr>
                            <w:b/>
                          </w:rPr>
                          <w:t xml:space="preserve">NOM </w:t>
                        </w:r>
                      </w:p>
                    </w:tc>
                    <w:tc>
                      <w:tcPr>
                        <w:tcW w:w="4606" w:type="dxa"/>
                      </w:tcPr>
                      <w:p>
                        <w:pPr>
                          <w:jc w:val="center"/>
                          <w:rPr>
                            <w:b/>
                          </w:rPr>
                        </w:pPr>
                      </w:p>
                    </w:tc>
                  </w:tr>
                  <w:tr>
                    <w:tc>
                      <w:tcPr>
                        <w:tcW w:w="4606" w:type="dxa"/>
                      </w:tcPr>
                      <w:p>
                        <w:pPr>
                          <w:jc w:val="center"/>
                          <w:rPr>
                            <w:b/>
                          </w:rPr>
                        </w:pPr>
                        <w:r>
                          <w:t xml:space="preserve">Prénom </w:t>
                        </w:r>
                      </w:p>
                    </w:tc>
                    <w:tc>
                      <w:tcPr>
                        <w:tcW w:w="4606" w:type="dxa"/>
                      </w:tcPr>
                      <w:p>
                        <w:pPr>
                          <w:jc w:val="center"/>
                          <w:rPr>
                            <w:b/>
                          </w:rPr>
                        </w:pPr>
                      </w:p>
                    </w:tc>
                  </w:tr>
                  <w:tr>
                    <w:tc>
                      <w:tcPr>
                        <w:tcW w:w="4606" w:type="dxa"/>
                      </w:tcPr>
                      <w:p>
                        <w:pPr>
                          <w:jc w:val="center"/>
                        </w:pPr>
                        <w:r>
                          <w:t>Type d’enseignement</w:t>
                        </w:r>
                      </w:p>
                    </w:tc>
                    <w:tc>
                      <w:tcPr>
                        <w:tcW w:w="4606" w:type="dxa"/>
                      </w:tcPr>
                      <w:p>
                        <w:pPr>
                          <w:jc w:val="center"/>
                          <w:rPr>
                            <w:b/>
                          </w:rPr>
                        </w:pPr>
                      </w:p>
                    </w:tc>
                  </w:tr>
                  <w:tr>
                    <w:tc>
                      <w:tcPr>
                        <w:tcW w:w="4606" w:type="dxa"/>
                      </w:tcPr>
                      <w:p>
                        <w:pPr>
                          <w:jc w:val="center"/>
                        </w:pPr>
                        <w:r>
                          <w:t>Sexe</w:t>
                        </w:r>
                      </w:p>
                    </w:tc>
                    <w:tc>
                      <w:tcPr>
                        <w:tcW w:w="4606" w:type="dxa"/>
                      </w:tcPr>
                      <w:p>
                        <w:pPr>
                          <w:jc w:val="center"/>
                          <w:rPr>
                            <w:b/>
                          </w:rPr>
                        </w:pPr>
                      </w:p>
                    </w:tc>
                  </w:tr>
                  <w:tr>
                    <w:tc>
                      <w:tcPr>
                        <w:tcW w:w="4606" w:type="dxa"/>
                      </w:tcPr>
                      <w:p>
                        <w:pPr>
                          <w:widowControl w:val="0"/>
                          <w:tabs>
                            <w:tab w:val="left" w:pos="-1056"/>
                            <w:tab w:val="left" w:pos="-348"/>
                          </w:tabs>
                          <w:snapToGrid w:val="0"/>
                          <w:jc w:val="center"/>
                        </w:pPr>
                        <w:r>
                          <w:t>Date de naissance</w:t>
                        </w:r>
                      </w:p>
                    </w:tc>
                    <w:tc>
                      <w:tcPr>
                        <w:tcW w:w="4606" w:type="dxa"/>
                      </w:tcPr>
                      <w:p>
                        <w:pPr>
                          <w:jc w:val="center"/>
                          <w:rPr>
                            <w:b/>
                          </w:rPr>
                        </w:pPr>
                      </w:p>
                    </w:tc>
                  </w:tr>
                  <w:tr>
                    <w:tc>
                      <w:tcPr>
                        <w:tcW w:w="4606" w:type="dxa"/>
                      </w:tcPr>
                      <w:p>
                        <w:pPr>
                          <w:widowControl w:val="0"/>
                          <w:tabs>
                            <w:tab w:val="left" w:pos="-1056"/>
                            <w:tab w:val="left" w:pos="-348"/>
                          </w:tabs>
                          <w:snapToGrid w:val="0"/>
                          <w:jc w:val="center"/>
                        </w:pPr>
                        <w:r>
                          <w:t>Adresse</w:t>
                        </w:r>
                      </w:p>
                    </w:tc>
                    <w:tc>
                      <w:tcPr>
                        <w:tcW w:w="4606" w:type="dxa"/>
                      </w:tcPr>
                      <w:p>
                        <w:pPr>
                          <w:jc w:val="center"/>
                          <w:rPr>
                            <w:b/>
                          </w:rPr>
                        </w:pPr>
                      </w:p>
                    </w:tc>
                  </w:tr>
                  <w:tr>
                    <w:tc>
                      <w:tcPr>
                        <w:tcW w:w="4606" w:type="dxa"/>
                      </w:tcPr>
                      <w:p>
                        <w:pPr>
                          <w:widowControl w:val="0"/>
                          <w:tabs>
                            <w:tab w:val="left" w:pos="-1056"/>
                            <w:tab w:val="left" w:pos="-348"/>
                          </w:tabs>
                          <w:snapToGrid w:val="0"/>
                          <w:jc w:val="center"/>
                        </w:pPr>
                        <w:r>
                          <w:t>CP &amp; LOCALITE</w:t>
                        </w:r>
                      </w:p>
                    </w:tc>
                    <w:tc>
                      <w:tcPr>
                        <w:tcW w:w="4606" w:type="dxa"/>
                      </w:tcPr>
                      <w:p>
                        <w:pPr>
                          <w:jc w:val="center"/>
                          <w:rPr>
                            <w:b/>
                          </w:rPr>
                        </w:pPr>
                      </w:p>
                    </w:tc>
                  </w:tr>
                  <w:tr>
                    <w:tc>
                      <w:tcPr>
                        <w:tcW w:w="4606" w:type="dxa"/>
                      </w:tcPr>
                      <w:p>
                        <w:pPr>
                          <w:widowControl w:val="0"/>
                          <w:tabs>
                            <w:tab w:val="left" w:pos="-1056"/>
                            <w:tab w:val="left" w:pos="-348"/>
                          </w:tabs>
                          <w:snapToGrid w:val="0"/>
                          <w:jc w:val="center"/>
                        </w:pPr>
                        <w:r>
                          <w:t>Date et signature de la personne investie de l’autorité parentale</w:t>
                        </w:r>
                      </w:p>
                    </w:tc>
                    <w:tc>
                      <w:tcPr>
                        <w:tcW w:w="4606" w:type="dxa"/>
                      </w:tcPr>
                      <w:p>
                        <w:pPr>
                          <w:jc w:val="center"/>
                          <w:rPr>
                            <w:b/>
                          </w:rPr>
                        </w:pPr>
                      </w:p>
                    </w:tc>
                  </w:tr>
                </w:tbl>
                <w:p>
                  <w:pPr>
                    <w:rPr>
                      <w:b/>
                      <w:caps/>
                    </w:rPr>
                  </w:pPr>
                </w:p>
                <w:p>
                  <w:pPr>
                    <w:jc w:val="center"/>
                    <w:rPr>
                      <w:b/>
                      <w:caps/>
                    </w:rPr>
                  </w:pPr>
                  <w:r>
                    <w:rPr>
                      <w:b/>
                      <w:caps/>
                    </w:rPr>
                    <w:t>service d’aide précoce ou d’un centre d’audiophonOLOGIE</w:t>
                  </w:r>
                </w:p>
                <w:p>
                  <w:pPr>
                    <w:jc w:val="center"/>
                    <w:rPr>
                      <w:b/>
                      <w:cap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tc>
                      <w:tcPr>
                        <w:tcW w:w="4606" w:type="dxa"/>
                      </w:tcPr>
                      <w:p>
                        <w:pPr>
                          <w:jc w:val="center"/>
                          <w:rPr>
                            <w:b/>
                          </w:rPr>
                        </w:pPr>
                        <w:r>
                          <w:rPr>
                            <w:b/>
                          </w:rPr>
                          <w:t>NOM du responsable</w:t>
                        </w:r>
                      </w:p>
                    </w:tc>
                    <w:tc>
                      <w:tcPr>
                        <w:tcW w:w="4606" w:type="dxa"/>
                      </w:tcPr>
                      <w:p>
                        <w:pPr>
                          <w:jc w:val="center"/>
                          <w:rPr>
                            <w:b/>
                          </w:rPr>
                        </w:pPr>
                      </w:p>
                    </w:tc>
                  </w:tr>
                  <w:tr>
                    <w:tc>
                      <w:tcPr>
                        <w:tcW w:w="4606" w:type="dxa"/>
                      </w:tcPr>
                      <w:p>
                        <w:pPr>
                          <w:jc w:val="center"/>
                          <w:rPr>
                            <w:b/>
                          </w:rPr>
                        </w:pPr>
                        <w:r>
                          <w:t xml:space="preserve">Prénom </w:t>
                        </w:r>
                      </w:p>
                    </w:tc>
                    <w:tc>
                      <w:tcPr>
                        <w:tcW w:w="4606" w:type="dxa"/>
                      </w:tcPr>
                      <w:p>
                        <w:pPr>
                          <w:jc w:val="center"/>
                          <w:rPr>
                            <w:b/>
                          </w:rPr>
                        </w:pPr>
                      </w:p>
                    </w:tc>
                  </w:tr>
                  <w:tr>
                    <w:tc>
                      <w:tcPr>
                        <w:tcW w:w="4606" w:type="dxa"/>
                      </w:tcPr>
                      <w:p>
                        <w:pPr>
                          <w:jc w:val="center"/>
                        </w:pPr>
                        <w:r>
                          <w:t>Date du rapport de l’O.R.L</w:t>
                        </w:r>
                      </w:p>
                    </w:tc>
                    <w:tc>
                      <w:tcPr>
                        <w:tcW w:w="4606" w:type="dxa"/>
                      </w:tcPr>
                      <w:p>
                        <w:pPr>
                          <w:jc w:val="center"/>
                          <w:rPr>
                            <w:b/>
                          </w:rPr>
                        </w:pPr>
                      </w:p>
                    </w:tc>
                  </w:tr>
                  <w:tr>
                    <w:tc>
                      <w:tcPr>
                        <w:tcW w:w="4606" w:type="dxa"/>
                      </w:tcPr>
                      <w:p>
                        <w:pPr>
                          <w:jc w:val="center"/>
                        </w:pPr>
                        <w:r>
                          <w:t>Nombre de page(s) du rapport</w:t>
                        </w:r>
                      </w:p>
                    </w:tc>
                    <w:tc>
                      <w:tcPr>
                        <w:tcW w:w="4606" w:type="dxa"/>
                      </w:tcPr>
                      <w:p>
                        <w:pPr>
                          <w:jc w:val="center"/>
                          <w:rPr>
                            <w:b/>
                          </w:rPr>
                        </w:pPr>
                      </w:p>
                    </w:tc>
                  </w:tr>
                  <w:tr>
                    <w:tc>
                      <w:tcPr>
                        <w:tcW w:w="4606" w:type="dxa"/>
                      </w:tcPr>
                      <w:p>
                        <w:pPr>
                          <w:jc w:val="center"/>
                        </w:pPr>
                        <w:r>
                          <w:t>Date et signature du responsable</w:t>
                        </w:r>
                      </w:p>
                    </w:tc>
                    <w:tc>
                      <w:tcPr>
                        <w:tcW w:w="4606" w:type="dxa"/>
                      </w:tcPr>
                      <w:p>
                        <w:pPr>
                          <w:jc w:val="center"/>
                          <w:rPr>
                            <w:b/>
                          </w:rPr>
                        </w:pPr>
                      </w:p>
                    </w:tc>
                  </w:tr>
                </w:tbl>
                <w:p>
                  <w:pPr>
                    <w:rPr>
                      <w:b/>
                      <w:caps/>
                    </w:rPr>
                  </w:pPr>
                </w:p>
                <w:p>
                  <w:pPr>
                    <w:jc w:val="center"/>
                    <w:rPr>
                      <w:b/>
                      <w:caps/>
                    </w:rPr>
                  </w:pPr>
                  <w:r>
                    <w:rPr>
                      <w:b/>
                      <w:caps/>
                    </w:rPr>
                    <w:t>ADMINISTRATION</w:t>
                  </w:r>
                </w:p>
                <w:p>
                  <w:pPr>
                    <w:rPr>
                      <w:b/>
                      <w:caps/>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2835"/>
                    <w:gridCol w:w="3402"/>
                  </w:tblGrid>
                  <w:tr>
                    <w:tc>
                      <w:tcPr>
                        <w:tcW w:w="2943" w:type="dxa"/>
                      </w:tcPr>
                      <w:p>
                        <w:pPr>
                          <w:widowControl w:val="0"/>
                          <w:tabs>
                            <w:tab w:val="left" w:pos="-1056"/>
                            <w:tab w:val="left" w:pos="-348"/>
                          </w:tabs>
                          <w:jc w:val="center"/>
                        </w:pPr>
                        <w:r>
                          <w:t>Date d’entrée de la demande</w:t>
                        </w:r>
                      </w:p>
                    </w:tc>
                    <w:tc>
                      <w:tcPr>
                        <w:tcW w:w="2835" w:type="dxa"/>
                      </w:tcPr>
                      <w:p>
                        <w:pPr>
                          <w:widowControl w:val="0"/>
                          <w:tabs>
                            <w:tab w:val="left" w:pos="-1056"/>
                            <w:tab w:val="left" w:pos="-348"/>
                          </w:tabs>
                          <w:jc w:val="center"/>
                        </w:pPr>
                        <w:r>
                          <w:t>Décision</w:t>
                        </w:r>
                        <w:r>
                          <w:rPr>
                            <w:rStyle w:val="Appelnotedebasdep"/>
                          </w:rPr>
                          <w:footnoteReference w:id="136"/>
                        </w:r>
                        <w:r>
                          <w:t xml:space="preserve"> </w:t>
                        </w:r>
                      </w:p>
                    </w:tc>
                    <w:tc>
                      <w:tcPr>
                        <w:tcW w:w="3402" w:type="dxa"/>
                      </w:tcPr>
                      <w:p>
                        <w:pPr>
                          <w:widowControl w:val="0"/>
                          <w:tabs>
                            <w:tab w:val="left" w:pos="-1056"/>
                            <w:tab w:val="left" w:pos="-348"/>
                            <w:tab w:val="left" w:pos="360"/>
                            <w:tab w:val="left" w:pos="1068"/>
                            <w:tab w:val="left" w:pos="1776"/>
                            <w:tab w:val="left" w:pos="2484"/>
                            <w:tab w:val="left" w:pos="3192"/>
                            <w:tab w:val="left" w:pos="3900"/>
                            <w:tab w:val="left" w:pos="4608"/>
                            <w:tab w:val="left" w:pos="5316"/>
                            <w:tab w:val="left" w:pos="6024"/>
                            <w:tab w:val="left" w:pos="6732"/>
                            <w:tab w:val="left" w:pos="7440"/>
                            <w:tab w:val="left" w:pos="8148"/>
                            <w:tab w:val="left" w:pos="8856"/>
                            <w:tab w:val="left" w:pos="9564"/>
                            <w:tab w:val="left" w:pos="10272"/>
                            <w:tab w:val="left" w:pos="10980"/>
                            <w:tab w:val="left" w:pos="11688"/>
                            <w:tab w:val="left" w:pos="12396"/>
                            <w:tab w:val="left" w:pos="13104"/>
                            <w:tab w:val="left" w:pos="13812"/>
                            <w:tab w:val="left" w:pos="14520"/>
                            <w:tab w:val="left" w:pos="15228"/>
                            <w:tab w:val="left" w:pos="15936"/>
                          </w:tabs>
                          <w:jc w:val="center"/>
                        </w:pPr>
                        <w:r>
                          <w:t>Date et décision de l’Administration</w:t>
                        </w:r>
                      </w:p>
                      <w:p>
                        <w:pPr>
                          <w:widowControl w:val="0"/>
                          <w:tabs>
                            <w:tab w:val="left" w:pos="-1056"/>
                            <w:tab w:val="left" w:pos="-348"/>
                          </w:tabs>
                          <w:jc w:val="center"/>
                        </w:pPr>
                      </w:p>
                    </w:tc>
                  </w:tr>
                  <w:tr>
                    <w:tc>
                      <w:tcPr>
                        <w:tcW w:w="2943" w:type="dxa"/>
                      </w:tcPr>
                      <w:p>
                        <w:pPr>
                          <w:widowControl w:val="0"/>
                          <w:tabs>
                            <w:tab w:val="left" w:pos="-1056"/>
                            <w:tab w:val="left" w:pos="-348"/>
                          </w:tabs>
                          <w:jc w:val="center"/>
                        </w:pPr>
                      </w:p>
                    </w:tc>
                    <w:tc>
                      <w:tcPr>
                        <w:tcW w:w="2835" w:type="dxa"/>
                      </w:tcPr>
                      <w:p>
                        <w:pPr>
                          <w:widowControl w:val="0"/>
                          <w:tabs>
                            <w:tab w:val="left" w:pos="-1056"/>
                            <w:tab w:val="left" w:pos="-348"/>
                          </w:tabs>
                          <w:jc w:val="center"/>
                        </w:pPr>
                      </w:p>
                      <w:p>
                        <w:pPr>
                          <w:jc w:val="center"/>
                        </w:pPr>
                        <w:r>
                          <w:t>FAVORABLE</w:t>
                        </w:r>
                      </w:p>
                      <w:p>
                        <w:pPr>
                          <w:jc w:val="center"/>
                        </w:pPr>
                      </w:p>
                      <w:p>
                        <w:pPr>
                          <w:jc w:val="center"/>
                        </w:pPr>
                        <w:r>
                          <w:t>DEFAVORABLE</w:t>
                        </w:r>
                      </w:p>
                      <w:p>
                        <w:pPr>
                          <w:widowControl w:val="0"/>
                          <w:tabs>
                            <w:tab w:val="left" w:pos="-1056"/>
                            <w:tab w:val="left" w:pos="-348"/>
                          </w:tabs>
                          <w:jc w:val="center"/>
                        </w:pPr>
                      </w:p>
                    </w:tc>
                    <w:tc>
                      <w:tcPr>
                        <w:tcW w:w="3402" w:type="dxa"/>
                      </w:tcPr>
                      <w:p>
                        <w:pPr>
                          <w:widowControl w:val="0"/>
                          <w:tabs>
                            <w:tab w:val="left" w:pos="-1056"/>
                            <w:tab w:val="left" w:pos="-348"/>
                          </w:tabs>
                          <w:jc w:val="center"/>
                        </w:pPr>
                      </w:p>
                      <w:p>
                        <w:pPr>
                          <w:widowControl w:val="0"/>
                          <w:tabs>
                            <w:tab w:val="left" w:pos="-1056"/>
                            <w:tab w:val="left" w:pos="-348"/>
                          </w:tabs>
                        </w:pPr>
                      </w:p>
                      <w:p>
                        <w:pPr>
                          <w:widowControl w:val="0"/>
                          <w:tabs>
                            <w:tab w:val="left" w:pos="-1056"/>
                            <w:tab w:val="left" w:pos="-348"/>
                          </w:tabs>
                        </w:pPr>
                      </w:p>
                    </w:tc>
                  </w:tr>
                </w:tbl>
                <w:p>
                  <w:pPr>
                    <w:rPr>
                      <w:b/>
                      <w:u w:val="single"/>
                    </w:rPr>
                  </w:pPr>
                  <w:bookmarkStart w:id="3370" w:name="_Annexe_2_:_2"/>
                  <w:bookmarkStart w:id="3371" w:name="_Annexe_2_:"/>
                  <w:bookmarkStart w:id="3372" w:name="_Toc453314572"/>
                  <w:bookmarkStart w:id="3373" w:name="_Toc454980604"/>
                  <w:bookmarkEnd w:id="3370"/>
                  <w:bookmarkEnd w:id="3371"/>
                  <w:r>
                    <w:br w:type="page"/>
                  </w:r>
                </w:p>
                <w:p>
                  <w:pPr>
                    <w:pStyle w:val="Titre4"/>
                  </w:pPr>
                  <w:bookmarkStart w:id="3374" w:name="_Annexe_2_:_6"/>
                  <w:bookmarkStart w:id="3375" w:name="_Ref11402784"/>
                  <w:bookmarkStart w:id="3376" w:name="_Ref11402787"/>
                  <w:bookmarkEnd w:id="3374"/>
                  <w:r>
                    <w:t>Annexe 2 : Demande de dérogation à l’inscription dès l’âge de cinq ans dans l’enseignement primaire spécialisé</w:t>
                  </w:r>
                  <w:bookmarkEnd w:id="3372"/>
                  <w:bookmarkEnd w:id="3373"/>
                  <w:bookmarkEnd w:id="3375"/>
                  <w:bookmarkEnd w:id="3376"/>
                </w:p>
                <w:p>
                  <w:pPr>
                    <w:rPr>
                      <w:b/>
                    </w:rPr>
                  </w:pPr>
                </w:p>
                <w:p>
                  <w:pPr>
                    <w:jc w:val="center"/>
                    <w:rPr>
                      <w:b/>
                    </w:rPr>
                  </w:pPr>
                  <w:r>
                    <w:rPr>
                      <w:b/>
                    </w:rPr>
                    <w:t>ETABLISSEMENT SCOLAIRE INTRODUISANT LA DEMANDE :</w:t>
                  </w:r>
                </w:p>
                <w:p>
                  <w:pPr>
                    <w:jc w:val="center"/>
                    <w:rPr>
                      <w: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70"/>
                  </w:tblGrid>
                  <w:tr>
                    <w:tc>
                      <w:tcPr>
                        <w:tcW w:w="4606" w:type="dxa"/>
                      </w:tcPr>
                      <w:p>
                        <w:pPr>
                          <w:jc w:val="center"/>
                          <w:rPr>
                            <w:b/>
                          </w:rPr>
                        </w:pPr>
                        <w:r>
                          <w:rPr>
                            <w:b/>
                          </w:rPr>
                          <w:t>NOM de la Direction</w:t>
                        </w:r>
                      </w:p>
                    </w:tc>
                    <w:tc>
                      <w:tcPr>
                        <w:tcW w:w="5170" w:type="dxa"/>
                      </w:tcPr>
                      <w:p>
                        <w:pPr>
                          <w:jc w:val="center"/>
                          <w:rPr>
                            <w:b/>
                          </w:rPr>
                        </w:pPr>
                      </w:p>
                    </w:tc>
                  </w:tr>
                  <w:tr>
                    <w:tc>
                      <w:tcPr>
                        <w:tcW w:w="4606" w:type="dxa"/>
                      </w:tcPr>
                      <w:p>
                        <w:pPr>
                          <w:jc w:val="center"/>
                          <w:rPr>
                            <w:b/>
                          </w:rPr>
                        </w:pPr>
                        <w:r>
                          <w:t>Prénom de la Direction</w:t>
                        </w:r>
                      </w:p>
                    </w:tc>
                    <w:tc>
                      <w:tcPr>
                        <w:tcW w:w="5170" w:type="dxa"/>
                      </w:tcPr>
                      <w:p>
                        <w:pPr>
                          <w:jc w:val="center"/>
                          <w:rPr>
                            <w:b/>
                          </w:rPr>
                        </w:pPr>
                      </w:p>
                    </w:tc>
                  </w:tr>
                  <w:tr>
                    <w:tc>
                      <w:tcPr>
                        <w:tcW w:w="4606" w:type="dxa"/>
                      </w:tcPr>
                      <w:p>
                        <w:pPr>
                          <w:jc w:val="center"/>
                        </w:pPr>
                        <w:r>
                          <w:t>Numéro FASE</w:t>
                        </w:r>
                      </w:p>
                    </w:tc>
                    <w:tc>
                      <w:tcPr>
                        <w:tcW w:w="5170" w:type="dxa"/>
                      </w:tcPr>
                      <w:p>
                        <w:pPr>
                          <w:jc w:val="center"/>
                          <w:rPr>
                            <w:b/>
                          </w:rPr>
                        </w:pPr>
                      </w:p>
                    </w:tc>
                  </w:tr>
                  <w:tr>
                    <w:tc>
                      <w:tcPr>
                        <w:tcW w:w="4606" w:type="dxa"/>
                      </w:tcPr>
                      <w:p>
                        <w:pPr>
                          <w:jc w:val="center"/>
                        </w:pPr>
                        <w:r>
                          <w:t>Adresse</w:t>
                        </w:r>
                      </w:p>
                    </w:tc>
                    <w:tc>
                      <w:tcPr>
                        <w:tcW w:w="5170" w:type="dxa"/>
                      </w:tcPr>
                      <w:p>
                        <w:pPr>
                          <w:jc w:val="center"/>
                          <w:rPr>
                            <w:b/>
                          </w:rPr>
                        </w:pPr>
                      </w:p>
                    </w:tc>
                  </w:tr>
                  <w:tr>
                    <w:tc>
                      <w:tcPr>
                        <w:tcW w:w="4606" w:type="dxa"/>
                      </w:tcPr>
                      <w:p>
                        <w:pPr>
                          <w:jc w:val="center"/>
                        </w:pPr>
                        <w:r>
                          <w:t>CP &amp; LOCALITE</w:t>
                        </w:r>
                      </w:p>
                    </w:tc>
                    <w:tc>
                      <w:tcPr>
                        <w:tcW w:w="5170" w:type="dxa"/>
                      </w:tcPr>
                      <w:p>
                        <w:pPr>
                          <w:jc w:val="center"/>
                          <w:rPr>
                            <w:b/>
                          </w:rPr>
                        </w:pPr>
                      </w:p>
                    </w:tc>
                  </w:tr>
                  <w:tr>
                    <w:tc>
                      <w:tcPr>
                        <w:tcW w:w="4606" w:type="dxa"/>
                      </w:tcPr>
                      <w:p>
                        <w:pPr>
                          <w:jc w:val="center"/>
                        </w:pPr>
                        <w:r>
                          <w:t>Numéro de téléphone</w:t>
                        </w:r>
                      </w:p>
                    </w:tc>
                    <w:tc>
                      <w:tcPr>
                        <w:tcW w:w="5170" w:type="dxa"/>
                      </w:tcPr>
                      <w:p>
                        <w:pPr>
                          <w:jc w:val="center"/>
                          <w:rPr>
                            <w:b/>
                          </w:rPr>
                        </w:pPr>
                      </w:p>
                    </w:tc>
                  </w:tr>
                </w:tbl>
                <w:p>
                  <w:pPr>
                    <w:rPr>
                      <w:b/>
                    </w:rPr>
                  </w:pPr>
                </w:p>
                <w:p>
                  <w:pPr>
                    <w:jc w:val="center"/>
                    <w:rPr>
                      <w:b/>
                    </w:rPr>
                  </w:pPr>
                  <w:r>
                    <w:rPr>
                      <w:b/>
                    </w:rPr>
                    <w:t>RESPONSABLE AYANT PRIS EN CHARGE LE DOSSIER DE L’ELEVE :</w:t>
                  </w:r>
                </w:p>
                <w:p>
                  <w:pPr>
                    <w:jc w:val="center"/>
                    <w:rPr>
                      <w: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70"/>
                  </w:tblGrid>
                  <w:tr>
                    <w:tc>
                      <w:tcPr>
                        <w:tcW w:w="4606" w:type="dxa"/>
                      </w:tcPr>
                      <w:p>
                        <w:pPr>
                          <w:jc w:val="center"/>
                          <w:rPr>
                            <w:b/>
                          </w:rPr>
                        </w:pPr>
                        <w:r>
                          <w:rPr>
                            <w:b/>
                          </w:rPr>
                          <w:t xml:space="preserve">NOM </w:t>
                        </w:r>
                      </w:p>
                    </w:tc>
                    <w:tc>
                      <w:tcPr>
                        <w:tcW w:w="5170" w:type="dxa"/>
                      </w:tcPr>
                      <w:p>
                        <w:pPr>
                          <w:jc w:val="center"/>
                          <w:rPr>
                            <w:b/>
                          </w:rPr>
                        </w:pPr>
                      </w:p>
                    </w:tc>
                  </w:tr>
                  <w:tr>
                    <w:tc>
                      <w:tcPr>
                        <w:tcW w:w="4606" w:type="dxa"/>
                      </w:tcPr>
                      <w:p>
                        <w:pPr>
                          <w:jc w:val="center"/>
                          <w:rPr>
                            <w:b/>
                          </w:rPr>
                        </w:pPr>
                        <w:r>
                          <w:t xml:space="preserve">Prénom </w:t>
                        </w:r>
                      </w:p>
                    </w:tc>
                    <w:tc>
                      <w:tcPr>
                        <w:tcW w:w="5170" w:type="dxa"/>
                      </w:tcPr>
                      <w:p>
                        <w:pPr>
                          <w:jc w:val="center"/>
                          <w:rPr>
                            <w:b/>
                          </w:rPr>
                        </w:pPr>
                      </w:p>
                    </w:tc>
                  </w:tr>
                  <w:tr>
                    <w:tc>
                      <w:tcPr>
                        <w:tcW w:w="4606" w:type="dxa"/>
                      </w:tcPr>
                      <w:p>
                        <w:pPr>
                          <w:jc w:val="center"/>
                        </w:pPr>
                        <w:r>
                          <w:t>Fonction</w:t>
                        </w:r>
                      </w:p>
                    </w:tc>
                    <w:tc>
                      <w:tcPr>
                        <w:tcW w:w="5170" w:type="dxa"/>
                      </w:tcPr>
                      <w:p>
                        <w:pPr>
                          <w:jc w:val="center"/>
                          <w:rPr>
                            <w:b/>
                          </w:rPr>
                        </w:pPr>
                      </w:p>
                    </w:tc>
                  </w:tr>
                  <w:tr>
                    <w:tc>
                      <w:tcPr>
                        <w:tcW w:w="4606" w:type="dxa"/>
                      </w:tcPr>
                      <w:p>
                        <w:pPr>
                          <w:jc w:val="center"/>
                        </w:pPr>
                        <w:r>
                          <w:t>Numéro de téléphone</w:t>
                        </w:r>
                      </w:p>
                    </w:tc>
                    <w:tc>
                      <w:tcPr>
                        <w:tcW w:w="5170" w:type="dxa"/>
                      </w:tcPr>
                      <w:p>
                        <w:pPr>
                          <w:jc w:val="center"/>
                          <w:rPr>
                            <w:b/>
                          </w:rPr>
                        </w:pPr>
                      </w:p>
                    </w:tc>
                  </w:tr>
                </w:tbl>
                <w:p>
                  <w:pPr>
                    <w:jc w:val="center"/>
                    <w:rPr>
                      <w:b/>
                    </w:rPr>
                  </w:pPr>
                </w:p>
                <w:p>
                  <w:pPr>
                    <w:jc w:val="center"/>
                    <w:rPr>
                      <w:b/>
                    </w:rPr>
                  </w:pPr>
                  <w:r>
                    <w:rPr>
                      <w:b/>
                    </w:rPr>
                    <w:t>ELEVE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70"/>
                  </w:tblGrid>
                  <w:tr>
                    <w:tc>
                      <w:tcPr>
                        <w:tcW w:w="4606" w:type="dxa"/>
                      </w:tcPr>
                      <w:p>
                        <w:pPr>
                          <w:jc w:val="center"/>
                          <w:rPr>
                            <w:b/>
                          </w:rPr>
                        </w:pPr>
                        <w:r>
                          <w:rPr>
                            <w:b/>
                          </w:rPr>
                          <w:t xml:space="preserve">NOM </w:t>
                        </w:r>
                      </w:p>
                    </w:tc>
                    <w:tc>
                      <w:tcPr>
                        <w:tcW w:w="5170" w:type="dxa"/>
                      </w:tcPr>
                      <w:p>
                        <w:pPr>
                          <w:jc w:val="center"/>
                          <w:rPr>
                            <w:b/>
                          </w:rPr>
                        </w:pPr>
                      </w:p>
                    </w:tc>
                  </w:tr>
                  <w:tr>
                    <w:tc>
                      <w:tcPr>
                        <w:tcW w:w="4606" w:type="dxa"/>
                      </w:tcPr>
                      <w:p>
                        <w:pPr>
                          <w:jc w:val="center"/>
                          <w:rPr>
                            <w:b/>
                          </w:rPr>
                        </w:pPr>
                        <w:r>
                          <w:t xml:space="preserve">Prénom </w:t>
                        </w:r>
                      </w:p>
                    </w:tc>
                    <w:tc>
                      <w:tcPr>
                        <w:tcW w:w="5170" w:type="dxa"/>
                      </w:tcPr>
                      <w:p>
                        <w:pPr>
                          <w:jc w:val="center"/>
                          <w:rPr>
                            <w:b/>
                          </w:rPr>
                        </w:pPr>
                      </w:p>
                    </w:tc>
                  </w:tr>
                  <w:tr>
                    <w:tc>
                      <w:tcPr>
                        <w:tcW w:w="4606" w:type="dxa"/>
                      </w:tcPr>
                      <w:p>
                        <w:pPr>
                          <w:jc w:val="center"/>
                        </w:pPr>
                        <w:r>
                          <w:t>Type d’enseignement</w:t>
                        </w:r>
                      </w:p>
                    </w:tc>
                    <w:tc>
                      <w:tcPr>
                        <w:tcW w:w="5170" w:type="dxa"/>
                      </w:tcPr>
                      <w:p>
                        <w:pPr>
                          <w:jc w:val="center"/>
                          <w:rPr>
                            <w:b/>
                          </w:rPr>
                        </w:pPr>
                      </w:p>
                    </w:tc>
                  </w:tr>
                  <w:tr>
                    <w:tc>
                      <w:tcPr>
                        <w:tcW w:w="4606" w:type="dxa"/>
                      </w:tcPr>
                      <w:p>
                        <w:pPr>
                          <w:jc w:val="center"/>
                        </w:pPr>
                        <w:r>
                          <w:t>Sexe</w:t>
                        </w:r>
                      </w:p>
                    </w:tc>
                    <w:tc>
                      <w:tcPr>
                        <w:tcW w:w="5170" w:type="dxa"/>
                      </w:tcPr>
                      <w:p>
                        <w:pPr>
                          <w:jc w:val="center"/>
                          <w:rPr>
                            <w:b/>
                          </w:rPr>
                        </w:pPr>
                      </w:p>
                    </w:tc>
                  </w:tr>
                  <w:tr>
                    <w:tc>
                      <w:tcPr>
                        <w:tcW w:w="4606" w:type="dxa"/>
                      </w:tcPr>
                      <w:p>
                        <w:pPr>
                          <w:widowControl w:val="0"/>
                          <w:tabs>
                            <w:tab w:val="left" w:pos="-1056"/>
                            <w:tab w:val="left" w:pos="-348"/>
                          </w:tabs>
                          <w:snapToGrid w:val="0"/>
                          <w:jc w:val="center"/>
                        </w:pPr>
                        <w:r>
                          <w:t>Date de naissance</w:t>
                        </w:r>
                      </w:p>
                    </w:tc>
                    <w:tc>
                      <w:tcPr>
                        <w:tcW w:w="5170" w:type="dxa"/>
                      </w:tcPr>
                      <w:p>
                        <w:pPr>
                          <w:jc w:val="center"/>
                          <w:rPr>
                            <w:b/>
                          </w:rPr>
                        </w:pPr>
                      </w:p>
                    </w:tc>
                  </w:tr>
                  <w:tr>
                    <w:tc>
                      <w:tcPr>
                        <w:tcW w:w="4606" w:type="dxa"/>
                      </w:tcPr>
                      <w:p>
                        <w:pPr>
                          <w:widowControl w:val="0"/>
                          <w:tabs>
                            <w:tab w:val="left" w:pos="-1056"/>
                            <w:tab w:val="left" w:pos="-348"/>
                          </w:tabs>
                          <w:snapToGrid w:val="0"/>
                          <w:jc w:val="center"/>
                        </w:pPr>
                        <w:r>
                          <w:t>Adresse</w:t>
                        </w:r>
                      </w:p>
                    </w:tc>
                    <w:tc>
                      <w:tcPr>
                        <w:tcW w:w="5170" w:type="dxa"/>
                      </w:tcPr>
                      <w:p>
                        <w:pPr>
                          <w:jc w:val="center"/>
                          <w:rPr>
                            <w:b/>
                          </w:rPr>
                        </w:pPr>
                      </w:p>
                    </w:tc>
                  </w:tr>
                  <w:tr>
                    <w:tc>
                      <w:tcPr>
                        <w:tcW w:w="4606" w:type="dxa"/>
                      </w:tcPr>
                      <w:p>
                        <w:pPr>
                          <w:widowControl w:val="0"/>
                          <w:tabs>
                            <w:tab w:val="left" w:pos="-1056"/>
                            <w:tab w:val="left" w:pos="-348"/>
                          </w:tabs>
                          <w:snapToGrid w:val="0"/>
                          <w:jc w:val="center"/>
                        </w:pPr>
                        <w:r>
                          <w:t>CP &amp; LOCALITE</w:t>
                        </w:r>
                      </w:p>
                    </w:tc>
                    <w:tc>
                      <w:tcPr>
                        <w:tcW w:w="5170" w:type="dxa"/>
                      </w:tcPr>
                      <w:p>
                        <w:pPr>
                          <w:jc w:val="center"/>
                          <w:rPr>
                            <w:b/>
                          </w:rPr>
                        </w:pPr>
                      </w:p>
                    </w:tc>
                  </w:tr>
                  <w:tr>
                    <w:tc>
                      <w:tcPr>
                        <w:tcW w:w="4606" w:type="dxa"/>
                      </w:tcPr>
                      <w:p>
                        <w:pPr>
                          <w:widowControl w:val="0"/>
                          <w:tabs>
                            <w:tab w:val="left" w:pos="-1056"/>
                            <w:tab w:val="left" w:pos="-348"/>
                          </w:tabs>
                          <w:snapToGrid w:val="0"/>
                          <w:jc w:val="center"/>
                        </w:pPr>
                        <w:r>
                          <w:t>Date et signature de la personne investie de l’autorité parentale</w:t>
                        </w:r>
                      </w:p>
                    </w:tc>
                    <w:tc>
                      <w:tcPr>
                        <w:tcW w:w="5170" w:type="dxa"/>
                      </w:tcPr>
                      <w:p>
                        <w:pPr>
                          <w:jc w:val="center"/>
                          <w:rPr>
                            <w:b/>
                          </w:rPr>
                        </w:pPr>
                      </w:p>
                    </w:tc>
                  </w:tr>
                </w:tbl>
                <w:p>
                  <w:pPr>
                    <w:rPr>
                      <w:caps/>
                    </w:rPr>
                  </w:pPr>
                </w:p>
                <w:p>
                  <w:pPr>
                    <w:jc w:val="center"/>
                    <w:rPr>
                      <w:b/>
                    </w:rPr>
                  </w:pPr>
                  <w:r>
                    <w:rPr>
                      <w:b/>
                    </w:rPr>
                    <w:t xml:space="preserve">MOTIVATION DU CONSEIL DE CLASSE </w:t>
                  </w:r>
                  <w:r>
                    <w:rPr>
                      <w:b/>
                      <w:i/>
                      <w:u w:val="single"/>
                    </w:rPr>
                    <w:t>assisté</w:t>
                  </w:r>
                  <w:r>
                    <w:rPr>
                      <w:b/>
                    </w:rPr>
                    <w:t xml:space="preserve"> de L'ORGANISME DE GUIDANCE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7"/>
                    <w:gridCol w:w="5039"/>
                  </w:tblGrid>
                  <w:tr>
                    <w:tc>
                      <w:tcPr>
                        <w:tcW w:w="9776" w:type="dxa"/>
                        <w:gridSpan w:val="2"/>
                      </w:tcPr>
                      <w:p>
                        <w:pPr>
                          <w:rPr>
                            <w:b/>
                          </w:rPr>
                        </w:pPr>
                      </w:p>
                      <w:p>
                        <w:pPr>
                          <w:rPr>
                            <w:b/>
                          </w:rPr>
                        </w:pPr>
                      </w:p>
                    </w:tc>
                  </w:tr>
                  <w:tr>
                    <w:tc>
                      <w:tcPr>
                        <w:tcW w:w="4737" w:type="dxa"/>
                      </w:tcPr>
                      <w:p>
                        <w:pPr>
                          <w:widowControl w:val="0"/>
                          <w:tabs>
                            <w:tab w:val="left" w:pos="-1056"/>
                            <w:tab w:val="left" w:pos="-348"/>
                          </w:tabs>
                          <w:jc w:val="center"/>
                        </w:pPr>
                        <w:r>
                          <w:t xml:space="preserve">Date, signature, NOM et prénom </w:t>
                        </w:r>
                        <w:r>
                          <w:br/>
                          <w:t>du/de la Chef(fe) d’établissement</w:t>
                        </w:r>
                      </w:p>
                      <w:p>
                        <w:pPr>
                          <w:widowControl w:val="0"/>
                          <w:tabs>
                            <w:tab w:val="left" w:pos="-1056"/>
                            <w:tab w:val="left" w:pos="-348"/>
                          </w:tabs>
                          <w:rPr>
                            <w:b/>
                          </w:rPr>
                        </w:pPr>
                      </w:p>
                      <w:p>
                        <w:pPr>
                          <w:widowControl w:val="0"/>
                          <w:tabs>
                            <w:tab w:val="left" w:pos="-1056"/>
                            <w:tab w:val="left" w:pos="-348"/>
                          </w:tabs>
                          <w:rPr>
                            <w:b/>
                          </w:rPr>
                        </w:pPr>
                      </w:p>
                    </w:tc>
                    <w:tc>
                      <w:tcPr>
                        <w:tcW w:w="5039" w:type="dxa"/>
                      </w:tcPr>
                      <w:p>
                        <w:pPr>
                          <w:widowControl w:val="0"/>
                          <w:tabs>
                            <w:tab w:val="left" w:pos="-1056"/>
                            <w:tab w:val="left" w:pos="-348"/>
                          </w:tabs>
                          <w:jc w:val="center"/>
                          <w:rPr>
                            <w:b/>
                          </w:rPr>
                        </w:pPr>
                        <w:r>
                          <w:t xml:space="preserve">Date, signature, NOM et prénom </w:t>
                        </w:r>
                        <w:r>
                          <w:br/>
                          <w:t>du représentant de l’Organisme de guidance</w:t>
                        </w:r>
                      </w:p>
                    </w:tc>
                  </w:tr>
                </w:tbl>
                <w:p>
                  <w:pPr>
                    <w:rPr>
                      <w:b/>
                    </w:rPr>
                  </w:pPr>
                </w:p>
                <w:p>
                  <w:pPr>
                    <w:jc w:val="center"/>
                    <w:rPr>
                      <w:b/>
                    </w:rPr>
                  </w:pPr>
                  <w:r>
                    <w:rPr>
                      <w:b/>
                    </w:rPr>
                    <w:t>AVIS DE L’INSPECTION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41"/>
                  </w:tblGrid>
                  <w:tr>
                    <w:tc>
                      <w:tcPr>
                        <w:tcW w:w="4606" w:type="dxa"/>
                      </w:tcPr>
                      <w:p>
                        <w:pPr>
                          <w:jc w:val="center"/>
                        </w:pPr>
                        <w:r>
                          <w:t>Avis</w:t>
                        </w:r>
                      </w:p>
                    </w:tc>
                    <w:tc>
                      <w:tcPr>
                        <w:tcW w:w="5141" w:type="dxa"/>
                      </w:tcPr>
                      <w:p>
                        <w:pPr>
                          <w:jc w:val="center"/>
                          <w:rPr>
                            <w:b/>
                          </w:rPr>
                        </w:pPr>
                        <w:r>
                          <w:t>FAVORABLE – DEFAVORABLE</w:t>
                        </w:r>
                      </w:p>
                    </w:tc>
                  </w:tr>
                  <w:tr>
                    <w:tc>
                      <w:tcPr>
                        <w:tcW w:w="4606" w:type="dxa"/>
                      </w:tcPr>
                      <w:p>
                        <w:pPr>
                          <w:jc w:val="center"/>
                        </w:pPr>
                        <w:r>
                          <w:t>Date de la décision</w:t>
                        </w:r>
                      </w:p>
                    </w:tc>
                    <w:tc>
                      <w:tcPr>
                        <w:tcW w:w="5141" w:type="dxa"/>
                      </w:tcPr>
                      <w:p>
                        <w:pPr>
                          <w:jc w:val="center"/>
                        </w:pPr>
                      </w:p>
                    </w:tc>
                  </w:tr>
                  <w:tr>
                    <w:tc>
                      <w:tcPr>
                        <w:tcW w:w="4606" w:type="dxa"/>
                      </w:tcPr>
                      <w:p>
                        <w:pPr>
                          <w:jc w:val="center"/>
                        </w:pPr>
                        <w:r>
                          <w:t xml:space="preserve">Signature de l’Inspecteur de l’enseignement spécialisé </w:t>
                        </w:r>
                      </w:p>
                    </w:tc>
                    <w:tc>
                      <w:tcPr>
                        <w:tcW w:w="5141" w:type="dxa"/>
                      </w:tcPr>
                      <w:p>
                        <w:pPr>
                          <w:jc w:val="center"/>
                        </w:pPr>
                      </w:p>
                    </w:tc>
                  </w:tr>
                  <w:tr>
                    <w:tblPrEx>
                      <w:tblLook w:val="01E0" w:firstRow="1" w:lastRow="1" w:firstColumn="1" w:lastColumn="1" w:noHBand="0" w:noVBand="0"/>
                    </w:tblPrEx>
                    <w:tc>
                      <w:tcPr>
                        <w:tcW w:w="9747" w:type="dxa"/>
                        <w:gridSpan w:val="2"/>
                      </w:tcPr>
                      <w:p/>
                      <w:p>
                        <w:r>
                          <w:t>Motivation(s) de l’avis :</w:t>
                        </w:r>
                      </w:p>
                      <w:p/>
                    </w:tc>
                  </w:tr>
                </w:tbl>
                <w:p>
                  <w:pPr>
                    <w:rPr>
                      <w:b/>
                    </w:rPr>
                  </w:pPr>
                </w:p>
                <w:p>
                  <w:pPr>
                    <w:jc w:val="center"/>
                    <w:rPr>
                      <w:b/>
                      <w:caps/>
                    </w:rPr>
                  </w:pPr>
                  <w:r>
                    <w:rPr>
                      <w:b/>
                      <w:caps/>
                    </w:rPr>
                    <w:t>DECISION de L’ADMINISTRATION</w:t>
                  </w:r>
                  <w:r>
                    <w:rPr>
                      <w:rStyle w:val="Appelnotedebasdep"/>
                      <w:b/>
                      <w:caps/>
                    </w:rPr>
                    <w:footnoteReference w:id="137"/>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404"/>
                    <w:gridCol w:w="5372"/>
                  </w:tblGrid>
                  <w:tr>
                    <w:tc>
                      <w:tcPr>
                        <w:tcW w:w="4404" w:type="dxa"/>
                      </w:tcPr>
                      <w:p>
                        <w:pPr>
                          <w:jc w:val="center"/>
                          <w:rPr>
                            <w:b/>
                          </w:rPr>
                        </w:pPr>
                        <w:r>
                          <w:t>Date d’entrée</w:t>
                        </w:r>
                      </w:p>
                    </w:tc>
                    <w:tc>
                      <w:tcPr>
                        <w:tcW w:w="5372" w:type="dxa"/>
                      </w:tcPr>
                      <w:p>
                        <w:pPr>
                          <w:jc w:val="center"/>
                          <w:rPr>
                            <w:b/>
                          </w:rPr>
                        </w:pPr>
                      </w:p>
                    </w:tc>
                  </w:tr>
                  <w:tr>
                    <w:tc>
                      <w:tcPr>
                        <w:tcW w:w="4404" w:type="dxa"/>
                      </w:tcPr>
                      <w:p>
                        <w:pPr>
                          <w:jc w:val="center"/>
                        </w:pPr>
                        <w:r>
                          <w:t>Décision</w:t>
                        </w:r>
                      </w:p>
                    </w:tc>
                    <w:tc>
                      <w:tcPr>
                        <w:tcW w:w="5372" w:type="dxa"/>
                      </w:tcPr>
                      <w:p>
                        <w:pPr>
                          <w:jc w:val="center"/>
                          <w:rPr>
                            <w:b/>
                          </w:rPr>
                        </w:pPr>
                        <w:r>
                          <w:t>FAVORABLE – DEFAVORABLE</w:t>
                        </w:r>
                      </w:p>
                    </w:tc>
                  </w:tr>
                  <w:tr>
                    <w:tc>
                      <w:tcPr>
                        <w:tcW w:w="4404" w:type="dxa"/>
                      </w:tcPr>
                      <w:p>
                        <w:pPr>
                          <w:jc w:val="center"/>
                        </w:pPr>
                        <w:r>
                          <w:t>Date de la décision et signature</w:t>
                        </w:r>
                      </w:p>
                    </w:tc>
                    <w:tc>
                      <w:tcPr>
                        <w:tcW w:w="5372" w:type="dxa"/>
                      </w:tcPr>
                      <w:p>
                        <w:pPr>
                          <w:jc w:val="center"/>
                        </w:pPr>
                      </w:p>
                    </w:tc>
                  </w:tr>
                </w:tbl>
                <w:bookmarkStart w:id="3377" w:name="_Annexe_3_:_2" w:displacedByCustomXml="next"/>
                <w:bookmarkEnd w:id="3377" w:displacedByCustomXml="next"/>
                <w:bookmarkStart w:id="3378" w:name="_Annexe_3_:_5" w:displacedByCustomXml="next"/>
                <w:bookmarkEnd w:id="3378" w:displacedByCustomXml="next"/>
                <w:sdt>
                  <w:sdtPr>
                    <w:id w:val="-1584680894"/>
                    <w:docPartObj>
                      <w:docPartGallery w:val="Cover Pages"/>
                      <w:docPartUnique/>
                    </w:docPartObj>
                  </w:sdtPr>
                  <w:sdtContent>
                    <w:p/>
                    <w:p>
                      <w:pPr>
                        <w:pStyle w:val="Titre2"/>
                      </w:pPr>
                      <w:bookmarkStart w:id="3379" w:name="_Chapitre_19_:"/>
                      <w:bookmarkStart w:id="3380" w:name="_Toc477623856"/>
                      <w:bookmarkStart w:id="3381" w:name="_Toc477767727"/>
                      <w:bookmarkStart w:id="3382" w:name="_Toc18914513"/>
                      <w:bookmarkEnd w:id="3379"/>
                      <w:r>
                        <w:t>Chapitre</w:t>
                      </w:r>
                      <w:bookmarkEnd w:id="3380"/>
                      <w:bookmarkEnd w:id="3381"/>
                      <w:r>
                        <w:t xml:space="preserve"> 19 :</w:t>
                      </w:r>
                      <w:bookmarkStart w:id="3383" w:name="_Toc477623857"/>
                      <w:bookmarkStart w:id="3384" w:name="_Toc477767728"/>
                      <w:r>
                        <w:t xml:space="preserve"> Liste des organismes habilités à délivrer et/ou à modifier les documents nécessaires à l’inscription en enseignement spécialisé</w:t>
                      </w:r>
                      <w:bookmarkEnd w:id="3383"/>
                      <w:bookmarkEnd w:id="3384"/>
                      <w:bookmarkEnd w:id="3382"/>
                    </w:p>
                    <w:p>
                      <w:pPr>
                        <w:jc w:val="both"/>
                        <w:rPr>
                          <w:lang w:eastAsia="fr-BE"/>
                        </w:rPr>
                      </w:pPr>
                    </w:p>
                    <w:p>
                      <w:pPr>
                        <w:pStyle w:val="Sansinterligne"/>
                        <w:jc w:val="both"/>
                        <w:rPr>
                          <w:rFonts w:asciiTheme="majorHAnsi" w:hAnsiTheme="majorHAnsi"/>
                        </w:rPr>
                      </w:pPr>
                    </w:p>
                    <w:p>
                      <w:pPr>
                        <w:jc w:val="both"/>
                        <w:rPr>
                          <w:rFonts w:eastAsiaTheme="minorEastAsia"/>
                          <w:lang w:eastAsia="fr-BE"/>
                        </w:rPr>
                      </w:pPr>
                      <w:r>
                        <w:rPr>
                          <w:rFonts w:eastAsiaTheme="minorEastAsia"/>
                          <w:lang w:eastAsia="fr-BE"/>
                        </w:rPr>
                        <w:t>Bases légales :</w:t>
                      </w:r>
                    </w:p>
                    <w:p>
                      <w:pPr>
                        <w:numPr>
                          <w:ilvl w:val="0"/>
                          <w:numId w:val="46"/>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pPr>
                      <w:hyperlink r:id="rId210" w:history="1">
                        <w:r>
                          <w:rPr>
                            <w:rStyle w:val="Lienhypertexte"/>
                            <w:rFonts w:cs="Arial"/>
                          </w:rPr>
                          <w:t>Décret du 3 mars 2004 organisant l’enseignement spécialisé</w:t>
                        </w:r>
                      </w:hyperlink>
                    </w:p>
                    <w:p>
                      <w:pPr>
                        <w:pStyle w:val="Paragraphedeliste"/>
                        <w:numPr>
                          <w:ilvl w:val="0"/>
                          <w:numId w:val="208"/>
                        </w:numPr>
                        <w:ind w:left="284" w:hanging="284"/>
                        <w:jc w:val="both"/>
                        <w:rPr>
                          <w:rFonts w:asciiTheme="majorHAnsi" w:hAnsiTheme="majorHAnsi"/>
                          <w:color w:val="00B050"/>
                          <w:sz w:val="22"/>
                          <w:szCs w:val="22"/>
                        </w:rPr>
                      </w:pPr>
                      <w:hyperlink r:id="rId211" w:history="1">
                        <w:r>
                          <w:rPr>
                            <w:rStyle w:val="Lienhypertexte"/>
                            <w:rFonts w:asciiTheme="majorHAnsi" w:hAnsiTheme="majorHAnsi" w:cs="Arial"/>
                            <w:sz w:val="22"/>
                            <w:szCs w:val="22"/>
                          </w:rPr>
                          <w:t>Circulaire 6495 du 16 janvier 2018 relative à l’inscription dans l’enseignement francophone d’élevés scolarisés en Communauté flamande ou en Communauté germanophone et pour lesquels une attestation d’entrée en enseignement spécialisé est requise</w:t>
                        </w:r>
                      </w:hyperlink>
                    </w:p>
                    <w:p>
                      <w:pPr>
                        <w:jc w:val="both"/>
                        <w:rPr>
                          <w:rFonts w:eastAsiaTheme="minorEastAsia"/>
                          <w:lang w:eastAsia="fr-BE"/>
                        </w:rPr>
                      </w:pPr>
                    </w:p>
                    <w:p>
                      <w:pPr>
                        <w:jc w:val="both"/>
                        <w:rPr>
                          <w:rFonts w:eastAsiaTheme="minorEastAsia"/>
                          <w:lang w:eastAsia="fr-BE"/>
                        </w:rPr>
                      </w:pPr>
                    </w:p>
                    <w:p>
                      <w:pPr>
                        <w:jc w:val="both"/>
                        <w:rPr>
                          <w:rFonts w:eastAsiaTheme="minorEastAsia"/>
                          <w:lang w:eastAsia="fr-BE"/>
                        </w:rPr>
                      </w:pPr>
                      <w:r>
                        <w:rPr>
                          <w:noProof/>
                          <w:lang w:eastAsia="fr-BE"/>
                        </w:rPr>
                        <mc:AlternateContent>
                          <mc:Choice Requires="wps">
                            <w:drawing>
                              <wp:anchor distT="0" distB="0" distL="114300" distR="114300" simplePos="0" relativeHeight="251787264" behindDoc="0" locked="0" layoutInCell="1" allowOverlap="1">
                                <wp:simplePos x="0" y="0"/>
                                <wp:positionH relativeFrom="page">
                                  <wp:posOffset>999202</wp:posOffset>
                                </wp:positionH>
                                <wp:positionV relativeFrom="margin">
                                  <wp:posOffset>1697182</wp:posOffset>
                                </wp:positionV>
                                <wp:extent cx="5943600" cy="914400"/>
                                <wp:effectExtent l="0" t="0" r="0" b="3810"/>
                                <wp:wrapNone/>
                                <wp:docPr id="517" name="Zone de texte 517"/>
                                <wp:cNvGraphicFramePr/>
                                <a:graphic xmlns:a="http://schemas.openxmlformats.org/drawingml/2006/main">
                                  <a:graphicData uri="http://schemas.microsoft.com/office/word/2010/wordprocessingShape">
                                    <wps:wsp>
                                      <wps:cNvSpPr txBox="1"/>
                                      <wps:spPr>
                                        <a:xfrm>
                                          <a:off x="0" y="0"/>
                                          <a:ext cx="59436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Sansinterligne"/>
                                              <w:spacing w:before="120"/>
                                              <w:rPr>
                                                <w:color w:val="4F81BD" w:themeColor="accent1"/>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76500</wp14:pctWidth>
                                </wp14:sizeRelH>
                              </wp:anchor>
                            </w:drawing>
                          </mc:Choice>
                          <mc:Fallback>
                            <w:pict>
                              <v:shape id="Zone de texte 517" o:spid="_x0000_s1069" type="#_x0000_t202" style="position:absolute;left:0;text-align:left;margin-left:78.7pt;margin-top:133.65pt;width:468pt;height:1in;z-index:251787264;visibility:visible;mso-wrap-style:square;mso-width-percent:765;mso-wrap-distance-left:9pt;mso-wrap-distance-top:0;mso-wrap-distance-right:9pt;mso-wrap-distance-bottom:0;mso-position-horizontal:absolute;mso-position-horizontal-relative:page;mso-position-vertical:absolute;mso-position-vertical-relative:margin;mso-width-percent:765;mso-width-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" filled="f" stroked="f" strokeweight=".5pt">
                                <v:textbox style="mso-fit-shape-to-text:t">
                                  <w:txbxContent>
                                    <w:p>
                                      <w:pPr>
                                        <w:pStyle w:val="Sansinterligne"/>
                                        <w:spacing w:before="120"/>
                                        <w:rPr>
                                          <w:color w:val="4F81BD" w:themeColor="accent1"/>
                                          <w:sz w:val="36"/>
                                          <w:szCs w:val="36"/>
                                        </w:rPr>
                                      </w:pPr>
                                    </w:p>
                                  </w:txbxContent>
                                </v:textbox>
                                <w10:wrap anchorx="page" anchory="margin"/>
                              </v:shape>
                            </w:pict>
                          </mc:Fallback>
                        </mc:AlternateContent>
                      </w:r>
                    </w:p>
                  </w:sdtContent>
                </w:sdt>
                <w:p>
                  <w:pPr>
                    <w:pStyle w:val="Titre3"/>
                  </w:pPr>
                  <w:bookmarkStart w:id="3385" w:name="_Toc414352927"/>
                  <w:bookmarkStart w:id="3386" w:name="_Toc453836951"/>
                  <w:bookmarkStart w:id="3387" w:name="_Toc18914514"/>
                  <w:r>
                    <w:t>1. Généralités</w:t>
                  </w:r>
                  <w:bookmarkEnd w:id="3385"/>
                  <w:bookmarkEnd w:id="3386"/>
                  <w:bookmarkEnd w:id="3387"/>
                </w:p>
                <w:p>
                  <w:pPr>
                    <w:tabs>
                      <w:tab w:val="left" w:pos="0"/>
                    </w:tabs>
                    <w:jc w:val="both"/>
                    <w:rPr>
                      <w:rFonts w:cs="Arial"/>
                      <w:spacing w:val="-2"/>
                    </w:rPr>
                  </w:pPr>
                </w:p>
                <w:p>
                  <w:pPr>
                    <w:tabs>
                      <w:tab w:val="left" w:pos="0"/>
                    </w:tabs>
                    <w:jc w:val="both"/>
                    <w:rPr>
                      <w:rFonts w:cs="Arial"/>
                      <w:spacing w:val="-2"/>
                    </w:rPr>
                  </w:pPr>
                  <w:r>
                    <w:rPr>
                      <w:rFonts w:cs="Arial"/>
                      <w:spacing w:val="-2"/>
                    </w:rPr>
                    <w:t>La liste ci-dessous se subdivise en quatre parties :</w:t>
                  </w:r>
                </w:p>
                <w:p>
                  <w:pPr>
                    <w:tabs>
                      <w:tab w:val="left" w:pos="0"/>
                    </w:tabs>
                    <w:jc w:val="both"/>
                    <w:rPr>
                      <w:rFonts w:cs="Arial"/>
                      <w:spacing w:val="-2"/>
                    </w:rPr>
                  </w:pPr>
                </w:p>
                <w:p>
                  <w:pPr>
                    <w:numPr>
                      <w:ilvl w:val="0"/>
                      <w:numId w:val="66"/>
                    </w:numPr>
                    <w:tabs>
                      <w:tab w:val="left" w:pos="0"/>
                    </w:tabs>
                    <w:suppressAutoHyphens/>
                    <w:jc w:val="both"/>
                    <w:rPr>
                      <w:rFonts w:cs="Arial"/>
                      <w:spacing w:val="-2"/>
                    </w:rPr>
                  </w:pPr>
                  <w:r>
                    <w:rPr>
                      <w:rFonts w:cs="Arial"/>
                      <w:spacing w:val="-2"/>
                    </w:rPr>
                    <w:t>les centres P.M.S. de l’enseignement spécialisé</w:t>
                  </w:r>
                </w:p>
                <w:p>
                  <w:pPr>
                    <w:numPr>
                      <w:ilvl w:val="0"/>
                      <w:numId w:val="66"/>
                    </w:numPr>
                    <w:tabs>
                      <w:tab w:val="left" w:pos="0"/>
                    </w:tabs>
                    <w:suppressAutoHyphens/>
                    <w:jc w:val="both"/>
                    <w:rPr>
                      <w:rFonts w:cs="Arial"/>
                      <w:spacing w:val="-2"/>
                    </w:rPr>
                  </w:pPr>
                  <w:r>
                    <w:rPr>
                      <w:rFonts w:cs="Arial"/>
                      <w:spacing w:val="-2"/>
                    </w:rPr>
                    <w:t>les centres P.M.S. de l’enseignement ordinaire</w:t>
                  </w:r>
                </w:p>
                <w:p>
                  <w:pPr>
                    <w:numPr>
                      <w:ilvl w:val="0"/>
                      <w:numId w:val="66"/>
                    </w:numPr>
                    <w:tabs>
                      <w:tab w:val="left" w:pos="0"/>
                    </w:tabs>
                    <w:suppressAutoHyphens/>
                    <w:jc w:val="both"/>
                    <w:rPr>
                      <w:rFonts w:cs="Arial"/>
                      <w:spacing w:val="-2"/>
                    </w:rPr>
                  </w:pPr>
                  <w:r>
                    <w:rPr>
                      <w:rFonts w:cs="Arial"/>
                      <w:spacing w:val="-2"/>
                    </w:rPr>
                    <w:t>les organismes agréés</w:t>
                  </w:r>
                </w:p>
                <w:p>
                  <w:pPr>
                    <w:tabs>
                      <w:tab w:val="left" w:pos="0"/>
                    </w:tabs>
                    <w:jc w:val="both"/>
                    <w:rPr>
                      <w:rFonts w:cs="Arial"/>
                      <w:spacing w:val="-2"/>
                    </w:rPr>
                  </w:pPr>
                </w:p>
                <w:p>
                  <w:pPr>
                    <w:tabs>
                      <w:tab w:val="left" w:pos="0"/>
                    </w:tabs>
                    <w:jc w:val="both"/>
                    <w:rPr>
                      <w:rFonts w:cs="Arial"/>
                      <w:spacing w:val="-2"/>
                    </w:rPr>
                  </w:pPr>
                  <w:r>
                    <w:rPr>
                      <w:rFonts w:cs="Arial"/>
                      <w:spacing w:val="-2"/>
                    </w:rPr>
                    <w:t xml:space="preserve">Pour toutes modifications à apporter à cette liste, vous pouvez prendre contact avec : </w:t>
                  </w:r>
                </w:p>
                <w:p>
                  <w:pPr>
                    <w:tabs>
                      <w:tab w:val="left" w:pos="0"/>
                    </w:tabs>
                    <w:rPr>
                      <w:rFonts w:cs="Arial"/>
                      <w:spacing w:val="-2"/>
                    </w:rPr>
                  </w:pPr>
                </w:p>
                <w:p>
                  <w:pPr>
                    <w:pBdr>
                      <w:top w:val="single" w:sz="4" w:space="1" w:color="auto"/>
                      <w:left w:val="single" w:sz="4" w:space="4" w:color="auto"/>
                      <w:bottom w:val="single" w:sz="4" w:space="1" w:color="auto"/>
                      <w:right w:val="single" w:sz="4" w:space="4" w:color="auto"/>
                    </w:pBdr>
                    <w:tabs>
                      <w:tab w:val="left" w:pos="0"/>
                    </w:tabs>
                    <w:jc w:val="center"/>
                    <w:rPr>
                      <w:rFonts w:cs="Arial"/>
                      <w:spacing w:val="-2"/>
                    </w:rPr>
                  </w:pPr>
                  <w:r>
                    <w:rPr>
                      <w:rFonts w:cs="Arial"/>
                      <w:spacing w:val="-2"/>
                    </w:rPr>
                    <w:t>Madame Marie BORMANN</w:t>
                  </w:r>
                </w:p>
                <w:p>
                  <w:pPr>
                    <w:pBdr>
                      <w:top w:val="single" w:sz="4" w:space="1" w:color="auto"/>
                      <w:left w:val="single" w:sz="4" w:space="4" w:color="auto"/>
                      <w:bottom w:val="single" w:sz="4" w:space="1" w:color="auto"/>
                      <w:right w:val="single" w:sz="4" w:space="4" w:color="auto"/>
                    </w:pBdr>
                    <w:tabs>
                      <w:tab w:val="left" w:pos="0"/>
                    </w:tabs>
                    <w:jc w:val="center"/>
                    <w:rPr>
                      <w:rFonts w:cs="Arial"/>
                      <w:spacing w:val="-2"/>
                    </w:rPr>
                  </w:pPr>
                  <w:r>
                    <w:rPr>
                      <w:rFonts w:cs="Arial"/>
                    </w:rPr>
                    <w:sym w:font="Wingdings" w:char="F028"/>
                  </w:r>
                  <w:r>
                    <w:rPr>
                      <w:rFonts w:cs="Arial"/>
                    </w:rPr>
                    <w:t xml:space="preserve"> : </w:t>
                  </w:r>
                  <w:r>
                    <w:rPr>
                      <w:rFonts w:cs="Arial"/>
                      <w:spacing w:val="-2"/>
                    </w:rPr>
                    <w:t>02/413.26.36</w:t>
                  </w:r>
                </w:p>
                <w:p>
                  <w:pPr>
                    <w:pBdr>
                      <w:top w:val="single" w:sz="4" w:space="1" w:color="auto"/>
                      <w:left w:val="single" w:sz="4" w:space="4" w:color="auto"/>
                      <w:bottom w:val="single" w:sz="4" w:space="1" w:color="auto"/>
                      <w:right w:val="single" w:sz="4" w:space="4" w:color="auto"/>
                    </w:pBdr>
                    <w:tabs>
                      <w:tab w:val="left" w:pos="0"/>
                    </w:tabs>
                    <w:jc w:val="center"/>
                  </w:pPr>
                  <w:r>
                    <w:rPr>
                      <w:rFonts w:cs="Arial"/>
                      <w:bCs/>
                    </w:rPr>
                    <w:sym w:font="Wingdings" w:char="F03A"/>
                  </w:r>
                  <w:r>
                    <w:rPr>
                      <w:rFonts w:cs="Arial"/>
                      <w:bCs/>
                    </w:rPr>
                    <w:t> :</w:t>
                  </w:r>
                  <w:r>
                    <w:t xml:space="preserve"> </w:t>
                  </w:r>
                  <w:hyperlink r:id="rId212" w:history="1">
                    <w:r>
                      <w:rPr>
                        <w:rStyle w:val="Lienhypertexte"/>
                      </w:rPr>
                      <w:t>marie.bormann@cfwb.be</w:t>
                    </w:r>
                  </w:hyperlink>
                </w:p>
                <w:p>
                  <w:pPr>
                    <w:rPr>
                      <w:rFonts w:cs="Arial"/>
                    </w:rPr>
                  </w:pPr>
                </w:p>
                <w:p>
                  <w:r>
                    <w:rPr>
                      <w:rFonts w:cs="Arial"/>
                    </w:rPr>
                    <w:t xml:space="preserve">Vous pouvez également prendre contact avec Madame </w:t>
                  </w:r>
                  <w:r>
                    <w:t xml:space="preserve">Natalia MOLANO VASQUEZ (02/6908339) </w:t>
                  </w:r>
                  <w:hyperlink r:id="rId213" w:history="1">
                    <w:r>
                      <w:rPr>
                        <w:rStyle w:val="Lienhypertexte"/>
                        <w:rFonts w:cstheme="minorBidi"/>
                        <w:szCs w:val="18"/>
                        <w:shd w:val="clear" w:color="auto" w:fill="F5F5F5"/>
                      </w:rPr>
                      <w:t>natalia.molano-vasquez@cfwb.be</w:t>
                    </w:r>
                  </w:hyperlink>
                  <w:r>
                    <w:rPr>
                      <w:rFonts w:ascii="Roboto" w:hAnsi="Roboto"/>
                      <w:color w:val="333333"/>
                      <w:sz w:val="18"/>
                      <w:szCs w:val="18"/>
                      <w:shd w:val="clear" w:color="auto" w:fill="F5F5F5"/>
                    </w:rPr>
                    <w:t xml:space="preserve"> </w:t>
                  </w:r>
                  <w:r>
                    <w:t xml:space="preserve">, responsable des CPMS au sein de l’Administration. </w:t>
                  </w:r>
                </w:p>
                <w:p>
                  <w:pPr>
                    <w:rPr>
                      <w:rFonts w:cs="Arial"/>
                    </w:rPr>
                  </w:pPr>
                </w:p>
                <w:p>
                  <w:pPr>
                    <w:pStyle w:val="Titre3"/>
                  </w:pPr>
                  <w:bookmarkStart w:id="3388" w:name="_Toc414352928"/>
                  <w:bookmarkStart w:id="3389" w:name="_Toc453836952"/>
                  <w:bookmarkStart w:id="3390" w:name="_Toc18914515"/>
                  <w:r>
                    <w:t>2. Rappel</w:t>
                  </w:r>
                  <w:bookmarkEnd w:id="3388"/>
                  <w:bookmarkEnd w:id="3389"/>
                  <w:bookmarkEnd w:id="3390"/>
                </w:p>
                <w:p>
                  <w:pPr>
                    <w:jc w:val="both"/>
                    <w:rPr>
                      <w:rFonts w:cs="Arial"/>
                      <w:b/>
                    </w:rPr>
                  </w:pPr>
                </w:p>
                <w:p>
                  <w:pPr>
                    <w:jc w:val="both"/>
                    <w:rPr>
                      <w:rFonts w:cs="Arial"/>
                    </w:rPr>
                  </w:pPr>
                  <w:r>
                    <w:rPr>
                      <w:rFonts w:ascii="Times New Roman" w:hAnsi="Times New Roman" w:cs="Times New Roman"/>
                      <w:b/>
                    </w:rPr>
                    <w:t>▪</w:t>
                  </w:r>
                  <w:r>
                    <w:rPr>
                      <w:rFonts w:cs="Arial"/>
                      <w:b/>
                    </w:rPr>
                    <w:t xml:space="preserve"> </w:t>
                  </w:r>
                  <w:r>
                    <w:rPr>
                      <w:rFonts w:cs="Arial"/>
                    </w:rPr>
                    <w:t xml:space="preserve">Le </w:t>
                  </w:r>
                  <w:r>
                    <w:rPr>
                      <w:rFonts w:cs="Arial"/>
                      <w:b/>
                    </w:rPr>
                    <w:t>rapport d’inscription</w:t>
                  </w:r>
                  <w:r>
                    <w:rPr>
                      <w:rFonts w:cs="Arial"/>
                    </w:rPr>
                    <w:t xml:space="preserve"> d’un élève dans l’enseignement spécialisé </w:t>
                  </w:r>
                  <w:r>
                    <w:rPr>
                      <w:rFonts w:cs="Arial"/>
                      <w:b/>
                    </w:rPr>
                    <w:t>ne peut pas être</w:t>
                  </w:r>
                  <w:r>
                    <w:rPr>
                      <w:rFonts w:cs="Arial"/>
                    </w:rPr>
                    <w:t xml:space="preserve"> rédigé par un CPMS de l’enseignement </w:t>
                  </w:r>
                  <w:r>
                    <w:rPr>
                      <w:rFonts w:cs="Arial"/>
                      <w:b/>
                    </w:rPr>
                    <w:t>spécialisé</w:t>
                  </w:r>
                  <w:r>
                    <w:rPr>
                      <w:rFonts w:cs="Arial"/>
                    </w:rPr>
                    <w:t xml:space="preserve"> mais bien par les </w:t>
                  </w:r>
                  <w:r>
                    <w:rPr>
                      <w:rFonts w:cs="Arial"/>
                      <w:b/>
                    </w:rPr>
                    <w:t>autres organismes habilités</w:t>
                  </w:r>
                  <w:r>
                    <w:rPr>
                      <w:rFonts w:cs="Arial"/>
                    </w:rPr>
                    <w:t xml:space="preserve">. </w:t>
                  </w:r>
                </w:p>
                <w:p>
                  <w:pPr>
                    <w:jc w:val="both"/>
                    <w:rPr>
                      <w:rFonts w:cs="Arial"/>
                    </w:rPr>
                  </w:pPr>
                </w:p>
                <w:p>
                  <w:pPr>
                    <w:jc w:val="both"/>
                  </w:pPr>
                  <w:r>
                    <w:rPr>
                      <w:rFonts w:ascii="Times New Roman" w:hAnsi="Times New Roman" w:cs="Times New Roman"/>
                    </w:rPr>
                    <w:t>▪</w:t>
                  </w:r>
                  <w:r>
                    <w:rPr>
                      <w:rFonts w:cs="Arial"/>
                    </w:rPr>
                    <w:t xml:space="preserve"> L’</w:t>
                  </w:r>
                  <w:r>
                    <w:rPr>
                      <w:rFonts w:cs="Arial"/>
                      <w:b/>
                    </w:rPr>
                    <w:t xml:space="preserve">annexe </w:t>
                  </w:r>
                  <w:r>
                    <w:rPr>
                      <w:rFonts w:cs="Arial"/>
                    </w:rPr>
                    <w:t xml:space="preserve">à l’attestation d’orientation </w:t>
                  </w:r>
                  <w:r>
                    <w:rPr>
                      <w:rFonts w:cs="Arial"/>
                      <w:b/>
                    </w:rPr>
                    <w:t>peut être</w:t>
                  </w:r>
                  <w:r>
                    <w:rPr>
                      <w:rFonts w:cs="Arial"/>
                    </w:rPr>
                    <w:t xml:space="preserve"> rédigée par un CPMS </w:t>
                  </w:r>
                  <w:r>
                    <w:rPr>
                      <w:rFonts w:cs="Arial"/>
                      <w:b/>
                    </w:rPr>
                    <w:t>ordinaire</w:t>
                  </w:r>
                  <w:r>
                    <w:rPr>
                      <w:rFonts w:cs="Arial"/>
                    </w:rPr>
                    <w:t xml:space="preserve">, un CPMS </w:t>
                  </w:r>
                  <w:r>
                    <w:rPr>
                      <w:rFonts w:cs="Arial"/>
                      <w:b/>
                    </w:rPr>
                    <w:t xml:space="preserve">spécialisé, </w:t>
                  </w:r>
                  <w:r>
                    <w:rPr>
                      <w:rFonts w:cs="Arial"/>
                    </w:rPr>
                    <w:t>ou un</w:t>
                  </w:r>
                  <w:r>
                    <w:rPr>
                      <w:rFonts w:cs="Arial"/>
                      <w:b/>
                    </w:rPr>
                    <w:t xml:space="preserve"> organisme privé habilité</w:t>
                  </w:r>
                  <w:r>
                    <w:rPr>
                      <w:rStyle w:val="Appelnotedebasdep"/>
                      <w:b/>
                    </w:rPr>
                    <w:footnoteReference w:id="138"/>
                  </w:r>
                  <w:r>
                    <w:rPr>
                      <w:rFonts w:cs="Arial"/>
                    </w:rPr>
                    <w:t xml:space="preserve">. Le contenu et les destinataires du rapport d’inscription sont précisés dans la </w:t>
                  </w:r>
                  <w:r>
                    <w:t xml:space="preserve">Circulaire n° 4392 du 22 avril 2013: </w:t>
                  </w:r>
                  <w:hyperlink r:id="rId214" w:history="1">
                    <w:r>
                      <w:rPr>
                        <w:rStyle w:val="Lienhypertexte"/>
                      </w:rPr>
                      <w:t>« Rapport d’inscription dans l’enseignement spécialisé : Contenu et destinataires</w:t>
                    </w:r>
                  </w:hyperlink>
                  <w:r>
                    <w:t>»</w:t>
                  </w:r>
                </w:p>
                <w:p>
                  <w:pPr>
                    <w:jc w:val="both"/>
                    <w:rPr>
                      <w:rFonts w:cs="Arial"/>
                    </w:rPr>
                  </w:pPr>
                </w:p>
                <w:p>
                  <w:pPr>
                    <w:jc w:val="both"/>
                    <w:rPr>
                      <w:spacing w:val="-3"/>
                    </w:rPr>
                  </w:pPr>
                  <w:r>
                    <w:rPr>
                      <w:spacing w:val="-3"/>
                    </w:rPr>
                    <w:t>Aucune inscription ne pouvant avoir lieu sans la production de l’attestation, il convient aux chefs d’établissement d’insister auprès des parents sur la nécessité d’obtenir ladite attestation, celle-ci leur ayant été remise.</w:t>
                  </w:r>
                </w:p>
                <w:p>
                  <w:pPr>
                    <w:rPr>
                      <w:spacing w:val="-3"/>
                    </w:rPr>
                  </w:pPr>
                </w:p>
                <w:p>
                  <w:pPr>
                    <w:jc w:val="both"/>
                    <w:rPr>
                      <w:spacing w:val="-3"/>
                    </w:rPr>
                  </w:pPr>
                  <w:r>
                    <w:rPr>
                      <w:spacing w:val="-3"/>
                    </w:rPr>
                    <w:t>Dans les huit jours qui suivent l’inscription d’un élève dans un établissement d’enseignement spécialisé, le chef d’établissement transmet une copie de l’attestation à l’organisme de guidance.</w:t>
                  </w:r>
                </w:p>
                <w:p>
                  <w:pPr>
                    <w:jc w:val="both"/>
                    <w:rPr>
                      <w:rFonts w:cs="Arial"/>
                    </w:rPr>
                  </w:pPr>
                </w:p>
                <w:p>
                  <w:pPr>
                    <w:jc w:val="both"/>
                    <w:rPr>
                      <w:spacing w:val="-3"/>
                    </w:rPr>
                  </w:pPr>
                  <w:r>
                    <w:rPr>
                      <w:spacing w:val="-3"/>
                    </w:rPr>
                    <w:t xml:space="preserve">Après réception de l’attestation, des mains des parents ou des personnes investies de l’autorité parentale lors de l’inscription dans un établissement d’enseignement spécialisé, le chef d’établissement d’enseignement spécialisé est dans l’obligation de demander l’envoi des exemplaires du protocole justificatif, dans les trente jours qui suivent l’inscription, conformément au modèle en </w:t>
                  </w:r>
                  <w:hyperlink w:anchor="_Annexe_1_:_15" w:history="1">
                    <w:r>
                      <w:rPr>
                        <w:rStyle w:val="Lienhypertexte"/>
                        <w:spacing w:val="-3"/>
                      </w:rPr>
                      <w:t>annexe 1</w:t>
                    </w:r>
                  </w:hyperlink>
                  <w:r>
                    <w:rPr>
                      <w:spacing w:val="-3"/>
                    </w:rPr>
                    <w:t xml:space="preserve"> en mentionnant, outre l’adresse de son école, celle de l’organisme chargé de la guidance de cet établissement.</w:t>
                  </w:r>
                </w:p>
                <w:p>
                  <w:pPr>
                    <w:jc w:val="both"/>
                  </w:pPr>
                </w:p>
                <w:p>
                  <w:pPr>
                    <w:jc w:val="both"/>
                    <w:rPr>
                      <w:spacing w:val="-3"/>
                    </w:rPr>
                  </w:pPr>
                  <w:r>
                    <w:rPr>
                      <w:spacing w:val="-3"/>
                    </w:rPr>
                    <w:t>Les organismes ou les médecins qui sont autorisés à délivrer des rapports sont tenus de remettre le protocole justificatif aux destinataires, dans les trente jours qui suivent la date de la demande du chef d’établissement.</w:t>
                  </w:r>
                </w:p>
                <w:p>
                  <w:pPr>
                    <w:jc w:val="both"/>
                    <w:rPr>
                      <w:rFonts w:cs="Arial"/>
                    </w:rPr>
                  </w:pPr>
                </w:p>
                <w:p>
                  <w:pPr>
                    <w:jc w:val="both"/>
                    <w:rPr>
                      <w:spacing w:val="-3"/>
                    </w:rPr>
                  </w:pPr>
                  <w:r>
                    <w:rPr>
                      <w:rFonts w:cs="Arial"/>
                    </w:rPr>
                    <w:t xml:space="preserve">En cas de </w:t>
                  </w:r>
                  <w:r>
                    <w:rPr>
                      <w:rFonts w:cs="Arial"/>
                      <w:b/>
                    </w:rPr>
                    <w:t>modification d’attestation</w:t>
                  </w:r>
                  <w:r>
                    <w:rPr>
                      <w:rFonts w:cs="Arial"/>
                    </w:rPr>
                    <w:t xml:space="preserve">, le document modifié </w:t>
                  </w:r>
                  <w:r>
                    <w:rPr>
                      <w:spacing w:val="-3"/>
                    </w:rPr>
                    <w:t xml:space="preserve">est remis par le Centre PMS aux parents ou aux personnes investies de l’autorité parentale qui la transmettent au chef d’établissement concerné. Le changement de type ne peut être effectif qu’à partir du moment où les parents ou les personnes investies de l’autorité parentale ont remis l’attestation modifiée au chef d’établissement de l’école d’enseignement spécialisé. Le rapport motivé est établi en deux exemplaires destinés respectivement au chef d’établissement d’enseignement spécialisé où l’élève est/sera inscrit et à la direction de l’organisme chargé de la guidance de cet établissement, sauf s’il s’agit du même organisme. Le chef de l’établissement d’enseignement spécialisé est dans l’obligation de demander l’envoi des exemplaires du rapport motivé conformément au modèle en </w:t>
                  </w:r>
                  <w:hyperlink w:anchor="_Annexe_2_:_1" w:history="1">
                    <w:r>
                      <w:rPr>
                        <w:rStyle w:val="Lienhypertexte"/>
                        <w:rFonts w:cstheme="minorBidi"/>
                        <w:spacing w:val="-3"/>
                      </w:rPr>
                      <w:t>annexe 2</w:t>
                    </w:r>
                  </w:hyperlink>
                  <w:r>
                    <w:rPr>
                      <w:spacing w:val="-3"/>
                    </w:rPr>
                    <w:t xml:space="preserve"> au présent arrêté en mentionnant, outre l’adresse de son école, celle de l’organisme chargé de la guidance de son établissement.</w:t>
                  </w:r>
                </w:p>
                <w:p>
                  <w:pPr>
                    <w:jc w:val="both"/>
                    <w:rPr>
                      <w:spacing w:val="-3"/>
                    </w:rPr>
                  </w:pPr>
                </w:p>
                <w:p>
                  <w:pPr>
                    <w:jc w:val="both"/>
                    <w:rPr>
                      <w:spacing w:val="-3"/>
                    </w:rPr>
                  </w:pPr>
                  <w:r>
                    <w:rPr>
                      <w:spacing w:val="-3"/>
                    </w:rPr>
                    <w:t>Seul le CPMS de l’établissement scolaire, dans lequel l’élève est inscrit peut modifier une attestation d’orientation sauf lorsqu’il s’agit d’élèves relevant de l’enseignement spécialisé de type 5.</w:t>
                  </w:r>
                </w:p>
                <w:p>
                  <w:pPr>
                    <w:jc w:val="both"/>
                    <w:rPr>
                      <w:rFonts w:cs="Arial"/>
                    </w:rPr>
                  </w:pPr>
                </w:p>
                <w:p>
                  <w:pPr>
                    <w:pBdr>
                      <w:top w:val="single" w:sz="4" w:space="1" w:color="000000"/>
                      <w:left w:val="single" w:sz="4" w:space="4" w:color="000000"/>
                      <w:bottom w:val="single" w:sz="4" w:space="1" w:color="000000"/>
                      <w:right w:val="single" w:sz="4" w:space="4" w:color="000000"/>
                    </w:pBdr>
                    <w:jc w:val="both"/>
                    <w:rPr>
                      <w:rFonts w:cs="Arial"/>
                      <w:b/>
                      <w:spacing w:val="-2"/>
                      <w:u w:val="single"/>
                    </w:rPr>
                  </w:pPr>
                  <w:r>
                    <w:rPr>
                      <w:rFonts w:cs="Arial"/>
                      <w:b/>
                      <w:spacing w:val="-2"/>
                      <w:u w:val="single"/>
                    </w:rPr>
                    <w:t>Remarque :</w:t>
                  </w:r>
                  <w:r>
                    <w:rPr>
                      <w:rFonts w:cs="Arial"/>
                      <w:b/>
                      <w:spacing w:val="-2"/>
                    </w:rPr>
                    <w:t xml:space="preserve"> </w:t>
                  </w:r>
                  <w:r>
                    <w:rPr>
                      <w:rFonts w:cs="Arial"/>
                      <w:spacing w:val="-2"/>
                    </w:rPr>
                    <w:t xml:space="preserve">l’établissement scolaire doit vérifier que l’attestation d’orientation </w:t>
                  </w:r>
                  <w:r>
                    <w:rPr>
                      <w:rFonts w:cs="Arial"/>
                      <w:spacing w:val="-2"/>
                      <w:u w:val="single"/>
                    </w:rPr>
                    <w:t>émane bien d’un organisme habilité</w:t>
                  </w:r>
                  <w:r>
                    <w:rPr>
                      <w:rFonts w:cs="Arial"/>
                      <w:spacing w:val="-2"/>
                    </w:rPr>
                    <w:t xml:space="preserve"> à délivrer le rapport d’inscription d’un élève dans l’enseignement spécialisé.</w:t>
                  </w:r>
                </w:p>
                <w:p>
                  <w:pPr>
                    <w:jc w:val="both"/>
                  </w:pPr>
                </w:p>
                <w:p>
                  <w:pPr>
                    <w:pStyle w:val="Titre3"/>
                  </w:pPr>
                  <w:bookmarkStart w:id="3391" w:name="_3._Nota_Bene:"/>
                  <w:bookmarkStart w:id="3392" w:name="_3._Listes"/>
                  <w:bookmarkStart w:id="3393" w:name="_Toc414352929"/>
                  <w:bookmarkStart w:id="3394" w:name="_Toc453836953"/>
                  <w:bookmarkStart w:id="3395" w:name="_Toc18914516"/>
                  <w:bookmarkEnd w:id="3391"/>
                  <w:bookmarkEnd w:id="3392"/>
                  <w:r>
                    <w:t>3. Listes</w:t>
                  </w:r>
                  <w:bookmarkEnd w:id="3393"/>
                  <w:bookmarkEnd w:id="3394"/>
                  <w:bookmarkEnd w:id="3395"/>
                </w:p>
                <w:p>
                  <w:pPr>
                    <w:jc w:val="both"/>
                  </w:pPr>
                </w:p>
                <w:p>
                  <w:pPr>
                    <w:jc w:val="both"/>
                  </w:pPr>
                  <w:r>
                    <w:t>Les listes des organismes habilités à délivrer les attestations et autres documents sont jointes ci-après, au point 4, Annexes.</w:t>
                  </w:r>
                </w:p>
                <w:p>
                  <w:pPr>
                    <w:jc w:val="both"/>
                  </w:pPr>
                </w:p>
                <w:p>
                  <w:pPr>
                    <w:pBdr>
                      <w:right w:val="single" w:sz="4" w:space="4" w:color="auto"/>
                    </w:pBdr>
                    <w:jc w:val="both"/>
                  </w:pPr>
                  <w:r>
                    <w:t>Les attestations d’orientation vers l’enseignement spécialisé délivrées par la Communauté flamande ou la Communauté germanophone ne sont pas reconnues en Communauté française (</w:t>
                  </w:r>
                  <w:hyperlink w:anchor="_Annexe_6_:_1" w:history="1">
                    <w:r>
                      <w:rPr>
                        <w:rStyle w:val="Lienhypertexte"/>
                        <w:rFonts w:cstheme="minorBidi"/>
                      </w:rPr>
                      <w:t>Annexe 6</w:t>
                    </w:r>
                  </w:hyperlink>
                  <w:r>
                    <w:t xml:space="preserve">).  </w:t>
                  </w:r>
                </w:p>
                <w:p>
                  <w:pPr>
                    <w:jc w:val="both"/>
                  </w:pPr>
                </w:p>
                <w:p>
                  <w:pPr>
                    <w:jc w:val="both"/>
                  </w:pPr>
                  <w:r>
                    <w:t xml:space="preserve">A titre informatif : </w:t>
                  </w:r>
                </w:p>
                <w:p>
                  <w:pPr>
                    <w:jc w:val="both"/>
                  </w:pPr>
                </w:p>
                <w:p>
                  <w:pPr>
                    <w:ind w:right="680"/>
                    <w:rPr>
                      <w:rStyle w:val="Lienhypertexte"/>
                    </w:rPr>
                  </w:pPr>
                  <w:r>
                    <w:t>Concernant la Communauté germanophone : http://</w:t>
                  </w:r>
                  <w:hyperlink r:id="rId215" w:history="1">
                    <w:r>
                      <w:rPr>
                        <w:rStyle w:val="Lienhypertexte"/>
                      </w:rPr>
                      <w:t>www.dglive.be/desktopdefault.aspx/tabid345/711_read-11518/</w:t>
                    </w:r>
                  </w:hyperlink>
                </w:p>
                <w:p>
                  <w:pPr>
                    <w:ind w:right="680"/>
                    <w:jc w:val="both"/>
                    <w:rPr>
                      <w:rStyle w:val="Lienhypertexte"/>
                    </w:rPr>
                  </w:pPr>
                </w:p>
                <w:p>
                  <w:pPr>
                    <w:ind w:right="680"/>
                    <w:jc w:val="both"/>
                  </w:pPr>
                  <w:r>
                    <w:t xml:space="preserve">Concernant la Communauté flamande : </w:t>
                  </w:r>
                </w:p>
                <w:p>
                  <w:pPr>
                    <w:pBdr>
                      <w:right w:val="single" w:sz="4" w:space="31" w:color="auto"/>
                    </w:pBdr>
                    <w:ind w:right="680"/>
                    <w:jc w:val="both"/>
                  </w:pPr>
                  <w:hyperlink r:id="rId216" w:history="1">
                    <w:r>
                      <w:rPr>
                        <w:rStyle w:val="Lienhypertexte"/>
                        <w:rFonts w:cstheme="minorBidi"/>
                      </w:rPr>
                      <w:t>http://data-ondewijs.vlaanderen.be/onderwijsaanbod/lijst.aspx?hz=1&amp;hs=clb</w:t>
                    </w:r>
                  </w:hyperlink>
                  <w:r>
                    <w:t xml:space="preserve"> </w:t>
                  </w:r>
                </w:p>
                <w:p>
                  <w:pPr>
                    <w:ind w:right="680"/>
                    <w:jc w:val="both"/>
                  </w:pPr>
                </w:p>
                <w:p>
                  <w:pPr>
                    <w:jc w:val="both"/>
                  </w:pPr>
                </w:p>
                <w:p>
                  <w:pPr>
                    <w:pBdr>
                      <w:top w:val="single" w:sz="4" w:space="1" w:color="000000"/>
                      <w:left w:val="single" w:sz="4" w:space="4" w:color="000000"/>
                      <w:bottom w:val="single" w:sz="4" w:space="1" w:color="000000"/>
                      <w:right w:val="single" w:sz="4" w:space="4" w:color="000000"/>
                    </w:pBdr>
                    <w:jc w:val="both"/>
                    <w:rPr>
                      <w:rFonts w:cs="Arial"/>
                      <w:lang w:val="fr-FR" w:eastAsia="fr-FR"/>
                    </w:rPr>
                  </w:pPr>
                  <w:r>
                    <w:rPr>
                      <w:rFonts w:cs="Arial"/>
                      <w:b/>
                      <w:u w:val="single"/>
                      <w:lang w:val="fr-FR" w:eastAsia="fr-FR"/>
                    </w:rPr>
                    <w:t>Remarque :</w:t>
                  </w:r>
                  <w:r>
                    <w:rPr>
                      <w:rFonts w:cs="Arial"/>
                      <w:b/>
                      <w:lang w:val="fr-FR" w:eastAsia="fr-FR"/>
                    </w:rPr>
                    <w:t xml:space="preserve"> </w:t>
                  </w:r>
                  <w:r>
                    <w:rPr>
                      <w:rFonts w:cs="Arial"/>
                      <w:lang w:val="fr-FR" w:eastAsia="fr-FR"/>
                    </w:rPr>
                    <w:t>dans l’hypothèse où un centre serait créé au cours de l’année scolaire, celui-ci serait ajouté à la liste qui figure sur le site enseignement.be.</w:t>
                  </w:r>
                </w:p>
                <w:p>
                  <w:pPr>
                    <w:pBdr>
                      <w:top w:val="single" w:sz="4" w:space="1" w:color="000000"/>
                      <w:left w:val="single" w:sz="4" w:space="4" w:color="000000"/>
                      <w:bottom w:val="single" w:sz="4" w:space="1" w:color="000000"/>
                      <w:right w:val="single" w:sz="4" w:space="4" w:color="000000"/>
                    </w:pBdr>
                    <w:jc w:val="both"/>
                    <w:rPr>
                      <w:rFonts w:cs="Arial"/>
                      <w:lang w:val="fr-FR" w:eastAsia="fr-FR"/>
                    </w:rPr>
                  </w:pPr>
                  <w:r>
                    <w:rPr>
                      <w:rFonts w:cs="Arial"/>
                      <w:lang w:val="fr-FR" w:eastAsia="fr-FR"/>
                    </w:rPr>
                    <w:t>Les demandes doivent être adressées avant le 15 février.</w:t>
                  </w:r>
                </w:p>
                <w:p>
                  <w:pPr>
                    <w:rPr>
                      <w:lang w:val="fr-FR"/>
                    </w:rPr>
                  </w:pPr>
                </w:p>
                <w:p>
                  <w:pPr>
                    <w:pStyle w:val="Titre3"/>
                    <w:rPr>
                      <w:rFonts w:cs="Arial"/>
                    </w:rPr>
                  </w:pPr>
                  <w:bookmarkStart w:id="3396" w:name="_Toc414352930"/>
                  <w:bookmarkStart w:id="3397" w:name="_Toc453836954"/>
                  <w:bookmarkStart w:id="3398" w:name="_Toc18914517"/>
                  <w:r>
                    <w:t>4. Annexes</w:t>
                  </w:r>
                  <w:bookmarkEnd w:id="3396"/>
                  <w:bookmarkEnd w:id="3397"/>
                  <w:bookmarkEnd w:id="3398"/>
                  <w:r>
                    <w:rPr>
                      <w:rFonts w:cs="Arial"/>
                    </w:rPr>
                    <w:br w:type="page"/>
                  </w:r>
                </w:p>
                <w:p>
                  <w:pPr>
                    <w:pStyle w:val="Titre4"/>
                  </w:pPr>
                  <w:bookmarkStart w:id="3399" w:name="_Annexe_1_:_15"/>
                  <w:bookmarkStart w:id="3400" w:name="_Toc414352931"/>
                  <w:bookmarkStart w:id="3401" w:name="_Toc453836955"/>
                  <w:bookmarkEnd w:id="3399"/>
                  <w:r>
                    <w:t>Annexe 1 : Transmission du protocole justificatif pluridisciplinaire</w:t>
                  </w:r>
                  <w:bookmarkEnd w:id="3400"/>
                  <w:bookmarkEnd w:id="3401"/>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Je soussigné(e)</w:t>
                  </w:r>
                </w:p>
                <w:p>
                  <w:pPr>
                    <w:widowControl w:val="0"/>
                    <w:tabs>
                      <w:tab w:val="center" w:pos="4962"/>
                    </w:tabs>
                    <w:autoSpaceDE w:val="0"/>
                    <w:autoSpaceDN w:val="0"/>
                    <w:adjustRightInd w:val="0"/>
                    <w:spacing w:before="112"/>
                    <w:jc w:val="both"/>
                    <w:rPr>
                      <w:rFonts w:cs="Arial"/>
                    </w:rPr>
                  </w:pPr>
                  <w:r>
                    <w:rPr>
                      <w:rFonts w:cs="Arial"/>
                    </w:rPr>
                    <w:t>Directeur/Directrice de l’établissement d’enseignement spécialisé</w:t>
                  </w:r>
                </w:p>
                <w:p>
                  <w:pPr>
                    <w:widowControl w:val="0"/>
                    <w:tabs>
                      <w:tab w:val="center" w:pos="4962"/>
                    </w:tabs>
                    <w:autoSpaceDE w:val="0"/>
                    <w:autoSpaceDN w:val="0"/>
                    <w:adjustRightInd w:val="0"/>
                    <w:spacing w:before="112"/>
                    <w:jc w:val="both"/>
                    <w:rPr>
                      <w:rFonts w:cs="Arial"/>
                    </w:rPr>
                  </w:pPr>
                </w:p>
                <w:p>
                  <w:pPr>
                    <w:widowControl w:val="0"/>
                    <w:tabs>
                      <w:tab w:val="center" w:pos="-2160"/>
                    </w:tabs>
                    <w:autoSpaceDE w:val="0"/>
                    <w:autoSpaceDN w:val="0"/>
                    <w:adjustRightInd w:val="0"/>
                    <w:spacing w:before="112"/>
                    <w:jc w:val="both"/>
                    <w:rPr>
                      <w:rFonts w:cs="Arial"/>
                    </w:rPr>
                  </w:pPr>
                  <w:r>
                    <w:rPr>
                      <w:rFonts w:cs="Arial"/>
                    </w:rPr>
                    <w:t>Numéro FASE :</w:t>
                  </w:r>
                </w:p>
                <w:p>
                  <w:pPr>
                    <w:widowControl w:val="0"/>
                    <w:tabs>
                      <w:tab w:val="center" w:pos="-2160"/>
                    </w:tabs>
                    <w:autoSpaceDE w:val="0"/>
                    <w:autoSpaceDN w:val="0"/>
                    <w:adjustRightInd w:val="0"/>
                    <w:spacing w:before="112"/>
                    <w:jc w:val="both"/>
                    <w:rPr>
                      <w:rFonts w:cs="Arial"/>
                    </w:rPr>
                  </w:pPr>
                  <w:r>
                    <w:rPr>
                      <w:rFonts w:cs="Arial"/>
                    </w:rPr>
                    <w:t>Dénomination :</w:t>
                  </w:r>
                </w:p>
                <w:p>
                  <w:pPr>
                    <w:widowControl w:val="0"/>
                    <w:tabs>
                      <w:tab w:val="center" w:pos="-2160"/>
                    </w:tabs>
                    <w:autoSpaceDE w:val="0"/>
                    <w:autoSpaceDN w:val="0"/>
                    <w:adjustRightInd w:val="0"/>
                    <w:spacing w:before="112"/>
                    <w:jc w:val="both"/>
                    <w:rPr>
                      <w:rFonts w:cs="Arial"/>
                    </w:rPr>
                  </w:pPr>
                  <w:r>
                    <w:rPr>
                      <w:rFonts w:cs="Arial"/>
                    </w:rPr>
                    <w:t>Adresse :</w:t>
                  </w:r>
                </w:p>
                <w:p>
                  <w:pPr>
                    <w:widowControl w:val="0"/>
                    <w:tabs>
                      <w:tab w:val="center" w:pos="-2160"/>
                    </w:tabs>
                    <w:autoSpaceDE w:val="0"/>
                    <w:autoSpaceDN w:val="0"/>
                    <w:adjustRightInd w:val="0"/>
                    <w:spacing w:before="112"/>
                    <w:jc w:val="both"/>
                    <w:rPr>
                      <w:rFonts w:cs="Arial"/>
                    </w:rPr>
                  </w:pPr>
                  <w:r>
                    <w:rPr>
                      <w:rFonts w:cs="Arial"/>
                    </w:rPr>
                    <w:t>CP et LOCALITE</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ai l’honneur de demander à la Direction du CPMS ou de l’organisme agréé ou du médecin spécialiste le rapport motivé justificatif de l’orientation en enseignement spécialisé.</w:t>
                  </w:r>
                </w:p>
                <w:p>
                  <w:pPr>
                    <w:widowControl w:val="0"/>
                    <w:tabs>
                      <w:tab w:val="center" w:pos="4962"/>
                    </w:tabs>
                    <w:autoSpaceDE w:val="0"/>
                    <w:autoSpaceDN w:val="0"/>
                    <w:adjustRightInd w:val="0"/>
                    <w:spacing w:before="112"/>
                    <w:jc w:val="both"/>
                    <w:rPr>
                      <w:rFonts w:cs="Arial"/>
                    </w:rPr>
                  </w:pPr>
                  <w:r>
                    <w:rPr>
                      <w:rFonts w:cs="Arial"/>
                    </w:rPr>
                    <w:t>NOM de l’élève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date de naissance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Veuillez également adresser un second exemplaire à la Direction du CPMS qui assure la guidance des élèves de mon établissement</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 xml:space="preserve">Dénomination :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Adresse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CP et LOCALITE :</w:t>
                  </w:r>
                </w:p>
                <w:p>
                  <w:pPr>
                    <w:widowControl w:val="0"/>
                    <w:tabs>
                      <w:tab w:val="center" w:pos="4962"/>
                    </w:tabs>
                    <w:autoSpaceDE w:val="0"/>
                    <w:autoSpaceDN w:val="0"/>
                    <w:adjustRightInd w:val="0"/>
                    <w:spacing w:before="112"/>
                    <w:jc w:val="both"/>
                    <w:rPr>
                      <w:rFonts w:cs="Arial"/>
                    </w:rPr>
                  </w:pPr>
                  <w:r>
                    <w:rPr>
                      <w:rFonts w:cs="Arial"/>
                    </w:rPr>
                    <w:t>en précisant, à son attention, les coordonnées de mon établissement.</w:t>
                  </w:r>
                </w:p>
                <w:p>
                  <w:pPr>
                    <w:widowControl w:val="0"/>
                    <w:tabs>
                      <w:tab w:val="center" w:pos="4962"/>
                    </w:tabs>
                    <w:autoSpaceDE w:val="0"/>
                    <w:autoSpaceDN w:val="0"/>
                    <w:adjustRightInd w:val="0"/>
                    <w:spacing w:before="112"/>
                    <w:rPr>
                      <w:rFonts w:cs="Arial"/>
                    </w:rPr>
                  </w:pPr>
                </w:p>
                <w:p>
                  <w:pPr>
                    <w:widowControl w:val="0"/>
                    <w:tabs>
                      <w:tab w:val="center" w:pos="4962"/>
                    </w:tabs>
                    <w:autoSpaceDE w:val="0"/>
                    <w:autoSpaceDN w:val="0"/>
                    <w:adjustRightInd w:val="0"/>
                    <w:spacing w:before="112"/>
                    <w:rPr>
                      <w:rFonts w:cs="Arial"/>
                    </w:rPr>
                  </w:pPr>
                </w:p>
                <w:p>
                  <w:pPr>
                    <w:widowControl w:val="0"/>
                    <w:tabs>
                      <w:tab w:val="center" w:pos="4962"/>
                    </w:tabs>
                    <w:autoSpaceDE w:val="0"/>
                    <w:autoSpaceDN w:val="0"/>
                    <w:adjustRightInd w:val="0"/>
                    <w:spacing w:before="112"/>
                    <w:rPr>
                      <w:rFonts w:cs="Arial"/>
                    </w:rPr>
                  </w:pPr>
                </w:p>
                <w:p>
                  <w:pPr>
                    <w:widowControl w:val="0"/>
                    <w:tabs>
                      <w:tab w:val="center" w:pos="4962"/>
                    </w:tabs>
                    <w:autoSpaceDE w:val="0"/>
                    <w:autoSpaceDN w:val="0"/>
                    <w:adjustRightInd w:val="0"/>
                    <w:spacing w:before="112"/>
                    <w:rPr>
                      <w:rFonts w:cs="Arial"/>
                    </w:rPr>
                  </w:pPr>
                </w:p>
                <w:p>
                  <w:pPr>
                    <w:widowControl w:val="0"/>
                    <w:tabs>
                      <w:tab w:val="center" w:pos="4962"/>
                    </w:tabs>
                    <w:autoSpaceDE w:val="0"/>
                    <w:autoSpaceDN w:val="0"/>
                    <w:adjustRightInd w:val="0"/>
                    <w:spacing w:before="112"/>
                    <w:rPr>
                      <w:rFonts w:cs="Arial"/>
                    </w:rPr>
                  </w:pPr>
                </w:p>
                <w:p>
                  <w:pPr>
                    <w:widowControl w:val="0"/>
                    <w:tabs>
                      <w:tab w:val="center" w:pos="4962"/>
                    </w:tabs>
                    <w:autoSpaceDE w:val="0"/>
                    <w:autoSpaceDN w:val="0"/>
                    <w:adjustRightInd w:val="0"/>
                    <w:spacing w:before="112"/>
                    <w:rPr>
                      <w:rFonts w:cs="Arial"/>
                    </w:rPr>
                  </w:pPr>
                  <w:r>
                    <w:rPr>
                      <w:rFonts w:cs="Arial"/>
                    </w:rPr>
                    <w:t>Date et signature :</w:t>
                  </w:r>
                </w:p>
                <w:p>
                  <w:pPr>
                    <w:widowControl w:val="0"/>
                    <w:tabs>
                      <w:tab w:val="center" w:pos="4962"/>
                    </w:tabs>
                    <w:autoSpaceDE w:val="0"/>
                    <w:autoSpaceDN w:val="0"/>
                    <w:adjustRightInd w:val="0"/>
                    <w:spacing w:before="112"/>
                    <w:rPr>
                      <w:rFonts w:cs="Arial"/>
                    </w:rPr>
                  </w:pPr>
                  <w:r>
                    <w:rPr>
                      <w:rFonts w:cs="Arial"/>
                    </w:rPr>
                    <w:br w:type="page"/>
                  </w:r>
                </w:p>
                <w:p>
                  <w:pPr>
                    <w:pStyle w:val="Titre4"/>
                  </w:pPr>
                  <w:bookmarkStart w:id="3402" w:name="_Annexe_2_:_1"/>
                  <w:bookmarkStart w:id="3403" w:name="_Toc414352932"/>
                  <w:bookmarkStart w:id="3404" w:name="_Toc453836956"/>
                  <w:bookmarkEnd w:id="3402"/>
                  <w:r>
                    <w:t>Annexe 2 : Transmission du rapport motivé justificatif du changement de type d’enseignement spécialisé</w:t>
                  </w:r>
                  <w:bookmarkEnd w:id="3403"/>
                  <w:bookmarkEnd w:id="3404"/>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Je soussigné(e)</w:t>
                  </w:r>
                </w:p>
                <w:p>
                  <w:pPr>
                    <w:widowControl w:val="0"/>
                    <w:tabs>
                      <w:tab w:val="center" w:pos="4962"/>
                    </w:tabs>
                    <w:autoSpaceDE w:val="0"/>
                    <w:autoSpaceDN w:val="0"/>
                    <w:adjustRightInd w:val="0"/>
                    <w:spacing w:before="112"/>
                    <w:jc w:val="both"/>
                    <w:rPr>
                      <w:rFonts w:cs="Arial"/>
                    </w:rPr>
                  </w:pPr>
                  <w:r>
                    <w:rPr>
                      <w:rFonts w:cs="Arial"/>
                    </w:rPr>
                    <w:t>Directeur/Directrice de l’établissement d’enseignement spécialisé</w:t>
                  </w:r>
                </w:p>
                <w:p>
                  <w:pPr>
                    <w:widowControl w:val="0"/>
                    <w:tabs>
                      <w:tab w:val="center" w:pos="-2160"/>
                    </w:tabs>
                    <w:autoSpaceDE w:val="0"/>
                    <w:autoSpaceDN w:val="0"/>
                    <w:adjustRightInd w:val="0"/>
                    <w:spacing w:before="112"/>
                    <w:jc w:val="both"/>
                    <w:rPr>
                      <w:rFonts w:cs="Arial"/>
                    </w:rPr>
                  </w:pPr>
                </w:p>
                <w:p>
                  <w:pPr>
                    <w:widowControl w:val="0"/>
                    <w:tabs>
                      <w:tab w:val="center" w:pos="-2160"/>
                    </w:tabs>
                    <w:autoSpaceDE w:val="0"/>
                    <w:autoSpaceDN w:val="0"/>
                    <w:adjustRightInd w:val="0"/>
                    <w:spacing w:before="112"/>
                    <w:jc w:val="both"/>
                    <w:rPr>
                      <w:rFonts w:cs="Arial"/>
                    </w:rPr>
                  </w:pPr>
                  <w:r>
                    <w:rPr>
                      <w:rFonts w:cs="Arial"/>
                    </w:rPr>
                    <w:t>Numéro FASE :</w:t>
                  </w:r>
                </w:p>
                <w:p>
                  <w:pPr>
                    <w:widowControl w:val="0"/>
                    <w:tabs>
                      <w:tab w:val="center" w:pos="-2160"/>
                    </w:tabs>
                    <w:autoSpaceDE w:val="0"/>
                    <w:autoSpaceDN w:val="0"/>
                    <w:adjustRightInd w:val="0"/>
                    <w:spacing w:before="112"/>
                    <w:jc w:val="both"/>
                    <w:rPr>
                      <w:rFonts w:cs="Arial"/>
                    </w:rPr>
                  </w:pPr>
                  <w:r>
                    <w:rPr>
                      <w:rFonts w:cs="Arial"/>
                    </w:rPr>
                    <w:t>Dénomination :</w:t>
                  </w:r>
                </w:p>
                <w:p>
                  <w:pPr>
                    <w:widowControl w:val="0"/>
                    <w:tabs>
                      <w:tab w:val="center" w:pos="-2160"/>
                    </w:tabs>
                    <w:autoSpaceDE w:val="0"/>
                    <w:autoSpaceDN w:val="0"/>
                    <w:adjustRightInd w:val="0"/>
                    <w:spacing w:before="112"/>
                    <w:jc w:val="both"/>
                    <w:rPr>
                      <w:rFonts w:cs="Arial"/>
                    </w:rPr>
                  </w:pPr>
                  <w:r>
                    <w:rPr>
                      <w:rFonts w:cs="Arial"/>
                    </w:rPr>
                    <w:t>Adresse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CP et LOCALITE</w:t>
                  </w:r>
                </w:p>
                <w:p>
                  <w:pPr>
                    <w:widowControl w:val="0"/>
                    <w:tabs>
                      <w:tab w:val="center" w:pos="4962"/>
                    </w:tabs>
                    <w:autoSpaceDE w:val="0"/>
                    <w:autoSpaceDN w:val="0"/>
                    <w:adjustRightInd w:val="0"/>
                    <w:spacing w:before="112"/>
                    <w:jc w:val="both"/>
                    <w:rPr>
                      <w:rFonts w:cs="Arial"/>
                    </w:rPr>
                  </w:pPr>
                  <w:r>
                    <w:rPr>
                      <w:rFonts w:cs="Arial"/>
                    </w:rPr>
                    <w:t>ai l’honneur de demander à la Direction du CPMS le rapport motivé justificatif du changement de type concernant.</w:t>
                  </w:r>
                </w:p>
                <w:p>
                  <w:pPr>
                    <w:widowControl w:val="0"/>
                    <w:tabs>
                      <w:tab w:val="center" w:pos="4962"/>
                    </w:tabs>
                    <w:autoSpaceDE w:val="0"/>
                    <w:autoSpaceDN w:val="0"/>
                    <w:adjustRightInd w:val="0"/>
                    <w:spacing w:before="112"/>
                    <w:jc w:val="both"/>
                    <w:rPr>
                      <w:rFonts w:cs="Arial"/>
                    </w:rPr>
                  </w:pPr>
                  <w:r>
                    <w:rPr>
                      <w:rFonts w:cs="Arial"/>
                    </w:rPr>
                    <w:t>NOM de l’élève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Date de naissance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Veuillez également adresser un second exemplaire à la Direction du CPMS qui assure la guidance des élèves de mon établissement</w:t>
                  </w:r>
                  <w:r>
                    <w:rPr>
                      <w:rStyle w:val="Appelnotedebasdep"/>
                    </w:rPr>
                    <w:footnoteReference w:id="139"/>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 xml:space="preserve">Dénomination :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Adresse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en précisant, à son attention, les coordonnées de mon établissement.</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sectPr>
                      <w:pgSz w:w="11906" w:h="16838"/>
                      <w:pgMar w:top="1134" w:right="1134" w:bottom="1134" w:left="1418" w:header="709" w:footer="142" w:gutter="0"/>
                      <w:cols w:space="720"/>
                      <w:docGrid w:linePitch="299"/>
                    </w:sectPr>
                  </w:pPr>
                  <w:r>
                    <w:rPr>
                      <w:rFonts w:cs="Arial"/>
                    </w:rPr>
                    <w:t>Date et signature </w:t>
                  </w:r>
                </w:p>
                <w:p>
                  <w:pPr>
                    <w:pStyle w:val="Titre4"/>
                  </w:pPr>
                  <w:bookmarkStart w:id="3405" w:name="_Annexe_3_:_1"/>
                  <w:bookmarkEnd w:id="3405"/>
                  <w:r>
                    <w:t>Annexe 3 : Liste des centres psycho-médico-sociaux de l’enseignement SPECIALISE</w:t>
                  </w:r>
                  <w:r>
                    <w:rPr>
                      <w:b w:val="0"/>
                      <w:u w:val="none"/>
                    </w:rPr>
                    <w:t xml:space="preserve">  </w:t>
                  </w:r>
                  <w:r>
                    <w:rPr>
                      <w:b w:val="0"/>
                      <w:u w:val="none"/>
                    </w:rPr>
                    <w:tab/>
                  </w:r>
                </w:p>
                <w:p>
                  <w:pPr>
                    <w:ind w:right="391"/>
                    <w:jc w:val="center"/>
                    <w:rPr>
                      <w:rFonts w:ascii="Arial" w:hAnsi="Arial" w:cs="Arial"/>
                      <w:b/>
                      <w:bCs/>
                    </w:rPr>
                  </w:pPr>
                </w:p>
                <w:tbl>
                  <w:tblPr>
                    <w:tblW w:w="14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410"/>
                    <w:gridCol w:w="2126"/>
                    <w:gridCol w:w="1454"/>
                    <w:gridCol w:w="1665"/>
                    <w:gridCol w:w="3649"/>
                  </w:tblGrid>
                  <w:tr>
                    <w:trPr>
                      <w:cantSplit/>
                      <w:trHeight w:val="557"/>
                    </w:trPr>
                    <w:tc>
                      <w:tcPr>
                        <w:tcW w:w="14276" w:type="dxa"/>
                        <w:gridSpan w:val="6"/>
                        <w:shd w:val="clear" w:color="auto" w:fill="EEECE1" w:themeFill="background2"/>
                        <w:vAlign w:val="center"/>
                      </w:tcPr>
                      <w:p>
                        <w:pPr>
                          <w:jc w:val="center"/>
                          <w:rPr>
                            <w:rFonts w:cs="Arial"/>
                            <w:b/>
                            <w:sz w:val="36"/>
                            <w:szCs w:val="36"/>
                          </w:rPr>
                        </w:pPr>
                        <w:r>
                          <w:rPr>
                            <w:rFonts w:cs="Arial"/>
                            <w:b/>
                            <w:bCs/>
                            <w:sz w:val="36"/>
                            <w:szCs w:val="36"/>
                          </w:rPr>
                          <w:t>CPMS SPÉCIALISÉS</w:t>
                        </w:r>
                      </w:p>
                    </w:tc>
                  </w:tr>
                  <w:tr>
                    <w:trPr>
                      <w:cantSplit/>
                      <w:trHeight w:val="410"/>
                    </w:trPr>
                    <w:tc>
                      <w:tcPr>
                        <w:tcW w:w="2972" w:type="dxa"/>
                        <w:vAlign w:val="center"/>
                      </w:tcPr>
                      <w:p>
                        <w:pPr>
                          <w:spacing w:before="240"/>
                          <w:jc w:val="center"/>
                          <w:rPr>
                            <w:rFonts w:ascii="Georgia" w:hAnsi="Georgia" w:cs="Arial"/>
                            <w:b/>
                          </w:rPr>
                        </w:pPr>
                        <w:r>
                          <w:rPr>
                            <w:rFonts w:ascii="Georgia" w:hAnsi="Georgia" w:cs="Arial"/>
                            <w:b/>
                          </w:rPr>
                          <w:t>Nom</w:t>
                        </w:r>
                      </w:p>
                    </w:tc>
                    <w:tc>
                      <w:tcPr>
                        <w:tcW w:w="2410" w:type="dxa"/>
                        <w:vAlign w:val="center"/>
                      </w:tcPr>
                      <w:p>
                        <w:pPr>
                          <w:spacing w:before="240"/>
                          <w:jc w:val="center"/>
                          <w:rPr>
                            <w:rFonts w:ascii="Georgia" w:hAnsi="Georgia" w:cs="Arial"/>
                            <w:b/>
                          </w:rPr>
                        </w:pPr>
                        <w:r>
                          <w:rPr>
                            <w:rFonts w:ascii="Georgia" w:hAnsi="Georgia" w:cs="Arial"/>
                            <w:b/>
                          </w:rPr>
                          <w:t>Adresse</w:t>
                        </w:r>
                      </w:p>
                    </w:tc>
                    <w:tc>
                      <w:tcPr>
                        <w:tcW w:w="2126" w:type="dxa"/>
                        <w:tcBorders>
                          <w:right w:val="single" w:sz="4" w:space="0" w:color="auto"/>
                        </w:tcBorders>
                        <w:vAlign w:val="center"/>
                      </w:tcPr>
                      <w:p>
                        <w:pPr>
                          <w:spacing w:before="240"/>
                          <w:jc w:val="center"/>
                          <w:rPr>
                            <w:rFonts w:ascii="Georgia" w:hAnsi="Georgia" w:cs="Arial"/>
                            <w:b/>
                          </w:rPr>
                        </w:pPr>
                        <w:r>
                          <w:rPr>
                            <w:rFonts w:ascii="Georgia" w:hAnsi="Georgia" w:cs="Arial"/>
                            <w:b/>
                          </w:rPr>
                          <w:t>Localité</w:t>
                        </w:r>
                      </w:p>
                    </w:tc>
                    <w:tc>
                      <w:tcPr>
                        <w:tcW w:w="1454" w:type="dxa"/>
                        <w:tcBorders>
                          <w:top w:val="single" w:sz="4" w:space="0" w:color="auto"/>
                          <w:left w:val="single" w:sz="4" w:space="0" w:color="auto"/>
                          <w:bottom w:val="single" w:sz="4" w:space="0" w:color="auto"/>
                          <w:right w:val="single" w:sz="4" w:space="0" w:color="auto"/>
                        </w:tcBorders>
                      </w:tcPr>
                      <w:p>
                        <w:pPr>
                          <w:spacing w:before="240"/>
                          <w:jc w:val="center"/>
                          <w:rPr>
                            <w:rFonts w:ascii="Georgia" w:hAnsi="Georgia" w:cs="Arial"/>
                            <w:b/>
                          </w:rPr>
                        </w:pPr>
                        <w:r>
                          <w:rPr>
                            <w:rFonts w:ascii="Georgia" w:hAnsi="Georgia" w:cs="Arial"/>
                            <w:b/>
                          </w:rPr>
                          <w:t>Tel.</w:t>
                        </w:r>
                      </w:p>
                    </w:tc>
                    <w:tc>
                      <w:tcPr>
                        <w:tcW w:w="1665" w:type="dxa"/>
                        <w:tcBorders>
                          <w:top w:val="single" w:sz="4" w:space="0" w:color="auto"/>
                          <w:left w:val="single" w:sz="4" w:space="0" w:color="auto"/>
                          <w:bottom w:val="single" w:sz="4" w:space="0" w:color="auto"/>
                          <w:right w:val="single" w:sz="4" w:space="0" w:color="auto"/>
                        </w:tcBorders>
                      </w:tcPr>
                      <w:p>
                        <w:pPr>
                          <w:spacing w:before="240"/>
                          <w:jc w:val="center"/>
                          <w:rPr>
                            <w:rFonts w:ascii="Georgia" w:hAnsi="Georgia" w:cs="Arial"/>
                            <w:b/>
                          </w:rPr>
                        </w:pPr>
                        <w:r>
                          <w:rPr>
                            <w:rFonts w:ascii="Georgia" w:hAnsi="Georgia" w:cs="Arial"/>
                            <w:b/>
                          </w:rPr>
                          <w:t>Fax</w:t>
                        </w:r>
                      </w:p>
                    </w:tc>
                    <w:tc>
                      <w:tcPr>
                        <w:tcW w:w="3649" w:type="dxa"/>
                        <w:tcBorders>
                          <w:left w:val="single" w:sz="4" w:space="0" w:color="auto"/>
                        </w:tcBorders>
                        <w:vAlign w:val="center"/>
                      </w:tcPr>
                      <w:p>
                        <w:pPr>
                          <w:spacing w:before="240"/>
                          <w:jc w:val="center"/>
                          <w:rPr>
                            <w:rFonts w:ascii="Georgia" w:hAnsi="Georgia" w:cs="Arial"/>
                            <w:b/>
                          </w:rPr>
                        </w:pPr>
                        <w:r>
                          <w:rPr>
                            <w:rFonts w:ascii="Georgia" w:hAnsi="Georgia" w:cs="Arial"/>
                            <w:b/>
                          </w:rPr>
                          <w:t>Arrondissement</w:t>
                        </w:r>
                      </w:p>
                    </w:tc>
                  </w:tr>
                  <w:tr>
                    <w:trPr>
                      <w:cantSplit/>
                      <w:trHeight w:val="397"/>
                    </w:trPr>
                    <w:tc>
                      <w:tcPr>
                        <w:tcW w:w="2972" w:type="dxa"/>
                        <w:vAlign w:val="center"/>
                      </w:tcPr>
                      <w:p>
                        <w:pPr>
                          <w:snapToGrid w:val="0"/>
                          <w:rPr>
                            <w:rFonts w:ascii="Arial" w:hAnsi="Arial" w:cs="Arial"/>
                            <w:sz w:val="20"/>
                            <w:szCs w:val="20"/>
                          </w:rPr>
                        </w:pPr>
                        <w:r>
                          <w:rPr>
                            <w:rFonts w:ascii="Arial" w:hAnsi="Arial" w:cs="Arial"/>
                            <w:sz w:val="20"/>
                            <w:szCs w:val="20"/>
                          </w:rPr>
                          <w:t>CPMS BRUXELLES V</w:t>
                        </w:r>
                      </w:p>
                    </w:tc>
                    <w:tc>
                      <w:tcPr>
                        <w:tcW w:w="2410" w:type="dxa"/>
                        <w:vAlign w:val="center"/>
                      </w:tcPr>
                      <w:p>
                        <w:pPr>
                          <w:snapToGrid w:val="0"/>
                          <w:rPr>
                            <w:rFonts w:ascii="Arial" w:hAnsi="Arial" w:cs="Arial"/>
                            <w:sz w:val="20"/>
                            <w:szCs w:val="20"/>
                          </w:rPr>
                        </w:pPr>
                        <w:r>
                          <w:rPr>
                            <w:rFonts w:ascii="Arial" w:hAnsi="Arial" w:cs="Arial"/>
                            <w:sz w:val="20"/>
                            <w:szCs w:val="20"/>
                          </w:rPr>
                          <w:t>Rue Philippe de Champagne, 52</w:t>
                        </w:r>
                      </w:p>
                    </w:tc>
                    <w:tc>
                      <w:tcPr>
                        <w:tcW w:w="2126" w:type="dxa"/>
                        <w:vAlign w:val="center"/>
                      </w:tcPr>
                      <w:p>
                        <w:pPr>
                          <w:snapToGrid w:val="0"/>
                          <w:rPr>
                            <w:rFonts w:ascii="Arial" w:hAnsi="Arial" w:cs="Arial"/>
                            <w:sz w:val="20"/>
                            <w:szCs w:val="20"/>
                          </w:rPr>
                        </w:pPr>
                        <w:r>
                          <w:rPr>
                            <w:rFonts w:ascii="Arial" w:hAnsi="Arial" w:cs="Arial"/>
                            <w:sz w:val="20"/>
                            <w:szCs w:val="20"/>
                          </w:rPr>
                          <w:t>1000 BRUXELLES</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02/548.05.30</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02/548.05.38</w:t>
                        </w:r>
                      </w:p>
                    </w:tc>
                    <w:tc>
                      <w:tcPr>
                        <w:tcW w:w="3649" w:type="dxa"/>
                        <w:vAlign w:val="center"/>
                      </w:tcPr>
                      <w:p>
                        <w:pPr>
                          <w:snapToGrid w:val="0"/>
                          <w:jc w:val="center"/>
                          <w:rPr>
                            <w:rFonts w:ascii="Arial" w:hAnsi="Arial" w:cs="Arial"/>
                            <w:b/>
                            <w:bCs/>
                            <w:sz w:val="20"/>
                            <w:szCs w:val="20"/>
                          </w:rPr>
                        </w:pPr>
                        <w:r>
                          <w:rPr>
                            <w:rFonts w:ascii="Arial" w:hAnsi="Arial" w:cs="Arial"/>
                            <w:b/>
                            <w:bCs/>
                            <w:sz w:val="20"/>
                            <w:szCs w:val="20"/>
                          </w:rPr>
                          <w:t>Région de Bruxelles - Capitale</w:t>
                        </w:r>
                      </w:p>
                    </w:tc>
                  </w:tr>
                  <w:tr>
                    <w:trPr>
                      <w:cantSplit/>
                      <w:trHeight w:val="397"/>
                    </w:trPr>
                    <w:tc>
                      <w:tcPr>
                        <w:tcW w:w="2972" w:type="dxa"/>
                        <w:vAlign w:val="center"/>
                      </w:tcPr>
                      <w:p>
                        <w:pPr>
                          <w:snapToGrid w:val="0"/>
                          <w:rPr>
                            <w:rFonts w:ascii="Arial" w:hAnsi="Arial" w:cs="Arial"/>
                            <w:sz w:val="20"/>
                            <w:szCs w:val="20"/>
                          </w:rPr>
                        </w:pPr>
                        <w:r>
                          <w:rPr>
                            <w:rFonts w:ascii="Arial" w:hAnsi="Arial" w:cs="Arial"/>
                            <w:sz w:val="20"/>
                            <w:szCs w:val="20"/>
                          </w:rPr>
                          <w:t>CPMS de la Communauté française</w:t>
                        </w:r>
                      </w:p>
                    </w:tc>
                    <w:tc>
                      <w:tcPr>
                        <w:tcW w:w="2410" w:type="dxa"/>
                        <w:vAlign w:val="center"/>
                      </w:tcPr>
                      <w:p>
                        <w:pPr>
                          <w:snapToGrid w:val="0"/>
                          <w:rPr>
                            <w:rFonts w:ascii="Arial" w:hAnsi="Arial" w:cs="Arial"/>
                            <w:sz w:val="20"/>
                            <w:szCs w:val="20"/>
                          </w:rPr>
                        </w:pPr>
                        <w:r>
                          <w:rPr>
                            <w:rFonts w:ascii="Arial" w:hAnsi="Arial" w:cs="Arial"/>
                            <w:sz w:val="20"/>
                            <w:szCs w:val="20"/>
                          </w:rPr>
                          <w:t>Avenue Schaller, 89</w:t>
                        </w:r>
                      </w:p>
                    </w:tc>
                    <w:tc>
                      <w:tcPr>
                        <w:tcW w:w="2126" w:type="dxa"/>
                        <w:vAlign w:val="center"/>
                      </w:tcPr>
                      <w:p>
                        <w:pPr>
                          <w:snapToGrid w:val="0"/>
                          <w:rPr>
                            <w:rFonts w:ascii="Arial" w:hAnsi="Arial" w:cs="Arial"/>
                            <w:sz w:val="20"/>
                            <w:szCs w:val="20"/>
                          </w:rPr>
                        </w:pPr>
                        <w:r>
                          <w:rPr>
                            <w:rFonts w:ascii="Arial" w:hAnsi="Arial" w:cs="Arial"/>
                            <w:sz w:val="20"/>
                            <w:szCs w:val="20"/>
                          </w:rPr>
                          <w:t>1160 AUDERGHEM</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02/673.70.87</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02/675.45.49</w:t>
                        </w:r>
                      </w:p>
                    </w:tc>
                    <w:tc>
                      <w:tcPr>
                        <w:tcW w:w="3649" w:type="dxa"/>
                        <w:vAlign w:val="center"/>
                      </w:tcPr>
                      <w:p>
                        <w:pPr>
                          <w:snapToGrid w:val="0"/>
                          <w:jc w:val="center"/>
                          <w:rPr>
                            <w:rFonts w:ascii="Arial" w:hAnsi="Arial" w:cs="Arial"/>
                            <w:b/>
                            <w:bCs/>
                            <w:sz w:val="20"/>
                            <w:szCs w:val="20"/>
                          </w:rPr>
                        </w:pPr>
                        <w:r>
                          <w:rPr>
                            <w:rFonts w:ascii="Arial" w:hAnsi="Arial" w:cs="Arial"/>
                            <w:b/>
                            <w:bCs/>
                            <w:sz w:val="20"/>
                            <w:szCs w:val="20"/>
                          </w:rPr>
                          <w:t>Région de Bruxelles - Capitale</w:t>
                        </w:r>
                      </w:p>
                    </w:tc>
                  </w:tr>
                  <w:tr>
                    <w:trPr>
                      <w:cantSplit/>
                      <w:trHeight w:val="397"/>
                    </w:trPr>
                    <w:tc>
                      <w:tcPr>
                        <w:tcW w:w="2972" w:type="dxa"/>
                        <w:vAlign w:val="center"/>
                      </w:tcPr>
                      <w:p>
                        <w:pPr>
                          <w:snapToGrid w:val="0"/>
                          <w:rPr>
                            <w:rFonts w:ascii="Arial" w:hAnsi="Arial" w:cs="Arial"/>
                            <w:sz w:val="20"/>
                            <w:szCs w:val="20"/>
                          </w:rPr>
                        </w:pPr>
                        <w:r>
                          <w:rPr>
                            <w:rFonts w:ascii="Arial" w:hAnsi="Arial" w:cs="Arial"/>
                            <w:sz w:val="20"/>
                            <w:szCs w:val="20"/>
                          </w:rPr>
                          <w:t>CPMS Spécialisé libre Uccle I</w:t>
                        </w:r>
                      </w:p>
                    </w:tc>
                    <w:tc>
                      <w:tcPr>
                        <w:tcW w:w="2410" w:type="dxa"/>
                        <w:vAlign w:val="center"/>
                      </w:tcPr>
                      <w:p>
                        <w:pPr>
                          <w:snapToGrid w:val="0"/>
                          <w:rPr>
                            <w:rFonts w:ascii="Arial" w:hAnsi="Arial" w:cs="Arial"/>
                            <w:sz w:val="20"/>
                            <w:szCs w:val="20"/>
                          </w:rPr>
                        </w:pPr>
                        <w:r>
                          <w:rPr>
                            <w:rFonts w:ascii="Arial" w:hAnsi="Arial" w:cs="Arial"/>
                            <w:sz w:val="20"/>
                            <w:szCs w:val="20"/>
                          </w:rPr>
                          <w:t>Ch. de Waterloo, 1510</w:t>
                        </w:r>
                      </w:p>
                    </w:tc>
                    <w:tc>
                      <w:tcPr>
                        <w:tcW w:w="2126" w:type="dxa"/>
                        <w:vAlign w:val="center"/>
                      </w:tcPr>
                      <w:p>
                        <w:pPr>
                          <w:snapToGrid w:val="0"/>
                          <w:rPr>
                            <w:rFonts w:ascii="Arial" w:hAnsi="Arial" w:cs="Arial"/>
                            <w:sz w:val="20"/>
                            <w:szCs w:val="20"/>
                          </w:rPr>
                        </w:pPr>
                        <w:r>
                          <w:rPr>
                            <w:rFonts w:ascii="Arial" w:hAnsi="Arial" w:cs="Arial"/>
                            <w:sz w:val="20"/>
                            <w:szCs w:val="20"/>
                          </w:rPr>
                          <w:t>1180 UCCLE</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02/375.22.76</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02/375.22.76</w:t>
                        </w:r>
                      </w:p>
                    </w:tc>
                    <w:tc>
                      <w:tcPr>
                        <w:tcW w:w="3649" w:type="dxa"/>
                        <w:vAlign w:val="center"/>
                      </w:tcPr>
                      <w:p>
                        <w:pPr>
                          <w:snapToGrid w:val="0"/>
                          <w:jc w:val="center"/>
                          <w:rPr>
                            <w:rFonts w:ascii="Arial" w:hAnsi="Arial" w:cs="Arial"/>
                            <w:b/>
                            <w:bCs/>
                            <w:sz w:val="20"/>
                            <w:szCs w:val="20"/>
                          </w:rPr>
                        </w:pPr>
                        <w:r>
                          <w:rPr>
                            <w:rFonts w:ascii="Arial" w:hAnsi="Arial" w:cs="Arial"/>
                            <w:b/>
                            <w:bCs/>
                            <w:sz w:val="20"/>
                            <w:szCs w:val="20"/>
                          </w:rPr>
                          <w:t>Région de Bruxelles - Capitale</w:t>
                        </w:r>
                      </w:p>
                    </w:tc>
                  </w:tr>
                  <w:tr>
                    <w:trPr>
                      <w:cantSplit/>
                      <w:trHeight w:val="397"/>
                    </w:trPr>
                    <w:tc>
                      <w:tcPr>
                        <w:tcW w:w="2972" w:type="dxa"/>
                        <w:vAlign w:val="center"/>
                      </w:tcPr>
                      <w:p>
                        <w:pPr>
                          <w:snapToGrid w:val="0"/>
                          <w:rPr>
                            <w:rFonts w:ascii="Arial" w:hAnsi="Arial" w:cs="Arial"/>
                            <w:sz w:val="20"/>
                            <w:szCs w:val="20"/>
                          </w:rPr>
                        </w:pPr>
                        <w:r>
                          <w:rPr>
                            <w:rFonts w:ascii="Arial" w:hAnsi="Arial" w:cs="Arial"/>
                            <w:sz w:val="20"/>
                            <w:szCs w:val="20"/>
                          </w:rPr>
                          <w:t>CPMS Spécialisé libre Uccle II</w:t>
                        </w:r>
                      </w:p>
                    </w:tc>
                    <w:tc>
                      <w:tcPr>
                        <w:tcW w:w="2410" w:type="dxa"/>
                        <w:vAlign w:val="center"/>
                      </w:tcPr>
                      <w:p>
                        <w:pPr>
                          <w:snapToGrid w:val="0"/>
                          <w:rPr>
                            <w:rFonts w:ascii="Arial" w:hAnsi="Arial" w:cs="Arial"/>
                            <w:sz w:val="20"/>
                            <w:szCs w:val="20"/>
                          </w:rPr>
                        </w:pPr>
                        <w:r>
                          <w:rPr>
                            <w:rFonts w:ascii="Arial" w:hAnsi="Arial" w:cs="Arial"/>
                            <w:sz w:val="20"/>
                            <w:szCs w:val="20"/>
                          </w:rPr>
                          <w:t>Ch. de Waterloo, 1510</w:t>
                        </w:r>
                      </w:p>
                    </w:tc>
                    <w:tc>
                      <w:tcPr>
                        <w:tcW w:w="2126" w:type="dxa"/>
                        <w:vAlign w:val="center"/>
                      </w:tcPr>
                      <w:p>
                        <w:pPr>
                          <w:snapToGrid w:val="0"/>
                          <w:rPr>
                            <w:rFonts w:ascii="Arial" w:hAnsi="Arial" w:cs="Arial"/>
                            <w:sz w:val="20"/>
                            <w:szCs w:val="20"/>
                          </w:rPr>
                        </w:pPr>
                        <w:r>
                          <w:rPr>
                            <w:rFonts w:ascii="Arial" w:hAnsi="Arial" w:cs="Arial"/>
                            <w:sz w:val="20"/>
                            <w:szCs w:val="20"/>
                          </w:rPr>
                          <w:t>1180 UCCLE</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02/375.22.76</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02/375.22.76</w:t>
                        </w:r>
                      </w:p>
                    </w:tc>
                    <w:tc>
                      <w:tcPr>
                        <w:tcW w:w="3649" w:type="dxa"/>
                        <w:vAlign w:val="center"/>
                      </w:tcPr>
                      <w:p>
                        <w:pPr>
                          <w:snapToGrid w:val="0"/>
                          <w:jc w:val="center"/>
                          <w:rPr>
                            <w:rFonts w:ascii="Arial" w:hAnsi="Arial" w:cs="Arial"/>
                            <w:b/>
                            <w:bCs/>
                            <w:sz w:val="20"/>
                            <w:szCs w:val="20"/>
                          </w:rPr>
                        </w:pPr>
                        <w:r>
                          <w:rPr>
                            <w:rFonts w:ascii="Arial" w:hAnsi="Arial" w:cs="Arial"/>
                            <w:b/>
                            <w:bCs/>
                            <w:sz w:val="20"/>
                            <w:szCs w:val="20"/>
                          </w:rPr>
                          <w:t>Région de Bruxelles - Capitale</w:t>
                        </w:r>
                      </w:p>
                    </w:tc>
                  </w:tr>
                  <w:tr>
                    <w:trPr>
                      <w:cantSplit/>
                      <w:trHeight w:val="397"/>
                    </w:trPr>
                    <w:tc>
                      <w:tcPr>
                        <w:tcW w:w="2972" w:type="dxa"/>
                        <w:vAlign w:val="center"/>
                      </w:tcPr>
                      <w:p>
                        <w:pPr>
                          <w:snapToGrid w:val="0"/>
                          <w:rPr>
                            <w:rFonts w:ascii="Arial" w:hAnsi="Arial" w:cs="Arial"/>
                            <w:sz w:val="20"/>
                            <w:szCs w:val="20"/>
                          </w:rPr>
                        </w:pPr>
                        <w:r>
                          <w:rPr>
                            <w:rFonts w:ascii="Arial" w:hAnsi="Arial" w:cs="Arial"/>
                            <w:sz w:val="20"/>
                            <w:szCs w:val="20"/>
                          </w:rPr>
                          <w:t>Centre PMS Communal IV</w:t>
                        </w:r>
                      </w:p>
                    </w:tc>
                    <w:tc>
                      <w:tcPr>
                        <w:tcW w:w="2410" w:type="dxa"/>
                        <w:vAlign w:val="center"/>
                      </w:tcPr>
                      <w:p>
                        <w:pPr>
                          <w:snapToGrid w:val="0"/>
                          <w:rPr>
                            <w:rFonts w:ascii="Arial" w:hAnsi="Arial" w:cs="Arial"/>
                            <w:sz w:val="20"/>
                            <w:szCs w:val="20"/>
                          </w:rPr>
                        </w:pPr>
                        <w:r>
                          <w:rPr>
                            <w:rFonts w:ascii="Arial" w:hAnsi="Arial" w:cs="Arial"/>
                            <w:sz w:val="20"/>
                            <w:szCs w:val="20"/>
                          </w:rPr>
                          <w:t>Rue Beeckman, 27</w:t>
                        </w:r>
                      </w:p>
                    </w:tc>
                    <w:tc>
                      <w:tcPr>
                        <w:tcW w:w="2126" w:type="dxa"/>
                        <w:vAlign w:val="center"/>
                      </w:tcPr>
                      <w:p>
                        <w:pPr>
                          <w:snapToGrid w:val="0"/>
                          <w:rPr>
                            <w:rFonts w:ascii="Arial" w:hAnsi="Arial" w:cs="Arial"/>
                            <w:sz w:val="20"/>
                            <w:szCs w:val="20"/>
                          </w:rPr>
                        </w:pPr>
                        <w:r>
                          <w:rPr>
                            <w:rFonts w:ascii="Arial" w:hAnsi="Arial" w:cs="Arial"/>
                            <w:sz w:val="20"/>
                            <w:szCs w:val="20"/>
                          </w:rPr>
                          <w:t>4000 LIEGE</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04/222.04.93</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04/221.39.17</w:t>
                        </w:r>
                      </w:p>
                    </w:tc>
                    <w:tc>
                      <w:tcPr>
                        <w:tcW w:w="3649" w:type="dxa"/>
                        <w:vAlign w:val="center"/>
                      </w:tcPr>
                      <w:p>
                        <w:pPr>
                          <w:snapToGrid w:val="0"/>
                          <w:jc w:val="center"/>
                          <w:rPr>
                            <w:rFonts w:ascii="Arial" w:hAnsi="Arial" w:cs="Arial"/>
                            <w:b/>
                            <w:bCs/>
                            <w:sz w:val="20"/>
                            <w:szCs w:val="20"/>
                          </w:rPr>
                        </w:pPr>
                        <w:r>
                          <w:rPr>
                            <w:rFonts w:ascii="Arial" w:hAnsi="Arial" w:cs="Arial"/>
                            <w:b/>
                            <w:bCs/>
                            <w:sz w:val="20"/>
                            <w:szCs w:val="20"/>
                          </w:rPr>
                          <w:t>Province de Liège</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de la Communauté française</w:t>
                        </w:r>
                      </w:p>
                    </w:tc>
                    <w:tc>
                      <w:tcPr>
                        <w:tcW w:w="2410" w:type="dxa"/>
                      </w:tcPr>
                      <w:p>
                        <w:pPr>
                          <w:snapToGrid w:val="0"/>
                          <w:rPr>
                            <w:rFonts w:ascii="Arial" w:hAnsi="Arial" w:cs="Arial"/>
                            <w:sz w:val="20"/>
                            <w:szCs w:val="20"/>
                          </w:rPr>
                        </w:pPr>
                        <w:r>
                          <w:rPr>
                            <w:rFonts w:ascii="Arial" w:hAnsi="Arial" w:cs="Arial"/>
                            <w:sz w:val="20"/>
                            <w:szCs w:val="20"/>
                          </w:rPr>
                          <w:t>Grand’Route, 197</w:t>
                        </w:r>
                      </w:p>
                    </w:tc>
                    <w:tc>
                      <w:tcPr>
                        <w:tcW w:w="2126" w:type="dxa"/>
                      </w:tcPr>
                      <w:p>
                        <w:pPr>
                          <w:snapToGrid w:val="0"/>
                          <w:rPr>
                            <w:rFonts w:ascii="Arial" w:hAnsi="Arial" w:cs="Arial"/>
                            <w:sz w:val="20"/>
                            <w:szCs w:val="20"/>
                          </w:rPr>
                        </w:pPr>
                        <w:r>
                          <w:rPr>
                            <w:rFonts w:ascii="Arial" w:hAnsi="Arial" w:cs="Arial"/>
                            <w:sz w:val="20"/>
                            <w:szCs w:val="20"/>
                          </w:rPr>
                          <w:t>4400 FLEMALLE</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04/233.65.84</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04/234.33.36</w:t>
                        </w:r>
                      </w:p>
                    </w:tc>
                    <w:tc>
                      <w:tcPr>
                        <w:tcW w:w="3649" w:type="dxa"/>
                      </w:tcPr>
                      <w:p>
                        <w:pPr>
                          <w:snapToGrid w:val="0"/>
                          <w:jc w:val="center"/>
                          <w:rPr>
                            <w:rFonts w:ascii="Arial" w:hAnsi="Arial" w:cs="Arial"/>
                            <w:b/>
                            <w:bCs/>
                            <w:sz w:val="20"/>
                            <w:szCs w:val="20"/>
                          </w:rPr>
                        </w:pPr>
                        <w:r>
                          <w:rPr>
                            <w:rFonts w:ascii="Arial" w:hAnsi="Arial" w:cs="Arial"/>
                            <w:b/>
                            <w:bCs/>
                            <w:sz w:val="20"/>
                            <w:szCs w:val="20"/>
                          </w:rPr>
                          <w:t>Province de Liège</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de la Communauté française</w:t>
                        </w:r>
                      </w:p>
                    </w:tc>
                    <w:tc>
                      <w:tcPr>
                        <w:tcW w:w="2410" w:type="dxa"/>
                      </w:tcPr>
                      <w:p>
                        <w:pPr>
                          <w:snapToGrid w:val="0"/>
                          <w:rPr>
                            <w:rFonts w:ascii="Arial" w:hAnsi="Arial" w:cs="Arial"/>
                            <w:sz w:val="20"/>
                            <w:szCs w:val="20"/>
                          </w:rPr>
                        </w:pPr>
                        <w:r>
                          <w:rPr>
                            <w:rFonts w:ascii="Arial" w:hAnsi="Arial" w:cs="Arial"/>
                            <w:sz w:val="20"/>
                            <w:szCs w:val="20"/>
                          </w:rPr>
                          <w:t>Rue des Wallons, 42</w:t>
                        </w:r>
                      </w:p>
                    </w:tc>
                    <w:tc>
                      <w:tcPr>
                        <w:tcW w:w="2126" w:type="dxa"/>
                      </w:tcPr>
                      <w:p>
                        <w:pPr>
                          <w:snapToGrid w:val="0"/>
                          <w:rPr>
                            <w:rFonts w:ascii="Arial" w:hAnsi="Arial" w:cs="Arial"/>
                            <w:sz w:val="20"/>
                            <w:szCs w:val="20"/>
                          </w:rPr>
                        </w:pPr>
                        <w:r>
                          <w:rPr>
                            <w:rFonts w:ascii="Arial" w:hAnsi="Arial" w:cs="Arial"/>
                            <w:sz w:val="20"/>
                            <w:szCs w:val="20"/>
                          </w:rPr>
                          <w:t>4800 VERVIERS</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087/32.10.80</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087/32.10.86</w:t>
                        </w:r>
                      </w:p>
                    </w:tc>
                    <w:tc>
                      <w:tcPr>
                        <w:tcW w:w="3649" w:type="dxa"/>
                      </w:tcPr>
                      <w:p>
                        <w:pPr>
                          <w:snapToGrid w:val="0"/>
                          <w:jc w:val="center"/>
                          <w:rPr>
                            <w:rFonts w:ascii="Arial" w:hAnsi="Arial" w:cs="Arial"/>
                            <w:b/>
                            <w:bCs/>
                            <w:sz w:val="20"/>
                            <w:szCs w:val="20"/>
                          </w:rPr>
                        </w:pPr>
                        <w:r>
                          <w:rPr>
                            <w:rFonts w:ascii="Arial" w:hAnsi="Arial" w:cs="Arial"/>
                            <w:b/>
                            <w:bCs/>
                            <w:sz w:val="20"/>
                            <w:szCs w:val="20"/>
                          </w:rPr>
                          <w:t>Province de Liège</w:t>
                        </w:r>
                      </w:p>
                    </w:tc>
                  </w:tr>
                  <w:tr>
                    <w:trPr>
                      <w:cantSplit/>
                      <w:trHeight w:val="397"/>
                    </w:trPr>
                    <w:tc>
                      <w:tcPr>
                        <w:tcW w:w="2972" w:type="dxa"/>
                        <w:vAlign w:val="center"/>
                      </w:tcPr>
                      <w:p>
                        <w:pPr>
                          <w:snapToGrid w:val="0"/>
                          <w:rPr>
                            <w:rFonts w:ascii="Arial" w:hAnsi="Arial" w:cs="Arial"/>
                            <w:sz w:val="20"/>
                            <w:szCs w:val="20"/>
                          </w:rPr>
                        </w:pPr>
                        <w:r>
                          <w:rPr>
                            <w:rFonts w:ascii="Arial" w:hAnsi="Arial" w:cs="Arial"/>
                            <w:sz w:val="20"/>
                            <w:szCs w:val="20"/>
                          </w:rPr>
                          <w:t>CPMS Spécialisé libre</w:t>
                        </w:r>
                      </w:p>
                    </w:tc>
                    <w:tc>
                      <w:tcPr>
                        <w:tcW w:w="2410" w:type="dxa"/>
                        <w:vAlign w:val="center"/>
                      </w:tcPr>
                      <w:p>
                        <w:pPr>
                          <w:snapToGrid w:val="0"/>
                          <w:rPr>
                            <w:rFonts w:ascii="Arial" w:hAnsi="Arial" w:cs="Arial"/>
                            <w:sz w:val="20"/>
                            <w:szCs w:val="20"/>
                          </w:rPr>
                        </w:pPr>
                        <w:r>
                          <w:rPr>
                            <w:rFonts w:ascii="Arial" w:hAnsi="Arial" w:cs="Arial"/>
                            <w:sz w:val="20"/>
                            <w:szCs w:val="20"/>
                          </w:rPr>
                          <w:t>Rue du Lombard, 24</w:t>
                        </w:r>
                      </w:p>
                    </w:tc>
                    <w:tc>
                      <w:tcPr>
                        <w:tcW w:w="2126" w:type="dxa"/>
                        <w:vAlign w:val="center"/>
                      </w:tcPr>
                      <w:p>
                        <w:pPr>
                          <w:snapToGrid w:val="0"/>
                          <w:rPr>
                            <w:rFonts w:ascii="Arial" w:hAnsi="Arial" w:cs="Arial"/>
                            <w:sz w:val="20"/>
                            <w:szCs w:val="20"/>
                          </w:rPr>
                        </w:pPr>
                        <w:r>
                          <w:rPr>
                            <w:rFonts w:ascii="Arial" w:hAnsi="Arial" w:cs="Arial"/>
                            <w:sz w:val="20"/>
                            <w:szCs w:val="20"/>
                          </w:rPr>
                          <w:t>5000 NAMUR</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081/22.90.90</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081/22.15.02</w:t>
                        </w:r>
                      </w:p>
                    </w:tc>
                    <w:tc>
                      <w:tcPr>
                        <w:tcW w:w="3649" w:type="dxa"/>
                        <w:vAlign w:val="center"/>
                      </w:tcPr>
                      <w:p>
                        <w:pPr>
                          <w:snapToGrid w:val="0"/>
                          <w:jc w:val="center"/>
                          <w:rPr>
                            <w:rFonts w:ascii="Arial" w:hAnsi="Arial" w:cs="Arial"/>
                            <w:b/>
                            <w:bCs/>
                            <w:sz w:val="20"/>
                            <w:szCs w:val="20"/>
                          </w:rPr>
                        </w:pPr>
                        <w:r>
                          <w:rPr>
                            <w:rFonts w:ascii="Arial" w:hAnsi="Arial" w:cs="Arial"/>
                            <w:b/>
                            <w:bCs/>
                            <w:sz w:val="20"/>
                            <w:szCs w:val="20"/>
                          </w:rPr>
                          <w:t>Province de Namur</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de la Communauté française</w:t>
                        </w:r>
                      </w:p>
                    </w:tc>
                    <w:tc>
                      <w:tcPr>
                        <w:tcW w:w="2410" w:type="dxa"/>
                      </w:tcPr>
                      <w:p>
                        <w:pPr>
                          <w:snapToGrid w:val="0"/>
                          <w:rPr>
                            <w:rFonts w:ascii="Arial" w:hAnsi="Arial" w:cs="Arial"/>
                            <w:sz w:val="20"/>
                            <w:szCs w:val="20"/>
                          </w:rPr>
                        </w:pPr>
                        <w:r>
                          <w:rPr>
                            <w:rFonts w:ascii="Arial" w:hAnsi="Arial" w:cs="Arial"/>
                            <w:sz w:val="20"/>
                            <w:szCs w:val="20"/>
                          </w:rPr>
                          <w:t>Rue de Géronsart, 160</w:t>
                        </w:r>
                      </w:p>
                    </w:tc>
                    <w:tc>
                      <w:tcPr>
                        <w:tcW w:w="2126" w:type="dxa"/>
                      </w:tcPr>
                      <w:p>
                        <w:pPr>
                          <w:snapToGrid w:val="0"/>
                          <w:rPr>
                            <w:rFonts w:ascii="Arial" w:hAnsi="Arial" w:cs="Arial"/>
                            <w:sz w:val="20"/>
                            <w:szCs w:val="20"/>
                          </w:rPr>
                        </w:pPr>
                        <w:r>
                          <w:rPr>
                            <w:rFonts w:ascii="Arial" w:hAnsi="Arial" w:cs="Arial"/>
                            <w:sz w:val="20"/>
                            <w:szCs w:val="20"/>
                          </w:rPr>
                          <w:t>5100 JAMBES</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081/33.16.10</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081/33.16.17</w:t>
                        </w:r>
                      </w:p>
                    </w:tc>
                    <w:tc>
                      <w:tcPr>
                        <w:tcW w:w="3649" w:type="dxa"/>
                      </w:tcPr>
                      <w:p>
                        <w:pPr>
                          <w:snapToGrid w:val="0"/>
                          <w:jc w:val="center"/>
                          <w:rPr>
                            <w:rFonts w:ascii="Arial" w:hAnsi="Arial" w:cs="Arial"/>
                            <w:b/>
                            <w:bCs/>
                            <w:sz w:val="20"/>
                            <w:szCs w:val="20"/>
                          </w:rPr>
                        </w:pPr>
                        <w:r>
                          <w:rPr>
                            <w:rFonts w:ascii="Arial" w:hAnsi="Arial" w:cs="Arial"/>
                            <w:b/>
                            <w:bCs/>
                            <w:sz w:val="20"/>
                            <w:szCs w:val="20"/>
                          </w:rPr>
                          <w:t>Province de Namur</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de la Communauté française</w:t>
                        </w:r>
                      </w:p>
                    </w:tc>
                    <w:tc>
                      <w:tcPr>
                        <w:tcW w:w="2410" w:type="dxa"/>
                      </w:tcPr>
                      <w:p>
                        <w:pPr>
                          <w:snapToGrid w:val="0"/>
                          <w:rPr>
                            <w:rFonts w:ascii="Arial" w:hAnsi="Arial" w:cs="Arial"/>
                            <w:sz w:val="20"/>
                            <w:szCs w:val="20"/>
                          </w:rPr>
                        </w:pPr>
                        <w:r>
                          <w:rPr>
                            <w:rFonts w:ascii="Arial" w:hAnsi="Arial" w:cs="Arial"/>
                            <w:sz w:val="20"/>
                            <w:szCs w:val="20"/>
                          </w:rPr>
                          <w:t>Rue de la Calamine, 36</w:t>
                        </w:r>
                      </w:p>
                    </w:tc>
                    <w:tc>
                      <w:tcPr>
                        <w:tcW w:w="2126" w:type="dxa"/>
                      </w:tcPr>
                      <w:p>
                        <w:pPr>
                          <w:snapToGrid w:val="0"/>
                          <w:rPr>
                            <w:rFonts w:ascii="Arial" w:hAnsi="Arial" w:cs="Arial"/>
                            <w:sz w:val="20"/>
                            <w:szCs w:val="20"/>
                          </w:rPr>
                        </w:pPr>
                        <w:r>
                          <w:rPr>
                            <w:rFonts w:ascii="Arial" w:hAnsi="Arial" w:cs="Arial"/>
                            <w:sz w:val="20"/>
                            <w:szCs w:val="20"/>
                          </w:rPr>
                          <w:t>5600 PHILIPPEVILLE</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071/66.75.03</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071/66.76.62</w:t>
                        </w:r>
                      </w:p>
                    </w:tc>
                    <w:tc>
                      <w:tcPr>
                        <w:tcW w:w="3649" w:type="dxa"/>
                      </w:tcPr>
                      <w:p>
                        <w:pPr>
                          <w:snapToGrid w:val="0"/>
                          <w:jc w:val="center"/>
                          <w:rPr>
                            <w:rFonts w:ascii="Arial" w:hAnsi="Arial" w:cs="Arial"/>
                            <w:b/>
                            <w:bCs/>
                            <w:sz w:val="20"/>
                            <w:szCs w:val="20"/>
                          </w:rPr>
                        </w:pPr>
                        <w:r>
                          <w:rPr>
                            <w:rFonts w:ascii="Arial" w:hAnsi="Arial" w:cs="Arial"/>
                            <w:b/>
                            <w:bCs/>
                            <w:sz w:val="20"/>
                            <w:szCs w:val="20"/>
                          </w:rPr>
                          <w:t>Province de Namur</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de la Communauté française</w:t>
                        </w:r>
                      </w:p>
                    </w:tc>
                    <w:tc>
                      <w:tcPr>
                        <w:tcW w:w="2410" w:type="dxa"/>
                      </w:tcPr>
                      <w:p>
                        <w:pPr>
                          <w:snapToGrid w:val="0"/>
                          <w:rPr>
                            <w:rFonts w:ascii="Arial" w:hAnsi="Arial" w:cs="Arial"/>
                            <w:sz w:val="20"/>
                            <w:szCs w:val="20"/>
                          </w:rPr>
                        </w:pPr>
                        <w:r>
                          <w:rPr>
                            <w:rFonts w:ascii="Arial" w:hAnsi="Arial" w:cs="Arial"/>
                            <w:sz w:val="20"/>
                            <w:szCs w:val="20"/>
                          </w:rPr>
                          <w:t>Rue Mionvaux, 35</w:t>
                        </w:r>
                      </w:p>
                    </w:tc>
                    <w:tc>
                      <w:tcPr>
                        <w:tcW w:w="2126" w:type="dxa"/>
                      </w:tcPr>
                      <w:p>
                        <w:pPr>
                          <w:snapToGrid w:val="0"/>
                          <w:rPr>
                            <w:rFonts w:ascii="Arial" w:hAnsi="Arial" w:cs="Arial"/>
                            <w:sz w:val="20"/>
                            <w:szCs w:val="20"/>
                          </w:rPr>
                        </w:pPr>
                        <w:r>
                          <w:rPr>
                            <w:rFonts w:ascii="Arial" w:hAnsi="Arial" w:cs="Arial"/>
                            <w:sz w:val="20"/>
                            <w:szCs w:val="20"/>
                          </w:rPr>
                          <w:t>6900 MARLOIE</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084/31.26.54</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084/31.49.91</w:t>
                        </w:r>
                      </w:p>
                    </w:tc>
                    <w:tc>
                      <w:tcPr>
                        <w:tcW w:w="3649" w:type="dxa"/>
                      </w:tcPr>
                      <w:p>
                        <w:pPr>
                          <w:snapToGrid w:val="0"/>
                          <w:jc w:val="center"/>
                          <w:rPr>
                            <w:rFonts w:ascii="Arial" w:hAnsi="Arial" w:cs="Arial"/>
                            <w:b/>
                            <w:bCs/>
                            <w:sz w:val="20"/>
                            <w:szCs w:val="20"/>
                          </w:rPr>
                        </w:pPr>
                        <w:r>
                          <w:rPr>
                            <w:rFonts w:ascii="Arial" w:hAnsi="Arial" w:cs="Arial"/>
                            <w:b/>
                            <w:bCs/>
                            <w:sz w:val="20"/>
                            <w:szCs w:val="20"/>
                          </w:rPr>
                          <w:t>Province du Luxembourg</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Spécialisé provincial</w:t>
                        </w:r>
                      </w:p>
                    </w:tc>
                    <w:tc>
                      <w:tcPr>
                        <w:tcW w:w="2410" w:type="dxa"/>
                      </w:tcPr>
                      <w:p>
                        <w:pPr>
                          <w:snapToGrid w:val="0"/>
                          <w:rPr>
                            <w:rFonts w:ascii="Arial" w:hAnsi="Arial" w:cs="Arial"/>
                            <w:sz w:val="20"/>
                            <w:szCs w:val="20"/>
                          </w:rPr>
                        </w:pPr>
                        <w:r>
                          <w:rPr>
                            <w:rFonts w:ascii="Arial" w:hAnsi="Arial" w:cs="Arial"/>
                            <w:sz w:val="20"/>
                            <w:szCs w:val="20"/>
                          </w:rPr>
                          <w:t>Avenue M. Meurée, 24</w:t>
                        </w:r>
                      </w:p>
                    </w:tc>
                    <w:tc>
                      <w:tcPr>
                        <w:tcW w:w="2126" w:type="dxa"/>
                      </w:tcPr>
                      <w:p>
                        <w:pPr>
                          <w:snapToGrid w:val="0"/>
                          <w:rPr>
                            <w:rFonts w:ascii="Arial" w:hAnsi="Arial" w:cs="Arial"/>
                            <w:sz w:val="20"/>
                            <w:szCs w:val="20"/>
                          </w:rPr>
                        </w:pPr>
                        <w:r>
                          <w:rPr>
                            <w:rFonts w:ascii="Arial" w:hAnsi="Arial" w:cs="Arial"/>
                            <w:sz w:val="20"/>
                            <w:szCs w:val="20"/>
                          </w:rPr>
                          <w:t>6001 MARCINELLE</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071/43.32.83</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071/47.59.72</w:t>
                        </w:r>
                      </w:p>
                    </w:tc>
                    <w:tc>
                      <w:tcPr>
                        <w:tcW w:w="3649" w:type="dxa"/>
                      </w:tcPr>
                      <w:p>
                        <w:pPr>
                          <w:snapToGrid w:val="0"/>
                          <w:jc w:val="center"/>
                          <w:rPr>
                            <w:rFonts w:ascii="Arial" w:hAnsi="Arial" w:cs="Arial"/>
                            <w:b/>
                            <w:bCs/>
                            <w:sz w:val="20"/>
                            <w:szCs w:val="20"/>
                          </w:rPr>
                        </w:pPr>
                        <w:r>
                          <w:rPr>
                            <w:rFonts w:ascii="Arial" w:hAnsi="Arial" w:cs="Arial"/>
                            <w:b/>
                            <w:bCs/>
                            <w:sz w:val="20"/>
                            <w:szCs w:val="20"/>
                          </w:rPr>
                          <w:t>Province du Hainaut</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de la Communauté française</w:t>
                        </w:r>
                      </w:p>
                    </w:tc>
                    <w:tc>
                      <w:tcPr>
                        <w:tcW w:w="2410" w:type="dxa"/>
                      </w:tcPr>
                      <w:p>
                        <w:pPr>
                          <w:snapToGrid w:val="0"/>
                          <w:rPr>
                            <w:rFonts w:ascii="Arial" w:hAnsi="Arial" w:cs="Arial"/>
                            <w:sz w:val="20"/>
                            <w:szCs w:val="20"/>
                          </w:rPr>
                        </w:pPr>
                        <w:r>
                          <w:rPr>
                            <w:rFonts w:ascii="Arial" w:hAnsi="Arial" w:cs="Arial"/>
                            <w:sz w:val="20"/>
                            <w:szCs w:val="20"/>
                          </w:rPr>
                          <w:t>Rue des Gravelles, 49</w:t>
                        </w:r>
                      </w:p>
                    </w:tc>
                    <w:tc>
                      <w:tcPr>
                        <w:tcW w:w="2126" w:type="dxa"/>
                      </w:tcPr>
                      <w:p>
                        <w:pPr>
                          <w:snapToGrid w:val="0"/>
                          <w:rPr>
                            <w:rFonts w:ascii="Arial" w:hAnsi="Arial" w:cs="Arial"/>
                            <w:sz w:val="20"/>
                            <w:szCs w:val="20"/>
                          </w:rPr>
                        </w:pPr>
                        <w:r>
                          <w:rPr>
                            <w:rFonts w:ascii="Arial" w:hAnsi="Arial" w:cs="Arial"/>
                            <w:sz w:val="20"/>
                            <w:szCs w:val="20"/>
                          </w:rPr>
                          <w:t>6200 CHATELET</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071/38.86.56</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071/40.32.04</w:t>
                        </w:r>
                      </w:p>
                    </w:tc>
                    <w:tc>
                      <w:tcPr>
                        <w:tcW w:w="3649" w:type="dxa"/>
                      </w:tcPr>
                      <w:p>
                        <w:pPr>
                          <w:snapToGrid w:val="0"/>
                          <w:jc w:val="center"/>
                          <w:rPr>
                            <w:rFonts w:ascii="Arial" w:hAnsi="Arial" w:cs="Arial"/>
                            <w:b/>
                            <w:bCs/>
                            <w:sz w:val="20"/>
                            <w:szCs w:val="20"/>
                          </w:rPr>
                        </w:pPr>
                        <w:r>
                          <w:rPr>
                            <w:rFonts w:ascii="Arial" w:hAnsi="Arial" w:cs="Arial"/>
                            <w:b/>
                            <w:bCs/>
                            <w:sz w:val="20"/>
                            <w:szCs w:val="20"/>
                          </w:rPr>
                          <w:t>Province du Hainaut</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de la Communauté française</w:t>
                        </w:r>
                      </w:p>
                    </w:tc>
                    <w:tc>
                      <w:tcPr>
                        <w:tcW w:w="2410" w:type="dxa"/>
                      </w:tcPr>
                      <w:p>
                        <w:pPr>
                          <w:snapToGrid w:val="0"/>
                          <w:rPr>
                            <w:rFonts w:ascii="Arial" w:hAnsi="Arial" w:cs="Arial"/>
                            <w:sz w:val="20"/>
                            <w:szCs w:val="20"/>
                          </w:rPr>
                        </w:pPr>
                        <w:r>
                          <w:rPr>
                            <w:rFonts w:ascii="Arial" w:hAnsi="Arial" w:cs="Arial"/>
                            <w:sz w:val="20"/>
                            <w:szCs w:val="20"/>
                          </w:rPr>
                          <w:t>Chaussée du Roeulx, 122</w:t>
                        </w:r>
                      </w:p>
                    </w:tc>
                    <w:tc>
                      <w:tcPr>
                        <w:tcW w:w="2126" w:type="dxa"/>
                      </w:tcPr>
                      <w:p>
                        <w:pPr>
                          <w:snapToGrid w:val="0"/>
                          <w:rPr>
                            <w:rFonts w:ascii="Arial" w:hAnsi="Arial" w:cs="Arial"/>
                            <w:sz w:val="20"/>
                            <w:szCs w:val="20"/>
                          </w:rPr>
                        </w:pPr>
                        <w:r>
                          <w:rPr>
                            <w:rFonts w:ascii="Arial" w:hAnsi="Arial" w:cs="Arial"/>
                            <w:sz w:val="20"/>
                            <w:szCs w:val="20"/>
                          </w:rPr>
                          <w:t>7000 MONS</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065/35.36.53</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065/35.27.96</w:t>
                        </w:r>
                      </w:p>
                    </w:tc>
                    <w:tc>
                      <w:tcPr>
                        <w:tcW w:w="3649" w:type="dxa"/>
                      </w:tcPr>
                      <w:p>
                        <w:pPr>
                          <w:snapToGrid w:val="0"/>
                          <w:jc w:val="center"/>
                          <w:rPr>
                            <w:rFonts w:ascii="Arial" w:hAnsi="Arial" w:cs="Arial"/>
                            <w:b/>
                            <w:bCs/>
                            <w:sz w:val="20"/>
                            <w:szCs w:val="20"/>
                          </w:rPr>
                        </w:pPr>
                        <w:r>
                          <w:rPr>
                            <w:rFonts w:ascii="Arial" w:hAnsi="Arial" w:cs="Arial"/>
                            <w:b/>
                            <w:bCs/>
                            <w:sz w:val="20"/>
                            <w:szCs w:val="20"/>
                          </w:rPr>
                          <w:t>Province du Hainaut</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Spécialisé provincial</w:t>
                        </w:r>
                      </w:p>
                    </w:tc>
                    <w:tc>
                      <w:tcPr>
                        <w:tcW w:w="2410" w:type="dxa"/>
                      </w:tcPr>
                      <w:p>
                        <w:pPr>
                          <w:snapToGrid w:val="0"/>
                          <w:rPr>
                            <w:rFonts w:ascii="Arial" w:hAnsi="Arial" w:cs="Arial"/>
                            <w:sz w:val="20"/>
                            <w:szCs w:val="20"/>
                          </w:rPr>
                        </w:pPr>
                        <w:r>
                          <w:rPr>
                            <w:rFonts w:ascii="Arial" w:hAnsi="Arial" w:cs="Arial"/>
                            <w:sz w:val="20"/>
                            <w:szCs w:val="20"/>
                          </w:rPr>
                          <w:t>Rue Paul Pastur, 33</w:t>
                        </w:r>
                      </w:p>
                    </w:tc>
                    <w:tc>
                      <w:tcPr>
                        <w:tcW w:w="2126" w:type="dxa"/>
                      </w:tcPr>
                      <w:p>
                        <w:pPr>
                          <w:snapToGrid w:val="0"/>
                          <w:rPr>
                            <w:rFonts w:ascii="Arial" w:hAnsi="Arial" w:cs="Arial"/>
                            <w:sz w:val="20"/>
                            <w:szCs w:val="20"/>
                          </w:rPr>
                        </w:pPr>
                        <w:r>
                          <w:rPr>
                            <w:rFonts w:ascii="Arial" w:hAnsi="Arial" w:cs="Arial"/>
                            <w:sz w:val="20"/>
                            <w:szCs w:val="20"/>
                          </w:rPr>
                          <w:t>7100 LA LOUVIERE</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064/22.53.45</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064/21.14.21</w:t>
                        </w:r>
                      </w:p>
                    </w:tc>
                    <w:tc>
                      <w:tcPr>
                        <w:tcW w:w="3649" w:type="dxa"/>
                      </w:tcPr>
                      <w:p>
                        <w:pPr>
                          <w:snapToGrid w:val="0"/>
                          <w:jc w:val="center"/>
                          <w:rPr>
                            <w:rFonts w:ascii="Arial" w:hAnsi="Arial" w:cs="Arial"/>
                            <w:b/>
                            <w:bCs/>
                            <w:sz w:val="20"/>
                            <w:szCs w:val="20"/>
                          </w:rPr>
                        </w:pPr>
                        <w:r>
                          <w:rPr>
                            <w:rFonts w:ascii="Arial" w:hAnsi="Arial" w:cs="Arial"/>
                            <w:b/>
                            <w:bCs/>
                            <w:sz w:val="20"/>
                            <w:szCs w:val="20"/>
                          </w:rPr>
                          <w:t>Province du Hainaut</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Spécialisé libre</w:t>
                        </w:r>
                      </w:p>
                    </w:tc>
                    <w:tc>
                      <w:tcPr>
                        <w:tcW w:w="2410" w:type="dxa"/>
                      </w:tcPr>
                      <w:p>
                        <w:pPr>
                          <w:snapToGrid w:val="0"/>
                          <w:rPr>
                            <w:rFonts w:ascii="Arial" w:hAnsi="Arial" w:cs="Arial"/>
                            <w:sz w:val="20"/>
                            <w:szCs w:val="20"/>
                          </w:rPr>
                        </w:pPr>
                        <w:r>
                          <w:rPr>
                            <w:rFonts w:ascii="Arial" w:hAnsi="Arial" w:cs="Arial"/>
                            <w:sz w:val="20"/>
                            <w:szCs w:val="20"/>
                          </w:rPr>
                          <w:t>Rue des Jésuites, 29</w:t>
                        </w:r>
                      </w:p>
                    </w:tc>
                    <w:tc>
                      <w:tcPr>
                        <w:tcW w:w="2126" w:type="dxa"/>
                      </w:tcPr>
                      <w:p>
                        <w:pPr>
                          <w:snapToGrid w:val="0"/>
                          <w:rPr>
                            <w:rFonts w:ascii="Arial" w:hAnsi="Arial" w:cs="Arial"/>
                            <w:sz w:val="20"/>
                            <w:szCs w:val="20"/>
                          </w:rPr>
                        </w:pPr>
                        <w:r>
                          <w:rPr>
                            <w:rFonts w:ascii="Arial" w:hAnsi="Arial" w:cs="Arial"/>
                            <w:sz w:val="20"/>
                            <w:szCs w:val="20"/>
                          </w:rPr>
                          <w:t>7500 TOURNAI</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069/22.03.73</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069/22.03.73</w:t>
                        </w:r>
                      </w:p>
                    </w:tc>
                    <w:tc>
                      <w:tcPr>
                        <w:tcW w:w="3649" w:type="dxa"/>
                      </w:tcPr>
                      <w:p>
                        <w:pPr>
                          <w:snapToGrid w:val="0"/>
                          <w:jc w:val="center"/>
                          <w:rPr>
                            <w:rFonts w:ascii="Arial" w:hAnsi="Arial" w:cs="Arial"/>
                            <w:b/>
                            <w:bCs/>
                            <w:sz w:val="20"/>
                            <w:szCs w:val="20"/>
                          </w:rPr>
                        </w:pPr>
                        <w:r>
                          <w:rPr>
                            <w:rFonts w:ascii="Arial" w:hAnsi="Arial" w:cs="Arial"/>
                            <w:b/>
                            <w:bCs/>
                            <w:sz w:val="20"/>
                            <w:szCs w:val="20"/>
                          </w:rPr>
                          <w:t>Province du Hainaut</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Spécialisé libre</w:t>
                        </w:r>
                      </w:p>
                    </w:tc>
                    <w:tc>
                      <w:tcPr>
                        <w:tcW w:w="2410" w:type="dxa"/>
                      </w:tcPr>
                      <w:p>
                        <w:pPr>
                          <w:snapToGrid w:val="0"/>
                          <w:rPr>
                            <w:rFonts w:ascii="Arial" w:hAnsi="Arial" w:cs="Arial"/>
                            <w:sz w:val="20"/>
                            <w:szCs w:val="20"/>
                          </w:rPr>
                        </w:pPr>
                        <w:r>
                          <w:rPr>
                            <w:rFonts w:ascii="Arial" w:hAnsi="Arial" w:cs="Arial"/>
                            <w:sz w:val="20"/>
                            <w:szCs w:val="20"/>
                          </w:rPr>
                          <w:t>Rue du Luxembourg, 37</w:t>
                        </w:r>
                      </w:p>
                    </w:tc>
                    <w:tc>
                      <w:tcPr>
                        <w:tcW w:w="2126" w:type="dxa"/>
                      </w:tcPr>
                      <w:p>
                        <w:pPr>
                          <w:snapToGrid w:val="0"/>
                          <w:rPr>
                            <w:rFonts w:ascii="Arial" w:hAnsi="Arial" w:cs="Arial"/>
                            <w:sz w:val="20"/>
                            <w:szCs w:val="20"/>
                          </w:rPr>
                        </w:pPr>
                        <w:r>
                          <w:rPr>
                            <w:rFonts w:ascii="Arial" w:hAnsi="Arial" w:cs="Arial"/>
                            <w:sz w:val="20"/>
                            <w:szCs w:val="20"/>
                          </w:rPr>
                          <w:t>7700 MOUSCRON</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056/34.70.06</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056/34.70.06</w:t>
                        </w:r>
                      </w:p>
                    </w:tc>
                    <w:tc>
                      <w:tcPr>
                        <w:tcW w:w="3649" w:type="dxa"/>
                      </w:tcPr>
                      <w:p>
                        <w:pPr>
                          <w:snapToGrid w:val="0"/>
                          <w:jc w:val="center"/>
                          <w:rPr>
                            <w:rFonts w:ascii="Arial" w:hAnsi="Arial" w:cs="Arial"/>
                            <w:b/>
                            <w:bCs/>
                            <w:sz w:val="20"/>
                            <w:szCs w:val="20"/>
                          </w:rPr>
                        </w:pPr>
                        <w:r>
                          <w:rPr>
                            <w:rFonts w:ascii="Arial" w:hAnsi="Arial" w:cs="Arial"/>
                            <w:b/>
                            <w:bCs/>
                            <w:sz w:val="20"/>
                            <w:szCs w:val="20"/>
                          </w:rPr>
                          <w:t>Province du Hainaut</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Spécialisé libre</w:t>
                        </w:r>
                      </w:p>
                    </w:tc>
                    <w:tc>
                      <w:tcPr>
                        <w:tcW w:w="2410" w:type="dxa"/>
                      </w:tcPr>
                      <w:p>
                        <w:pPr>
                          <w:snapToGrid w:val="0"/>
                          <w:rPr>
                            <w:rFonts w:ascii="Arial" w:hAnsi="Arial" w:cs="Arial"/>
                            <w:sz w:val="20"/>
                            <w:szCs w:val="20"/>
                          </w:rPr>
                        </w:pPr>
                        <w:r>
                          <w:rPr>
                            <w:rFonts w:ascii="Arial" w:hAnsi="Arial" w:cs="Arial"/>
                            <w:sz w:val="20"/>
                            <w:szCs w:val="20"/>
                          </w:rPr>
                          <w:t>Ch. de Valenciennes, 199</w:t>
                        </w:r>
                      </w:p>
                    </w:tc>
                    <w:tc>
                      <w:tcPr>
                        <w:tcW w:w="2126" w:type="dxa"/>
                      </w:tcPr>
                      <w:p>
                        <w:pPr>
                          <w:snapToGrid w:val="0"/>
                          <w:rPr>
                            <w:rFonts w:ascii="Arial" w:hAnsi="Arial" w:cs="Arial"/>
                            <w:sz w:val="20"/>
                            <w:szCs w:val="20"/>
                          </w:rPr>
                        </w:pPr>
                        <w:r>
                          <w:rPr>
                            <w:rFonts w:ascii="Arial" w:hAnsi="Arial" w:cs="Arial"/>
                            <w:sz w:val="20"/>
                            <w:szCs w:val="20"/>
                          </w:rPr>
                          <w:t>7801 IRCHONWELZ</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068/66.55.30</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068/55.14.31</w:t>
                        </w:r>
                      </w:p>
                    </w:tc>
                    <w:tc>
                      <w:tcPr>
                        <w:tcW w:w="3649" w:type="dxa"/>
                      </w:tcPr>
                      <w:p>
                        <w:pPr>
                          <w:snapToGrid w:val="0"/>
                          <w:jc w:val="center"/>
                          <w:rPr>
                            <w:rFonts w:ascii="Arial" w:hAnsi="Arial" w:cs="Arial"/>
                            <w:b/>
                            <w:bCs/>
                            <w:sz w:val="20"/>
                            <w:szCs w:val="20"/>
                          </w:rPr>
                        </w:pPr>
                        <w:r>
                          <w:rPr>
                            <w:rFonts w:ascii="Arial" w:hAnsi="Arial" w:cs="Arial"/>
                            <w:b/>
                            <w:bCs/>
                            <w:sz w:val="20"/>
                            <w:szCs w:val="20"/>
                          </w:rPr>
                          <w:t>Province du Hainaut</w:t>
                        </w:r>
                      </w:p>
                    </w:tc>
                  </w:tr>
                </w:tbl>
                <w:p>
                  <w:pPr>
                    <w:pStyle w:val="Titre4"/>
                  </w:pPr>
                  <w:bookmarkStart w:id="3406" w:name="_Annexe_4_:_3"/>
                  <w:bookmarkEnd w:id="3406"/>
                  <w:r>
                    <w:t xml:space="preserve">Annexe 4 : Liste des centres psycho-médico-sociaux MIXTES </w:t>
                  </w:r>
                </w:p>
                <w:p>
                  <w:r>
                    <w:rPr>
                      <w:noProof/>
                      <w:lang w:eastAsia="fr-BE"/>
                    </w:rPr>
                    <mc:AlternateContent>
                      <mc:Choice Requires="wps">
                        <w:drawing>
                          <wp:anchor distT="0" distB="0" distL="114300" distR="114300" simplePos="0" relativeHeight="252093440" behindDoc="0" locked="0" layoutInCell="1" allowOverlap="1">
                            <wp:simplePos x="0" y="0"/>
                            <wp:positionH relativeFrom="column">
                              <wp:posOffset>9177020</wp:posOffset>
                            </wp:positionH>
                            <wp:positionV relativeFrom="paragraph">
                              <wp:posOffset>4351020</wp:posOffset>
                            </wp:positionV>
                            <wp:extent cx="0" cy="276225"/>
                            <wp:effectExtent l="0" t="0" r="19050" b="28575"/>
                            <wp:wrapNone/>
                            <wp:docPr id="474" name="Connecteur droit 474"/>
                            <wp:cNvGraphicFramePr/>
                            <a:graphic xmlns:a="http://schemas.openxmlformats.org/drawingml/2006/main">
                              <a:graphicData uri="http://schemas.microsoft.com/office/word/2010/wordprocessingShape">
                                <wps:wsp>
                                  <wps:cNvCnPr/>
                                  <wps:spPr>
                                    <a:xfrm>
                                      <a:off x="0" y="0"/>
                                      <a:ext cx="0" cy="2762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6AD3E3" id="Connecteur droit 474" o:spid="_x0000_s1026" style="position:absolute;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2.6pt,342.6pt" to="722.6pt,36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" strokecolor="black [3040]"/>
                        </w:pict>
                      </mc:Fallback>
                    </mc:AlternateContent>
                  </w:r>
                  <w:r>
                    <w:rPr>
                      <w:noProof/>
                      <w:lang w:eastAsia="fr-BE"/>
                    </w:rPr>
                    <mc:AlternateContent>
                      <mc:Choice Requires="wps">
                        <w:drawing>
                          <wp:anchor distT="0" distB="0" distL="114300" distR="114300" simplePos="0" relativeHeight="252098560" behindDoc="0" locked="0" layoutInCell="1" allowOverlap="1">
                            <wp:simplePos x="0" y="0"/>
                            <wp:positionH relativeFrom="column">
                              <wp:posOffset>9177020</wp:posOffset>
                            </wp:positionH>
                            <wp:positionV relativeFrom="paragraph">
                              <wp:posOffset>2112645</wp:posOffset>
                            </wp:positionV>
                            <wp:extent cx="0" cy="285750"/>
                            <wp:effectExtent l="0" t="0" r="19050" b="19050"/>
                            <wp:wrapNone/>
                            <wp:docPr id="477" name="Connecteur droit 477"/>
                            <wp:cNvGraphicFramePr/>
                            <a:graphic xmlns:a="http://schemas.openxmlformats.org/drawingml/2006/main">
                              <a:graphicData uri="http://schemas.microsoft.com/office/word/2010/wordprocessingShape">
                                <wps:wsp>
                                  <wps:cNvCnPr/>
                                  <wps:spPr>
                                    <a:xfrm>
                                      <a:off x="0" y="0"/>
                                      <a:ext cx="0" cy="2857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64BAE67" id="Connecteur droit 477" o:spid="_x0000_s1026" style="position:absolute;z-index:252098560;visibility:visible;mso-wrap-style:square;mso-wrap-distance-left:9pt;mso-wrap-distance-top:0;mso-wrap-distance-right:9pt;mso-wrap-distance-bottom:0;mso-position-horizontal:absolute;mso-position-horizontal-relative:text;mso-position-vertical:absolute;mso-position-vertical-relative:text" from="722.6pt,166.35pt" to="722.6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" strokecolor="black [3040]"/>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5"/>
                    <w:gridCol w:w="2861"/>
                    <w:gridCol w:w="2487"/>
                    <w:gridCol w:w="1806"/>
                    <w:gridCol w:w="1638"/>
                    <w:gridCol w:w="2759"/>
                  </w:tblGrid>
                  <w:tr>
                    <w:trPr>
                      <w:cantSplit/>
                      <w:trHeight w:val="589"/>
                    </w:trPr>
                    <w:tc>
                      <w:tcPr>
                        <w:tcW w:w="14276" w:type="dxa"/>
                        <w:gridSpan w:val="6"/>
                        <w:shd w:val="clear" w:color="auto" w:fill="EEECE1" w:themeFill="background2"/>
                      </w:tcPr>
                      <w:p>
                        <w:pPr>
                          <w:jc w:val="center"/>
                          <w:rPr>
                            <w:rFonts w:ascii="Georgia" w:hAnsi="Georgia" w:cs="Arial"/>
                            <w:b/>
                          </w:rPr>
                        </w:pPr>
                        <w:bookmarkStart w:id="3407" w:name="_Annexe_5:_Liste"/>
                        <w:bookmarkEnd w:id="3407"/>
                        <w:r>
                          <w:rPr>
                            <w:rFonts w:cs="Arial"/>
                            <w:b/>
                            <w:bCs/>
                            <w:sz w:val="36"/>
                            <w:szCs w:val="36"/>
                          </w:rPr>
                          <w:t>CPMS MIXTES</w:t>
                        </w:r>
                      </w:p>
                    </w:tc>
                  </w:tr>
                  <w:tr>
                    <w:trPr>
                      <w:cantSplit/>
                      <w:trHeight w:val="397"/>
                    </w:trPr>
                    <w:tc>
                      <w:tcPr>
                        <w:tcW w:w="2725" w:type="dxa"/>
                        <w:vAlign w:val="center"/>
                      </w:tcPr>
                      <w:p>
                        <w:pPr>
                          <w:jc w:val="center"/>
                          <w:rPr>
                            <w:rFonts w:ascii="Georgia" w:hAnsi="Georgia" w:cs="Arial"/>
                            <w:b/>
                          </w:rPr>
                        </w:pPr>
                        <w:r>
                          <w:rPr>
                            <w:rFonts w:ascii="Georgia" w:hAnsi="Georgia" w:cs="Arial"/>
                            <w:b/>
                          </w:rPr>
                          <w:t>Nom</w:t>
                        </w:r>
                      </w:p>
                    </w:tc>
                    <w:tc>
                      <w:tcPr>
                        <w:tcW w:w="2861" w:type="dxa"/>
                        <w:vAlign w:val="center"/>
                      </w:tcPr>
                      <w:p>
                        <w:pPr>
                          <w:jc w:val="center"/>
                          <w:rPr>
                            <w:rFonts w:ascii="Georgia" w:hAnsi="Georgia" w:cs="Arial"/>
                            <w:b/>
                          </w:rPr>
                        </w:pPr>
                        <w:r>
                          <w:rPr>
                            <w:rFonts w:ascii="Georgia" w:hAnsi="Georgia" w:cs="Arial"/>
                            <w:b/>
                          </w:rPr>
                          <w:t>Adresse</w:t>
                        </w:r>
                      </w:p>
                    </w:tc>
                    <w:tc>
                      <w:tcPr>
                        <w:tcW w:w="2487" w:type="dxa"/>
                        <w:vAlign w:val="center"/>
                      </w:tcPr>
                      <w:p>
                        <w:pPr>
                          <w:jc w:val="center"/>
                          <w:rPr>
                            <w:rFonts w:ascii="Georgia" w:hAnsi="Georgia" w:cs="Arial"/>
                            <w:b/>
                          </w:rPr>
                        </w:pPr>
                        <w:r>
                          <w:rPr>
                            <w:rFonts w:ascii="Georgia" w:hAnsi="Georgia" w:cs="Arial"/>
                            <w:b/>
                          </w:rPr>
                          <w:t>Localité</w:t>
                        </w:r>
                      </w:p>
                    </w:tc>
                    <w:tc>
                      <w:tcPr>
                        <w:tcW w:w="1806" w:type="dxa"/>
                      </w:tcPr>
                      <w:p>
                        <w:pPr>
                          <w:spacing w:before="120"/>
                          <w:jc w:val="center"/>
                          <w:rPr>
                            <w:rFonts w:ascii="Georgia" w:hAnsi="Georgia" w:cs="Arial"/>
                            <w:b/>
                          </w:rPr>
                        </w:pPr>
                        <w:r>
                          <w:rPr>
                            <w:rFonts w:ascii="Georgia" w:hAnsi="Georgia" w:cs="Arial"/>
                            <w:b/>
                          </w:rPr>
                          <w:t>Tel.</w:t>
                        </w:r>
                      </w:p>
                    </w:tc>
                    <w:tc>
                      <w:tcPr>
                        <w:tcW w:w="1638" w:type="dxa"/>
                      </w:tcPr>
                      <w:p>
                        <w:pPr>
                          <w:spacing w:before="120"/>
                          <w:jc w:val="center"/>
                          <w:rPr>
                            <w:rFonts w:ascii="Georgia" w:hAnsi="Georgia" w:cs="Arial"/>
                            <w:b/>
                          </w:rPr>
                        </w:pPr>
                        <w:r>
                          <w:rPr>
                            <w:rFonts w:ascii="Georgia" w:hAnsi="Georgia" w:cs="Arial"/>
                            <w:b/>
                          </w:rPr>
                          <w:t>Fax</w:t>
                        </w:r>
                      </w:p>
                    </w:tc>
                    <w:tc>
                      <w:tcPr>
                        <w:tcW w:w="2759" w:type="dxa"/>
                        <w:vAlign w:val="center"/>
                      </w:tcPr>
                      <w:p>
                        <w:pPr>
                          <w:jc w:val="center"/>
                          <w:rPr>
                            <w:rFonts w:ascii="Georgia" w:hAnsi="Georgia" w:cs="Arial"/>
                            <w:b/>
                          </w:rPr>
                        </w:pPr>
                        <w:r>
                          <w:rPr>
                            <w:rFonts w:ascii="Georgia" w:hAnsi="Georgia" w:cs="Arial"/>
                            <w:b/>
                          </w:rPr>
                          <w:t>Arrondissement</w:t>
                        </w:r>
                      </w:p>
                    </w:tc>
                  </w:tr>
                  <w:tr>
                    <w:trPr>
                      <w:cantSplit/>
                      <w:trHeight w:val="397"/>
                    </w:trPr>
                    <w:tc>
                      <w:tcPr>
                        <w:tcW w:w="2725" w:type="dxa"/>
                        <w:vAlign w:val="center"/>
                      </w:tcPr>
                      <w:p>
                        <w:pPr>
                          <w:snapToGrid w:val="0"/>
                          <w:rPr>
                            <w:rFonts w:ascii="Georgia" w:hAnsi="Georgia" w:cs="Arial"/>
                          </w:rPr>
                        </w:pPr>
                        <w:r>
                          <w:rPr>
                            <w:rFonts w:ascii="Georgia" w:hAnsi="Georgia" w:cs="Arial"/>
                          </w:rPr>
                          <w:t>CPMS COCOF 1</w:t>
                        </w:r>
                      </w:p>
                    </w:tc>
                    <w:tc>
                      <w:tcPr>
                        <w:tcW w:w="2861" w:type="dxa"/>
                        <w:vAlign w:val="center"/>
                      </w:tcPr>
                      <w:p>
                        <w:pPr>
                          <w:snapToGrid w:val="0"/>
                          <w:rPr>
                            <w:rFonts w:ascii="Georgia" w:hAnsi="Georgia" w:cs="Arial"/>
                          </w:rPr>
                        </w:pPr>
                        <w:r>
                          <w:rPr>
                            <w:rFonts w:ascii="Georgia" w:hAnsi="Georgia" w:cs="Arial"/>
                          </w:rPr>
                          <w:t>Rue du Meiboom, 14 – 3ème étage</w:t>
                        </w:r>
                      </w:p>
                    </w:tc>
                    <w:tc>
                      <w:tcPr>
                        <w:tcW w:w="2487" w:type="dxa"/>
                        <w:vAlign w:val="center"/>
                      </w:tcPr>
                      <w:p>
                        <w:pPr>
                          <w:snapToGrid w:val="0"/>
                          <w:rPr>
                            <w:rFonts w:ascii="Georgia" w:hAnsi="Georgia" w:cs="Arial"/>
                          </w:rPr>
                        </w:pPr>
                        <w:r>
                          <w:rPr>
                            <w:rFonts w:ascii="Georgia" w:hAnsi="Georgia" w:cs="Arial"/>
                          </w:rPr>
                          <w:t>1000 BRUXELLES</w:t>
                        </w:r>
                      </w:p>
                    </w:tc>
                    <w:tc>
                      <w:tcPr>
                        <w:tcW w:w="1806" w:type="dxa"/>
                      </w:tcPr>
                      <w:p>
                        <w:pPr>
                          <w:rPr>
                            <w:rFonts w:ascii="Georgia" w:eastAsia="Times New Roman" w:hAnsi="Georgia" w:cs="Arial"/>
                            <w:lang w:eastAsia="fr-BE"/>
                          </w:rPr>
                        </w:pPr>
                        <w:r>
                          <w:rPr>
                            <w:rFonts w:ascii="Georgia" w:eastAsia="Times New Roman" w:hAnsi="Georgia" w:cs="Arial"/>
                            <w:lang w:eastAsia="fr-BE"/>
                          </w:rPr>
                          <w:t>02/800.86.60</w:t>
                        </w:r>
                      </w:p>
                    </w:tc>
                    <w:tc>
                      <w:tcPr>
                        <w:tcW w:w="1638" w:type="dxa"/>
                      </w:tcPr>
                      <w:p>
                        <w:pPr>
                          <w:rPr>
                            <w:rFonts w:ascii="Georgia" w:eastAsia="Times New Roman" w:hAnsi="Georgia" w:cs="Arial"/>
                            <w:lang w:eastAsia="fr-BE"/>
                          </w:rPr>
                        </w:pPr>
                        <w:r>
                          <w:rPr>
                            <w:rFonts w:ascii="Georgia" w:eastAsia="Times New Roman" w:hAnsi="Georgia" w:cs="Arial"/>
                            <w:lang w:eastAsia="fr-BE"/>
                          </w:rPr>
                          <w:t>02/800.86.62</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vAlign w:val="center"/>
                      </w:tcPr>
                      <w:p>
                        <w:pPr>
                          <w:snapToGrid w:val="0"/>
                          <w:rPr>
                            <w:rFonts w:ascii="Georgia" w:hAnsi="Georgia" w:cs="Arial"/>
                          </w:rPr>
                        </w:pPr>
                        <w:r>
                          <w:rPr>
                            <w:rFonts w:ascii="Georgia" w:hAnsi="Georgia" w:cs="Arial"/>
                          </w:rPr>
                          <w:t>CPMS COCOF 2</w:t>
                        </w:r>
                      </w:p>
                    </w:tc>
                    <w:tc>
                      <w:tcPr>
                        <w:tcW w:w="2861" w:type="dxa"/>
                        <w:vAlign w:val="center"/>
                      </w:tcPr>
                      <w:p>
                        <w:pPr>
                          <w:snapToGrid w:val="0"/>
                          <w:rPr>
                            <w:rFonts w:ascii="Georgia" w:hAnsi="Georgia" w:cs="Arial"/>
                          </w:rPr>
                        </w:pPr>
                        <w:r>
                          <w:rPr>
                            <w:rFonts w:ascii="Georgia" w:hAnsi="Georgia" w:cs="Arial"/>
                          </w:rPr>
                          <w:t>Rue du Meiboom, 14 – 4ème étage</w:t>
                        </w:r>
                      </w:p>
                    </w:tc>
                    <w:tc>
                      <w:tcPr>
                        <w:tcW w:w="2487" w:type="dxa"/>
                        <w:vAlign w:val="center"/>
                      </w:tcPr>
                      <w:p>
                        <w:pPr>
                          <w:snapToGrid w:val="0"/>
                          <w:rPr>
                            <w:rFonts w:ascii="Georgia" w:hAnsi="Georgia" w:cs="Arial"/>
                          </w:rPr>
                        </w:pPr>
                        <w:r>
                          <w:rPr>
                            <w:rFonts w:ascii="Georgia" w:hAnsi="Georgia" w:cs="Arial"/>
                          </w:rPr>
                          <w:t>1000 BRUXELLES</w:t>
                        </w:r>
                      </w:p>
                    </w:tc>
                    <w:tc>
                      <w:tcPr>
                        <w:tcW w:w="1806" w:type="dxa"/>
                      </w:tcPr>
                      <w:p>
                        <w:pPr>
                          <w:rPr>
                            <w:rFonts w:ascii="Georgia" w:eastAsia="Times New Roman" w:hAnsi="Georgia" w:cs="Arial"/>
                            <w:lang w:eastAsia="fr-BE"/>
                          </w:rPr>
                        </w:pPr>
                        <w:r>
                          <w:rPr>
                            <w:rFonts w:ascii="Georgia" w:eastAsia="Times New Roman" w:hAnsi="Georgia" w:cs="Arial"/>
                            <w:lang w:eastAsia="fr-BE"/>
                          </w:rPr>
                          <w:t>02/800.86.77</w:t>
                        </w:r>
                      </w:p>
                    </w:tc>
                    <w:tc>
                      <w:tcPr>
                        <w:tcW w:w="1638" w:type="dxa"/>
                      </w:tcPr>
                      <w:p>
                        <w:pPr>
                          <w:rPr>
                            <w:rFonts w:ascii="Georgia" w:eastAsia="Times New Roman" w:hAnsi="Georgia" w:cs="Arial"/>
                            <w:lang w:eastAsia="fr-BE"/>
                          </w:rPr>
                        </w:pPr>
                        <w:r>
                          <w:rPr>
                            <w:rFonts w:ascii="Georgia" w:eastAsia="Times New Roman" w:hAnsi="Georgia" w:cs="Arial"/>
                            <w:lang w:eastAsia="fr-BE"/>
                          </w:rPr>
                          <w:t>02/800.86.82</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vAlign w:val="center"/>
                      </w:tcPr>
                      <w:p>
                        <w:pPr>
                          <w:snapToGrid w:val="0"/>
                          <w:rPr>
                            <w:rFonts w:ascii="Georgia" w:hAnsi="Georgia" w:cs="Arial"/>
                          </w:rPr>
                        </w:pPr>
                        <w:r>
                          <w:rPr>
                            <w:rFonts w:ascii="Georgia" w:hAnsi="Georgia" w:cs="Arial"/>
                          </w:rPr>
                          <w:t>CPMS COCOF 3</w:t>
                        </w:r>
                      </w:p>
                    </w:tc>
                    <w:tc>
                      <w:tcPr>
                        <w:tcW w:w="2861" w:type="dxa"/>
                        <w:vAlign w:val="center"/>
                      </w:tcPr>
                      <w:p>
                        <w:pPr>
                          <w:snapToGrid w:val="0"/>
                          <w:rPr>
                            <w:rFonts w:ascii="Georgia" w:hAnsi="Georgia" w:cs="Arial"/>
                          </w:rPr>
                        </w:pPr>
                        <w:r>
                          <w:rPr>
                            <w:rFonts w:ascii="Georgia" w:hAnsi="Georgia" w:cs="Arial"/>
                          </w:rPr>
                          <w:t>Rue du Meiboom, 14 – 4ème étage</w:t>
                        </w:r>
                      </w:p>
                    </w:tc>
                    <w:tc>
                      <w:tcPr>
                        <w:tcW w:w="2487" w:type="dxa"/>
                        <w:vAlign w:val="center"/>
                      </w:tcPr>
                      <w:p>
                        <w:pPr>
                          <w:snapToGrid w:val="0"/>
                          <w:rPr>
                            <w:rFonts w:ascii="Georgia" w:hAnsi="Georgia" w:cs="Arial"/>
                          </w:rPr>
                        </w:pPr>
                        <w:r>
                          <w:rPr>
                            <w:rFonts w:ascii="Georgia" w:hAnsi="Georgia" w:cs="Arial"/>
                          </w:rPr>
                          <w:t>1000 BRUXELLES</w:t>
                        </w:r>
                      </w:p>
                    </w:tc>
                    <w:tc>
                      <w:tcPr>
                        <w:tcW w:w="1806" w:type="dxa"/>
                      </w:tcPr>
                      <w:p>
                        <w:pPr>
                          <w:rPr>
                            <w:rFonts w:ascii="Georgia" w:eastAsia="Times New Roman" w:hAnsi="Georgia" w:cs="Arial"/>
                            <w:lang w:eastAsia="fr-BE"/>
                          </w:rPr>
                        </w:pPr>
                        <w:r>
                          <w:rPr>
                            <w:rFonts w:ascii="Georgia" w:eastAsia="Times New Roman" w:hAnsi="Georgia" w:cs="Arial"/>
                            <w:lang w:eastAsia="fr-BE"/>
                          </w:rPr>
                          <w:t>02/800.86.81</w:t>
                        </w:r>
                      </w:p>
                    </w:tc>
                    <w:tc>
                      <w:tcPr>
                        <w:tcW w:w="1638" w:type="dxa"/>
                      </w:tcPr>
                      <w:p>
                        <w:pPr>
                          <w:rPr>
                            <w:rFonts w:ascii="Georgia" w:eastAsia="Times New Roman" w:hAnsi="Georgia" w:cs="Arial"/>
                            <w:lang w:eastAsia="fr-BE"/>
                          </w:rPr>
                        </w:pPr>
                        <w:r>
                          <w:rPr>
                            <w:rFonts w:ascii="Georgia" w:eastAsia="Times New Roman" w:hAnsi="Georgia" w:cs="Arial"/>
                            <w:lang w:eastAsia="fr-BE"/>
                          </w:rPr>
                          <w:t>02/800.86.13</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vAlign w:val="center"/>
                      </w:tcPr>
                      <w:p>
                        <w:pPr>
                          <w:snapToGrid w:val="0"/>
                          <w:rPr>
                            <w:rFonts w:ascii="Georgia" w:hAnsi="Georgia" w:cs="Arial"/>
                          </w:rPr>
                        </w:pPr>
                        <w:r>
                          <w:rPr>
                            <w:rFonts w:ascii="Georgia" w:hAnsi="Georgia" w:cs="Arial"/>
                          </w:rPr>
                          <w:t>CPMS COCOF 4</w:t>
                        </w:r>
                      </w:p>
                    </w:tc>
                    <w:tc>
                      <w:tcPr>
                        <w:tcW w:w="2861" w:type="dxa"/>
                        <w:vAlign w:val="center"/>
                      </w:tcPr>
                      <w:p>
                        <w:pPr>
                          <w:snapToGrid w:val="0"/>
                          <w:rPr>
                            <w:rFonts w:ascii="Georgia" w:hAnsi="Georgia" w:cs="Arial"/>
                          </w:rPr>
                        </w:pPr>
                        <w:r>
                          <w:rPr>
                            <w:rFonts w:ascii="Georgia" w:hAnsi="Georgia" w:cs="Arial"/>
                          </w:rPr>
                          <w:t>Rue du Meiboom, 14 – 3ème étage</w:t>
                        </w:r>
                      </w:p>
                    </w:tc>
                    <w:tc>
                      <w:tcPr>
                        <w:tcW w:w="2487" w:type="dxa"/>
                        <w:vAlign w:val="center"/>
                      </w:tcPr>
                      <w:p>
                        <w:pPr>
                          <w:snapToGrid w:val="0"/>
                          <w:rPr>
                            <w:rFonts w:ascii="Georgia" w:hAnsi="Georgia" w:cs="Arial"/>
                          </w:rPr>
                        </w:pPr>
                        <w:r>
                          <w:rPr>
                            <w:rFonts w:ascii="Georgia" w:hAnsi="Georgia" w:cs="Arial"/>
                          </w:rPr>
                          <w:t>1000 BRUXELLES</w:t>
                        </w:r>
                      </w:p>
                    </w:tc>
                    <w:tc>
                      <w:tcPr>
                        <w:tcW w:w="1806" w:type="dxa"/>
                      </w:tcPr>
                      <w:p>
                        <w:pPr>
                          <w:rPr>
                            <w:rFonts w:ascii="Georgia" w:eastAsia="Times New Roman" w:hAnsi="Georgia" w:cs="Arial"/>
                            <w:lang w:eastAsia="fr-BE"/>
                          </w:rPr>
                        </w:pPr>
                        <w:r>
                          <w:rPr>
                            <w:rFonts w:ascii="Georgia" w:eastAsia="Times New Roman" w:hAnsi="Georgia" w:cs="Arial"/>
                            <w:lang w:eastAsia="fr-BE"/>
                          </w:rPr>
                          <w:t>02/800.86.45</w:t>
                        </w:r>
                      </w:p>
                    </w:tc>
                    <w:tc>
                      <w:tcPr>
                        <w:tcW w:w="1638" w:type="dxa"/>
                      </w:tcPr>
                      <w:p>
                        <w:pPr>
                          <w:rPr>
                            <w:rFonts w:ascii="Georgia" w:eastAsia="Times New Roman" w:hAnsi="Georgia" w:cs="Arial"/>
                            <w:lang w:eastAsia="fr-BE"/>
                          </w:rPr>
                        </w:pPr>
                        <w:r>
                          <w:rPr>
                            <w:rFonts w:ascii="Georgia" w:eastAsia="Times New Roman" w:hAnsi="Georgia" w:cs="Arial"/>
                            <w:lang w:eastAsia="fr-BE"/>
                          </w:rPr>
                          <w:t> 02/800.86.37</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vAlign w:val="center"/>
                      </w:tcPr>
                      <w:p>
                        <w:pPr>
                          <w:snapToGrid w:val="0"/>
                          <w:rPr>
                            <w:rFonts w:ascii="Georgia" w:hAnsi="Georgia" w:cs="Arial"/>
                          </w:rPr>
                        </w:pPr>
                        <w:r>
                          <w:rPr>
                            <w:rFonts w:ascii="Georgia" w:hAnsi="Georgia" w:cs="Arial"/>
                          </w:rPr>
                          <w:t>CPMS COCOF 5</w:t>
                        </w:r>
                      </w:p>
                    </w:tc>
                    <w:tc>
                      <w:tcPr>
                        <w:tcW w:w="2861" w:type="dxa"/>
                        <w:vAlign w:val="center"/>
                      </w:tcPr>
                      <w:p>
                        <w:pPr>
                          <w:snapToGrid w:val="0"/>
                          <w:rPr>
                            <w:rFonts w:ascii="Georgia" w:hAnsi="Georgia" w:cs="Arial"/>
                          </w:rPr>
                        </w:pPr>
                        <w:r>
                          <w:rPr>
                            <w:rFonts w:ascii="Georgia" w:hAnsi="Georgia" w:cs="Arial"/>
                          </w:rPr>
                          <w:t>Rue du Meiboom, 14 – 6</w:t>
                        </w:r>
                        <w:r>
                          <w:rPr>
                            <w:rFonts w:ascii="Georgia" w:hAnsi="Georgia" w:cs="Arial"/>
                            <w:vertAlign w:val="superscript"/>
                          </w:rPr>
                          <w:t>ème</w:t>
                        </w:r>
                        <w:r>
                          <w:rPr>
                            <w:rFonts w:ascii="Georgia" w:hAnsi="Georgia" w:cs="Arial"/>
                          </w:rPr>
                          <w:t xml:space="preserve"> étage</w:t>
                        </w:r>
                      </w:p>
                    </w:tc>
                    <w:tc>
                      <w:tcPr>
                        <w:tcW w:w="2487" w:type="dxa"/>
                        <w:vAlign w:val="center"/>
                      </w:tcPr>
                      <w:p>
                        <w:pPr>
                          <w:snapToGrid w:val="0"/>
                          <w:rPr>
                            <w:rFonts w:ascii="Georgia" w:hAnsi="Georgia" w:cs="Arial"/>
                          </w:rPr>
                        </w:pPr>
                        <w:r>
                          <w:rPr>
                            <w:rFonts w:ascii="Georgia" w:hAnsi="Georgia" w:cs="Arial"/>
                          </w:rPr>
                          <w:t>1001 BRUXELLES</w:t>
                        </w:r>
                      </w:p>
                    </w:tc>
                    <w:tc>
                      <w:tcPr>
                        <w:tcW w:w="1806" w:type="dxa"/>
                      </w:tcPr>
                      <w:p>
                        <w:pPr>
                          <w:snapToGrid w:val="0"/>
                          <w:jc w:val="center"/>
                          <w:rPr>
                            <w:rFonts w:ascii="Georgia" w:eastAsia="Times New Roman" w:hAnsi="Georgia" w:cs="Arial"/>
                            <w:lang w:eastAsia="fr-BE"/>
                          </w:rPr>
                        </w:pPr>
                        <w:r>
                          <w:rPr>
                            <w:rFonts w:ascii="Georgia" w:eastAsia="Times New Roman" w:hAnsi="Georgia" w:cs="Arial"/>
                            <w:lang w:eastAsia="fr-BE"/>
                          </w:rPr>
                          <w:t>02/800.86.81</w:t>
                        </w:r>
                      </w:p>
                    </w:tc>
                    <w:tc>
                      <w:tcPr>
                        <w:tcW w:w="1638" w:type="dxa"/>
                      </w:tcPr>
                      <w:p>
                        <w:pPr>
                          <w:snapToGrid w:val="0"/>
                          <w:jc w:val="center"/>
                          <w:rPr>
                            <w:rFonts w:ascii="Georgia" w:eastAsia="Times New Roman" w:hAnsi="Georgia" w:cs="Arial"/>
                            <w:lang w:eastAsia="fr-BE"/>
                          </w:rPr>
                        </w:pPr>
                        <w:r>
                          <w:rPr>
                            <w:rFonts w:ascii="Georgia" w:eastAsia="Times New Roman" w:hAnsi="Georgia" w:cs="Arial"/>
                            <w:lang w:eastAsia="fr-BE"/>
                          </w:rPr>
                          <w:t>02/800.86.13</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vAlign w:val="center"/>
                      </w:tcPr>
                      <w:p>
                        <w:pPr>
                          <w:snapToGrid w:val="0"/>
                          <w:rPr>
                            <w:rFonts w:ascii="Georgia" w:hAnsi="Georgia" w:cs="Arial"/>
                          </w:rPr>
                        </w:pPr>
                        <w:r>
                          <w:rPr>
                            <w:rFonts w:ascii="Georgia" w:hAnsi="Georgia" w:cs="Arial"/>
                          </w:rPr>
                          <w:t>CPMS Communal I</w:t>
                        </w:r>
                      </w:p>
                    </w:tc>
                    <w:tc>
                      <w:tcPr>
                        <w:tcW w:w="2861" w:type="dxa"/>
                        <w:vAlign w:val="center"/>
                      </w:tcPr>
                      <w:p>
                        <w:pPr>
                          <w:snapToGrid w:val="0"/>
                          <w:rPr>
                            <w:rFonts w:ascii="Georgia" w:hAnsi="Georgia" w:cs="Arial"/>
                          </w:rPr>
                        </w:pPr>
                        <w:r>
                          <w:rPr>
                            <w:rFonts w:ascii="Georgia" w:hAnsi="Georgia" w:cs="Arial"/>
                          </w:rPr>
                          <w:t>Rue Vifquin, 2</w:t>
                        </w:r>
                      </w:p>
                    </w:tc>
                    <w:tc>
                      <w:tcPr>
                        <w:tcW w:w="2487" w:type="dxa"/>
                        <w:vAlign w:val="center"/>
                      </w:tcPr>
                      <w:p>
                        <w:pPr>
                          <w:snapToGrid w:val="0"/>
                          <w:rPr>
                            <w:rFonts w:ascii="Georgia" w:hAnsi="Georgia" w:cs="Arial"/>
                          </w:rPr>
                        </w:pPr>
                        <w:r>
                          <w:rPr>
                            <w:rFonts w:ascii="Georgia" w:hAnsi="Georgia" w:cs="Arial"/>
                          </w:rPr>
                          <w:t>1030 SCHAERBEEK</w:t>
                        </w:r>
                      </w:p>
                    </w:tc>
                    <w:tc>
                      <w:tcPr>
                        <w:tcW w:w="1806" w:type="dxa"/>
                      </w:tcPr>
                      <w:p>
                        <w:pPr>
                          <w:rPr>
                            <w:rFonts w:ascii="Georgia" w:eastAsia="Times New Roman" w:hAnsi="Georgia" w:cs="Arial"/>
                            <w:lang w:eastAsia="fr-BE"/>
                          </w:rPr>
                        </w:pPr>
                        <w:r>
                          <w:rPr>
                            <w:rFonts w:ascii="Georgia" w:eastAsia="Times New Roman" w:hAnsi="Georgia" w:cs="Arial"/>
                            <w:lang w:eastAsia="fr-BE"/>
                          </w:rPr>
                          <w:t>02/240.32.64</w:t>
                        </w:r>
                      </w:p>
                    </w:tc>
                    <w:tc>
                      <w:tcPr>
                        <w:tcW w:w="1638" w:type="dxa"/>
                      </w:tcPr>
                      <w:p>
                        <w:pPr>
                          <w:rPr>
                            <w:rFonts w:ascii="Georgia" w:eastAsia="Times New Roman" w:hAnsi="Georgia" w:cs="Arial"/>
                            <w:lang w:eastAsia="fr-BE"/>
                          </w:rPr>
                        </w:pPr>
                        <w:r>
                          <w:rPr>
                            <w:rFonts w:ascii="Georgia" w:eastAsia="Times New Roman" w:hAnsi="Georgia" w:cs="Arial"/>
                            <w:lang w:eastAsia="fr-BE"/>
                          </w:rPr>
                          <w:t>02/240.32.83</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tcPr>
                      <w:p>
                        <w:pPr>
                          <w:snapToGrid w:val="0"/>
                          <w:rPr>
                            <w:rFonts w:ascii="Georgia" w:hAnsi="Georgia" w:cs="Arial"/>
                          </w:rPr>
                        </w:pPr>
                        <w:r>
                          <w:rPr>
                            <w:rFonts w:ascii="Georgia" w:hAnsi="Georgia" w:cs="Arial"/>
                          </w:rPr>
                          <w:t>CPMS de la Communauté française</w:t>
                        </w:r>
                      </w:p>
                    </w:tc>
                    <w:tc>
                      <w:tcPr>
                        <w:tcW w:w="2861" w:type="dxa"/>
                        <w:vAlign w:val="center"/>
                      </w:tcPr>
                      <w:p>
                        <w:pPr>
                          <w:snapToGrid w:val="0"/>
                          <w:rPr>
                            <w:rFonts w:ascii="Georgia" w:hAnsi="Georgia" w:cs="Arial"/>
                          </w:rPr>
                        </w:pPr>
                        <w:r>
                          <w:rPr>
                            <w:rFonts w:ascii="Georgia" w:hAnsi="Georgia" w:cs="Arial"/>
                          </w:rPr>
                          <w:t>Avenue de l’Armée, 117</w:t>
                        </w:r>
                      </w:p>
                    </w:tc>
                    <w:tc>
                      <w:tcPr>
                        <w:tcW w:w="2487" w:type="dxa"/>
                        <w:vAlign w:val="center"/>
                      </w:tcPr>
                      <w:p>
                        <w:pPr>
                          <w:snapToGrid w:val="0"/>
                          <w:rPr>
                            <w:rFonts w:ascii="Georgia" w:hAnsi="Georgia" w:cs="Arial"/>
                          </w:rPr>
                        </w:pPr>
                        <w:r>
                          <w:rPr>
                            <w:rFonts w:ascii="Georgia" w:hAnsi="Georgia" w:cs="Arial"/>
                          </w:rPr>
                          <w:t>1040 ETTERBEEK</w:t>
                        </w:r>
                      </w:p>
                    </w:tc>
                    <w:tc>
                      <w:tcPr>
                        <w:tcW w:w="1806" w:type="dxa"/>
                      </w:tcPr>
                      <w:p>
                        <w:pPr>
                          <w:rPr>
                            <w:rFonts w:ascii="Georgia" w:eastAsia="Times New Roman" w:hAnsi="Georgia" w:cs="Arial"/>
                            <w:lang w:eastAsia="fr-BE"/>
                          </w:rPr>
                        </w:pPr>
                        <w:r>
                          <w:rPr>
                            <w:rFonts w:ascii="Georgia" w:eastAsia="Times New Roman" w:hAnsi="Georgia" w:cs="Arial"/>
                            <w:lang w:eastAsia="fr-BE"/>
                          </w:rPr>
                          <w:t>02/734.44.38</w:t>
                        </w:r>
                      </w:p>
                    </w:tc>
                    <w:tc>
                      <w:tcPr>
                        <w:tcW w:w="1638" w:type="dxa"/>
                      </w:tcPr>
                      <w:p>
                        <w:pPr>
                          <w:rPr>
                            <w:rFonts w:ascii="Georgia" w:eastAsia="Times New Roman" w:hAnsi="Georgia" w:cs="Arial"/>
                            <w:lang w:eastAsia="fr-BE"/>
                          </w:rPr>
                        </w:pPr>
                        <w:r>
                          <w:rPr>
                            <w:rFonts w:ascii="Georgia" w:eastAsia="Times New Roman" w:hAnsi="Georgia" w:cs="Arial"/>
                            <w:lang w:eastAsia="fr-BE"/>
                          </w:rPr>
                          <w:t>02/734.44.97</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tcPr>
                      <w:p>
                        <w:pPr>
                          <w:snapToGrid w:val="0"/>
                          <w:rPr>
                            <w:rFonts w:ascii="Georgia" w:hAnsi="Georgia" w:cs="Arial"/>
                          </w:rPr>
                        </w:pPr>
                        <w:r>
                          <w:rPr>
                            <w:rFonts w:ascii="Georgia" w:hAnsi="Georgia" w:cs="Arial"/>
                          </w:rPr>
                          <w:t>CPMS Communal</w:t>
                        </w:r>
                      </w:p>
                    </w:tc>
                    <w:tc>
                      <w:tcPr>
                        <w:tcW w:w="2861" w:type="dxa"/>
                        <w:vAlign w:val="center"/>
                      </w:tcPr>
                      <w:p>
                        <w:pPr>
                          <w:snapToGrid w:val="0"/>
                          <w:rPr>
                            <w:rFonts w:ascii="Georgia" w:hAnsi="Georgia" w:cs="Arial"/>
                          </w:rPr>
                        </w:pPr>
                        <w:r>
                          <w:rPr>
                            <w:rFonts w:ascii="Georgia" w:hAnsi="Georgia" w:cs="Arial"/>
                          </w:rPr>
                          <w:t>Rue Fétis, 37</w:t>
                        </w:r>
                      </w:p>
                    </w:tc>
                    <w:tc>
                      <w:tcPr>
                        <w:tcW w:w="2487" w:type="dxa"/>
                        <w:vAlign w:val="center"/>
                      </w:tcPr>
                      <w:p>
                        <w:pPr>
                          <w:snapToGrid w:val="0"/>
                          <w:rPr>
                            <w:rFonts w:ascii="Georgia" w:hAnsi="Georgia" w:cs="Arial"/>
                          </w:rPr>
                        </w:pPr>
                        <w:r>
                          <w:rPr>
                            <w:rFonts w:ascii="Georgia" w:hAnsi="Georgia" w:cs="Arial"/>
                          </w:rPr>
                          <w:t>1040 ETTERBEEK</w:t>
                        </w:r>
                      </w:p>
                    </w:tc>
                    <w:tc>
                      <w:tcPr>
                        <w:tcW w:w="1806" w:type="dxa"/>
                      </w:tcPr>
                      <w:p>
                        <w:pPr>
                          <w:rPr>
                            <w:rFonts w:ascii="Georgia" w:eastAsia="Times New Roman" w:hAnsi="Georgia" w:cs="Arial"/>
                            <w:lang w:eastAsia="fr-BE"/>
                          </w:rPr>
                        </w:pPr>
                        <w:r>
                          <w:rPr>
                            <w:rFonts w:ascii="Georgia" w:eastAsia="Times New Roman" w:hAnsi="Georgia" w:cs="Arial"/>
                            <w:lang w:eastAsia="fr-BE"/>
                          </w:rPr>
                          <w:t>02/627.08.20</w:t>
                        </w:r>
                      </w:p>
                    </w:tc>
                    <w:tc>
                      <w:tcPr>
                        <w:tcW w:w="1638" w:type="dxa"/>
                      </w:tcPr>
                      <w:p>
                        <w:pPr>
                          <w:rPr>
                            <w:rFonts w:ascii="Georgia" w:eastAsia="Times New Roman" w:hAnsi="Georgia" w:cs="Arial"/>
                            <w:lang w:eastAsia="fr-BE"/>
                          </w:rPr>
                        </w:pPr>
                        <w:r>
                          <w:rPr>
                            <w:rFonts w:ascii="Georgia" w:eastAsia="Times New Roman" w:hAnsi="Georgia" w:cs="Arial"/>
                            <w:lang w:eastAsia="fr-BE"/>
                          </w:rPr>
                          <w:t>02/627.08.29</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vAlign w:val="center"/>
                      </w:tcPr>
                      <w:p>
                        <w:pPr>
                          <w:snapToGrid w:val="0"/>
                          <w:rPr>
                            <w:rFonts w:ascii="Georgia" w:hAnsi="Georgia" w:cs="Arial"/>
                          </w:rPr>
                        </w:pPr>
                        <w:r>
                          <w:rPr>
                            <w:rFonts w:ascii="Georgia" w:hAnsi="Georgia" w:cs="Arial"/>
                          </w:rPr>
                          <w:t>CPMS Communal</w:t>
                        </w:r>
                      </w:p>
                    </w:tc>
                    <w:tc>
                      <w:tcPr>
                        <w:tcW w:w="2861" w:type="dxa"/>
                        <w:vAlign w:val="center"/>
                      </w:tcPr>
                      <w:p>
                        <w:pPr>
                          <w:snapToGrid w:val="0"/>
                          <w:rPr>
                            <w:rFonts w:ascii="Georgia" w:hAnsi="Georgia" w:cs="Arial"/>
                          </w:rPr>
                        </w:pPr>
                        <w:r>
                          <w:rPr>
                            <w:rFonts w:ascii="Georgia" w:hAnsi="Georgia" w:cs="Arial"/>
                          </w:rPr>
                          <w:t>Rue de la Crèche, 6</w:t>
                        </w:r>
                      </w:p>
                    </w:tc>
                    <w:tc>
                      <w:tcPr>
                        <w:tcW w:w="2487" w:type="dxa"/>
                        <w:vAlign w:val="center"/>
                      </w:tcPr>
                      <w:p>
                        <w:pPr>
                          <w:snapToGrid w:val="0"/>
                          <w:rPr>
                            <w:rFonts w:ascii="Georgia" w:hAnsi="Georgia" w:cs="Arial"/>
                          </w:rPr>
                        </w:pPr>
                        <w:r>
                          <w:rPr>
                            <w:rFonts w:ascii="Georgia" w:hAnsi="Georgia" w:cs="Arial"/>
                          </w:rPr>
                          <w:t>1050 IXELLES</w:t>
                        </w:r>
                      </w:p>
                    </w:tc>
                    <w:tc>
                      <w:tcPr>
                        <w:tcW w:w="1806" w:type="dxa"/>
                      </w:tcPr>
                      <w:p>
                        <w:pPr>
                          <w:rPr>
                            <w:rFonts w:ascii="Georgia" w:eastAsia="Times New Roman" w:hAnsi="Georgia" w:cs="Arial"/>
                            <w:lang w:eastAsia="fr-BE"/>
                          </w:rPr>
                        </w:pPr>
                        <w:r>
                          <w:rPr>
                            <w:rFonts w:ascii="Georgia" w:eastAsia="Times New Roman" w:hAnsi="Georgia" w:cs="Arial"/>
                            <w:lang w:eastAsia="fr-BE"/>
                          </w:rPr>
                          <w:t>02/515.79.51</w:t>
                        </w:r>
                      </w:p>
                    </w:tc>
                    <w:tc>
                      <w:tcPr>
                        <w:tcW w:w="1638" w:type="dxa"/>
                      </w:tcPr>
                      <w:p>
                        <w:pPr>
                          <w:rPr>
                            <w:rFonts w:ascii="Georgia" w:eastAsia="Times New Roman" w:hAnsi="Georgia" w:cs="Arial"/>
                            <w:lang w:eastAsia="fr-BE"/>
                          </w:rPr>
                        </w:pPr>
                        <w:r>
                          <w:rPr>
                            <w:rFonts w:ascii="Georgia" w:eastAsia="Times New Roman" w:hAnsi="Georgia" w:cs="Arial"/>
                            <w:lang w:eastAsia="fr-BE"/>
                          </w:rPr>
                          <w:t>02/515.79.66</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tcPr>
                      <w:p>
                        <w:pPr>
                          <w:snapToGrid w:val="0"/>
                          <w:rPr>
                            <w:rFonts w:ascii="Georgia" w:hAnsi="Georgia" w:cs="Arial"/>
                          </w:rPr>
                        </w:pPr>
                        <w:r>
                          <w:rPr>
                            <w:rFonts w:ascii="Georgia" w:hAnsi="Georgia" w:cs="Arial"/>
                          </w:rPr>
                          <w:t>CPMS Libre BRUXELLES III</w:t>
                        </w:r>
                      </w:p>
                    </w:tc>
                    <w:tc>
                      <w:tcPr>
                        <w:tcW w:w="2861" w:type="dxa"/>
                        <w:vAlign w:val="center"/>
                      </w:tcPr>
                      <w:p>
                        <w:pPr>
                          <w:snapToGrid w:val="0"/>
                          <w:rPr>
                            <w:rFonts w:ascii="Georgia" w:hAnsi="Georgia" w:cs="Arial"/>
                          </w:rPr>
                        </w:pPr>
                        <w:r>
                          <w:rPr>
                            <w:rFonts w:ascii="Georgia" w:hAnsi="Georgia" w:cs="Arial"/>
                          </w:rPr>
                          <w:t>Rue Malibran, 47-49</w:t>
                        </w:r>
                      </w:p>
                    </w:tc>
                    <w:tc>
                      <w:tcPr>
                        <w:tcW w:w="2487" w:type="dxa"/>
                        <w:vAlign w:val="center"/>
                      </w:tcPr>
                      <w:p>
                        <w:pPr>
                          <w:snapToGrid w:val="0"/>
                          <w:rPr>
                            <w:rFonts w:ascii="Georgia" w:hAnsi="Georgia" w:cs="Arial"/>
                          </w:rPr>
                        </w:pPr>
                        <w:r>
                          <w:rPr>
                            <w:rFonts w:ascii="Georgia" w:hAnsi="Georgia" w:cs="Arial"/>
                          </w:rPr>
                          <w:t>1050 IXELLES</w:t>
                        </w:r>
                      </w:p>
                    </w:tc>
                    <w:tc>
                      <w:tcPr>
                        <w:tcW w:w="1806" w:type="dxa"/>
                      </w:tcPr>
                      <w:p>
                        <w:pPr>
                          <w:rPr>
                            <w:rFonts w:ascii="Georgia" w:eastAsia="Times New Roman" w:hAnsi="Georgia" w:cs="Arial"/>
                            <w:lang w:eastAsia="fr-BE"/>
                          </w:rPr>
                        </w:pPr>
                        <w:r>
                          <w:rPr>
                            <w:rFonts w:ascii="Georgia" w:eastAsia="Times New Roman" w:hAnsi="Georgia" w:cs="Arial"/>
                            <w:lang w:eastAsia="fr-BE"/>
                          </w:rPr>
                          <w:t>02/647.17.45</w:t>
                        </w:r>
                      </w:p>
                    </w:tc>
                    <w:tc>
                      <w:tcPr>
                        <w:tcW w:w="1638" w:type="dxa"/>
                      </w:tcPr>
                      <w:p>
                        <w:pPr>
                          <w:rPr>
                            <w:rFonts w:ascii="Georgia" w:eastAsia="Times New Roman" w:hAnsi="Georgia" w:cs="Arial"/>
                            <w:lang w:eastAsia="fr-BE"/>
                          </w:rPr>
                        </w:pPr>
                        <w:r>
                          <w:rPr>
                            <w:rFonts w:ascii="Georgia" w:eastAsia="Times New Roman" w:hAnsi="Georgia" w:cs="Arial"/>
                            <w:lang w:eastAsia="fr-BE"/>
                          </w:rPr>
                          <w:t>02/647.57.52</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tcPr>
                      <w:p>
                        <w:pPr>
                          <w:snapToGrid w:val="0"/>
                          <w:rPr>
                            <w:rFonts w:ascii="Georgia" w:hAnsi="Georgia" w:cs="Arial"/>
                          </w:rPr>
                        </w:pPr>
                        <w:r>
                          <w:rPr>
                            <w:rFonts w:ascii="Georgia" w:hAnsi="Georgia" w:cs="Arial"/>
                          </w:rPr>
                          <w:t>CPMS Communal</w:t>
                        </w:r>
                      </w:p>
                    </w:tc>
                    <w:tc>
                      <w:tcPr>
                        <w:tcW w:w="2861" w:type="dxa"/>
                        <w:vAlign w:val="center"/>
                      </w:tcPr>
                      <w:p>
                        <w:pPr>
                          <w:snapToGrid w:val="0"/>
                          <w:rPr>
                            <w:rFonts w:ascii="Georgia" w:hAnsi="Georgia" w:cs="Arial"/>
                          </w:rPr>
                        </w:pPr>
                        <w:r>
                          <w:rPr>
                            <w:rFonts w:ascii="Georgia" w:hAnsi="Georgia" w:cs="Arial"/>
                          </w:rPr>
                          <w:t>Rue des étudiants, 14</w:t>
                        </w:r>
                      </w:p>
                    </w:tc>
                    <w:tc>
                      <w:tcPr>
                        <w:tcW w:w="2487" w:type="dxa"/>
                        <w:vAlign w:val="center"/>
                      </w:tcPr>
                      <w:p>
                        <w:pPr>
                          <w:snapToGrid w:val="0"/>
                          <w:rPr>
                            <w:rFonts w:ascii="Georgia" w:hAnsi="Georgia" w:cs="Arial"/>
                          </w:rPr>
                        </w:pPr>
                        <w:r>
                          <w:rPr>
                            <w:rFonts w:ascii="Georgia" w:hAnsi="Georgia" w:cs="Arial"/>
                          </w:rPr>
                          <w:t>1060 SAINT - GILLES</w:t>
                        </w:r>
                      </w:p>
                    </w:tc>
                    <w:tc>
                      <w:tcPr>
                        <w:tcW w:w="1806" w:type="dxa"/>
                      </w:tcPr>
                      <w:p>
                        <w:pPr>
                          <w:rPr>
                            <w:rFonts w:ascii="Georgia" w:eastAsia="Times New Roman" w:hAnsi="Georgia" w:cs="Arial"/>
                            <w:lang w:eastAsia="fr-BE"/>
                          </w:rPr>
                        </w:pPr>
                        <w:r>
                          <w:rPr>
                            <w:rFonts w:ascii="Georgia" w:eastAsia="Times New Roman" w:hAnsi="Georgia" w:cs="Arial"/>
                            <w:lang w:eastAsia="fr-BE"/>
                          </w:rPr>
                          <w:t>02/563.11.00.01</w:t>
                        </w:r>
                      </w:p>
                    </w:tc>
                    <w:tc>
                      <w:tcPr>
                        <w:tcW w:w="1638" w:type="dxa"/>
                      </w:tcPr>
                      <w:p>
                        <w:pPr>
                          <w:rPr>
                            <w:rFonts w:ascii="Georgia" w:eastAsia="Times New Roman" w:hAnsi="Georgia" w:cs="Arial"/>
                            <w:lang w:eastAsia="fr-BE"/>
                          </w:rPr>
                        </w:pPr>
                        <w:r>
                          <w:rPr>
                            <w:rFonts w:ascii="Georgia" w:eastAsia="Times New Roman" w:hAnsi="Georgia" w:cs="Arial"/>
                            <w:lang w:eastAsia="fr-BE"/>
                          </w:rPr>
                          <w:t>02/563.11.17</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tcPr>
                      <w:p>
                        <w:pPr>
                          <w:snapToGrid w:val="0"/>
                          <w:rPr>
                            <w:rFonts w:ascii="Georgia" w:hAnsi="Georgia" w:cs="Arial"/>
                          </w:rPr>
                        </w:pPr>
                        <w:r>
                          <w:rPr>
                            <w:rFonts w:ascii="Georgia" w:hAnsi="Georgia" w:cs="Arial"/>
                          </w:rPr>
                          <w:t>CPMS Libre WOLUWE II</w:t>
                        </w:r>
                      </w:p>
                    </w:tc>
                    <w:tc>
                      <w:tcPr>
                        <w:tcW w:w="2861" w:type="dxa"/>
                        <w:vAlign w:val="center"/>
                      </w:tcPr>
                      <w:p>
                        <w:pPr>
                          <w:snapToGrid w:val="0"/>
                          <w:rPr>
                            <w:rFonts w:ascii="Georgia" w:hAnsi="Georgia" w:cs="Arial"/>
                          </w:rPr>
                        </w:pPr>
                        <w:r>
                          <w:rPr>
                            <w:rFonts w:ascii="Georgia" w:hAnsi="Georgia" w:cs="Arial"/>
                          </w:rPr>
                          <w:t>Place de l’Alma ; 3 bte 9</w:t>
                        </w:r>
                      </w:p>
                    </w:tc>
                    <w:tc>
                      <w:tcPr>
                        <w:tcW w:w="2487" w:type="dxa"/>
                        <w:vAlign w:val="center"/>
                      </w:tcPr>
                      <w:p>
                        <w:pPr>
                          <w:snapToGrid w:val="0"/>
                          <w:rPr>
                            <w:rFonts w:ascii="Georgia" w:hAnsi="Georgia" w:cs="Arial"/>
                          </w:rPr>
                        </w:pPr>
                        <w:r>
                          <w:rPr>
                            <w:rFonts w:ascii="Georgia" w:hAnsi="Georgia" w:cs="Arial"/>
                          </w:rPr>
                          <w:t>1200 WOLUME–SAINT-LAMBERT</w:t>
                        </w:r>
                      </w:p>
                    </w:tc>
                    <w:tc>
                      <w:tcPr>
                        <w:tcW w:w="1806" w:type="dxa"/>
                      </w:tcPr>
                      <w:p>
                        <w:pPr>
                          <w:rPr>
                            <w:rFonts w:ascii="Georgia" w:eastAsia="Times New Roman" w:hAnsi="Georgia" w:cs="Arial"/>
                            <w:lang w:eastAsia="fr-BE"/>
                          </w:rPr>
                        </w:pPr>
                        <w:r>
                          <w:rPr>
                            <w:rFonts w:ascii="Georgia" w:eastAsia="Times New Roman" w:hAnsi="Georgia" w:cs="Arial"/>
                            <w:lang w:eastAsia="fr-BE"/>
                          </w:rPr>
                          <w:t>02/764.30.46</w:t>
                        </w:r>
                      </w:p>
                    </w:tc>
                    <w:tc>
                      <w:tcPr>
                        <w:tcW w:w="1638" w:type="dxa"/>
                      </w:tcPr>
                      <w:p>
                        <w:pPr>
                          <w:rPr>
                            <w:rFonts w:ascii="Georgia" w:eastAsia="Times New Roman" w:hAnsi="Georgia" w:cs="Arial"/>
                            <w:lang w:eastAsia="fr-BE"/>
                          </w:rPr>
                        </w:pPr>
                        <w:r>
                          <w:rPr>
                            <w:rFonts w:ascii="Georgia" w:eastAsia="Times New Roman" w:hAnsi="Georgia" w:cs="Arial"/>
                            <w:lang w:eastAsia="fr-BE"/>
                          </w:rPr>
                          <w:t>02/771.00.29</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tcPr>
                      <w:p>
                        <w:pPr>
                          <w:snapToGrid w:val="0"/>
                          <w:rPr>
                            <w:rFonts w:ascii="Georgia" w:hAnsi="Georgia" w:cs="Arial"/>
                          </w:rPr>
                        </w:pPr>
                        <w:r>
                          <w:rPr>
                            <w:rFonts w:ascii="Georgia" w:hAnsi="Georgia" w:cs="Arial"/>
                          </w:rPr>
                          <w:t>CPMS provincial</w:t>
                        </w:r>
                      </w:p>
                    </w:tc>
                    <w:tc>
                      <w:tcPr>
                        <w:tcW w:w="2861" w:type="dxa"/>
                        <w:vAlign w:val="center"/>
                      </w:tcPr>
                      <w:p>
                        <w:pPr>
                          <w:snapToGrid w:val="0"/>
                          <w:rPr>
                            <w:rFonts w:ascii="Georgia" w:hAnsi="Georgia" w:cs="Arial"/>
                          </w:rPr>
                        </w:pPr>
                        <w:r>
                          <w:rPr>
                            <w:rFonts w:ascii="Georgia" w:hAnsi="Georgia" w:cs="Arial"/>
                          </w:rPr>
                          <w:t>Avenue Bohy, 51</w:t>
                        </w:r>
                      </w:p>
                    </w:tc>
                    <w:tc>
                      <w:tcPr>
                        <w:tcW w:w="2487" w:type="dxa"/>
                        <w:vAlign w:val="center"/>
                      </w:tcPr>
                      <w:p>
                        <w:pPr>
                          <w:snapToGrid w:val="0"/>
                          <w:rPr>
                            <w:rFonts w:ascii="Georgia" w:hAnsi="Georgia" w:cs="Arial"/>
                          </w:rPr>
                        </w:pPr>
                        <w:r>
                          <w:rPr>
                            <w:rFonts w:ascii="Georgia" w:hAnsi="Georgia" w:cs="Arial"/>
                          </w:rPr>
                          <w:t>1300 WAVRE</w:t>
                        </w:r>
                      </w:p>
                    </w:tc>
                    <w:tc>
                      <w:tcPr>
                        <w:tcW w:w="1806" w:type="dxa"/>
                      </w:tcPr>
                      <w:p>
                        <w:pPr>
                          <w:rPr>
                            <w:rFonts w:ascii="Georgia" w:eastAsia="Times New Roman" w:hAnsi="Georgia" w:cs="Arial"/>
                            <w:lang w:eastAsia="fr-BE"/>
                          </w:rPr>
                        </w:pPr>
                        <w:r>
                          <w:rPr>
                            <w:rFonts w:ascii="Georgia" w:eastAsia="Times New Roman" w:hAnsi="Georgia" w:cs="Arial"/>
                            <w:lang w:eastAsia="fr-BE"/>
                          </w:rPr>
                          <w:t>010/48.81.36</w:t>
                        </w:r>
                      </w:p>
                    </w:tc>
                    <w:tc>
                      <w:tcPr>
                        <w:tcW w:w="1638" w:type="dxa"/>
                      </w:tcPr>
                      <w:p>
                        <w:pPr>
                          <w:rPr>
                            <w:rFonts w:ascii="Georgia" w:eastAsia="Times New Roman" w:hAnsi="Georgia" w:cs="Arial"/>
                            <w:lang w:eastAsia="fr-BE"/>
                          </w:rPr>
                        </w:pPr>
                        <w:r>
                          <w:rPr>
                            <w:rFonts w:ascii="Georgia" w:eastAsia="Times New Roman" w:hAnsi="Georgia" w:cs="Arial"/>
                            <w:lang w:eastAsia="fr-BE"/>
                          </w:rPr>
                          <w:t>010/84.50.21</w:t>
                        </w:r>
                      </w:p>
                    </w:tc>
                    <w:tc>
                      <w:tcPr>
                        <w:tcW w:w="2759" w:type="dxa"/>
                        <w:vAlign w:val="center"/>
                      </w:tcPr>
                      <w:p>
                        <w:pPr>
                          <w:snapToGrid w:val="0"/>
                          <w:jc w:val="center"/>
                          <w:rPr>
                            <w:rFonts w:ascii="Georgia" w:hAnsi="Georgia" w:cs="Arial"/>
                            <w:b/>
                            <w:bCs/>
                          </w:rPr>
                        </w:pPr>
                        <w:r>
                          <w:rPr>
                            <w:rFonts w:ascii="Georgia" w:hAnsi="Georgia" w:cs="Arial"/>
                            <w:b/>
                            <w:bCs/>
                          </w:rPr>
                          <w:t>Province du Brabant-Wallon</w:t>
                        </w:r>
                      </w:p>
                    </w:tc>
                  </w:tr>
                  <w:tr>
                    <w:trPr>
                      <w:cantSplit/>
                      <w:trHeight w:val="397"/>
                    </w:trPr>
                    <w:tc>
                      <w:tcPr>
                        <w:tcW w:w="2725" w:type="dxa"/>
                      </w:tcPr>
                      <w:p>
                        <w:pPr>
                          <w:snapToGrid w:val="0"/>
                          <w:rPr>
                            <w:rFonts w:ascii="Georgia" w:hAnsi="Georgia" w:cs="Arial"/>
                          </w:rPr>
                        </w:pPr>
                        <w:r>
                          <w:rPr>
                            <w:rFonts w:ascii="Georgia" w:hAnsi="Georgia" w:cs="Arial"/>
                          </w:rPr>
                          <w:t>CPMS Libre WAVRE I</w:t>
                        </w:r>
                      </w:p>
                    </w:tc>
                    <w:tc>
                      <w:tcPr>
                        <w:tcW w:w="2861" w:type="dxa"/>
                        <w:vAlign w:val="center"/>
                      </w:tcPr>
                      <w:p>
                        <w:pPr>
                          <w:snapToGrid w:val="0"/>
                          <w:rPr>
                            <w:rFonts w:ascii="Georgia" w:hAnsi="Georgia" w:cs="Arial"/>
                          </w:rPr>
                        </w:pPr>
                        <w:r>
                          <w:rPr>
                            <w:rFonts w:ascii="Georgia" w:hAnsi="Georgia" w:cs="Arial"/>
                          </w:rPr>
                          <w:t>Rue Théophile Piat, 22</w:t>
                        </w:r>
                      </w:p>
                    </w:tc>
                    <w:tc>
                      <w:tcPr>
                        <w:tcW w:w="2487" w:type="dxa"/>
                        <w:vAlign w:val="center"/>
                      </w:tcPr>
                      <w:p>
                        <w:pPr>
                          <w:snapToGrid w:val="0"/>
                          <w:rPr>
                            <w:rFonts w:ascii="Georgia" w:hAnsi="Georgia" w:cs="Arial"/>
                          </w:rPr>
                        </w:pPr>
                        <w:r>
                          <w:rPr>
                            <w:rFonts w:ascii="Georgia" w:hAnsi="Georgia" w:cs="Arial"/>
                          </w:rPr>
                          <w:t>1300 WAVRE</w:t>
                        </w:r>
                      </w:p>
                    </w:tc>
                    <w:tc>
                      <w:tcPr>
                        <w:tcW w:w="1806" w:type="dxa"/>
                      </w:tcPr>
                      <w:p>
                        <w:pPr>
                          <w:rPr>
                            <w:rFonts w:ascii="Georgia" w:eastAsia="Times New Roman" w:hAnsi="Georgia" w:cs="Arial"/>
                            <w:lang w:eastAsia="fr-BE"/>
                          </w:rPr>
                        </w:pPr>
                        <w:r>
                          <w:rPr>
                            <w:rFonts w:ascii="Georgia" w:eastAsia="Times New Roman" w:hAnsi="Georgia" w:cs="Arial"/>
                            <w:lang w:eastAsia="fr-BE"/>
                          </w:rPr>
                          <w:t>010/22.47.09</w:t>
                        </w:r>
                      </w:p>
                    </w:tc>
                    <w:tc>
                      <w:tcPr>
                        <w:tcW w:w="1638" w:type="dxa"/>
                      </w:tcPr>
                      <w:p>
                        <w:pPr>
                          <w:rPr>
                            <w:rFonts w:ascii="Georgia" w:eastAsia="Times New Roman" w:hAnsi="Georgia" w:cs="Arial"/>
                            <w:lang w:eastAsia="fr-BE"/>
                          </w:rPr>
                        </w:pPr>
                        <w:r>
                          <w:rPr>
                            <w:rFonts w:ascii="Georgia" w:eastAsia="Times New Roman" w:hAnsi="Georgia" w:cs="Arial"/>
                            <w:lang w:eastAsia="fr-BE"/>
                          </w:rPr>
                          <w:t>010/24.68.03</w:t>
                        </w:r>
                      </w:p>
                    </w:tc>
                    <w:tc>
                      <w:tcPr>
                        <w:tcW w:w="2759" w:type="dxa"/>
                      </w:tcPr>
                      <w:p>
                        <w:pPr>
                          <w:snapToGrid w:val="0"/>
                          <w:jc w:val="center"/>
                          <w:rPr>
                            <w:rFonts w:ascii="Georgia" w:hAnsi="Georgia" w:cs="Arial"/>
                            <w:b/>
                            <w:bCs/>
                          </w:rPr>
                        </w:pPr>
                        <w:r>
                          <w:rPr>
                            <w:rFonts w:ascii="Georgia" w:hAnsi="Georgia" w:cs="Arial"/>
                            <w:b/>
                            <w:bCs/>
                          </w:rPr>
                          <w:t>Province du Brabant-Wallon</w:t>
                        </w:r>
                      </w:p>
                    </w:tc>
                  </w:tr>
                  <w:tr>
                    <w:trPr>
                      <w:cantSplit/>
                      <w:trHeight w:val="397"/>
                    </w:trPr>
                    <w:tc>
                      <w:tcPr>
                        <w:tcW w:w="2725" w:type="dxa"/>
                      </w:tcPr>
                      <w:p>
                        <w:pPr>
                          <w:snapToGrid w:val="0"/>
                          <w:rPr>
                            <w:rFonts w:ascii="Georgia" w:hAnsi="Georgia" w:cs="Arial"/>
                          </w:rPr>
                        </w:pPr>
                        <w:r>
                          <w:rPr>
                            <w:rFonts w:ascii="Georgia" w:hAnsi="Georgia" w:cs="Arial"/>
                          </w:rPr>
                          <w:t>CPMS Libre WAVRE II</w:t>
                        </w:r>
                      </w:p>
                    </w:tc>
                    <w:tc>
                      <w:tcPr>
                        <w:tcW w:w="2861" w:type="dxa"/>
                        <w:vAlign w:val="center"/>
                      </w:tcPr>
                      <w:p>
                        <w:pPr>
                          <w:snapToGrid w:val="0"/>
                          <w:rPr>
                            <w:rFonts w:ascii="Georgia" w:hAnsi="Georgia" w:cs="Arial"/>
                          </w:rPr>
                        </w:pPr>
                        <w:r>
                          <w:rPr>
                            <w:rFonts w:ascii="Georgia" w:hAnsi="Georgia" w:cs="Arial"/>
                          </w:rPr>
                          <w:t>Rue Théophile Piat, 22</w:t>
                        </w:r>
                      </w:p>
                    </w:tc>
                    <w:tc>
                      <w:tcPr>
                        <w:tcW w:w="2487" w:type="dxa"/>
                        <w:vAlign w:val="center"/>
                      </w:tcPr>
                      <w:p>
                        <w:pPr>
                          <w:snapToGrid w:val="0"/>
                          <w:rPr>
                            <w:rFonts w:ascii="Georgia" w:hAnsi="Georgia" w:cs="Arial"/>
                          </w:rPr>
                        </w:pPr>
                        <w:r>
                          <w:rPr>
                            <w:rFonts w:ascii="Georgia" w:hAnsi="Georgia" w:cs="Arial"/>
                          </w:rPr>
                          <w:t>1300 WAVRE</w:t>
                        </w:r>
                      </w:p>
                    </w:tc>
                    <w:tc>
                      <w:tcPr>
                        <w:tcW w:w="1806" w:type="dxa"/>
                      </w:tcPr>
                      <w:p>
                        <w:pPr>
                          <w:rPr>
                            <w:rFonts w:ascii="Georgia" w:eastAsia="Times New Roman" w:hAnsi="Georgia" w:cs="Arial"/>
                            <w:lang w:eastAsia="fr-BE"/>
                          </w:rPr>
                        </w:pPr>
                        <w:r>
                          <w:rPr>
                            <w:rFonts w:ascii="Georgia" w:eastAsia="Times New Roman" w:hAnsi="Georgia" w:cs="Arial"/>
                            <w:lang w:eastAsia="fr-BE"/>
                          </w:rPr>
                          <w:t>010/24.10.09</w:t>
                        </w:r>
                      </w:p>
                    </w:tc>
                    <w:tc>
                      <w:tcPr>
                        <w:tcW w:w="1638" w:type="dxa"/>
                      </w:tcPr>
                      <w:p>
                        <w:pPr>
                          <w:rPr>
                            <w:rFonts w:ascii="Georgia" w:eastAsia="Times New Roman" w:hAnsi="Georgia" w:cs="Arial"/>
                            <w:lang w:eastAsia="fr-BE"/>
                          </w:rPr>
                        </w:pPr>
                        <w:r>
                          <w:rPr>
                            <w:rFonts w:ascii="Georgia" w:eastAsia="Times New Roman" w:hAnsi="Georgia" w:cs="Arial"/>
                            <w:lang w:eastAsia="fr-BE"/>
                          </w:rPr>
                          <w:t>010/24.68.03</w:t>
                        </w:r>
                      </w:p>
                    </w:tc>
                    <w:tc>
                      <w:tcPr>
                        <w:tcW w:w="2759" w:type="dxa"/>
                      </w:tcPr>
                      <w:p>
                        <w:pPr>
                          <w:snapToGrid w:val="0"/>
                          <w:jc w:val="center"/>
                          <w:rPr>
                            <w:rFonts w:ascii="Georgia" w:hAnsi="Georgia" w:cs="Arial"/>
                            <w:b/>
                            <w:bCs/>
                          </w:rPr>
                        </w:pPr>
                        <w:r>
                          <w:rPr>
                            <w:rFonts w:ascii="Georgia" w:hAnsi="Georgia" w:cs="Arial"/>
                            <w:b/>
                            <w:bCs/>
                          </w:rPr>
                          <w:t>Province du Brabant-Wallon</w:t>
                        </w:r>
                      </w:p>
                    </w:tc>
                  </w:tr>
                  <w:tr>
                    <w:trPr>
                      <w:cantSplit/>
                      <w:trHeight w:val="397"/>
                    </w:trPr>
                    <w:tc>
                      <w:tcPr>
                        <w:tcW w:w="2725" w:type="dxa"/>
                      </w:tcPr>
                      <w:p>
                        <w:pPr>
                          <w:snapToGrid w:val="0"/>
                          <w:rPr>
                            <w:rFonts w:ascii="Georgia" w:hAnsi="Georgia" w:cs="Arial"/>
                          </w:rPr>
                        </w:pPr>
                        <w:r>
                          <w:rPr>
                            <w:rFonts w:ascii="Georgia" w:hAnsi="Georgia" w:cs="Arial"/>
                          </w:rPr>
                          <w:t>CPMS Libre</w:t>
                        </w:r>
                      </w:p>
                    </w:tc>
                    <w:tc>
                      <w:tcPr>
                        <w:tcW w:w="2861" w:type="dxa"/>
                        <w:vAlign w:val="center"/>
                      </w:tcPr>
                      <w:p>
                        <w:pPr>
                          <w:snapToGrid w:val="0"/>
                          <w:rPr>
                            <w:rFonts w:ascii="Georgia" w:hAnsi="Georgia" w:cs="Arial"/>
                          </w:rPr>
                        </w:pPr>
                        <w:r>
                          <w:rPr>
                            <w:rFonts w:ascii="Georgia" w:hAnsi="Georgia" w:cs="Arial"/>
                          </w:rPr>
                          <w:t>Rue des Liégeois, 7</w:t>
                        </w:r>
                      </w:p>
                    </w:tc>
                    <w:tc>
                      <w:tcPr>
                        <w:tcW w:w="2487" w:type="dxa"/>
                        <w:vAlign w:val="center"/>
                      </w:tcPr>
                      <w:p>
                        <w:pPr>
                          <w:snapToGrid w:val="0"/>
                          <w:rPr>
                            <w:rFonts w:ascii="Georgia" w:hAnsi="Georgia" w:cs="Arial"/>
                          </w:rPr>
                        </w:pPr>
                        <w:r>
                          <w:rPr>
                            <w:rFonts w:ascii="Georgia" w:hAnsi="Georgia" w:cs="Arial"/>
                          </w:rPr>
                          <w:t xml:space="preserve">1348 LOUVAIN–LA–NEUVE </w:t>
                        </w:r>
                      </w:p>
                    </w:tc>
                    <w:tc>
                      <w:tcPr>
                        <w:tcW w:w="1806" w:type="dxa"/>
                      </w:tcPr>
                      <w:p>
                        <w:pPr>
                          <w:rPr>
                            <w:rFonts w:ascii="Georgia" w:eastAsia="Times New Roman" w:hAnsi="Georgia" w:cs="Arial"/>
                            <w:lang w:eastAsia="fr-BE"/>
                          </w:rPr>
                        </w:pPr>
                        <w:r>
                          <w:rPr>
                            <w:rFonts w:ascii="Georgia" w:eastAsia="Times New Roman" w:hAnsi="Georgia" w:cs="Arial"/>
                            <w:lang w:eastAsia="fr-BE"/>
                          </w:rPr>
                          <w:t>010/41.47.93</w:t>
                        </w:r>
                      </w:p>
                    </w:tc>
                    <w:tc>
                      <w:tcPr>
                        <w:tcW w:w="1638" w:type="dxa"/>
                      </w:tcPr>
                      <w:p>
                        <w:pPr>
                          <w:rPr>
                            <w:rFonts w:ascii="Georgia" w:eastAsia="Times New Roman" w:hAnsi="Georgia" w:cs="Arial"/>
                            <w:lang w:eastAsia="fr-BE"/>
                          </w:rPr>
                        </w:pPr>
                        <w:r>
                          <w:rPr>
                            <w:rFonts w:ascii="Georgia" w:eastAsia="Times New Roman" w:hAnsi="Georgia" w:cs="Arial"/>
                            <w:lang w:eastAsia="fr-BE"/>
                          </w:rPr>
                          <w:t>010/40.25.95</w:t>
                        </w:r>
                      </w:p>
                    </w:tc>
                    <w:tc>
                      <w:tcPr>
                        <w:tcW w:w="2759" w:type="dxa"/>
                      </w:tcPr>
                      <w:p>
                        <w:pPr>
                          <w:snapToGrid w:val="0"/>
                          <w:jc w:val="center"/>
                          <w:rPr>
                            <w:rFonts w:ascii="Georgia" w:hAnsi="Georgia" w:cs="Arial"/>
                            <w:b/>
                            <w:bCs/>
                          </w:rPr>
                        </w:pPr>
                        <w:r>
                          <w:rPr>
                            <w:rFonts w:ascii="Georgia" w:hAnsi="Georgia" w:cs="Arial"/>
                            <w:b/>
                            <w:bCs/>
                          </w:rPr>
                          <w:t>Province du Brabant-Wallon</w:t>
                        </w:r>
                      </w:p>
                    </w:tc>
                  </w:tr>
                  <w:tr>
                    <w:trPr>
                      <w:cantSplit/>
                      <w:trHeight w:val="397"/>
                    </w:trPr>
                    <w:tc>
                      <w:tcPr>
                        <w:tcW w:w="2725" w:type="dxa"/>
                      </w:tcPr>
                      <w:p>
                        <w:pPr>
                          <w:snapToGrid w:val="0"/>
                          <w:rPr>
                            <w:rFonts w:ascii="Georgia" w:hAnsi="Georgia" w:cs="Arial"/>
                          </w:rPr>
                        </w:pPr>
                        <w:r>
                          <w:rPr>
                            <w:rFonts w:ascii="Georgia" w:hAnsi="Georgia" w:cs="Arial"/>
                          </w:rPr>
                          <w:t>CPMS Libre</w:t>
                        </w:r>
                      </w:p>
                    </w:tc>
                    <w:tc>
                      <w:tcPr>
                        <w:tcW w:w="2861" w:type="dxa"/>
                        <w:vAlign w:val="center"/>
                      </w:tcPr>
                      <w:p>
                        <w:pPr>
                          <w:snapToGrid w:val="0"/>
                          <w:rPr>
                            <w:rFonts w:ascii="Georgia" w:hAnsi="Georgia" w:cs="Arial"/>
                          </w:rPr>
                        </w:pPr>
                        <w:r>
                          <w:rPr>
                            <w:rFonts w:ascii="Georgia" w:hAnsi="Georgia" w:cs="Arial"/>
                          </w:rPr>
                          <w:t>Place de Noucelles, 7</w:t>
                        </w:r>
                      </w:p>
                    </w:tc>
                    <w:tc>
                      <w:tcPr>
                        <w:tcW w:w="2487" w:type="dxa"/>
                        <w:vAlign w:val="center"/>
                      </w:tcPr>
                      <w:p>
                        <w:pPr>
                          <w:snapToGrid w:val="0"/>
                          <w:rPr>
                            <w:rFonts w:ascii="Georgia" w:hAnsi="Georgia" w:cs="Arial"/>
                          </w:rPr>
                        </w:pPr>
                        <w:r>
                          <w:rPr>
                            <w:rFonts w:ascii="Georgia" w:hAnsi="Georgia" w:cs="Arial"/>
                          </w:rPr>
                          <w:t xml:space="preserve">1440 WAUTHIER–BRAINE </w:t>
                        </w:r>
                      </w:p>
                    </w:tc>
                    <w:tc>
                      <w:tcPr>
                        <w:tcW w:w="1806" w:type="dxa"/>
                      </w:tcPr>
                      <w:p>
                        <w:pPr>
                          <w:rPr>
                            <w:rFonts w:ascii="Georgia" w:eastAsia="Times New Roman" w:hAnsi="Georgia" w:cs="Arial"/>
                            <w:lang w:eastAsia="fr-BE"/>
                          </w:rPr>
                        </w:pPr>
                        <w:r>
                          <w:rPr>
                            <w:rFonts w:ascii="Georgia" w:eastAsia="Times New Roman" w:hAnsi="Georgia" w:cs="Arial"/>
                            <w:lang w:eastAsia="fr-BE"/>
                          </w:rPr>
                          <w:t>02/366.40.02</w:t>
                        </w:r>
                      </w:p>
                    </w:tc>
                    <w:tc>
                      <w:tcPr>
                        <w:tcW w:w="1638" w:type="dxa"/>
                      </w:tcPr>
                      <w:p>
                        <w:pPr>
                          <w:rPr>
                            <w:rFonts w:ascii="Georgia" w:eastAsia="Times New Roman" w:hAnsi="Georgia" w:cs="Arial"/>
                            <w:lang w:eastAsia="fr-BE"/>
                          </w:rPr>
                        </w:pPr>
                        <w:r>
                          <w:rPr>
                            <w:rFonts w:ascii="Georgia" w:eastAsia="Times New Roman" w:hAnsi="Georgia" w:cs="Arial"/>
                            <w:lang w:eastAsia="fr-BE"/>
                          </w:rPr>
                          <w:t>02/366.38.62</w:t>
                        </w:r>
                      </w:p>
                    </w:tc>
                    <w:tc>
                      <w:tcPr>
                        <w:tcW w:w="2759" w:type="dxa"/>
                      </w:tcPr>
                      <w:p>
                        <w:pPr>
                          <w:snapToGrid w:val="0"/>
                          <w:jc w:val="center"/>
                          <w:rPr>
                            <w:rFonts w:ascii="Georgia" w:hAnsi="Georgia" w:cs="Arial"/>
                            <w:b/>
                            <w:bCs/>
                          </w:rPr>
                        </w:pPr>
                        <w:r>
                          <w:rPr>
                            <w:rFonts w:ascii="Georgia" w:hAnsi="Georgia" w:cs="Arial"/>
                            <w:b/>
                            <w:bCs/>
                          </w:rPr>
                          <w:t>Province du Brabant-Wallon</w:t>
                        </w:r>
                      </w:p>
                    </w:tc>
                  </w:tr>
                  <w:tr>
                    <w:trPr>
                      <w:cantSplit/>
                      <w:trHeight w:val="397"/>
                    </w:trPr>
                    <w:tc>
                      <w:tcPr>
                        <w:tcW w:w="2725" w:type="dxa"/>
                      </w:tcPr>
                      <w:p>
                        <w:pPr>
                          <w:snapToGrid w:val="0"/>
                          <w:rPr>
                            <w:rFonts w:ascii="Georgia" w:hAnsi="Georgia" w:cs="Arial"/>
                          </w:rPr>
                        </w:pPr>
                        <w:r>
                          <w:rPr>
                            <w:rFonts w:ascii="Georgia" w:hAnsi="Georgia" w:cs="Arial"/>
                          </w:rPr>
                          <w:t>CPMS Libre LIEGE V</w:t>
                        </w:r>
                      </w:p>
                    </w:tc>
                    <w:tc>
                      <w:tcPr>
                        <w:tcW w:w="2861" w:type="dxa"/>
                        <w:vAlign w:val="center"/>
                      </w:tcPr>
                      <w:p>
                        <w:pPr>
                          <w:snapToGrid w:val="0"/>
                          <w:rPr>
                            <w:rFonts w:ascii="Georgia" w:hAnsi="Georgia" w:cs="Arial"/>
                          </w:rPr>
                        </w:pPr>
                        <w:r>
                          <w:rPr>
                            <w:rFonts w:ascii="Georgia" w:hAnsi="Georgia" w:cs="Arial"/>
                          </w:rPr>
                          <w:t>Bd de Laveleye, 78</w:t>
                        </w:r>
                      </w:p>
                    </w:tc>
                    <w:tc>
                      <w:tcPr>
                        <w:tcW w:w="2487" w:type="dxa"/>
                        <w:vAlign w:val="center"/>
                      </w:tcPr>
                      <w:p>
                        <w:pPr>
                          <w:snapToGrid w:val="0"/>
                          <w:rPr>
                            <w:rFonts w:ascii="Georgia" w:hAnsi="Georgia" w:cs="Arial"/>
                          </w:rPr>
                        </w:pPr>
                        <w:r>
                          <w:rPr>
                            <w:rFonts w:ascii="Georgia" w:hAnsi="Georgia" w:cs="Arial"/>
                          </w:rPr>
                          <w:t>4000 LIEGE</w:t>
                        </w:r>
                      </w:p>
                    </w:tc>
                    <w:tc>
                      <w:tcPr>
                        <w:tcW w:w="1806" w:type="dxa"/>
                      </w:tcPr>
                      <w:p>
                        <w:pPr>
                          <w:rPr>
                            <w:rFonts w:ascii="Georgia" w:eastAsia="Times New Roman" w:hAnsi="Georgia" w:cs="Arial"/>
                            <w:lang w:eastAsia="fr-BE"/>
                          </w:rPr>
                        </w:pPr>
                        <w:r>
                          <w:rPr>
                            <w:rFonts w:ascii="Georgia" w:eastAsia="Times New Roman" w:hAnsi="Georgia" w:cs="Arial"/>
                            <w:lang w:eastAsia="fr-BE"/>
                          </w:rPr>
                          <w:t>04/254.24.14</w:t>
                        </w:r>
                      </w:p>
                    </w:tc>
                    <w:tc>
                      <w:tcPr>
                        <w:tcW w:w="1638" w:type="dxa"/>
                      </w:tcPr>
                      <w:p>
                        <w:pPr>
                          <w:rPr>
                            <w:rFonts w:ascii="Georgia" w:eastAsia="Times New Roman" w:hAnsi="Georgia" w:cs="Arial"/>
                            <w:lang w:eastAsia="fr-BE"/>
                          </w:rPr>
                        </w:pPr>
                        <w:r>
                          <w:rPr>
                            <w:rFonts w:ascii="Georgia" w:eastAsia="Times New Roman" w:hAnsi="Georgia" w:cs="Arial"/>
                            <w:lang w:eastAsia="fr-BE"/>
                          </w:rPr>
                          <w:t>04/254.24.47</w:t>
                        </w:r>
                      </w:p>
                    </w:tc>
                    <w:tc>
                      <w:tcPr>
                        <w:tcW w:w="2759"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tcPr>
                      <w:p>
                        <w:pPr>
                          <w:snapToGrid w:val="0"/>
                          <w:rPr>
                            <w:rFonts w:ascii="Georgia" w:hAnsi="Georgia" w:cs="Arial"/>
                          </w:rPr>
                        </w:pPr>
                        <w:r>
                          <w:rPr>
                            <w:rFonts w:ascii="Georgia" w:hAnsi="Georgia" w:cs="Arial"/>
                          </w:rPr>
                          <w:t>CPMS Libre LIEGE IV</w:t>
                        </w:r>
                      </w:p>
                    </w:tc>
                    <w:tc>
                      <w:tcPr>
                        <w:tcW w:w="2861" w:type="dxa"/>
                        <w:vAlign w:val="center"/>
                      </w:tcPr>
                      <w:p>
                        <w:pPr>
                          <w:snapToGrid w:val="0"/>
                          <w:rPr>
                            <w:rFonts w:ascii="Georgia" w:hAnsi="Georgia" w:cs="Arial"/>
                          </w:rPr>
                        </w:pPr>
                        <w:r>
                          <w:rPr>
                            <w:rFonts w:ascii="Georgia" w:hAnsi="Georgia" w:cs="Arial"/>
                          </w:rPr>
                          <w:t>Rue Vaudrée 231</w:t>
                        </w:r>
                      </w:p>
                    </w:tc>
                    <w:tc>
                      <w:tcPr>
                        <w:tcW w:w="2487" w:type="dxa"/>
                        <w:vAlign w:val="center"/>
                      </w:tcPr>
                      <w:p>
                        <w:pPr>
                          <w:snapToGrid w:val="0"/>
                          <w:rPr>
                            <w:rFonts w:ascii="Georgia" w:hAnsi="Georgia" w:cs="Arial"/>
                          </w:rPr>
                        </w:pPr>
                        <w:r>
                          <w:rPr>
                            <w:rFonts w:ascii="Georgia" w:hAnsi="Georgia" w:cs="Arial"/>
                          </w:rPr>
                          <w:t>4031 ANGLEUR</w:t>
                        </w:r>
                      </w:p>
                    </w:tc>
                    <w:tc>
                      <w:tcPr>
                        <w:tcW w:w="1806" w:type="dxa"/>
                      </w:tcPr>
                      <w:p>
                        <w:pPr>
                          <w:rPr>
                            <w:rFonts w:ascii="Georgia" w:eastAsia="Times New Roman" w:hAnsi="Georgia" w:cs="Arial"/>
                            <w:lang w:eastAsia="fr-BE"/>
                          </w:rPr>
                        </w:pPr>
                        <w:r>
                          <w:rPr>
                            <w:rFonts w:ascii="Georgia" w:eastAsia="Times New Roman" w:hAnsi="Georgia" w:cs="Arial"/>
                            <w:lang w:eastAsia="fr-BE"/>
                          </w:rPr>
                          <w:t>04/223.03.59</w:t>
                        </w:r>
                      </w:p>
                    </w:tc>
                    <w:tc>
                      <w:tcPr>
                        <w:tcW w:w="1638" w:type="dxa"/>
                      </w:tcPr>
                      <w:p>
                        <w:pPr>
                          <w:rPr>
                            <w:rFonts w:ascii="Georgia" w:eastAsia="Times New Roman" w:hAnsi="Georgia" w:cs="Arial"/>
                            <w:lang w:eastAsia="fr-BE"/>
                          </w:rPr>
                        </w:pPr>
                        <w:r>
                          <w:rPr>
                            <w:rFonts w:ascii="Georgia" w:eastAsia="Times New Roman" w:hAnsi="Georgia" w:cs="Arial"/>
                            <w:lang w:eastAsia="fr-BE"/>
                          </w:rPr>
                          <w:t>04/223.03.59</w:t>
                        </w:r>
                      </w:p>
                    </w:tc>
                    <w:tc>
                      <w:tcPr>
                        <w:tcW w:w="2759"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tcPr>
                      <w:p>
                        <w:pPr>
                          <w:snapToGrid w:val="0"/>
                          <w:rPr>
                            <w:rFonts w:ascii="Georgia" w:hAnsi="Georgia" w:cs="Arial"/>
                          </w:rPr>
                        </w:pPr>
                        <w:r>
                          <w:rPr>
                            <w:rFonts w:ascii="Georgia" w:hAnsi="Georgia" w:cs="Arial"/>
                          </w:rPr>
                          <w:t>CPMS provincial HERSTAL I</w:t>
                        </w:r>
                      </w:p>
                    </w:tc>
                    <w:tc>
                      <w:tcPr>
                        <w:tcW w:w="2861" w:type="dxa"/>
                        <w:vAlign w:val="center"/>
                      </w:tcPr>
                      <w:p>
                        <w:pPr>
                          <w:snapToGrid w:val="0"/>
                          <w:rPr>
                            <w:rFonts w:ascii="Georgia" w:hAnsi="Georgia" w:cs="Arial"/>
                          </w:rPr>
                        </w:pPr>
                        <w:r>
                          <w:rPr>
                            <w:rFonts w:ascii="Georgia" w:hAnsi="Georgia" w:cs="Arial"/>
                          </w:rPr>
                          <w:t>Bd Albert 1er, 80</w:t>
                        </w:r>
                      </w:p>
                    </w:tc>
                    <w:tc>
                      <w:tcPr>
                        <w:tcW w:w="2487" w:type="dxa"/>
                        <w:vAlign w:val="center"/>
                      </w:tcPr>
                      <w:p>
                        <w:pPr>
                          <w:snapToGrid w:val="0"/>
                          <w:rPr>
                            <w:rFonts w:ascii="Georgia" w:hAnsi="Georgia" w:cs="Arial"/>
                          </w:rPr>
                        </w:pPr>
                        <w:r>
                          <w:rPr>
                            <w:rFonts w:ascii="Georgia" w:hAnsi="Georgia" w:cs="Arial"/>
                          </w:rPr>
                          <w:t>4040 HERSTAL</w:t>
                        </w:r>
                      </w:p>
                    </w:tc>
                    <w:tc>
                      <w:tcPr>
                        <w:tcW w:w="1806" w:type="dxa"/>
                      </w:tcPr>
                      <w:p>
                        <w:pPr>
                          <w:rPr>
                            <w:rFonts w:ascii="Georgia" w:eastAsia="Times New Roman" w:hAnsi="Georgia" w:cs="Arial"/>
                            <w:lang w:eastAsia="fr-BE"/>
                          </w:rPr>
                        </w:pPr>
                        <w:r>
                          <w:rPr>
                            <w:rFonts w:ascii="Georgia" w:eastAsia="Times New Roman" w:hAnsi="Georgia" w:cs="Arial"/>
                            <w:lang w:eastAsia="fr-BE"/>
                          </w:rPr>
                          <w:t>04/248.42.57</w:t>
                        </w:r>
                      </w:p>
                    </w:tc>
                    <w:tc>
                      <w:tcPr>
                        <w:tcW w:w="1638" w:type="dxa"/>
                      </w:tcPr>
                      <w:p>
                        <w:pPr>
                          <w:rPr>
                            <w:rFonts w:ascii="Georgia" w:eastAsia="Times New Roman" w:hAnsi="Georgia" w:cs="Arial"/>
                            <w:lang w:eastAsia="fr-BE"/>
                          </w:rPr>
                        </w:pPr>
                        <w:r>
                          <w:rPr>
                            <w:rFonts w:ascii="Georgia" w:eastAsia="Times New Roman" w:hAnsi="Georgia" w:cs="Arial"/>
                            <w:lang w:eastAsia="fr-BE"/>
                          </w:rPr>
                          <w:t>04/248.42.98</w:t>
                        </w:r>
                      </w:p>
                    </w:tc>
                    <w:tc>
                      <w:tcPr>
                        <w:tcW w:w="2759"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tcPr>
                      <w:p>
                        <w:pPr>
                          <w:snapToGrid w:val="0"/>
                          <w:rPr>
                            <w:rFonts w:ascii="Georgia" w:hAnsi="Georgia" w:cs="Arial"/>
                          </w:rPr>
                        </w:pPr>
                        <w:r>
                          <w:rPr>
                            <w:rFonts w:ascii="Georgia" w:hAnsi="Georgia" w:cs="Arial"/>
                          </w:rPr>
                          <w:t>CPMS provincial HERSTAL II</w:t>
                        </w:r>
                      </w:p>
                    </w:tc>
                    <w:tc>
                      <w:tcPr>
                        <w:tcW w:w="2861" w:type="dxa"/>
                        <w:vAlign w:val="center"/>
                      </w:tcPr>
                      <w:p>
                        <w:pPr>
                          <w:snapToGrid w:val="0"/>
                          <w:rPr>
                            <w:rFonts w:ascii="Georgia" w:hAnsi="Georgia" w:cs="Arial"/>
                          </w:rPr>
                        </w:pPr>
                        <w:r>
                          <w:rPr>
                            <w:rFonts w:ascii="Georgia" w:hAnsi="Georgia" w:cs="Arial"/>
                          </w:rPr>
                          <w:t>Rue Grands Puits, 49</w:t>
                        </w:r>
                      </w:p>
                    </w:tc>
                    <w:tc>
                      <w:tcPr>
                        <w:tcW w:w="2487" w:type="dxa"/>
                        <w:vAlign w:val="center"/>
                      </w:tcPr>
                      <w:p>
                        <w:pPr>
                          <w:snapToGrid w:val="0"/>
                          <w:rPr>
                            <w:rFonts w:ascii="Georgia" w:hAnsi="Georgia" w:cs="Arial"/>
                          </w:rPr>
                        </w:pPr>
                        <w:r>
                          <w:rPr>
                            <w:rFonts w:ascii="Georgia" w:hAnsi="Georgia" w:cs="Arial"/>
                          </w:rPr>
                          <w:t>4040 HERSTAL</w:t>
                        </w:r>
                      </w:p>
                    </w:tc>
                    <w:tc>
                      <w:tcPr>
                        <w:tcW w:w="1806" w:type="dxa"/>
                      </w:tcPr>
                      <w:p>
                        <w:pPr>
                          <w:rPr>
                            <w:rFonts w:ascii="Georgia" w:eastAsia="Times New Roman" w:hAnsi="Georgia" w:cs="Arial"/>
                            <w:lang w:eastAsia="fr-BE"/>
                          </w:rPr>
                        </w:pPr>
                        <w:r>
                          <w:rPr>
                            <w:rFonts w:ascii="Georgia" w:eastAsia="Times New Roman" w:hAnsi="Georgia" w:cs="Arial"/>
                            <w:lang w:eastAsia="fr-BE"/>
                          </w:rPr>
                          <w:t>04/237.90.00</w:t>
                        </w:r>
                      </w:p>
                    </w:tc>
                    <w:tc>
                      <w:tcPr>
                        <w:tcW w:w="1638" w:type="dxa"/>
                      </w:tcPr>
                      <w:p>
                        <w:pPr>
                          <w:rPr>
                            <w:rFonts w:ascii="Georgia" w:eastAsia="Times New Roman" w:hAnsi="Georgia" w:cs="Arial"/>
                            <w:lang w:eastAsia="fr-BE"/>
                          </w:rPr>
                        </w:pPr>
                        <w:r>
                          <w:rPr>
                            <w:rFonts w:ascii="Georgia" w:eastAsia="Times New Roman" w:hAnsi="Georgia" w:cs="Arial"/>
                            <w:lang w:eastAsia="fr-BE"/>
                          </w:rPr>
                          <w:t>04/240.16.26</w:t>
                        </w:r>
                      </w:p>
                    </w:tc>
                    <w:tc>
                      <w:tcPr>
                        <w:tcW w:w="2759"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tcPr>
                      <w:p>
                        <w:pPr>
                          <w:snapToGrid w:val="0"/>
                          <w:rPr>
                            <w:rFonts w:ascii="Georgia" w:hAnsi="Georgia" w:cs="Arial"/>
                          </w:rPr>
                        </w:pPr>
                        <w:r>
                          <w:rPr>
                            <w:rFonts w:ascii="Georgia" w:hAnsi="Georgia" w:cs="Arial"/>
                          </w:rPr>
                          <w:t>CPMS provincial SERAING I</w:t>
                        </w:r>
                      </w:p>
                    </w:tc>
                    <w:tc>
                      <w:tcPr>
                        <w:tcW w:w="2861" w:type="dxa"/>
                        <w:vAlign w:val="center"/>
                      </w:tcPr>
                      <w:p>
                        <w:pPr>
                          <w:snapToGrid w:val="0"/>
                          <w:rPr>
                            <w:rFonts w:ascii="Georgia" w:hAnsi="Georgia" w:cs="Arial"/>
                          </w:rPr>
                        </w:pPr>
                        <w:r>
                          <w:rPr>
                            <w:rFonts w:ascii="Georgia" w:hAnsi="Georgia" w:cs="Arial"/>
                          </w:rPr>
                          <w:t>Rue de la Province, 21</w:t>
                        </w:r>
                      </w:p>
                    </w:tc>
                    <w:tc>
                      <w:tcPr>
                        <w:tcW w:w="2487" w:type="dxa"/>
                        <w:vAlign w:val="center"/>
                      </w:tcPr>
                      <w:p>
                        <w:pPr>
                          <w:snapToGrid w:val="0"/>
                          <w:rPr>
                            <w:rFonts w:ascii="Georgia" w:hAnsi="Georgia" w:cs="Arial"/>
                          </w:rPr>
                        </w:pPr>
                        <w:r>
                          <w:rPr>
                            <w:rFonts w:ascii="Georgia" w:hAnsi="Georgia" w:cs="Arial"/>
                          </w:rPr>
                          <w:t>4100 SERAING</w:t>
                        </w:r>
                      </w:p>
                    </w:tc>
                    <w:tc>
                      <w:tcPr>
                        <w:tcW w:w="1806" w:type="dxa"/>
                      </w:tcPr>
                      <w:p>
                        <w:pPr>
                          <w:rPr>
                            <w:rFonts w:ascii="Georgia" w:eastAsia="Times New Roman" w:hAnsi="Georgia" w:cs="Arial"/>
                            <w:lang w:eastAsia="fr-BE"/>
                          </w:rPr>
                        </w:pPr>
                        <w:r>
                          <w:rPr>
                            <w:rFonts w:ascii="Georgia" w:eastAsia="Times New Roman" w:hAnsi="Georgia" w:cs="Arial"/>
                            <w:lang w:eastAsia="fr-BE"/>
                          </w:rPr>
                          <w:t>04/330.73.80</w:t>
                        </w:r>
                      </w:p>
                    </w:tc>
                    <w:tc>
                      <w:tcPr>
                        <w:tcW w:w="1638" w:type="dxa"/>
                      </w:tcPr>
                      <w:p>
                        <w:pPr>
                          <w:rPr>
                            <w:rFonts w:ascii="Georgia" w:eastAsia="Times New Roman" w:hAnsi="Georgia" w:cs="Arial"/>
                            <w:lang w:eastAsia="fr-BE"/>
                          </w:rPr>
                        </w:pPr>
                        <w:r>
                          <w:rPr>
                            <w:rFonts w:ascii="Georgia" w:eastAsia="Times New Roman" w:hAnsi="Georgia" w:cs="Arial"/>
                            <w:lang w:eastAsia="fr-BE"/>
                          </w:rPr>
                          <w:t>04/330.73.81</w:t>
                        </w:r>
                      </w:p>
                    </w:tc>
                    <w:tc>
                      <w:tcPr>
                        <w:tcW w:w="2759"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vAlign w:val="center"/>
                      </w:tcPr>
                      <w:p>
                        <w:pPr>
                          <w:snapToGrid w:val="0"/>
                          <w:rPr>
                            <w:rFonts w:ascii="Georgia" w:hAnsi="Georgia" w:cs="Arial"/>
                          </w:rPr>
                        </w:pPr>
                        <w:r>
                          <w:rPr>
                            <w:rFonts w:ascii="Georgia" w:hAnsi="Georgia" w:cs="Arial"/>
                          </w:rPr>
                          <w:t>CPMS provincial HUY I</w:t>
                        </w:r>
                      </w:p>
                    </w:tc>
                    <w:tc>
                      <w:tcPr>
                        <w:tcW w:w="2861" w:type="dxa"/>
                        <w:vAlign w:val="center"/>
                      </w:tcPr>
                      <w:p>
                        <w:pPr>
                          <w:snapToGrid w:val="0"/>
                          <w:rPr>
                            <w:rFonts w:ascii="Georgia" w:hAnsi="Georgia" w:cs="Arial"/>
                          </w:rPr>
                        </w:pPr>
                        <w:r>
                          <w:rPr>
                            <w:rFonts w:ascii="Georgia" w:hAnsi="Georgia" w:cs="Arial"/>
                          </w:rPr>
                          <w:t>Rue Saint-Pierre, 50</w:t>
                        </w:r>
                      </w:p>
                    </w:tc>
                    <w:tc>
                      <w:tcPr>
                        <w:tcW w:w="2487" w:type="dxa"/>
                        <w:vAlign w:val="center"/>
                      </w:tcPr>
                      <w:p>
                        <w:pPr>
                          <w:snapToGrid w:val="0"/>
                          <w:rPr>
                            <w:rFonts w:ascii="Georgia" w:hAnsi="Georgia" w:cs="Arial"/>
                          </w:rPr>
                        </w:pPr>
                        <w:r>
                          <w:rPr>
                            <w:rFonts w:ascii="Georgia" w:hAnsi="Georgia" w:cs="Arial"/>
                          </w:rPr>
                          <w:t>4500 HUY</w:t>
                        </w:r>
                      </w:p>
                    </w:tc>
                    <w:tc>
                      <w:tcPr>
                        <w:tcW w:w="1806" w:type="dxa"/>
                      </w:tcPr>
                      <w:p>
                        <w:pPr>
                          <w:rPr>
                            <w:rFonts w:ascii="Georgia" w:eastAsia="Times New Roman" w:hAnsi="Georgia" w:cs="Arial"/>
                            <w:lang w:eastAsia="fr-BE"/>
                          </w:rPr>
                        </w:pPr>
                        <w:r>
                          <w:rPr>
                            <w:rFonts w:ascii="Georgia" w:eastAsia="Times New Roman" w:hAnsi="Georgia" w:cs="Arial"/>
                            <w:lang w:eastAsia="fr-BE"/>
                          </w:rPr>
                          <w:t>085/27.84.77</w:t>
                        </w:r>
                      </w:p>
                    </w:tc>
                    <w:tc>
                      <w:tcPr>
                        <w:tcW w:w="1638" w:type="dxa"/>
                      </w:tcPr>
                      <w:p>
                        <w:pPr>
                          <w:rPr>
                            <w:rFonts w:ascii="Georgia" w:eastAsia="Times New Roman" w:hAnsi="Georgia" w:cs="Arial"/>
                            <w:lang w:eastAsia="fr-BE"/>
                          </w:rPr>
                        </w:pPr>
                        <w:r>
                          <w:rPr>
                            <w:rFonts w:ascii="Georgia" w:eastAsia="Times New Roman" w:hAnsi="Georgia" w:cs="Arial"/>
                            <w:lang w:eastAsia="fr-BE"/>
                          </w:rPr>
                          <w:t>085/27.84.76</w:t>
                        </w:r>
                      </w:p>
                    </w:tc>
                    <w:tc>
                      <w:tcPr>
                        <w:tcW w:w="2759"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vAlign w:val="center"/>
                      </w:tcPr>
                      <w:p>
                        <w:pPr>
                          <w:snapToGrid w:val="0"/>
                          <w:rPr>
                            <w:rFonts w:ascii="Georgia" w:hAnsi="Georgia" w:cs="Arial"/>
                          </w:rPr>
                        </w:pPr>
                        <w:r>
                          <w:rPr>
                            <w:rFonts w:ascii="Georgia" w:hAnsi="Georgia" w:cs="Arial"/>
                          </w:rPr>
                          <w:t>CPMS Libre HUY II</w:t>
                        </w:r>
                      </w:p>
                    </w:tc>
                    <w:tc>
                      <w:tcPr>
                        <w:tcW w:w="2861" w:type="dxa"/>
                        <w:vAlign w:val="center"/>
                      </w:tcPr>
                      <w:p>
                        <w:pPr>
                          <w:snapToGrid w:val="0"/>
                          <w:rPr>
                            <w:rFonts w:ascii="Georgia" w:hAnsi="Georgia" w:cs="Arial"/>
                          </w:rPr>
                        </w:pPr>
                        <w:r>
                          <w:rPr>
                            <w:rFonts w:ascii="Georgia" w:hAnsi="Georgia" w:cs="Arial"/>
                          </w:rPr>
                          <w:t>Rue des Augustins, 44</w:t>
                        </w:r>
                      </w:p>
                    </w:tc>
                    <w:tc>
                      <w:tcPr>
                        <w:tcW w:w="2487" w:type="dxa"/>
                        <w:vAlign w:val="center"/>
                      </w:tcPr>
                      <w:p>
                        <w:pPr>
                          <w:snapToGrid w:val="0"/>
                          <w:rPr>
                            <w:rFonts w:ascii="Georgia" w:hAnsi="Georgia" w:cs="Arial"/>
                          </w:rPr>
                        </w:pPr>
                        <w:r>
                          <w:rPr>
                            <w:rFonts w:ascii="Georgia" w:hAnsi="Georgia" w:cs="Arial"/>
                          </w:rPr>
                          <w:t>4500 HUY</w:t>
                        </w:r>
                      </w:p>
                    </w:tc>
                    <w:tc>
                      <w:tcPr>
                        <w:tcW w:w="1806" w:type="dxa"/>
                      </w:tcPr>
                      <w:p>
                        <w:pPr>
                          <w:rPr>
                            <w:rFonts w:ascii="Georgia" w:eastAsia="Times New Roman" w:hAnsi="Georgia" w:cs="Arial"/>
                            <w:lang w:eastAsia="fr-BE"/>
                          </w:rPr>
                        </w:pPr>
                        <w:r>
                          <w:rPr>
                            <w:rFonts w:ascii="Georgia" w:eastAsia="Times New Roman" w:hAnsi="Georgia" w:cs="Arial"/>
                            <w:lang w:eastAsia="fr-BE"/>
                          </w:rPr>
                          <w:t>085/23.11.39</w:t>
                        </w:r>
                      </w:p>
                    </w:tc>
                    <w:tc>
                      <w:tcPr>
                        <w:tcW w:w="1638" w:type="dxa"/>
                      </w:tcPr>
                      <w:p>
                        <w:pPr>
                          <w:rPr>
                            <w:rFonts w:ascii="Georgia" w:eastAsia="Times New Roman" w:hAnsi="Georgia" w:cs="Arial"/>
                            <w:lang w:eastAsia="fr-BE"/>
                          </w:rPr>
                        </w:pPr>
                        <w:r>
                          <w:rPr>
                            <w:rFonts w:ascii="Georgia" w:eastAsia="Times New Roman" w:hAnsi="Georgia" w:cs="Arial"/>
                            <w:lang w:eastAsia="fr-BE"/>
                          </w:rPr>
                          <w:t>085/21.59.71</w:t>
                        </w:r>
                      </w:p>
                    </w:tc>
                    <w:tc>
                      <w:tcPr>
                        <w:tcW w:w="2759"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vAlign w:val="center"/>
                      </w:tcPr>
                      <w:p>
                        <w:pPr>
                          <w:snapToGrid w:val="0"/>
                          <w:rPr>
                            <w:rFonts w:ascii="Georgia" w:hAnsi="Georgia" w:cs="Arial"/>
                          </w:rPr>
                        </w:pPr>
                        <w:r>
                          <w:rPr>
                            <w:rFonts w:ascii="Georgia" w:hAnsi="Georgia" w:cs="Arial"/>
                          </w:rPr>
                          <w:t>CPMS provincial VERVIERS II</w:t>
                        </w:r>
                      </w:p>
                    </w:tc>
                    <w:tc>
                      <w:tcPr>
                        <w:tcW w:w="2861" w:type="dxa"/>
                        <w:vAlign w:val="center"/>
                      </w:tcPr>
                      <w:p>
                        <w:pPr>
                          <w:snapToGrid w:val="0"/>
                          <w:rPr>
                            <w:rFonts w:ascii="Georgia" w:hAnsi="Georgia" w:cs="Arial"/>
                          </w:rPr>
                        </w:pPr>
                        <w:r>
                          <w:rPr>
                            <w:rFonts w:ascii="Georgia" w:hAnsi="Georgia" w:cs="Arial"/>
                          </w:rPr>
                          <w:t>Rue aux laines, 69 A</w:t>
                        </w:r>
                      </w:p>
                    </w:tc>
                    <w:tc>
                      <w:tcPr>
                        <w:tcW w:w="2487" w:type="dxa"/>
                        <w:vAlign w:val="center"/>
                      </w:tcPr>
                      <w:p>
                        <w:pPr>
                          <w:snapToGrid w:val="0"/>
                          <w:rPr>
                            <w:rFonts w:ascii="Georgia" w:hAnsi="Georgia" w:cs="Arial"/>
                          </w:rPr>
                        </w:pPr>
                        <w:r>
                          <w:rPr>
                            <w:rFonts w:ascii="Georgia" w:hAnsi="Georgia" w:cs="Arial"/>
                          </w:rPr>
                          <w:t>4800 VERVIERS</w:t>
                        </w:r>
                      </w:p>
                    </w:tc>
                    <w:tc>
                      <w:tcPr>
                        <w:tcW w:w="1806" w:type="dxa"/>
                      </w:tcPr>
                      <w:p>
                        <w:pPr>
                          <w:jc w:val="both"/>
                          <w:rPr>
                            <w:rFonts w:ascii="Georgia" w:eastAsia="Times New Roman" w:hAnsi="Georgia" w:cs="Arial"/>
                            <w:lang w:eastAsia="fr-BE"/>
                          </w:rPr>
                        </w:pPr>
                        <w:r>
                          <w:rPr>
                            <w:rFonts w:ascii="Georgia" w:eastAsia="Times New Roman" w:hAnsi="Georgia" w:cs="Arial"/>
                            <w:lang w:eastAsia="fr-BE"/>
                          </w:rPr>
                          <w:t>04/279.67.33</w:t>
                        </w:r>
                      </w:p>
                    </w:tc>
                    <w:tc>
                      <w:tcPr>
                        <w:tcW w:w="1638" w:type="dxa"/>
                      </w:tcPr>
                      <w:p>
                        <w:pPr>
                          <w:spacing w:line="312" w:lineRule="atLeast"/>
                          <w:jc w:val="both"/>
                          <w:rPr>
                            <w:rFonts w:ascii="Georgia" w:eastAsia="Times New Roman" w:hAnsi="Georgia" w:cs="Arial"/>
                            <w:lang w:eastAsia="fr-BE"/>
                          </w:rPr>
                        </w:pPr>
                        <w:r>
                          <w:rPr>
                            <w:rFonts w:ascii="Georgia" w:eastAsia="Times New Roman" w:hAnsi="Georgia" w:cs="Arial"/>
                            <w:lang w:eastAsia="fr-BE"/>
                          </w:rPr>
                          <w:t>04/279.58.55</w:t>
                        </w:r>
                      </w:p>
                      <w:p>
                        <w:pPr>
                          <w:jc w:val="both"/>
                          <w:rPr>
                            <w:rFonts w:ascii="Georgia" w:eastAsia="Times New Roman" w:hAnsi="Georgia" w:cs="Arial"/>
                            <w:lang w:eastAsia="fr-BE"/>
                          </w:rPr>
                        </w:pPr>
                      </w:p>
                    </w:tc>
                    <w:tc>
                      <w:tcPr>
                        <w:tcW w:w="2759"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vAlign w:val="center"/>
                      </w:tcPr>
                      <w:p>
                        <w:pPr>
                          <w:snapToGrid w:val="0"/>
                          <w:rPr>
                            <w:rFonts w:ascii="Georgia" w:hAnsi="Georgia" w:cs="Arial"/>
                          </w:rPr>
                        </w:pPr>
                        <w:r>
                          <w:rPr>
                            <w:rFonts w:ascii="Georgia" w:hAnsi="Georgia" w:cs="Arial"/>
                          </w:rPr>
                          <w:t>CPMS Libre VERVIERS II</w:t>
                        </w:r>
                      </w:p>
                    </w:tc>
                    <w:tc>
                      <w:tcPr>
                        <w:tcW w:w="2861" w:type="dxa"/>
                        <w:vAlign w:val="center"/>
                      </w:tcPr>
                      <w:p>
                        <w:pPr>
                          <w:snapToGrid w:val="0"/>
                          <w:rPr>
                            <w:rFonts w:ascii="Georgia" w:hAnsi="Georgia" w:cs="Arial"/>
                          </w:rPr>
                        </w:pPr>
                        <w:r>
                          <w:rPr>
                            <w:rFonts w:ascii="Georgia" w:hAnsi="Georgia" w:cs="Arial"/>
                          </w:rPr>
                          <w:t>Rue Laoureux, 34</w:t>
                        </w:r>
                      </w:p>
                    </w:tc>
                    <w:tc>
                      <w:tcPr>
                        <w:tcW w:w="2487" w:type="dxa"/>
                        <w:vAlign w:val="center"/>
                      </w:tcPr>
                      <w:p>
                        <w:pPr>
                          <w:snapToGrid w:val="0"/>
                          <w:rPr>
                            <w:rFonts w:ascii="Georgia" w:hAnsi="Georgia" w:cs="Arial"/>
                          </w:rPr>
                        </w:pPr>
                        <w:r>
                          <w:rPr>
                            <w:rFonts w:ascii="Georgia" w:hAnsi="Georgia" w:cs="Arial"/>
                          </w:rPr>
                          <w:t>4800 VERVIERS</w:t>
                        </w:r>
                      </w:p>
                    </w:tc>
                    <w:tc>
                      <w:tcPr>
                        <w:tcW w:w="1806" w:type="dxa"/>
                      </w:tcPr>
                      <w:p>
                        <w:pPr>
                          <w:rPr>
                            <w:rFonts w:ascii="Georgia" w:eastAsia="Times New Roman" w:hAnsi="Georgia" w:cs="Arial"/>
                            <w:lang w:eastAsia="fr-BE"/>
                          </w:rPr>
                        </w:pPr>
                        <w:r>
                          <w:rPr>
                            <w:rFonts w:ascii="Georgia" w:eastAsia="Times New Roman" w:hAnsi="Georgia" w:cs="Arial"/>
                            <w:lang w:eastAsia="fr-BE"/>
                          </w:rPr>
                          <w:t>087/32.27.41</w:t>
                        </w:r>
                      </w:p>
                    </w:tc>
                    <w:tc>
                      <w:tcPr>
                        <w:tcW w:w="1638" w:type="dxa"/>
                      </w:tcPr>
                      <w:p>
                        <w:pPr>
                          <w:rPr>
                            <w:rFonts w:ascii="Georgia" w:eastAsia="Times New Roman" w:hAnsi="Georgia" w:cs="Arial"/>
                            <w:lang w:eastAsia="fr-BE"/>
                          </w:rPr>
                        </w:pPr>
                        <w:r>
                          <w:rPr>
                            <w:rFonts w:ascii="Georgia" w:eastAsia="Times New Roman" w:hAnsi="Georgia" w:cs="Arial"/>
                            <w:lang w:eastAsia="fr-BE"/>
                          </w:rPr>
                          <w:t>087/32.27.40</w:t>
                        </w:r>
                      </w:p>
                    </w:tc>
                    <w:tc>
                      <w:tcPr>
                        <w:tcW w:w="2759"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vAlign w:val="center"/>
                      </w:tcPr>
                      <w:p>
                        <w:pPr>
                          <w:snapToGrid w:val="0"/>
                          <w:rPr>
                            <w:rFonts w:ascii="Georgia" w:hAnsi="Georgia" w:cs="Arial"/>
                          </w:rPr>
                        </w:pPr>
                        <w:r>
                          <w:rPr>
                            <w:rFonts w:ascii="Georgia" w:hAnsi="Georgia" w:cs="Arial"/>
                          </w:rPr>
                          <w:t>CPMS Libre VERVIERS III</w:t>
                        </w:r>
                      </w:p>
                    </w:tc>
                    <w:tc>
                      <w:tcPr>
                        <w:tcW w:w="2861" w:type="dxa"/>
                        <w:vAlign w:val="center"/>
                      </w:tcPr>
                      <w:p>
                        <w:pPr>
                          <w:snapToGrid w:val="0"/>
                          <w:rPr>
                            <w:rFonts w:ascii="Georgia" w:hAnsi="Georgia" w:cs="Arial"/>
                          </w:rPr>
                        </w:pPr>
                        <w:r>
                          <w:rPr>
                            <w:rFonts w:ascii="Georgia" w:hAnsi="Georgia" w:cs="Arial"/>
                          </w:rPr>
                          <w:t>Rue Laoureux, 32</w:t>
                        </w:r>
                      </w:p>
                    </w:tc>
                    <w:tc>
                      <w:tcPr>
                        <w:tcW w:w="2487" w:type="dxa"/>
                        <w:vAlign w:val="center"/>
                      </w:tcPr>
                      <w:p>
                        <w:pPr>
                          <w:snapToGrid w:val="0"/>
                          <w:rPr>
                            <w:rFonts w:ascii="Georgia" w:hAnsi="Georgia" w:cs="Arial"/>
                          </w:rPr>
                        </w:pPr>
                        <w:r>
                          <w:rPr>
                            <w:rFonts w:ascii="Georgia" w:hAnsi="Georgia" w:cs="Arial"/>
                          </w:rPr>
                          <w:t>4800 VERVIERS</w:t>
                        </w:r>
                      </w:p>
                    </w:tc>
                    <w:tc>
                      <w:tcPr>
                        <w:tcW w:w="1806" w:type="dxa"/>
                      </w:tcPr>
                      <w:p>
                        <w:pPr>
                          <w:rPr>
                            <w:rFonts w:ascii="Georgia" w:eastAsia="Times New Roman" w:hAnsi="Georgia" w:cs="Arial"/>
                            <w:lang w:eastAsia="fr-BE"/>
                          </w:rPr>
                        </w:pPr>
                        <w:r>
                          <w:rPr>
                            <w:rFonts w:ascii="Georgia" w:eastAsia="Times New Roman" w:hAnsi="Georgia" w:cs="Arial"/>
                            <w:lang w:eastAsia="fr-BE"/>
                          </w:rPr>
                          <w:t>087/32.27.41</w:t>
                        </w:r>
                      </w:p>
                    </w:tc>
                    <w:tc>
                      <w:tcPr>
                        <w:tcW w:w="1638" w:type="dxa"/>
                      </w:tcPr>
                      <w:p>
                        <w:pPr>
                          <w:rPr>
                            <w:rFonts w:ascii="Georgia" w:eastAsia="Times New Roman" w:hAnsi="Georgia" w:cs="Arial"/>
                            <w:lang w:eastAsia="fr-BE"/>
                          </w:rPr>
                        </w:pPr>
                        <w:r>
                          <w:rPr>
                            <w:rFonts w:ascii="Georgia" w:eastAsia="Times New Roman" w:hAnsi="Georgia" w:cs="Arial"/>
                            <w:lang w:eastAsia="fr-BE"/>
                          </w:rPr>
                          <w:t>087/32.27.40</w:t>
                        </w:r>
                      </w:p>
                    </w:tc>
                    <w:tc>
                      <w:tcPr>
                        <w:tcW w:w="2759"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vAlign w:val="center"/>
                      </w:tcPr>
                      <w:p>
                        <w:pPr>
                          <w:snapToGrid w:val="0"/>
                          <w:rPr>
                            <w:rFonts w:ascii="Georgia" w:hAnsi="Georgia" w:cs="Arial"/>
                          </w:rPr>
                        </w:pPr>
                        <w:r>
                          <w:rPr>
                            <w:rFonts w:ascii="Georgia" w:hAnsi="Georgia" w:cs="Arial"/>
                          </w:rPr>
                          <w:t>CPMS Libre JAMBES I</w:t>
                        </w:r>
                      </w:p>
                    </w:tc>
                    <w:tc>
                      <w:tcPr>
                        <w:tcW w:w="2861" w:type="dxa"/>
                        <w:vAlign w:val="center"/>
                      </w:tcPr>
                      <w:p>
                        <w:pPr>
                          <w:snapToGrid w:val="0"/>
                          <w:rPr>
                            <w:rFonts w:ascii="Georgia" w:hAnsi="Georgia" w:cs="Arial"/>
                          </w:rPr>
                        </w:pPr>
                        <w:r>
                          <w:rPr>
                            <w:rFonts w:ascii="Georgia" w:hAnsi="Georgia" w:cs="Arial"/>
                          </w:rPr>
                          <w:t>Rue de Coppin, 10</w:t>
                        </w:r>
                      </w:p>
                    </w:tc>
                    <w:tc>
                      <w:tcPr>
                        <w:tcW w:w="2487" w:type="dxa"/>
                        <w:vAlign w:val="center"/>
                      </w:tcPr>
                      <w:p>
                        <w:pPr>
                          <w:snapToGrid w:val="0"/>
                          <w:rPr>
                            <w:rFonts w:ascii="Georgia" w:hAnsi="Georgia" w:cs="Arial"/>
                          </w:rPr>
                        </w:pPr>
                        <w:r>
                          <w:rPr>
                            <w:rFonts w:ascii="Georgia" w:hAnsi="Georgia" w:cs="Arial"/>
                          </w:rPr>
                          <w:t>5100 JAMBES</w:t>
                        </w:r>
                      </w:p>
                    </w:tc>
                    <w:tc>
                      <w:tcPr>
                        <w:tcW w:w="1806" w:type="dxa"/>
                      </w:tcPr>
                      <w:p>
                        <w:pPr>
                          <w:rPr>
                            <w:rFonts w:ascii="Georgia" w:eastAsia="Times New Roman" w:hAnsi="Georgia" w:cs="Arial"/>
                            <w:lang w:eastAsia="fr-BE"/>
                          </w:rPr>
                        </w:pPr>
                        <w:r>
                          <w:rPr>
                            <w:rFonts w:ascii="Georgia" w:eastAsia="Times New Roman" w:hAnsi="Georgia" w:cs="Arial"/>
                            <w:lang w:eastAsia="fr-BE"/>
                          </w:rPr>
                          <w:t>081/30.50.27</w:t>
                        </w:r>
                      </w:p>
                    </w:tc>
                    <w:tc>
                      <w:tcPr>
                        <w:tcW w:w="1638" w:type="dxa"/>
                      </w:tcPr>
                      <w:p>
                        <w:pPr>
                          <w:rPr>
                            <w:rFonts w:ascii="Georgia" w:eastAsia="Times New Roman" w:hAnsi="Georgia" w:cs="Arial"/>
                            <w:lang w:eastAsia="fr-BE"/>
                          </w:rPr>
                        </w:pPr>
                        <w:r>
                          <w:rPr>
                            <w:rFonts w:ascii="Georgia" w:eastAsia="Times New Roman" w:hAnsi="Georgia" w:cs="Arial"/>
                            <w:lang w:eastAsia="fr-BE"/>
                          </w:rPr>
                          <w:t>081/30.35.81</w:t>
                        </w:r>
                      </w:p>
                    </w:tc>
                    <w:tc>
                      <w:tcPr>
                        <w:tcW w:w="2759"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2725" w:type="dxa"/>
                        <w:vAlign w:val="center"/>
                      </w:tcPr>
                      <w:p>
                        <w:pPr>
                          <w:snapToGrid w:val="0"/>
                          <w:rPr>
                            <w:rFonts w:ascii="Georgia" w:hAnsi="Georgia" w:cs="Arial"/>
                          </w:rPr>
                        </w:pPr>
                        <w:r>
                          <w:rPr>
                            <w:rFonts w:ascii="Georgia" w:hAnsi="Georgia" w:cs="Arial"/>
                          </w:rPr>
                          <w:t>CPMS Libre JAMBES III</w:t>
                        </w:r>
                      </w:p>
                    </w:tc>
                    <w:tc>
                      <w:tcPr>
                        <w:tcW w:w="2861" w:type="dxa"/>
                        <w:vAlign w:val="center"/>
                      </w:tcPr>
                      <w:p>
                        <w:pPr>
                          <w:snapToGrid w:val="0"/>
                          <w:rPr>
                            <w:rFonts w:ascii="Georgia" w:hAnsi="Georgia" w:cs="Arial"/>
                          </w:rPr>
                        </w:pPr>
                        <w:r>
                          <w:rPr>
                            <w:rFonts w:ascii="Georgia" w:hAnsi="Georgia" w:cs="Arial"/>
                          </w:rPr>
                          <w:t>Rue de Dave, 55</w:t>
                        </w:r>
                      </w:p>
                    </w:tc>
                    <w:tc>
                      <w:tcPr>
                        <w:tcW w:w="2487" w:type="dxa"/>
                        <w:vAlign w:val="center"/>
                      </w:tcPr>
                      <w:p>
                        <w:pPr>
                          <w:snapToGrid w:val="0"/>
                          <w:rPr>
                            <w:rFonts w:ascii="Georgia" w:hAnsi="Georgia" w:cs="Arial"/>
                          </w:rPr>
                        </w:pPr>
                        <w:r>
                          <w:rPr>
                            <w:rFonts w:ascii="Georgia" w:hAnsi="Georgia" w:cs="Arial"/>
                          </w:rPr>
                          <w:t>5100 JAMBES</w:t>
                        </w:r>
                      </w:p>
                    </w:tc>
                    <w:tc>
                      <w:tcPr>
                        <w:tcW w:w="1806" w:type="dxa"/>
                      </w:tcPr>
                      <w:p>
                        <w:pPr>
                          <w:rPr>
                            <w:rFonts w:ascii="Georgia" w:eastAsia="Times New Roman" w:hAnsi="Georgia" w:cs="Arial"/>
                            <w:lang w:eastAsia="fr-BE"/>
                          </w:rPr>
                        </w:pPr>
                        <w:r>
                          <w:rPr>
                            <w:rFonts w:ascii="Georgia" w:eastAsia="Times New Roman" w:hAnsi="Georgia" w:cs="Arial"/>
                            <w:lang w:eastAsia="fr-BE"/>
                          </w:rPr>
                          <w:t>081/30.27.00</w:t>
                        </w:r>
                      </w:p>
                    </w:tc>
                    <w:tc>
                      <w:tcPr>
                        <w:tcW w:w="1638" w:type="dxa"/>
                      </w:tcPr>
                      <w:p>
                        <w:pPr>
                          <w:rPr>
                            <w:rFonts w:ascii="Georgia" w:eastAsia="Times New Roman" w:hAnsi="Georgia" w:cs="Arial"/>
                            <w:lang w:eastAsia="fr-BE"/>
                          </w:rPr>
                        </w:pPr>
                        <w:r>
                          <w:rPr>
                            <w:rFonts w:ascii="Georgia" w:eastAsia="Times New Roman" w:hAnsi="Georgia" w:cs="Arial"/>
                            <w:lang w:eastAsia="fr-BE"/>
                          </w:rPr>
                          <w:t>081/30.10.59</w:t>
                        </w:r>
                      </w:p>
                    </w:tc>
                    <w:tc>
                      <w:tcPr>
                        <w:tcW w:w="2759"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2725" w:type="dxa"/>
                        <w:vAlign w:val="center"/>
                      </w:tcPr>
                      <w:p>
                        <w:pPr>
                          <w:snapToGrid w:val="0"/>
                          <w:rPr>
                            <w:rFonts w:ascii="Georgia" w:hAnsi="Georgia" w:cs="Arial"/>
                          </w:rPr>
                        </w:pPr>
                        <w:r>
                          <w:rPr>
                            <w:rFonts w:ascii="Georgia" w:hAnsi="Georgia" w:cs="Arial"/>
                          </w:rPr>
                          <w:t>CPMS provincial</w:t>
                        </w:r>
                      </w:p>
                    </w:tc>
                    <w:tc>
                      <w:tcPr>
                        <w:tcW w:w="2861" w:type="dxa"/>
                        <w:vAlign w:val="center"/>
                      </w:tcPr>
                      <w:p>
                        <w:pPr>
                          <w:snapToGrid w:val="0"/>
                          <w:rPr>
                            <w:rFonts w:ascii="Georgia" w:hAnsi="Georgia" w:cs="Arial"/>
                          </w:rPr>
                        </w:pPr>
                        <w:r>
                          <w:rPr>
                            <w:rFonts w:ascii="Georgia" w:hAnsi="Georgia" w:cs="Arial"/>
                          </w:rPr>
                          <w:t>Rue Walter Sœur, 66</w:t>
                        </w:r>
                      </w:p>
                    </w:tc>
                    <w:tc>
                      <w:tcPr>
                        <w:tcW w:w="2487" w:type="dxa"/>
                        <w:vAlign w:val="center"/>
                      </w:tcPr>
                      <w:p>
                        <w:pPr>
                          <w:snapToGrid w:val="0"/>
                          <w:rPr>
                            <w:rFonts w:ascii="Georgia" w:hAnsi="Georgia" w:cs="Arial"/>
                          </w:rPr>
                        </w:pPr>
                        <w:r>
                          <w:rPr>
                            <w:rFonts w:ascii="Georgia" w:hAnsi="Georgia" w:cs="Arial"/>
                          </w:rPr>
                          <w:t>5590 CINEY</w:t>
                        </w:r>
                      </w:p>
                    </w:tc>
                    <w:tc>
                      <w:tcPr>
                        <w:tcW w:w="1806" w:type="dxa"/>
                      </w:tcPr>
                      <w:p>
                        <w:pPr>
                          <w:rPr>
                            <w:rFonts w:ascii="Georgia" w:eastAsia="Times New Roman" w:hAnsi="Georgia" w:cs="Arial"/>
                            <w:lang w:eastAsia="fr-BE"/>
                          </w:rPr>
                        </w:pPr>
                        <w:r>
                          <w:rPr>
                            <w:rFonts w:ascii="Georgia" w:eastAsia="Times New Roman" w:hAnsi="Georgia" w:cs="Arial"/>
                            <w:lang w:eastAsia="fr-BE"/>
                          </w:rPr>
                          <w:t>081/77.68.26</w:t>
                        </w:r>
                      </w:p>
                    </w:tc>
                    <w:tc>
                      <w:tcPr>
                        <w:tcW w:w="1638" w:type="dxa"/>
                      </w:tcPr>
                      <w:p>
                        <w:pPr>
                          <w:rPr>
                            <w:rFonts w:ascii="Georgia" w:eastAsia="Times New Roman" w:hAnsi="Georgia" w:cs="Arial"/>
                            <w:lang w:eastAsia="fr-BE"/>
                          </w:rPr>
                        </w:pPr>
                        <w:r>
                          <w:rPr>
                            <w:rFonts w:ascii="Georgia" w:eastAsia="Times New Roman" w:hAnsi="Georgia" w:cs="Arial"/>
                            <w:lang w:eastAsia="fr-BE"/>
                          </w:rPr>
                          <w:t>083/21.74.08</w:t>
                        </w:r>
                      </w:p>
                    </w:tc>
                    <w:tc>
                      <w:tcPr>
                        <w:tcW w:w="2759"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2725" w:type="dxa"/>
                        <w:vAlign w:val="center"/>
                      </w:tcPr>
                      <w:p>
                        <w:pPr>
                          <w:snapToGrid w:val="0"/>
                          <w:rPr>
                            <w:rFonts w:ascii="Georgia" w:hAnsi="Georgia" w:cs="Arial"/>
                          </w:rPr>
                        </w:pPr>
                        <w:r>
                          <w:rPr>
                            <w:rFonts w:ascii="Georgia" w:hAnsi="Georgia" w:cs="Arial"/>
                          </w:rPr>
                          <w:t xml:space="preserve">CPMS Libre </w:t>
                        </w:r>
                      </w:p>
                    </w:tc>
                    <w:tc>
                      <w:tcPr>
                        <w:tcW w:w="2861" w:type="dxa"/>
                        <w:vAlign w:val="center"/>
                      </w:tcPr>
                      <w:p>
                        <w:pPr>
                          <w:snapToGrid w:val="0"/>
                          <w:rPr>
                            <w:rFonts w:ascii="Georgia" w:hAnsi="Georgia" w:cs="Arial"/>
                          </w:rPr>
                        </w:pPr>
                        <w:r>
                          <w:rPr>
                            <w:rFonts w:ascii="Georgia" w:hAnsi="Georgia" w:cs="Arial"/>
                          </w:rPr>
                          <w:t>Rue Capitaine Lekeux, 14/1</w:t>
                        </w:r>
                      </w:p>
                    </w:tc>
                    <w:tc>
                      <w:tcPr>
                        <w:tcW w:w="2487" w:type="dxa"/>
                        <w:vAlign w:val="center"/>
                      </w:tcPr>
                      <w:p>
                        <w:pPr>
                          <w:snapToGrid w:val="0"/>
                          <w:rPr>
                            <w:rFonts w:ascii="Georgia" w:hAnsi="Georgia" w:cs="Arial"/>
                          </w:rPr>
                        </w:pPr>
                        <w:r>
                          <w:rPr>
                            <w:rFonts w:ascii="Georgia" w:hAnsi="Georgia" w:cs="Arial"/>
                          </w:rPr>
                          <w:t>6690 VIELSAM</w:t>
                        </w:r>
                      </w:p>
                    </w:tc>
                    <w:tc>
                      <w:tcPr>
                        <w:tcW w:w="1806" w:type="dxa"/>
                      </w:tcPr>
                      <w:p>
                        <w:pPr>
                          <w:rPr>
                            <w:rFonts w:ascii="Georgia" w:eastAsia="Times New Roman" w:hAnsi="Georgia" w:cs="Arial"/>
                            <w:lang w:eastAsia="fr-BE"/>
                          </w:rPr>
                        </w:pPr>
                        <w:r>
                          <w:rPr>
                            <w:rFonts w:ascii="Georgia" w:eastAsia="Times New Roman" w:hAnsi="Georgia" w:cs="Arial"/>
                            <w:lang w:eastAsia="fr-BE"/>
                          </w:rPr>
                          <w:t>080/21.55.31</w:t>
                        </w:r>
                      </w:p>
                    </w:tc>
                    <w:tc>
                      <w:tcPr>
                        <w:tcW w:w="1638" w:type="dxa"/>
                      </w:tcPr>
                      <w:p>
                        <w:pPr>
                          <w:rPr>
                            <w:rFonts w:ascii="Georgia" w:eastAsia="Times New Roman" w:hAnsi="Georgia" w:cs="Arial"/>
                            <w:lang w:eastAsia="fr-BE"/>
                          </w:rPr>
                        </w:pPr>
                        <w:r>
                          <w:rPr>
                            <w:rFonts w:ascii="Georgia" w:eastAsia="Times New Roman" w:hAnsi="Georgia" w:cs="Arial"/>
                            <w:lang w:eastAsia="fr-BE"/>
                          </w:rPr>
                          <w:t>080/21.66.56</w:t>
                        </w:r>
                      </w:p>
                    </w:tc>
                    <w:tc>
                      <w:tcPr>
                        <w:tcW w:w="2759"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2725" w:type="dxa"/>
                        <w:vAlign w:val="center"/>
                      </w:tcPr>
                      <w:p>
                        <w:pPr>
                          <w:snapToGrid w:val="0"/>
                          <w:rPr>
                            <w:rFonts w:ascii="Georgia" w:hAnsi="Georgia" w:cs="Arial"/>
                          </w:rPr>
                        </w:pPr>
                        <w:r>
                          <w:rPr>
                            <w:rFonts w:ascii="Georgia" w:hAnsi="Georgia" w:cs="Arial"/>
                          </w:rPr>
                          <w:t xml:space="preserve">CPMS Libre </w:t>
                        </w:r>
                      </w:p>
                    </w:tc>
                    <w:tc>
                      <w:tcPr>
                        <w:tcW w:w="2861" w:type="dxa"/>
                        <w:vAlign w:val="center"/>
                      </w:tcPr>
                      <w:p>
                        <w:pPr>
                          <w:snapToGrid w:val="0"/>
                          <w:rPr>
                            <w:rFonts w:ascii="Georgia" w:hAnsi="Georgia" w:cs="Arial"/>
                          </w:rPr>
                        </w:pPr>
                        <w:r>
                          <w:rPr>
                            <w:rFonts w:ascii="Georgia" w:hAnsi="Georgia" w:cs="Arial"/>
                          </w:rPr>
                          <w:t>Rue des déportés, 129</w:t>
                        </w:r>
                      </w:p>
                    </w:tc>
                    <w:tc>
                      <w:tcPr>
                        <w:tcW w:w="2487" w:type="dxa"/>
                        <w:vAlign w:val="center"/>
                      </w:tcPr>
                      <w:p>
                        <w:pPr>
                          <w:snapToGrid w:val="0"/>
                          <w:rPr>
                            <w:rFonts w:ascii="Georgia" w:hAnsi="Georgia" w:cs="Arial"/>
                          </w:rPr>
                        </w:pPr>
                        <w:r>
                          <w:rPr>
                            <w:rFonts w:ascii="Georgia" w:hAnsi="Georgia" w:cs="Arial"/>
                          </w:rPr>
                          <w:t>6700 ARLON</w:t>
                        </w:r>
                      </w:p>
                    </w:tc>
                    <w:tc>
                      <w:tcPr>
                        <w:tcW w:w="1806" w:type="dxa"/>
                      </w:tcPr>
                      <w:p>
                        <w:pPr>
                          <w:rPr>
                            <w:rFonts w:ascii="Georgia" w:eastAsia="Times New Roman" w:hAnsi="Georgia" w:cs="Arial"/>
                            <w:lang w:eastAsia="fr-BE"/>
                          </w:rPr>
                        </w:pPr>
                        <w:r>
                          <w:rPr>
                            <w:rFonts w:ascii="Georgia" w:eastAsia="Times New Roman" w:hAnsi="Georgia" w:cs="Arial"/>
                            <w:lang w:eastAsia="fr-BE"/>
                          </w:rPr>
                          <w:t>063/22.70.54</w:t>
                        </w:r>
                      </w:p>
                    </w:tc>
                    <w:tc>
                      <w:tcPr>
                        <w:tcW w:w="1638" w:type="dxa"/>
                      </w:tcPr>
                      <w:p>
                        <w:pPr>
                          <w:rPr>
                            <w:rFonts w:ascii="Georgia" w:eastAsia="Times New Roman" w:hAnsi="Georgia" w:cs="Arial"/>
                            <w:lang w:eastAsia="fr-BE"/>
                          </w:rPr>
                        </w:pPr>
                        <w:r>
                          <w:rPr>
                            <w:rFonts w:ascii="Georgia" w:eastAsia="Times New Roman" w:hAnsi="Georgia" w:cs="Arial"/>
                            <w:lang w:eastAsia="fr-BE"/>
                          </w:rPr>
                          <w:t>063/41.35.68</w:t>
                        </w:r>
                      </w:p>
                    </w:tc>
                    <w:tc>
                      <w:tcPr>
                        <w:tcW w:w="2759"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2725" w:type="dxa"/>
                        <w:vAlign w:val="center"/>
                      </w:tcPr>
                      <w:p>
                        <w:pPr>
                          <w:snapToGrid w:val="0"/>
                          <w:rPr>
                            <w:rFonts w:ascii="Georgia" w:hAnsi="Georgia" w:cs="Arial"/>
                          </w:rPr>
                        </w:pPr>
                        <w:r>
                          <w:rPr>
                            <w:rFonts w:ascii="Georgia" w:hAnsi="Georgia" w:cs="Arial"/>
                          </w:rPr>
                          <w:t>CPMS Libre VIRTON I</w:t>
                        </w:r>
                      </w:p>
                    </w:tc>
                    <w:tc>
                      <w:tcPr>
                        <w:tcW w:w="2861" w:type="dxa"/>
                        <w:vAlign w:val="center"/>
                      </w:tcPr>
                      <w:p>
                        <w:pPr>
                          <w:snapToGrid w:val="0"/>
                          <w:rPr>
                            <w:rFonts w:ascii="Georgia" w:hAnsi="Georgia" w:cs="Arial"/>
                          </w:rPr>
                        </w:pPr>
                        <w:r>
                          <w:rPr>
                            <w:rFonts w:ascii="Georgia" w:hAnsi="Georgia" w:cs="Arial"/>
                          </w:rPr>
                          <w:t>Rue sur – le – Terme, 27</w:t>
                        </w:r>
                      </w:p>
                    </w:tc>
                    <w:tc>
                      <w:tcPr>
                        <w:tcW w:w="2487" w:type="dxa"/>
                        <w:vAlign w:val="center"/>
                      </w:tcPr>
                      <w:p>
                        <w:pPr>
                          <w:snapToGrid w:val="0"/>
                          <w:rPr>
                            <w:rFonts w:ascii="Georgia" w:hAnsi="Georgia" w:cs="Arial"/>
                          </w:rPr>
                        </w:pPr>
                        <w:r>
                          <w:rPr>
                            <w:rFonts w:ascii="Georgia" w:hAnsi="Georgia" w:cs="Arial"/>
                          </w:rPr>
                          <w:t>6760 VIRTON</w:t>
                        </w:r>
                      </w:p>
                    </w:tc>
                    <w:tc>
                      <w:tcPr>
                        <w:tcW w:w="1806" w:type="dxa"/>
                      </w:tcPr>
                      <w:p>
                        <w:pPr>
                          <w:rPr>
                            <w:rFonts w:ascii="Georgia" w:eastAsia="Times New Roman" w:hAnsi="Georgia" w:cs="Arial"/>
                            <w:lang w:eastAsia="fr-BE"/>
                          </w:rPr>
                        </w:pPr>
                        <w:r>
                          <w:rPr>
                            <w:rFonts w:ascii="Georgia" w:eastAsia="Times New Roman" w:hAnsi="Georgia" w:cs="Arial"/>
                            <w:lang w:eastAsia="fr-BE"/>
                          </w:rPr>
                          <w:t>063/57.89.91</w:t>
                        </w:r>
                      </w:p>
                    </w:tc>
                    <w:tc>
                      <w:tcPr>
                        <w:tcW w:w="1638" w:type="dxa"/>
                      </w:tcPr>
                      <w:p>
                        <w:pPr>
                          <w:rPr>
                            <w:rFonts w:ascii="Georgia" w:eastAsia="Times New Roman" w:hAnsi="Georgia" w:cs="Arial"/>
                            <w:lang w:eastAsia="fr-BE"/>
                          </w:rPr>
                        </w:pPr>
                        <w:r>
                          <w:rPr>
                            <w:rFonts w:ascii="Georgia" w:eastAsia="Times New Roman" w:hAnsi="Georgia" w:cs="Arial"/>
                            <w:lang w:eastAsia="fr-BE"/>
                          </w:rPr>
                          <w:t>063/67.02.19</w:t>
                        </w:r>
                      </w:p>
                    </w:tc>
                    <w:tc>
                      <w:tcPr>
                        <w:tcW w:w="2759"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2725" w:type="dxa"/>
                        <w:vAlign w:val="center"/>
                      </w:tcPr>
                      <w:p>
                        <w:pPr>
                          <w:snapToGrid w:val="0"/>
                          <w:rPr>
                            <w:rFonts w:ascii="Georgia" w:hAnsi="Georgia" w:cs="Arial"/>
                          </w:rPr>
                        </w:pPr>
                        <w:r>
                          <w:rPr>
                            <w:rFonts w:ascii="Georgia" w:hAnsi="Georgia" w:cs="Arial"/>
                          </w:rPr>
                          <w:t>CPMS Libre MARCHE II</w:t>
                        </w:r>
                      </w:p>
                    </w:tc>
                    <w:tc>
                      <w:tcPr>
                        <w:tcW w:w="2861" w:type="dxa"/>
                        <w:vAlign w:val="center"/>
                      </w:tcPr>
                      <w:p>
                        <w:pPr>
                          <w:snapToGrid w:val="0"/>
                          <w:rPr>
                            <w:rFonts w:ascii="Georgia" w:hAnsi="Georgia" w:cs="Arial"/>
                          </w:rPr>
                        </w:pPr>
                        <w:r>
                          <w:rPr>
                            <w:rFonts w:ascii="Georgia" w:hAnsi="Georgia" w:cs="Arial"/>
                          </w:rPr>
                          <w:t>Rue Erène, 1</w:t>
                        </w:r>
                      </w:p>
                    </w:tc>
                    <w:tc>
                      <w:tcPr>
                        <w:tcW w:w="2487" w:type="dxa"/>
                        <w:vAlign w:val="center"/>
                      </w:tcPr>
                      <w:p>
                        <w:pPr>
                          <w:snapToGrid w:val="0"/>
                          <w:rPr>
                            <w:rFonts w:ascii="Georgia" w:hAnsi="Georgia" w:cs="Arial"/>
                          </w:rPr>
                        </w:pPr>
                        <w:r>
                          <w:rPr>
                            <w:rFonts w:ascii="Georgia" w:hAnsi="Georgia" w:cs="Arial"/>
                          </w:rPr>
                          <w:t>6900 MARCHE</w:t>
                        </w:r>
                      </w:p>
                    </w:tc>
                    <w:tc>
                      <w:tcPr>
                        <w:tcW w:w="1806" w:type="dxa"/>
                      </w:tcPr>
                      <w:p>
                        <w:pPr>
                          <w:rPr>
                            <w:rFonts w:ascii="Georgia" w:eastAsia="Times New Roman" w:hAnsi="Georgia" w:cs="Arial"/>
                            <w:lang w:eastAsia="fr-BE"/>
                          </w:rPr>
                        </w:pPr>
                        <w:r>
                          <w:rPr>
                            <w:rFonts w:ascii="Georgia" w:eastAsia="Times New Roman" w:hAnsi="Georgia" w:cs="Arial"/>
                            <w:lang w:eastAsia="fr-BE"/>
                          </w:rPr>
                          <w:t>084/32.06.80</w:t>
                        </w:r>
                      </w:p>
                    </w:tc>
                    <w:tc>
                      <w:tcPr>
                        <w:tcW w:w="1638" w:type="dxa"/>
                      </w:tcPr>
                      <w:p>
                        <w:pPr>
                          <w:rPr>
                            <w:rFonts w:ascii="Georgia" w:eastAsia="Times New Roman" w:hAnsi="Georgia" w:cs="Arial"/>
                            <w:lang w:eastAsia="fr-BE"/>
                          </w:rPr>
                        </w:pPr>
                        <w:r>
                          <w:rPr>
                            <w:rFonts w:ascii="Georgia" w:eastAsia="Times New Roman" w:hAnsi="Georgia" w:cs="Arial"/>
                            <w:lang w:eastAsia="fr-BE"/>
                          </w:rPr>
                          <w:t>084/32.06.81</w:t>
                        </w:r>
                      </w:p>
                    </w:tc>
                    <w:tc>
                      <w:tcPr>
                        <w:tcW w:w="2759"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2725" w:type="dxa"/>
                        <w:vAlign w:val="center"/>
                      </w:tcPr>
                      <w:p>
                        <w:pPr>
                          <w:snapToGrid w:val="0"/>
                          <w:rPr>
                            <w:rFonts w:ascii="Georgia" w:hAnsi="Georgia" w:cs="Arial"/>
                          </w:rPr>
                        </w:pPr>
                        <w:r>
                          <w:rPr>
                            <w:rFonts w:ascii="Georgia" w:hAnsi="Georgia" w:cs="Arial"/>
                          </w:rPr>
                          <w:t>CPMS Libre CHARLEROI II</w:t>
                        </w:r>
                      </w:p>
                    </w:tc>
                    <w:tc>
                      <w:tcPr>
                        <w:tcW w:w="2861" w:type="dxa"/>
                        <w:vAlign w:val="center"/>
                      </w:tcPr>
                      <w:p>
                        <w:pPr>
                          <w:snapToGrid w:val="0"/>
                          <w:rPr>
                            <w:rFonts w:ascii="Georgia" w:hAnsi="Georgia" w:cs="Arial"/>
                          </w:rPr>
                        </w:pPr>
                        <w:r>
                          <w:rPr>
                            <w:rFonts w:ascii="Georgia" w:hAnsi="Georgia" w:cs="Arial"/>
                          </w:rPr>
                          <w:t>Route de Beaumont, 71</w:t>
                        </w:r>
                      </w:p>
                    </w:tc>
                    <w:tc>
                      <w:tcPr>
                        <w:tcW w:w="2487" w:type="dxa"/>
                        <w:vAlign w:val="center"/>
                      </w:tcPr>
                      <w:p>
                        <w:pPr>
                          <w:snapToGrid w:val="0"/>
                          <w:rPr>
                            <w:rFonts w:ascii="Georgia" w:hAnsi="Georgia" w:cs="Arial"/>
                          </w:rPr>
                        </w:pPr>
                        <w:r>
                          <w:rPr>
                            <w:rFonts w:ascii="Georgia" w:hAnsi="Georgia" w:cs="Arial"/>
                          </w:rPr>
                          <w:t xml:space="preserve">6030 MARCHIENNE–AU–PONT </w:t>
                        </w:r>
                      </w:p>
                    </w:tc>
                    <w:tc>
                      <w:tcPr>
                        <w:tcW w:w="1806" w:type="dxa"/>
                      </w:tcPr>
                      <w:p>
                        <w:pPr>
                          <w:rPr>
                            <w:rFonts w:ascii="Georgia" w:eastAsia="Times New Roman" w:hAnsi="Georgia" w:cs="Arial"/>
                            <w:lang w:eastAsia="fr-BE"/>
                          </w:rPr>
                        </w:pPr>
                        <w:r>
                          <w:rPr>
                            <w:rFonts w:ascii="Georgia" w:eastAsia="Times New Roman" w:hAnsi="Georgia" w:cs="Arial"/>
                            <w:lang w:eastAsia="fr-BE"/>
                          </w:rPr>
                          <w:t>071/51.53.51</w:t>
                        </w:r>
                      </w:p>
                    </w:tc>
                    <w:tc>
                      <w:tcPr>
                        <w:tcW w:w="1638" w:type="dxa"/>
                      </w:tcPr>
                      <w:p>
                        <w:pPr>
                          <w:rPr>
                            <w:rFonts w:ascii="Georgia" w:eastAsia="Times New Roman" w:hAnsi="Georgia" w:cs="Arial"/>
                            <w:lang w:eastAsia="fr-BE"/>
                          </w:rPr>
                        </w:pPr>
                        <w:r>
                          <w:rPr>
                            <w:rFonts w:ascii="Georgia" w:eastAsia="Times New Roman" w:hAnsi="Georgia" w:cs="Arial"/>
                            <w:lang w:eastAsia="fr-BE"/>
                          </w:rPr>
                          <w:t>071/56.00.62</w:t>
                        </w:r>
                      </w:p>
                    </w:tc>
                    <w:tc>
                      <w:tcPr>
                        <w:tcW w:w="2759"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2725" w:type="dxa"/>
                        <w:vAlign w:val="center"/>
                      </w:tcPr>
                      <w:p>
                        <w:pPr>
                          <w:snapToGrid w:val="0"/>
                          <w:rPr>
                            <w:rFonts w:ascii="Georgia" w:hAnsi="Georgia" w:cs="Arial"/>
                          </w:rPr>
                        </w:pPr>
                        <w:r>
                          <w:rPr>
                            <w:rFonts w:ascii="Georgia" w:hAnsi="Georgia" w:cs="Arial"/>
                          </w:rPr>
                          <w:t>CPMS Libre CHARLEROI III</w:t>
                        </w:r>
                      </w:p>
                    </w:tc>
                    <w:tc>
                      <w:tcPr>
                        <w:tcW w:w="2861" w:type="dxa"/>
                        <w:vAlign w:val="center"/>
                      </w:tcPr>
                      <w:p>
                        <w:pPr>
                          <w:snapToGrid w:val="0"/>
                          <w:rPr>
                            <w:rFonts w:ascii="Georgia" w:hAnsi="Georgia" w:cs="Arial"/>
                          </w:rPr>
                        </w:pPr>
                        <w:r>
                          <w:rPr>
                            <w:rFonts w:ascii="Georgia" w:hAnsi="Georgia" w:cs="Arial"/>
                          </w:rPr>
                          <w:t>Rue de l’Est, 10</w:t>
                        </w:r>
                      </w:p>
                    </w:tc>
                    <w:tc>
                      <w:tcPr>
                        <w:tcW w:w="2487" w:type="dxa"/>
                        <w:vAlign w:val="center"/>
                      </w:tcPr>
                      <w:p>
                        <w:pPr>
                          <w:snapToGrid w:val="0"/>
                          <w:rPr>
                            <w:rFonts w:ascii="Georgia" w:hAnsi="Georgia" w:cs="Arial"/>
                          </w:rPr>
                        </w:pPr>
                        <w:r>
                          <w:rPr>
                            <w:rFonts w:ascii="Georgia" w:hAnsi="Georgia" w:cs="Arial"/>
                          </w:rPr>
                          <w:t>6041 GOSSELIES</w:t>
                        </w:r>
                      </w:p>
                    </w:tc>
                    <w:tc>
                      <w:tcPr>
                        <w:tcW w:w="1806" w:type="dxa"/>
                      </w:tcPr>
                      <w:p>
                        <w:pPr>
                          <w:snapToGrid w:val="0"/>
                          <w:rPr>
                            <w:rFonts w:ascii="Georgia" w:eastAsia="Times New Roman" w:hAnsi="Georgia" w:cs="Arial"/>
                            <w:lang w:eastAsia="fr-BE"/>
                          </w:rPr>
                        </w:pPr>
                        <w:r>
                          <w:rPr>
                            <w:rFonts w:ascii="Georgia" w:eastAsia="Times New Roman" w:hAnsi="Georgia" w:cs="Arial"/>
                            <w:lang w:eastAsia="fr-BE"/>
                          </w:rPr>
                          <w:t>071/51.63.84</w:t>
                        </w:r>
                      </w:p>
                    </w:tc>
                    <w:tc>
                      <w:tcPr>
                        <w:tcW w:w="1638" w:type="dxa"/>
                      </w:tcPr>
                      <w:p>
                        <w:pPr>
                          <w:snapToGrid w:val="0"/>
                          <w:rPr>
                            <w:rFonts w:ascii="Georgia" w:eastAsia="Times New Roman" w:hAnsi="Georgia" w:cs="Arial"/>
                            <w:lang w:eastAsia="fr-BE"/>
                          </w:rPr>
                        </w:pPr>
                        <w:r>
                          <w:rPr>
                            <w:rFonts w:ascii="Georgia" w:eastAsia="Times New Roman" w:hAnsi="Georgia" w:cs="Arial"/>
                            <w:lang w:eastAsia="fr-BE"/>
                          </w:rPr>
                          <w:t>071/56.00.62</w:t>
                        </w:r>
                      </w:p>
                    </w:tc>
                    <w:tc>
                      <w:tcPr>
                        <w:tcW w:w="2759"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2725" w:type="dxa"/>
                        <w:vAlign w:val="center"/>
                      </w:tcPr>
                      <w:p>
                        <w:pPr>
                          <w:snapToGrid w:val="0"/>
                          <w:rPr>
                            <w:rFonts w:ascii="Georgia" w:hAnsi="Georgia" w:cs="Arial"/>
                          </w:rPr>
                        </w:pPr>
                        <w:r>
                          <w:rPr>
                            <w:rFonts w:ascii="Georgia" w:hAnsi="Georgia" w:cs="Arial"/>
                          </w:rPr>
                          <w:t>CPMS Libre CHARLEROI IV</w:t>
                        </w:r>
                      </w:p>
                    </w:tc>
                    <w:tc>
                      <w:tcPr>
                        <w:tcW w:w="2861" w:type="dxa"/>
                        <w:vAlign w:val="center"/>
                      </w:tcPr>
                      <w:p>
                        <w:pPr>
                          <w:snapToGrid w:val="0"/>
                          <w:rPr>
                            <w:rFonts w:ascii="Georgia" w:hAnsi="Georgia" w:cs="Arial"/>
                          </w:rPr>
                        </w:pPr>
                        <w:r>
                          <w:rPr>
                            <w:rFonts w:ascii="Georgia" w:hAnsi="Georgia" w:cs="Arial"/>
                          </w:rPr>
                          <w:t>Route de Beaumont, 71</w:t>
                        </w:r>
                      </w:p>
                    </w:tc>
                    <w:tc>
                      <w:tcPr>
                        <w:tcW w:w="2487" w:type="dxa"/>
                        <w:vAlign w:val="center"/>
                      </w:tcPr>
                      <w:p>
                        <w:pPr>
                          <w:snapToGrid w:val="0"/>
                          <w:rPr>
                            <w:rFonts w:ascii="Georgia" w:hAnsi="Georgia" w:cs="Arial"/>
                          </w:rPr>
                        </w:pPr>
                        <w:r>
                          <w:rPr>
                            <w:rFonts w:ascii="Georgia" w:hAnsi="Georgia" w:cs="Arial"/>
                          </w:rPr>
                          <w:t>6030 MARCHIENNE- AU- PONT</w:t>
                        </w:r>
                      </w:p>
                    </w:tc>
                    <w:tc>
                      <w:tcPr>
                        <w:tcW w:w="1806" w:type="dxa"/>
                      </w:tcPr>
                      <w:p>
                        <w:pPr>
                          <w:snapToGrid w:val="0"/>
                          <w:rPr>
                            <w:rFonts w:ascii="Georgia" w:hAnsi="Georgia" w:cs="Arial"/>
                            <w:b/>
                            <w:bCs/>
                          </w:rPr>
                        </w:pPr>
                        <w:r>
                          <w:rPr>
                            <w:rFonts w:ascii="Georgia" w:eastAsia="Times New Roman" w:hAnsi="Georgia" w:cs="Arial"/>
                            <w:lang w:eastAsia="fr-BE"/>
                          </w:rPr>
                          <w:t>071/44.50.70</w:t>
                        </w:r>
                      </w:p>
                    </w:tc>
                    <w:tc>
                      <w:tcPr>
                        <w:tcW w:w="1638" w:type="dxa"/>
                      </w:tcPr>
                      <w:p>
                        <w:pPr>
                          <w:snapToGrid w:val="0"/>
                          <w:jc w:val="center"/>
                          <w:rPr>
                            <w:rFonts w:ascii="Georgia" w:hAnsi="Georgia" w:cs="Arial"/>
                            <w:b/>
                            <w:bCs/>
                          </w:rPr>
                        </w:pPr>
                      </w:p>
                    </w:tc>
                    <w:tc>
                      <w:tcPr>
                        <w:tcW w:w="2759"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2725" w:type="dxa"/>
                        <w:vAlign w:val="center"/>
                      </w:tcPr>
                      <w:p>
                        <w:pPr>
                          <w:snapToGrid w:val="0"/>
                          <w:rPr>
                            <w:rFonts w:ascii="Georgia" w:hAnsi="Georgia" w:cs="Arial"/>
                          </w:rPr>
                        </w:pPr>
                        <w:r>
                          <w:rPr>
                            <w:rFonts w:ascii="Georgia" w:hAnsi="Georgia" w:cs="Arial"/>
                          </w:rPr>
                          <w:t>CPMS Libre CHARLEROI V</w:t>
                        </w:r>
                      </w:p>
                    </w:tc>
                    <w:tc>
                      <w:tcPr>
                        <w:tcW w:w="2861" w:type="dxa"/>
                        <w:vAlign w:val="center"/>
                      </w:tcPr>
                      <w:p>
                        <w:pPr>
                          <w:snapToGrid w:val="0"/>
                          <w:rPr>
                            <w:rFonts w:ascii="Georgia" w:hAnsi="Georgia" w:cs="Arial"/>
                          </w:rPr>
                        </w:pPr>
                        <w:r>
                          <w:rPr>
                            <w:rFonts w:ascii="Georgia" w:hAnsi="Georgia" w:cs="Arial"/>
                          </w:rPr>
                          <w:t>Rue de l’Est, 10</w:t>
                        </w:r>
                      </w:p>
                    </w:tc>
                    <w:tc>
                      <w:tcPr>
                        <w:tcW w:w="2487" w:type="dxa"/>
                        <w:vAlign w:val="center"/>
                      </w:tcPr>
                      <w:p>
                        <w:pPr>
                          <w:snapToGrid w:val="0"/>
                          <w:rPr>
                            <w:rFonts w:ascii="Georgia" w:hAnsi="Georgia" w:cs="Arial"/>
                          </w:rPr>
                        </w:pPr>
                        <w:r>
                          <w:rPr>
                            <w:rFonts w:ascii="Georgia" w:hAnsi="Georgia" w:cs="Arial"/>
                          </w:rPr>
                          <w:t>6041 GOSSELIES</w:t>
                        </w:r>
                      </w:p>
                    </w:tc>
                    <w:tc>
                      <w:tcPr>
                        <w:tcW w:w="1806" w:type="dxa"/>
                      </w:tcPr>
                      <w:p>
                        <w:pPr>
                          <w:snapToGrid w:val="0"/>
                          <w:rPr>
                            <w:rFonts w:ascii="Georgia" w:hAnsi="Georgia" w:cs="Arial"/>
                            <w:b/>
                            <w:bCs/>
                          </w:rPr>
                        </w:pPr>
                        <w:r>
                          <w:rPr>
                            <w:rFonts w:ascii="Georgia" w:eastAsia="Times New Roman" w:hAnsi="Georgia" w:cs="Arial"/>
                            <w:lang w:eastAsia="fr-BE"/>
                          </w:rPr>
                          <w:t>071/37.20.05</w:t>
                        </w:r>
                      </w:p>
                    </w:tc>
                    <w:tc>
                      <w:tcPr>
                        <w:tcW w:w="1638" w:type="dxa"/>
                      </w:tcPr>
                      <w:p>
                        <w:pPr>
                          <w:snapToGrid w:val="0"/>
                          <w:jc w:val="center"/>
                          <w:rPr>
                            <w:rFonts w:ascii="Georgia" w:hAnsi="Georgia" w:cs="Arial"/>
                            <w:b/>
                            <w:bCs/>
                          </w:rPr>
                        </w:pPr>
                      </w:p>
                    </w:tc>
                    <w:tc>
                      <w:tcPr>
                        <w:tcW w:w="2759"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2725" w:type="dxa"/>
                        <w:vAlign w:val="center"/>
                      </w:tcPr>
                      <w:p>
                        <w:pPr>
                          <w:snapToGrid w:val="0"/>
                          <w:rPr>
                            <w:rFonts w:ascii="Georgia" w:hAnsi="Georgia" w:cs="Arial"/>
                          </w:rPr>
                        </w:pPr>
                        <w:r>
                          <w:rPr>
                            <w:rFonts w:ascii="Georgia" w:hAnsi="Georgia" w:cs="Arial"/>
                          </w:rPr>
                          <w:t xml:space="preserve">CPMS Libre </w:t>
                        </w:r>
                      </w:p>
                    </w:tc>
                    <w:tc>
                      <w:tcPr>
                        <w:tcW w:w="2861" w:type="dxa"/>
                        <w:vAlign w:val="center"/>
                      </w:tcPr>
                      <w:p>
                        <w:pPr>
                          <w:snapToGrid w:val="0"/>
                          <w:rPr>
                            <w:rFonts w:ascii="Georgia" w:hAnsi="Georgia" w:cs="Arial"/>
                          </w:rPr>
                        </w:pPr>
                        <w:r>
                          <w:rPr>
                            <w:rFonts w:ascii="Georgia" w:hAnsi="Georgia" w:cs="Arial"/>
                          </w:rPr>
                          <w:t>Rue Fromenteau, 18</w:t>
                        </w:r>
                      </w:p>
                    </w:tc>
                    <w:tc>
                      <w:tcPr>
                        <w:tcW w:w="2487" w:type="dxa"/>
                        <w:vAlign w:val="center"/>
                      </w:tcPr>
                      <w:p>
                        <w:pPr>
                          <w:snapToGrid w:val="0"/>
                          <w:rPr>
                            <w:rFonts w:ascii="Georgia" w:hAnsi="Georgia" w:cs="Arial"/>
                          </w:rPr>
                        </w:pPr>
                        <w:r>
                          <w:rPr>
                            <w:rFonts w:ascii="Georgia" w:hAnsi="Georgia" w:cs="Arial"/>
                          </w:rPr>
                          <w:t>6460 CHIMAY</w:t>
                        </w:r>
                      </w:p>
                    </w:tc>
                    <w:tc>
                      <w:tcPr>
                        <w:tcW w:w="1806" w:type="dxa"/>
                      </w:tcPr>
                      <w:p>
                        <w:pPr>
                          <w:rPr>
                            <w:rFonts w:ascii="Georgia" w:eastAsia="Times New Roman" w:hAnsi="Georgia" w:cs="Arial"/>
                            <w:lang w:eastAsia="fr-BE"/>
                          </w:rPr>
                        </w:pPr>
                        <w:r>
                          <w:rPr>
                            <w:rFonts w:ascii="Georgia" w:eastAsia="Times New Roman" w:hAnsi="Georgia" w:cs="Arial"/>
                            <w:lang w:eastAsia="fr-BE"/>
                          </w:rPr>
                          <w:t>060/21.14.17</w:t>
                        </w:r>
                      </w:p>
                    </w:tc>
                    <w:tc>
                      <w:tcPr>
                        <w:tcW w:w="1638" w:type="dxa"/>
                      </w:tcPr>
                      <w:p>
                        <w:pPr>
                          <w:rPr>
                            <w:rFonts w:ascii="Georgia" w:eastAsia="Times New Roman" w:hAnsi="Georgia" w:cs="Arial"/>
                            <w:lang w:eastAsia="fr-BE"/>
                          </w:rPr>
                        </w:pPr>
                        <w:r>
                          <w:rPr>
                            <w:rFonts w:ascii="Georgia" w:eastAsia="Times New Roman" w:hAnsi="Georgia" w:cs="Arial"/>
                            <w:lang w:eastAsia="fr-BE"/>
                          </w:rPr>
                          <w:t>060/21.14.17</w:t>
                        </w:r>
                      </w:p>
                    </w:tc>
                    <w:tc>
                      <w:tcPr>
                        <w:tcW w:w="2759"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2725" w:type="dxa"/>
                        <w:vAlign w:val="center"/>
                      </w:tcPr>
                      <w:p>
                        <w:pPr>
                          <w:snapToGrid w:val="0"/>
                          <w:rPr>
                            <w:rFonts w:ascii="Georgia" w:hAnsi="Georgia" w:cs="Arial"/>
                          </w:rPr>
                        </w:pPr>
                        <w:r>
                          <w:rPr>
                            <w:rFonts w:ascii="Georgia" w:hAnsi="Georgia" w:cs="Arial"/>
                          </w:rPr>
                          <w:t xml:space="preserve">CPMS Libre </w:t>
                        </w:r>
                      </w:p>
                    </w:tc>
                    <w:tc>
                      <w:tcPr>
                        <w:tcW w:w="2861" w:type="dxa"/>
                        <w:vAlign w:val="center"/>
                      </w:tcPr>
                      <w:p>
                        <w:pPr>
                          <w:snapToGrid w:val="0"/>
                          <w:rPr>
                            <w:rFonts w:ascii="Georgia" w:hAnsi="Georgia" w:cs="Arial"/>
                          </w:rPr>
                        </w:pPr>
                        <w:r>
                          <w:rPr>
                            <w:rFonts w:ascii="Georgia" w:hAnsi="Georgia" w:cs="Arial"/>
                          </w:rPr>
                          <w:t>Rue des Combattants, 95</w:t>
                        </w:r>
                      </w:p>
                    </w:tc>
                    <w:tc>
                      <w:tcPr>
                        <w:tcW w:w="2487" w:type="dxa"/>
                        <w:vAlign w:val="center"/>
                      </w:tcPr>
                      <w:p>
                        <w:pPr>
                          <w:snapToGrid w:val="0"/>
                          <w:rPr>
                            <w:rFonts w:ascii="Georgia" w:hAnsi="Georgia" w:cs="Arial"/>
                          </w:rPr>
                        </w:pPr>
                        <w:r>
                          <w:rPr>
                            <w:rFonts w:ascii="Georgia" w:hAnsi="Georgia" w:cs="Arial"/>
                          </w:rPr>
                          <w:t xml:space="preserve">6560 ERQUELINNES </w:t>
                        </w:r>
                      </w:p>
                    </w:tc>
                    <w:tc>
                      <w:tcPr>
                        <w:tcW w:w="1806" w:type="dxa"/>
                      </w:tcPr>
                      <w:p>
                        <w:pPr>
                          <w:rPr>
                            <w:rFonts w:ascii="Georgia" w:eastAsia="Times New Roman" w:hAnsi="Georgia" w:cs="Arial"/>
                            <w:lang w:eastAsia="fr-BE"/>
                          </w:rPr>
                        </w:pPr>
                        <w:r>
                          <w:rPr>
                            <w:rFonts w:ascii="Georgia" w:eastAsia="Times New Roman" w:hAnsi="Georgia" w:cs="Arial"/>
                            <w:lang w:eastAsia="fr-BE"/>
                          </w:rPr>
                          <w:t>071/55.66.56</w:t>
                        </w:r>
                      </w:p>
                    </w:tc>
                    <w:tc>
                      <w:tcPr>
                        <w:tcW w:w="1638" w:type="dxa"/>
                      </w:tcPr>
                      <w:p>
                        <w:pPr>
                          <w:rPr>
                            <w:rFonts w:ascii="Georgia" w:eastAsia="Times New Roman" w:hAnsi="Georgia" w:cs="Arial"/>
                            <w:lang w:eastAsia="fr-BE"/>
                          </w:rPr>
                        </w:pPr>
                        <w:r>
                          <w:rPr>
                            <w:rFonts w:ascii="Georgia" w:eastAsia="Times New Roman" w:hAnsi="Georgia" w:cs="Arial"/>
                            <w:lang w:eastAsia="fr-BE"/>
                          </w:rPr>
                          <w:t>071/55.66.36</w:t>
                        </w:r>
                      </w:p>
                    </w:tc>
                    <w:tc>
                      <w:tcPr>
                        <w:tcW w:w="2759"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2725" w:type="dxa"/>
                        <w:vAlign w:val="center"/>
                      </w:tcPr>
                      <w:p>
                        <w:pPr>
                          <w:snapToGrid w:val="0"/>
                          <w:rPr>
                            <w:rFonts w:ascii="Georgia" w:hAnsi="Georgia" w:cs="Arial"/>
                          </w:rPr>
                        </w:pPr>
                        <w:r>
                          <w:rPr>
                            <w:rFonts w:ascii="Georgia" w:hAnsi="Georgia" w:cs="Arial"/>
                          </w:rPr>
                          <w:t>CPMS Libre SOIGNIES II</w:t>
                        </w:r>
                      </w:p>
                    </w:tc>
                    <w:tc>
                      <w:tcPr>
                        <w:tcW w:w="2861" w:type="dxa"/>
                        <w:vAlign w:val="center"/>
                      </w:tcPr>
                      <w:p>
                        <w:pPr>
                          <w:snapToGrid w:val="0"/>
                          <w:rPr>
                            <w:rFonts w:ascii="Georgia" w:hAnsi="Georgia" w:cs="Arial"/>
                          </w:rPr>
                        </w:pPr>
                        <w:r>
                          <w:rPr>
                            <w:rFonts w:ascii="Georgia" w:hAnsi="Georgia" w:cs="Arial"/>
                          </w:rPr>
                          <w:t>Ruelle Scaffart</w:t>
                        </w:r>
                      </w:p>
                    </w:tc>
                    <w:tc>
                      <w:tcPr>
                        <w:tcW w:w="2487" w:type="dxa"/>
                        <w:vAlign w:val="center"/>
                      </w:tcPr>
                      <w:p>
                        <w:pPr>
                          <w:snapToGrid w:val="0"/>
                          <w:rPr>
                            <w:rFonts w:ascii="Georgia" w:hAnsi="Georgia" w:cs="Arial"/>
                          </w:rPr>
                        </w:pPr>
                        <w:r>
                          <w:rPr>
                            <w:rFonts w:ascii="Georgia" w:hAnsi="Georgia" w:cs="Arial"/>
                          </w:rPr>
                          <w:t>7060 SOIGNIES</w:t>
                        </w:r>
                      </w:p>
                    </w:tc>
                    <w:tc>
                      <w:tcPr>
                        <w:tcW w:w="1806" w:type="dxa"/>
                      </w:tcPr>
                      <w:p>
                        <w:pPr>
                          <w:rPr>
                            <w:rFonts w:ascii="Georgia" w:eastAsia="Times New Roman" w:hAnsi="Georgia" w:cs="Arial"/>
                            <w:lang w:eastAsia="fr-BE"/>
                          </w:rPr>
                        </w:pPr>
                        <w:r>
                          <w:rPr>
                            <w:rFonts w:ascii="Georgia" w:eastAsia="Times New Roman" w:hAnsi="Georgia" w:cs="Arial"/>
                            <w:lang w:eastAsia="fr-BE"/>
                          </w:rPr>
                          <w:t>067/33.44.52</w:t>
                        </w:r>
                      </w:p>
                    </w:tc>
                    <w:tc>
                      <w:tcPr>
                        <w:tcW w:w="1638" w:type="dxa"/>
                      </w:tcPr>
                      <w:p>
                        <w:pPr>
                          <w:rPr>
                            <w:rFonts w:ascii="Georgia" w:eastAsia="Times New Roman" w:hAnsi="Georgia" w:cs="Arial"/>
                            <w:lang w:eastAsia="fr-BE"/>
                          </w:rPr>
                        </w:pPr>
                        <w:r>
                          <w:rPr>
                            <w:rFonts w:ascii="Georgia" w:eastAsia="Times New Roman" w:hAnsi="Georgia" w:cs="Arial"/>
                            <w:lang w:eastAsia="fr-BE"/>
                          </w:rPr>
                          <w:t>067/33.37.71</w:t>
                        </w:r>
                      </w:p>
                    </w:tc>
                    <w:tc>
                      <w:tcPr>
                        <w:tcW w:w="2759"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2725" w:type="dxa"/>
                        <w:vAlign w:val="center"/>
                      </w:tcPr>
                      <w:p>
                        <w:pPr>
                          <w:snapToGrid w:val="0"/>
                          <w:rPr>
                            <w:rFonts w:ascii="Georgia" w:hAnsi="Georgia" w:cs="Arial"/>
                          </w:rPr>
                        </w:pPr>
                        <w:r>
                          <w:rPr>
                            <w:rFonts w:ascii="Georgia" w:hAnsi="Georgia" w:cs="Arial"/>
                          </w:rPr>
                          <w:t>CPMS Libre HORNU II</w:t>
                        </w:r>
                      </w:p>
                    </w:tc>
                    <w:tc>
                      <w:tcPr>
                        <w:tcW w:w="2861" w:type="dxa"/>
                        <w:vAlign w:val="center"/>
                      </w:tcPr>
                      <w:p>
                        <w:pPr>
                          <w:snapToGrid w:val="0"/>
                          <w:rPr>
                            <w:rFonts w:ascii="Georgia" w:hAnsi="Georgia" w:cs="Arial"/>
                          </w:rPr>
                        </w:pPr>
                        <w:r>
                          <w:rPr>
                            <w:rFonts w:ascii="Georgia" w:hAnsi="Georgia" w:cs="Arial"/>
                          </w:rPr>
                          <w:t>Rue A. Demot, 9</w:t>
                        </w:r>
                      </w:p>
                    </w:tc>
                    <w:tc>
                      <w:tcPr>
                        <w:tcW w:w="2487" w:type="dxa"/>
                        <w:vAlign w:val="center"/>
                      </w:tcPr>
                      <w:p>
                        <w:pPr>
                          <w:snapToGrid w:val="0"/>
                          <w:rPr>
                            <w:rFonts w:ascii="Georgia" w:hAnsi="Georgia" w:cs="Arial"/>
                          </w:rPr>
                        </w:pPr>
                        <w:r>
                          <w:rPr>
                            <w:rFonts w:ascii="Georgia" w:hAnsi="Georgia" w:cs="Arial"/>
                          </w:rPr>
                          <w:t>7301 HORNU</w:t>
                        </w:r>
                      </w:p>
                    </w:tc>
                    <w:tc>
                      <w:tcPr>
                        <w:tcW w:w="1806" w:type="dxa"/>
                      </w:tcPr>
                      <w:p>
                        <w:pPr>
                          <w:rPr>
                            <w:rFonts w:ascii="Georgia" w:eastAsia="Times New Roman" w:hAnsi="Georgia" w:cs="Arial"/>
                            <w:lang w:eastAsia="fr-BE"/>
                          </w:rPr>
                        </w:pPr>
                        <w:r>
                          <w:rPr>
                            <w:rFonts w:ascii="Georgia" w:eastAsia="Times New Roman" w:hAnsi="Georgia" w:cs="Arial"/>
                            <w:lang w:eastAsia="fr-BE"/>
                          </w:rPr>
                          <w:t>065/80.34.74</w:t>
                        </w:r>
                      </w:p>
                    </w:tc>
                    <w:tc>
                      <w:tcPr>
                        <w:tcW w:w="1638" w:type="dxa"/>
                      </w:tcPr>
                      <w:p>
                        <w:pPr>
                          <w:rPr>
                            <w:rFonts w:ascii="Georgia" w:eastAsia="Times New Roman" w:hAnsi="Georgia" w:cs="Arial"/>
                            <w:lang w:eastAsia="fr-BE"/>
                          </w:rPr>
                        </w:pPr>
                        <w:r>
                          <w:rPr>
                            <w:rFonts w:ascii="Georgia" w:eastAsia="Times New Roman" w:hAnsi="Georgia" w:cs="Arial"/>
                            <w:lang w:eastAsia="fr-BE"/>
                          </w:rPr>
                          <w:t>065/80.34.73</w:t>
                        </w:r>
                      </w:p>
                    </w:tc>
                    <w:tc>
                      <w:tcPr>
                        <w:tcW w:w="2759" w:type="dxa"/>
                      </w:tcPr>
                      <w:p>
                        <w:pPr>
                          <w:snapToGrid w:val="0"/>
                          <w:jc w:val="center"/>
                          <w:rPr>
                            <w:rFonts w:ascii="Georgia" w:hAnsi="Georgia" w:cs="Arial"/>
                            <w:b/>
                            <w:bCs/>
                          </w:rPr>
                        </w:pPr>
                        <w:r>
                          <w:rPr>
                            <w:rFonts w:ascii="Georgia" w:hAnsi="Georgia" w:cs="Arial"/>
                            <w:b/>
                            <w:bCs/>
                          </w:rPr>
                          <w:t>Province du Hainaut</w:t>
                        </w:r>
                      </w:p>
                    </w:tc>
                  </w:tr>
                </w:tbl>
                <w:p>
                  <w:pPr>
                    <w:rPr>
                      <w:b/>
                      <w:u w:val="single"/>
                    </w:rPr>
                  </w:pPr>
                </w:p>
                <w:p>
                  <w:pPr>
                    <w:pStyle w:val="Titre4"/>
                  </w:pPr>
                  <w:bookmarkStart w:id="3408" w:name="_Annexe_5_:_4"/>
                  <w:bookmarkEnd w:id="3408"/>
                  <w:r>
                    <w:br w:type="page"/>
                    <w:t>Annexe 5 : Liste des centres psycho-medico-sociaux de l’enseignement ORDINAIRE</w:t>
                  </w:r>
                </w:p>
                <w:p>
                  <w:pPr>
                    <w:ind w:right="391"/>
                    <w:rPr>
                      <w:rFonts w:ascii="Arial" w:hAnsi="Arial" w:cs="Arial"/>
                      <w:b/>
                      <w:bCs/>
                    </w:rPr>
                  </w:pP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7"/>
                    <w:gridCol w:w="2802"/>
                    <w:gridCol w:w="2328"/>
                    <w:gridCol w:w="1594"/>
                    <w:gridCol w:w="1588"/>
                    <w:gridCol w:w="3562"/>
                  </w:tblGrid>
                  <w:tr>
                    <w:trPr>
                      <w:cantSplit/>
                      <w:trHeight w:val="397"/>
                    </w:trPr>
                    <w:tc>
                      <w:tcPr>
                        <w:tcW w:w="15021" w:type="dxa"/>
                        <w:gridSpan w:val="6"/>
                        <w:shd w:val="clear" w:color="auto" w:fill="EEECE1" w:themeFill="background2"/>
                      </w:tcPr>
                      <w:p>
                        <w:pPr>
                          <w:ind w:right="391"/>
                          <w:jc w:val="center"/>
                          <w:rPr>
                            <w:rFonts w:cs="Arial"/>
                            <w:b/>
                            <w:bCs/>
                            <w:sz w:val="36"/>
                            <w:szCs w:val="36"/>
                          </w:rPr>
                        </w:pPr>
                        <w:r>
                          <w:rPr>
                            <w:rFonts w:cs="Arial"/>
                            <w:b/>
                            <w:bCs/>
                            <w:sz w:val="36"/>
                            <w:szCs w:val="36"/>
                          </w:rPr>
                          <w:t>CPMS ORDINAIRE</w:t>
                        </w:r>
                      </w:p>
                      <w:p>
                        <w:pPr>
                          <w:ind w:right="391"/>
                          <w:jc w:val="center"/>
                          <w:rPr>
                            <w:rFonts w:ascii="Georgia" w:hAnsi="Georgia" w:cs="Arial"/>
                            <w:b/>
                            <w:bCs/>
                          </w:rPr>
                        </w:pPr>
                      </w:p>
                    </w:tc>
                  </w:tr>
                  <w:tr>
                    <w:trPr>
                      <w:cantSplit/>
                      <w:trHeight w:val="397"/>
                    </w:trPr>
                    <w:tc>
                      <w:tcPr>
                        <w:tcW w:w="3147" w:type="dxa"/>
                      </w:tcPr>
                      <w:p>
                        <w:pPr>
                          <w:ind w:right="391"/>
                          <w:jc w:val="center"/>
                          <w:rPr>
                            <w:rFonts w:ascii="Georgia" w:hAnsi="Georgia" w:cs="Arial"/>
                            <w:b/>
                            <w:bCs/>
                          </w:rPr>
                        </w:pPr>
                        <w:r>
                          <w:rPr>
                            <w:rFonts w:ascii="Georgia" w:hAnsi="Georgia" w:cs="Arial"/>
                            <w:b/>
                            <w:bCs/>
                          </w:rPr>
                          <w:t>Nom</w:t>
                        </w:r>
                      </w:p>
                    </w:tc>
                    <w:tc>
                      <w:tcPr>
                        <w:tcW w:w="2802" w:type="dxa"/>
                      </w:tcPr>
                      <w:p>
                        <w:pPr>
                          <w:ind w:right="391"/>
                          <w:jc w:val="center"/>
                          <w:rPr>
                            <w:rFonts w:ascii="Georgia" w:hAnsi="Georgia" w:cs="Arial"/>
                            <w:b/>
                            <w:bCs/>
                          </w:rPr>
                        </w:pPr>
                        <w:r>
                          <w:rPr>
                            <w:rFonts w:ascii="Georgia" w:hAnsi="Georgia" w:cs="Arial"/>
                            <w:b/>
                            <w:bCs/>
                          </w:rPr>
                          <w:t>Adresse</w:t>
                        </w:r>
                      </w:p>
                    </w:tc>
                    <w:tc>
                      <w:tcPr>
                        <w:tcW w:w="2328" w:type="dxa"/>
                      </w:tcPr>
                      <w:p>
                        <w:pPr>
                          <w:ind w:right="391"/>
                          <w:jc w:val="center"/>
                          <w:rPr>
                            <w:rFonts w:ascii="Georgia" w:hAnsi="Georgia" w:cs="Arial"/>
                            <w:b/>
                            <w:bCs/>
                          </w:rPr>
                        </w:pPr>
                        <w:r>
                          <w:rPr>
                            <w:rFonts w:ascii="Georgia" w:hAnsi="Georgia" w:cs="Arial"/>
                            <w:b/>
                            <w:bCs/>
                          </w:rPr>
                          <w:t>Localité</w:t>
                        </w:r>
                      </w:p>
                    </w:tc>
                    <w:tc>
                      <w:tcPr>
                        <w:tcW w:w="1594" w:type="dxa"/>
                      </w:tcPr>
                      <w:p>
                        <w:pPr>
                          <w:spacing w:before="120"/>
                          <w:jc w:val="center"/>
                          <w:rPr>
                            <w:rFonts w:ascii="Georgia" w:hAnsi="Georgia" w:cs="Arial"/>
                            <w:b/>
                          </w:rPr>
                        </w:pPr>
                        <w:r>
                          <w:rPr>
                            <w:rFonts w:ascii="Georgia" w:hAnsi="Georgia" w:cs="Arial"/>
                            <w:b/>
                          </w:rPr>
                          <w:t>Tel.</w:t>
                        </w:r>
                      </w:p>
                    </w:tc>
                    <w:tc>
                      <w:tcPr>
                        <w:tcW w:w="1588" w:type="dxa"/>
                      </w:tcPr>
                      <w:p>
                        <w:pPr>
                          <w:spacing w:before="120"/>
                          <w:jc w:val="center"/>
                          <w:rPr>
                            <w:rFonts w:ascii="Georgia" w:hAnsi="Georgia" w:cs="Arial"/>
                            <w:b/>
                          </w:rPr>
                        </w:pPr>
                        <w:r>
                          <w:rPr>
                            <w:rFonts w:ascii="Georgia" w:hAnsi="Georgia" w:cs="Arial"/>
                            <w:b/>
                          </w:rPr>
                          <w:t>Fax</w:t>
                        </w:r>
                      </w:p>
                    </w:tc>
                    <w:tc>
                      <w:tcPr>
                        <w:tcW w:w="3562" w:type="dxa"/>
                      </w:tcPr>
                      <w:p>
                        <w:pPr>
                          <w:jc w:val="center"/>
                          <w:rPr>
                            <w:rFonts w:ascii="Georgia" w:hAnsi="Georgia" w:cs="Arial"/>
                            <w:b/>
                            <w:bCs/>
                          </w:rPr>
                        </w:pPr>
                        <w:r>
                          <w:rPr>
                            <w:rFonts w:ascii="Georgia" w:hAnsi="Georgia" w:cs="Arial"/>
                            <w:b/>
                            <w:bCs/>
                          </w:rPr>
                          <w:t>Arrondissement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Communal II </w:t>
                        </w:r>
                      </w:p>
                    </w:tc>
                    <w:tc>
                      <w:tcPr>
                        <w:tcW w:w="2802" w:type="dxa"/>
                        <w:vAlign w:val="center"/>
                      </w:tcPr>
                      <w:p>
                        <w:pPr>
                          <w:snapToGrid w:val="0"/>
                          <w:rPr>
                            <w:rFonts w:ascii="Georgia" w:hAnsi="Georgia" w:cs="Arial"/>
                          </w:rPr>
                        </w:pPr>
                        <w:r>
                          <w:rPr>
                            <w:rFonts w:ascii="Georgia" w:hAnsi="Georgia" w:cs="Arial"/>
                          </w:rPr>
                          <w:t xml:space="preserve">Rue Melsens, 38 </w:t>
                        </w:r>
                      </w:p>
                    </w:tc>
                    <w:tc>
                      <w:tcPr>
                        <w:tcW w:w="2328" w:type="dxa"/>
                        <w:vAlign w:val="center"/>
                      </w:tcPr>
                      <w:p>
                        <w:pPr>
                          <w:snapToGrid w:val="0"/>
                          <w:rPr>
                            <w:rFonts w:ascii="Georgia" w:hAnsi="Georgia" w:cs="Arial"/>
                          </w:rPr>
                        </w:pPr>
                        <w:r>
                          <w:rPr>
                            <w:rFonts w:ascii="Georgia" w:hAnsi="Georgia" w:cs="Arial"/>
                          </w:rPr>
                          <w:t xml:space="preserve">1000 BRUXELLES </w:t>
                        </w:r>
                      </w:p>
                    </w:tc>
                    <w:tc>
                      <w:tcPr>
                        <w:tcW w:w="1594" w:type="dxa"/>
                      </w:tcPr>
                      <w:p>
                        <w:pPr>
                          <w:rPr>
                            <w:rFonts w:ascii="Georgia" w:eastAsia="Times New Roman" w:hAnsi="Georgia" w:cs="Arial"/>
                            <w:lang w:eastAsia="fr-BE"/>
                          </w:rPr>
                        </w:pPr>
                        <w:r>
                          <w:rPr>
                            <w:rFonts w:ascii="Georgia" w:eastAsia="Times New Roman" w:hAnsi="Georgia" w:cs="Arial"/>
                            <w:lang w:eastAsia="fr-BE"/>
                          </w:rPr>
                          <w:t>02/276.63.20</w:t>
                        </w:r>
                      </w:p>
                    </w:tc>
                    <w:tc>
                      <w:tcPr>
                        <w:tcW w:w="1588" w:type="dxa"/>
                      </w:tcPr>
                      <w:p>
                        <w:pPr>
                          <w:rPr>
                            <w:rFonts w:ascii="Georgia" w:eastAsia="Times New Roman" w:hAnsi="Georgia" w:cs="Arial"/>
                            <w:lang w:eastAsia="fr-BE"/>
                          </w:rPr>
                        </w:pPr>
                        <w:r>
                          <w:rPr>
                            <w:rFonts w:ascii="Georgia" w:eastAsia="Times New Roman" w:hAnsi="Georgia" w:cs="Arial"/>
                            <w:lang w:eastAsia="fr-BE"/>
                          </w:rPr>
                          <w:t>02/279.63.29</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Communal III </w:t>
                        </w:r>
                      </w:p>
                    </w:tc>
                    <w:tc>
                      <w:tcPr>
                        <w:tcW w:w="2802" w:type="dxa"/>
                        <w:vAlign w:val="center"/>
                      </w:tcPr>
                      <w:p>
                        <w:pPr>
                          <w:snapToGrid w:val="0"/>
                          <w:rPr>
                            <w:rFonts w:ascii="Georgia" w:hAnsi="Georgia" w:cs="Arial"/>
                          </w:rPr>
                        </w:pPr>
                        <w:r>
                          <w:rPr>
                            <w:rFonts w:ascii="Georgia" w:hAnsi="Georgia" w:cs="Arial"/>
                          </w:rPr>
                          <w:t>Quai aux barques, 6</w:t>
                        </w:r>
                      </w:p>
                    </w:tc>
                    <w:tc>
                      <w:tcPr>
                        <w:tcW w:w="2328" w:type="dxa"/>
                        <w:vAlign w:val="center"/>
                      </w:tcPr>
                      <w:p>
                        <w:pPr>
                          <w:snapToGrid w:val="0"/>
                          <w:rPr>
                            <w:rFonts w:ascii="Georgia" w:hAnsi="Georgia" w:cs="Arial"/>
                          </w:rPr>
                        </w:pPr>
                        <w:r>
                          <w:rPr>
                            <w:rFonts w:ascii="Georgia" w:hAnsi="Georgia" w:cs="Arial"/>
                          </w:rPr>
                          <w:t>1000 BRUXELLES</w:t>
                        </w:r>
                      </w:p>
                    </w:tc>
                    <w:tc>
                      <w:tcPr>
                        <w:tcW w:w="1594" w:type="dxa"/>
                      </w:tcPr>
                      <w:p>
                        <w:pPr>
                          <w:rPr>
                            <w:rFonts w:ascii="Georgia" w:eastAsia="Times New Roman" w:hAnsi="Georgia" w:cs="Arial"/>
                            <w:lang w:eastAsia="fr-BE"/>
                          </w:rPr>
                        </w:pPr>
                        <w:r>
                          <w:rPr>
                            <w:rFonts w:ascii="Georgia" w:eastAsia="Times New Roman" w:hAnsi="Georgia" w:cs="Arial"/>
                            <w:lang w:eastAsia="fr-BE"/>
                          </w:rPr>
                          <w:t>02/210.18.10</w:t>
                        </w:r>
                      </w:p>
                    </w:tc>
                    <w:tc>
                      <w:tcPr>
                        <w:tcW w:w="1588" w:type="dxa"/>
                      </w:tcPr>
                      <w:p>
                        <w:pPr>
                          <w:rPr>
                            <w:rFonts w:ascii="Georgia" w:eastAsia="Times New Roman" w:hAnsi="Georgia" w:cs="Arial"/>
                            <w:lang w:eastAsia="fr-BE"/>
                          </w:rPr>
                        </w:pPr>
                        <w:r>
                          <w:rPr>
                            <w:rFonts w:ascii="Georgia" w:eastAsia="Times New Roman" w:hAnsi="Georgia" w:cs="Arial"/>
                            <w:lang w:eastAsia="fr-BE"/>
                          </w:rPr>
                          <w:t>02/210.18.28</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Communal IV</w:t>
                        </w:r>
                      </w:p>
                    </w:tc>
                    <w:tc>
                      <w:tcPr>
                        <w:tcW w:w="2802" w:type="dxa"/>
                        <w:vAlign w:val="center"/>
                      </w:tcPr>
                      <w:p>
                        <w:pPr>
                          <w:snapToGrid w:val="0"/>
                          <w:rPr>
                            <w:rFonts w:ascii="Georgia" w:hAnsi="Georgia" w:cs="Arial"/>
                          </w:rPr>
                        </w:pPr>
                        <w:r>
                          <w:rPr>
                            <w:rFonts w:ascii="Georgia" w:hAnsi="Georgia" w:cs="Arial"/>
                          </w:rPr>
                          <w:t>Rue Philippe de Champagne, 52</w:t>
                        </w:r>
                      </w:p>
                    </w:tc>
                    <w:tc>
                      <w:tcPr>
                        <w:tcW w:w="2328" w:type="dxa"/>
                        <w:vAlign w:val="center"/>
                      </w:tcPr>
                      <w:p>
                        <w:pPr>
                          <w:snapToGrid w:val="0"/>
                          <w:rPr>
                            <w:rFonts w:ascii="Georgia" w:hAnsi="Georgia" w:cs="Arial"/>
                          </w:rPr>
                        </w:pPr>
                        <w:r>
                          <w:rPr>
                            <w:rFonts w:ascii="Georgia" w:hAnsi="Georgia" w:cs="Arial"/>
                          </w:rPr>
                          <w:t>1000 BRUXELLES</w:t>
                        </w:r>
                      </w:p>
                    </w:tc>
                    <w:tc>
                      <w:tcPr>
                        <w:tcW w:w="1594" w:type="dxa"/>
                      </w:tcPr>
                      <w:p>
                        <w:pPr>
                          <w:rPr>
                            <w:rFonts w:ascii="Georgia" w:eastAsia="Times New Roman" w:hAnsi="Georgia" w:cs="Arial"/>
                            <w:lang w:eastAsia="fr-BE"/>
                          </w:rPr>
                        </w:pPr>
                        <w:r>
                          <w:rPr>
                            <w:rFonts w:ascii="Georgia" w:eastAsia="Times New Roman" w:hAnsi="Georgia" w:cs="Arial"/>
                            <w:lang w:eastAsia="fr-BE"/>
                          </w:rPr>
                          <w:t>02/548.05.10</w:t>
                        </w:r>
                      </w:p>
                    </w:tc>
                    <w:tc>
                      <w:tcPr>
                        <w:tcW w:w="1588" w:type="dxa"/>
                      </w:tcPr>
                      <w:p>
                        <w:pPr>
                          <w:rPr>
                            <w:rFonts w:ascii="Georgia" w:eastAsia="Times New Roman" w:hAnsi="Georgia" w:cs="Arial"/>
                            <w:lang w:eastAsia="fr-BE"/>
                          </w:rPr>
                        </w:pPr>
                        <w:r>
                          <w:rPr>
                            <w:rFonts w:ascii="Georgia" w:eastAsia="Times New Roman" w:hAnsi="Georgia" w:cs="Arial"/>
                            <w:lang w:eastAsia="fr-BE"/>
                          </w:rPr>
                          <w:t>02/548.05.18</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BRUXELLES I</w:t>
                        </w:r>
                      </w:p>
                    </w:tc>
                    <w:tc>
                      <w:tcPr>
                        <w:tcW w:w="2802" w:type="dxa"/>
                        <w:vAlign w:val="center"/>
                      </w:tcPr>
                      <w:p>
                        <w:pPr>
                          <w:snapToGrid w:val="0"/>
                          <w:rPr>
                            <w:rFonts w:ascii="Georgia" w:hAnsi="Georgia" w:cs="Arial"/>
                          </w:rPr>
                        </w:pPr>
                        <w:r>
                          <w:rPr>
                            <w:rFonts w:ascii="Georgia" w:hAnsi="Georgia" w:cs="Arial"/>
                          </w:rPr>
                          <w:t>Rue de Dinant, 39</w:t>
                        </w:r>
                      </w:p>
                    </w:tc>
                    <w:tc>
                      <w:tcPr>
                        <w:tcW w:w="2328" w:type="dxa"/>
                        <w:vAlign w:val="center"/>
                      </w:tcPr>
                      <w:p>
                        <w:pPr>
                          <w:snapToGrid w:val="0"/>
                          <w:rPr>
                            <w:rFonts w:ascii="Georgia" w:hAnsi="Georgia" w:cs="Arial"/>
                          </w:rPr>
                        </w:pPr>
                        <w:r>
                          <w:rPr>
                            <w:rFonts w:ascii="Georgia" w:hAnsi="Georgia" w:cs="Arial"/>
                          </w:rPr>
                          <w:t>1000 BRUXELLES</w:t>
                        </w:r>
                      </w:p>
                    </w:tc>
                    <w:tc>
                      <w:tcPr>
                        <w:tcW w:w="1594" w:type="dxa"/>
                      </w:tcPr>
                      <w:p>
                        <w:pPr>
                          <w:rPr>
                            <w:rFonts w:ascii="Georgia" w:eastAsia="Times New Roman" w:hAnsi="Georgia" w:cs="Arial"/>
                            <w:lang w:eastAsia="fr-BE"/>
                          </w:rPr>
                        </w:pPr>
                        <w:r>
                          <w:rPr>
                            <w:rFonts w:ascii="Georgia" w:eastAsia="Times New Roman" w:hAnsi="Georgia" w:cs="Arial"/>
                            <w:lang w:eastAsia="fr-BE"/>
                          </w:rPr>
                          <w:t>02/512.98.36</w:t>
                        </w:r>
                      </w:p>
                    </w:tc>
                    <w:tc>
                      <w:tcPr>
                        <w:tcW w:w="1588" w:type="dxa"/>
                      </w:tcPr>
                      <w:p>
                        <w:pPr>
                          <w:rPr>
                            <w:rFonts w:ascii="Georgia" w:eastAsia="Times New Roman" w:hAnsi="Georgia" w:cs="Arial"/>
                            <w:lang w:eastAsia="fr-BE"/>
                          </w:rPr>
                        </w:pPr>
                        <w:r>
                          <w:rPr>
                            <w:rFonts w:ascii="Georgia" w:eastAsia="Times New Roman" w:hAnsi="Georgia" w:cs="Arial"/>
                            <w:lang w:eastAsia="fr-BE"/>
                          </w:rPr>
                          <w:t>02/511.11.61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BRUXELLES II</w:t>
                        </w:r>
                      </w:p>
                    </w:tc>
                    <w:tc>
                      <w:tcPr>
                        <w:tcW w:w="2802" w:type="dxa"/>
                        <w:vAlign w:val="center"/>
                      </w:tcPr>
                      <w:p>
                        <w:pPr>
                          <w:snapToGrid w:val="0"/>
                          <w:rPr>
                            <w:rFonts w:ascii="Georgia" w:hAnsi="Georgia" w:cs="Arial"/>
                          </w:rPr>
                        </w:pPr>
                        <w:r>
                          <w:rPr>
                            <w:rFonts w:ascii="Georgia" w:hAnsi="Georgia" w:cs="Arial"/>
                          </w:rPr>
                          <w:t>Rue de Dinant, 39</w:t>
                        </w:r>
                      </w:p>
                    </w:tc>
                    <w:tc>
                      <w:tcPr>
                        <w:tcW w:w="2328" w:type="dxa"/>
                        <w:vAlign w:val="center"/>
                      </w:tcPr>
                      <w:p>
                        <w:pPr>
                          <w:snapToGrid w:val="0"/>
                          <w:rPr>
                            <w:rFonts w:ascii="Georgia" w:hAnsi="Georgia" w:cs="Arial"/>
                          </w:rPr>
                        </w:pPr>
                        <w:r>
                          <w:rPr>
                            <w:rFonts w:ascii="Georgia" w:hAnsi="Georgia" w:cs="Arial"/>
                          </w:rPr>
                          <w:t>1000 BRUXELLES</w:t>
                        </w:r>
                      </w:p>
                    </w:tc>
                    <w:tc>
                      <w:tcPr>
                        <w:tcW w:w="1594" w:type="dxa"/>
                      </w:tcPr>
                      <w:p>
                        <w:pPr>
                          <w:rPr>
                            <w:rFonts w:ascii="Georgia" w:eastAsia="Times New Roman" w:hAnsi="Georgia" w:cs="Arial"/>
                            <w:lang w:eastAsia="fr-BE"/>
                          </w:rPr>
                        </w:pPr>
                        <w:r>
                          <w:rPr>
                            <w:rFonts w:ascii="Georgia" w:eastAsia="Times New Roman" w:hAnsi="Georgia" w:cs="Arial"/>
                            <w:lang w:eastAsia="fr-BE"/>
                          </w:rPr>
                          <w:t>02/512.87.17</w:t>
                        </w:r>
                      </w:p>
                    </w:tc>
                    <w:tc>
                      <w:tcPr>
                        <w:tcW w:w="1588" w:type="dxa"/>
                      </w:tcPr>
                      <w:p>
                        <w:pPr>
                          <w:rPr>
                            <w:rFonts w:ascii="Georgia" w:eastAsia="Times New Roman" w:hAnsi="Georgia" w:cs="Arial"/>
                            <w:lang w:eastAsia="fr-BE"/>
                          </w:rPr>
                        </w:pPr>
                        <w:r>
                          <w:rPr>
                            <w:rFonts w:ascii="Georgia" w:eastAsia="Times New Roman" w:hAnsi="Georgia" w:cs="Arial"/>
                            <w:lang w:eastAsia="fr-BE"/>
                          </w:rPr>
                          <w:t>02/511.11.61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BRUXELLES Sud</w:t>
                        </w:r>
                      </w:p>
                    </w:tc>
                    <w:tc>
                      <w:tcPr>
                        <w:tcW w:w="2802" w:type="dxa"/>
                        <w:vAlign w:val="center"/>
                      </w:tcPr>
                      <w:p>
                        <w:pPr>
                          <w:snapToGrid w:val="0"/>
                          <w:rPr>
                            <w:rFonts w:ascii="Georgia" w:hAnsi="Georgia" w:cs="Arial"/>
                          </w:rPr>
                        </w:pPr>
                        <w:r>
                          <w:rPr>
                            <w:rFonts w:ascii="Georgia" w:hAnsi="Georgia" w:cs="Arial"/>
                          </w:rPr>
                          <w:t>Rue de Dinant, 39</w:t>
                        </w:r>
                      </w:p>
                    </w:tc>
                    <w:tc>
                      <w:tcPr>
                        <w:tcW w:w="2328" w:type="dxa"/>
                        <w:vAlign w:val="center"/>
                      </w:tcPr>
                      <w:p>
                        <w:pPr>
                          <w:snapToGrid w:val="0"/>
                          <w:rPr>
                            <w:rFonts w:ascii="Georgia" w:hAnsi="Georgia" w:cs="Arial"/>
                          </w:rPr>
                        </w:pPr>
                        <w:r>
                          <w:rPr>
                            <w:rFonts w:ascii="Georgia" w:hAnsi="Georgia" w:cs="Arial"/>
                          </w:rPr>
                          <w:t>1000 BRUXELLES</w:t>
                        </w:r>
                      </w:p>
                    </w:tc>
                    <w:tc>
                      <w:tcPr>
                        <w:tcW w:w="1594" w:type="dxa"/>
                      </w:tcPr>
                      <w:p>
                        <w:pPr>
                          <w:rPr>
                            <w:rFonts w:ascii="Georgia" w:eastAsia="Times New Roman" w:hAnsi="Georgia" w:cs="Arial"/>
                            <w:lang w:eastAsia="fr-BE"/>
                          </w:rPr>
                        </w:pPr>
                        <w:r>
                          <w:rPr>
                            <w:rFonts w:ascii="Georgia" w:eastAsia="Times New Roman" w:hAnsi="Georgia" w:cs="Arial"/>
                            <w:lang w:eastAsia="fr-BE"/>
                          </w:rPr>
                          <w:t>02/344.57.54</w:t>
                        </w:r>
                      </w:p>
                    </w:tc>
                    <w:tc>
                      <w:tcPr>
                        <w:tcW w:w="1588" w:type="dxa"/>
                      </w:tcPr>
                      <w:p>
                        <w:pPr>
                          <w:rPr>
                            <w:rFonts w:ascii="Georgia" w:eastAsia="Times New Roman" w:hAnsi="Georgia" w:cs="Arial"/>
                            <w:lang w:eastAsia="fr-BE"/>
                          </w:rPr>
                        </w:pPr>
                        <w:r>
                          <w:rPr>
                            <w:rFonts w:ascii="Georgia" w:eastAsia="Times New Roman" w:hAnsi="Georgia" w:cs="Arial"/>
                            <w:lang w:eastAsia="fr-BE"/>
                          </w:rPr>
                          <w:t>02/343.09.30</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BRUXELLES Nord</w:t>
                        </w:r>
                      </w:p>
                    </w:tc>
                    <w:tc>
                      <w:tcPr>
                        <w:tcW w:w="2802" w:type="dxa"/>
                        <w:vAlign w:val="center"/>
                      </w:tcPr>
                      <w:p>
                        <w:pPr>
                          <w:snapToGrid w:val="0"/>
                          <w:rPr>
                            <w:rFonts w:ascii="Georgia" w:hAnsi="Georgia" w:cs="Arial"/>
                          </w:rPr>
                        </w:pPr>
                        <w:r>
                          <w:rPr>
                            <w:rFonts w:ascii="Georgia" w:hAnsi="Georgia" w:cs="Arial"/>
                          </w:rPr>
                          <w:t>Rue de Dinant, 39</w:t>
                        </w:r>
                      </w:p>
                    </w:tc>
                    <w:tc>
                      <w:tcPr>
                        <w:tcW w:w="2328" w:type="dxa"/>
                        <w:vAlign w:val="center"/>
                      </w:tcPr>
                      <w:p>
                        <w:pPr>
                          <w:snapToGrid w:val="0"/>
                          <w:rPr>
                            <w:rFonts w:ascii="Georgia" w:hAnsi="Georgia" w:cs="Arial"/>
                          </w:rPr>
                        </w:pPr>
                        <w:r>
                          <w:rPr>
                            <w:rFonts w:ascii="Georgia" w:hAnsi="Georgia" w:cs="Arial"/>
                          </w:rPr>
                          <w:t>1000 BRUXELLES</w:t>
                        </w:r>
                      </w:p>
                    </w:tc>
                    <w:tc>
                      <w:tcPr>
                        <w:tcW w:w="1594" w:type="dxa"/>
                      </w:tcPr>
                      <w:p>
                        <w:pPr>
                          <w:rPr>
                            <w:rFonts w:ascii="Georgia" w:eastAsia="Times New Roman" w:hAnsi="Georgia" w:cs="Arial"/>
                            <w:lang w:eastAsia="fr-BE"/>
                          </w:rPr>
                        </w:pPr>
                        <w:r>
                          <w:rPr>
                            <w:rFonts w:ascii="Georgia" w:eastAsia="Times New Roman" w:hAnsi="Georgia" w:cs="Arial"/>
                            <w:lang w:eastAsia="fr-BE"/>
                          </w:rPr>
                          <w:t>02/512.87.17</w:t>
                        </w:r>
                      </w:p>
                    </w:tc>
                    <w:tc>
                      <w:tcPr>
                        <w:tcW w:w="1588" w:type="dxa"/>
                      </w:tcPr>
                      <w:p>
                        <w:pPr>
                          <w:rPr>
                            <w:rFonts w:ascii="Georgia" w:eastAsia="Times New Roman" w:hAnsi="Georgia" w:cs="Arial"/>
                            <w:lang w:eastAsia="fr-BE"/>
                          </w:rPr>
                        </w:pPr>
                        <w:r>
                          <w:rPr>
                            <w:rFonts w:ascii="Georgia" w:eastAsia="Times New Roman" w:hAnsi="Georgia" w:cs="Arial"/>
                            <w:lang w:eastAsia="fr-BE"/>
                          </w:rPr>
                          <w:t> </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BRUXELLES Nord Ouest</w:t>
                        </w:r>
                      </w:p>
                    </w:tc>
                    <w:tc>
                      <w:tcPr>
                        <w:tcW w:w="2802" w:type="dxa"/>
                        <w:vAlign w:val="center"/>
                      </w:tcPr>
                      <w:p>
                        <w:pPr>
                          <w:snapToGrid w:val="0"/>
                          <w:rPr>
                            <w:rFonts w:ascii="Georgia" w:hAnsi="Georgia" w:cs="Arial"/>
                          </w:rPr>
                        </w:pPr>
                        <w:r>
                          <w:rPr>
                            <w:rFonts w:ascii="Georgia" w:hAnsi="Georgia" w:cs="Arial"/>
                          </w:rPr>
                          <w:t>Rue de Dinant, 39</w:t>
                        </w:r>
                      </w:p>
                    </w:tc>
                    <w:tc>
                      <w:tcPr>
                        <w:tcW w:w="2328" w:type="dxa"/>
                        <w:vAlign w:val="center"/>
                      </w:tcPr>
                      <w:p>
                        <w:pPr>
                          <w:snapToGrid w:val="0"/>
                          <w:rPr>
                            <w:rFonts w:ascii="Georgia" w:hAnsi="Georgia" w:cs="Arial"/>
                          </w:rPr>
                        </w:pPr>
                        <w:r>
                          <w:rPr>
                            <w:rFonts w:ascii="Georgia" w:hAnsi="Georgia" w:cs="Arial"/>
                          </w:rPr>
                          <w:t>1000 BRUXELLES</w:t>
                        </w:r>
                      </w:p>
                    </w:tc>
                    <w:tc>
                      <w:tcPr>
                        <w:tcW w:w="1594" w:type="dxa"/>
                      </w:tcPr>
                      <w:p>
                        <w:pPr>
                          <w:rPr>
                            <w:rFonts w:ascii="Georgia" w:eastAsia="Times New Roman" w:hAnsi="Georgia" w:cs="Arial"/>
                            <w:lang w:eastAsia="fr-BE"/>
                          </w:rPr>
                        </w:pPr>
                        <w:r>
                          <w:rPr>
                            <w:rFonts w:ascii="Georgia" w:eastAsia="Times New Roman" w:hAnsi="Georgia" w:cs="Arial"/>
                            <w:lang w:eastAsia="fr-BE"/>
                          </w:rPr>
                          <w:t>02/512.65.78</w:t>
                        </w:r>
                      </w:p>
                    </w:tc>
                    <w:tc>
                      <w:tcPr>
                        <w:tcW w:w="1588" w:type="dxa"/>
                      </w:tcPr>
                      <w:p>
                        <w:pPr>
                          <w:rPr>
                            <w:rFonts w:ascii="Georgia" w:eastAsia="Times New Roman" w:hAnsi="Georgia" w:cs="Arial"/>
                            <w:lang w:eastAsia="fr-BE"/>
                          </w:rPr>
                        </w:pPr>
                        <w:r>
                          <w:rPr>
                            <w:rFonts w:ascii="Georgia" w:eastAsia="Times New Roman" w:hAnsi="Georgia" w:cs="Arial"/>
                            <w:lang w:eastAsia="fr-BE"/>
                          </w:rPr>
                          <w:t>02/511.11.61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Communal I</w:t>
                        </w:r>
                      </w:p>
                    </w:tc>
                    <w:tc>
                      <w:tcPr>
                        <w:tcW w:w="2802" w:type="dxa"/>
                        <w:vAlign w:val="center"/>
                      </w:tcPr>
                      <w:p>
                        <w:pPr>
                          <w:snapToGrid w:val="0"/>
                          <w:rPr>
                            <w:rFonts w:ascii="Georgia" w:hAnsi="Georgia" w:cs="Arial"/>
                          </w:rPr>
                        </w:pPr>
                        <w:r>
                          <w:rPr>
                            <w:rFonts w:ascii="Georgia" w:hAnsi="Georgia" w:cs="Arial"/>
                          </w:rPr>
                          <w:t>Rue Melsens,38</w:t>
                        </w:r>
                      </w:p>
                    </w:tc>
                    <w:tc>
                      <w:tcPr>
                        <w:tcW w:w="2328" w:type="dxa"/>
                        <w:vAlign w:val="center"/>
                      </w:tcPr>
                      <w:p>
                        <w:pPr>
                          <w:snapToGrid w:val="0"/>
                          <w:rPr>
                            <w:rFonts w:ascii="Georgia" w:hAnsi="Georgia" w:cs="Arial"/>
                          </w:rPr>
                        </w:pPr>
                        <w:r>
                          <w:rPr>
                            <w:rFonts w:ascii="Georgia" w:hAnsi="Georgia" w:cs="Arial"/>
                          </w:rPr>
                          <w:t>1000 BRUXELLES</w:t>
                        </w:r>
                      </w:p>
                    </w:tc>
                    <w:tc>
                      <w:tcPr>
                        <w:tcW w:w="1594" w:type="dxa"/>
                      </w:tcPr>
                      <w:p>
                        <w:pPr>
                          <w:rPr>
                            <w:rFonts w:ascii="Georgia" w:eastAsia="Times New Roman" w:hAnsi="Georgia" w:cs="Arial"/>
                            <w:lang w:eastAsia="fr-BE"/>
                          </w:rPr>
                        </w:pPr>
                        <w:r>
                          <w:rPr>
                            <w:rFonts w:ascii="Georgia" w:eastAsia="Times New Roman" w:hAnsi="Georgia" w:cs="Arial"/>
                            <w:lang w:eastAsia="fr-BE"/>
                          </w:rPr>
                          <w:t>02/279.63.00</w:t>
                        </w:r>
                      </w:p>
                    </w:tc>
                    <w:tc>
                      <w:tcPr>
                        <w:tcW w:w="1588" w:type="dxa"/>
                      </w:tcPr>
                      <w:p>
                        <w:pPr>
                          <w:rPr>
                            <w:rFonts w:ascii="Georgia" w:eastAsia="Times New Roman" w:hAnsi="Georgia" w:cs="Arial"/>
                            <w:lang w:eastAsia="fr-BE"/>
                          </w:rPr>
                        </w:pPr>
                        <w:r>
                          <w:rPr>
                            <w:rFonts w:ascii="Georgia" w:eastAsia="Times New Roman" w:hAnsi="Georgia" w:cs="Arial"/>
                            <w:lang w:eastAsia="fr-BE"/>
                          </w:rPr>
                          <w:t>02/279.63.09</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Communal</w:t>
                        </w:r>
                      </w:p>
                    </w:tc>
                    <w:tc>
                      <w:tcPr>
                        <w:tcW w:w="2802" w:type="dxa"/>
                        <w:vAlign w:val="center"/>
                      </w:tcPr>
                      <w:p>
                        <w:pPr>
                          <w:snapToGrid w:val="0"/>
                          <w:rPr>
                            <w:rFonts w:ascii="Georgia" w:hAnsi="Georgia" w:cs="Arial"/>
                          </w:rPr>
                        </w:pPr>
                        <w:r>
                          <w:rPr>
                            <w:rFonts w:ascii="Georgia" w:hAnsi="Georgia" w:cs="Arial"/>
                          </w:rPr>
                          <w:t>Rue Vifquin, 2</w:t>
                        </w:r>
                      </w:p>
                    </w:tc>
                    <w:tc>
                      <w:tcPr>
                        <w:tcW w:w="2328" w:type="dxa"/>
                        <w:vAlign w:val="center"/>
                      </w:tcPr>
                      <w:p>
                        <w:pPr>
                          <w:snapToGrid w:val="0"/>
                          <w:rPr>
                            <w:rFonts w:ascii="Georgia" w:hAnsi="Georgia" w:cs="Arial"/>
                          </w:rPr>
                        </w:pPr>
                        <w:r>
                          <w:rPr>
                            <w:rFonts w:ascii="Georgia" w:hAnsi="Georgia" w:cs="Arial"/>
                          </w:rPr>
                          <w:t>1030 SCHAERBEEK</w:t>
                        </w:r>
                      </w:p>
                    </w:tc>
                    <w:tc>
                      <w:tcPr>
                        <w:tcW w:w="1594" w:type="dxa"/>
                      </w:tcPr>
                      <w:p>
                        <w:pPr>
                          <w:rPr>
                            <w:rFonts w:ascii="Georgia" w:eastAsia="Times New Roman" w:hAnsi="Georgia" w:cs="Arial"/>
                            <w:lang w:eastAsia="fr-BE"/>
                          </w:rPr>
                        </w:pPr>
                        <w:r>
                          <w:rPr>
                            <w:rFonts w:ascii="Georgia" w:eastAsia="Times New Roman" w:hAnsi="Georgia" w:cs="Arial"/>
                            <w:lang w:eastAsia="fr-BE"/>
                          </w:rPr>
                          <w:t>02/240.32.64</w:t>
                        </w:r>
                      </w:p>
                    </w:tc>
                    <w:tc>
                      <w:tcPr>
                        <w:tcW w:w="1588" w:type="dxa"/>
                      </w:tcPr>
                      <w:p>
                        <w:pPr>
                          <w:rPr>
                            <w:rFonts w:ascii="Georgia" w:eastAsia="Times New Roman" w:hAnsi="Georgia" w:cs="Arial"/>
                            <w:lang w:eastAsia="fr-BE"/>
                          </w:rPr>
                        </w:pPr>
                        <w:r>
                          <w:rPr>
                            <w:rFonts w:ascii="Georgia" w:eastAsia="Times New Roman" w:hAnsi="Georgia" w:cs="Arial"/>
                            <w:lang w:eastAsia="fr-BE"/>
                          </w:rPr>
                          <w:t>02/240.32.83</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Avenue du onze Novembre, 57</w:t>
                        </w:r>
                      </w:p>
                    </w:tc>
                    <w:tc>
                      <w:tcPr>
                        <w:tcW w:w="2328" w:type="dxa"/>
                        <w:vAlign w:val="center"/>
                      </w:tcPr>
                      <w:p>
                        <w:pPr>
                          <w:snapToGrid w:val="0"/>
                          <w:rPr>
                            <w:rFonts w:ascii="Georgia" w:hAnsi="Georgia" w:cs="Arial"/>
                          </w:rPr>
                        </w:pPr>
                        <w:r>
                          <w:rPr>
                            <w:rFonts w:ascii="Georgia" w:hAnsi="Georgia" w:cs="Arial"/>
                          </w:rPr>
                          <w:t>1040 ETTERBEEK</w:t>
                        </w:r>
                      </w:p>
                    </w:tc>
                    <w:tc>
                      <w:tcPr>
                        <w:tcW w:w="1594" w:type="dxa"/>
                      </w:tcPr>
                      <w:p>
                        <w:pPr>
                          <w:rPr>
                            <w:rFonts w:ascii="Georgia" w:eastAsia="Times New Roman" w:hAnsi="Georgia" w:cs="Arial"/>
                            <w:lang w:eastAsia="fr-BE"/>
                          </w:rPr>
                        </w:pPr>
                        <w:r>
                          <w:rPr>
                            <w:rFonts w:ascii="Georgia" w:eastAsia="Times New Roman" w:hAnsi="Georgia" w:cs="Arial"/>
                            <w:lang w:eastAsia="fr-BE"/>
                          </w:rPr>
                          <w:t>02/513.20.55</w:t>
                        </w:r>
                      </w:p>
                    </w:tc>
                    <w:tc>
                      <w:tcPr>
                        <w:tcW w:w="1588" w:type="dxa"/>
                      </w:tcPr>
                      <w:p>
                        <w:pPr>
                          <w:rPr>
                            <w:rFonts w:ascii="Georgia" w:eastAsia="Times New Roman" w:hAnsi="Georgia" w:cs="Arial"/>
                            <w:lang w:eastAsia="fr-BE"/>
                          </w:rPr>
                        </w:pPr>
                        <w:r>
                          <w:rPr>
                            <w:rFonts w:ascii="Georgia" w:eastAsia="Times New Roman" w:hAnsi="Georgia" w:cs="Arial"/>
                            <w:lang w:eastAsia="fr-BE"/>
                          </w:rPr>
                          <w:t>02/511.58.80</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SAINT-GILLES I</w:t>
                        </w:r>
                      </w:p>
                    </w:tc>
                    <w:tc>
                      <w:tcPr>
                        <w:tcW w:w="2802" w:type="dxa"/>
                        <w:vAlign w:val="center"/>
                      </w:tcPr>
                      <w:p>
                        <w:pPr>
                          <w:snapToGrid w:val="0"/>
                          <w:rPr>
                            <w:rFonts w:ascii="Georgia" w:hAnsi="Georgia" w:cs="Arial"/>
                          </w:rPr>
                        </w:pPr>
                        <w:r>
                          <w:rPr>
                            <w:rFonts w:ascii="Georgia" w:hAnsi="Georgia" w:cs="Arial"/>
                          </w:rPr>
                          <w:t>Rue de l’Eglise, 59</w:t>
                        </w:r>
                      </w:p>
                    </w:tc>
                    <w:tc>
                      <w:tcPr>
                        <w:tcW w:w="2328" w:type="dxa"/>
                        <w:vAlign w:val="center"/>
                      </w:tcPr>
                      <w:p>
                        <w:pPr>
                          <w:snapToGrid w:val="0"/>
                          <w:rPr>
                            <w:rFonts w:ascii="Georgia" w:hAnsi="Georgia" w:cs="Arial"/>
                          </w:rPr>
                        </w:pPr>
                        <w:r>
                          <w:rPr>
                            <w:rFonts w:ascii="Georgia" w:hAnsi="Georgia" w:cs="Arial"/>
                          </w:rPr>
                          <w:t>1060 SAINT-GILLES</w:t>
                        </w:r>
                      </w:p>
                    </w:tc>
                    <w:tc>
                      <w:tcPr>
                        <w:tcW w:w="1594" w:type="dxa"/>
                      </w:tcPr>
                      <w:p>
                        <w:pPr>
                          <w:rPr>
                            <w:rFonts w:ascii="Georgia" w:eastAsia="Times New Roman" w:hAnsi="Georgia" w:cs="Arial"/>
                            <w:lang w:eastAsia="fr-BE"/>
                          </w:rPr>
                        </w:pPr>
                        <w:r>
                          <w:rPr>
                            <w:rFonts w:ascii="Georgia" w:eastAsia="Times New Roman" w:hAnsi="Georgia" w:cs="Arial"/>
                            <w:lang w:eastAsia="fr-BE"/>
                          </w:rPr>
                          <w:t>02/541.81.48</w:t>
                        </w:r>
                      </w:p>
                    </w:tc>
                    <w:tc>
                      <w:tcPr>
                        <w:tcW w:w="1588" w:type="dxa"/>
                      </w:tcPr>
                      <w:p>
                        <w:pPr>
                          <w:rPr>
                            <w:rFonts w:ascii="Georgia" w:eastAsia="Times New Roman" w:hAnsi="Georgia" w:cs="Arial"/>
                            <w:lang w:eastAsia="fr-BE"/>
                          </w:rPr>
                        </w:pPr>
                        <w:r>
                          <w:rPr>
                            <w:rFonts w:ascii="Georgia" w:eastAsia="Times New Roman" w:hAnsi="Georgia" w:cs="Arial"/>
                            <w:lang w:eastAsia="fr-BE"/>
                          </w:rPr>
                          <w:t>02/541.81.39</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SAINT-GILLES II</w:t>
                        </w:r>
                      </w:p>
                    </w:tc>
                    <w:tc>
                      <w:tcPr>
                        <w:tcW w:w="2802" w:type="dxa"/>
                        <w:vAlign w:val="center"/>
                      </w:tcPr>
                      <w:p>
                        <w:pPr>
                          <w:snapToGrid w:val="0"/>
                          <w:rPr>
                            <w:rFonts w:ascii="Georgia" w:hAnsi="Georgia" w:cs="Arial"/>
                          </w:rPr>
                        </w:pPr>
                        <w:r>
                          <w:rPr>
                            <w:rFonts w:ascii="Georgia" w:hAnsi="Georgia" w:cs="Arial"/>
                          </w:rPr>
                          <w:t>Rue de l’Eglise, 59</w:t>
                        </w:r>
                      </w:p>
                    </w:tc>
                    <w:tc>
                      <w:tcPr>
                        <w:tcW w:w="2328" w:type="dxa"/>
                        <w:vAlign w:val="center"/>
                      </w:tcPr>
                      <w:p>
                        <w:pPr>
                          <w:snapToGrid w:val="0"/>
                          <w:rPr>
                            <w:rFonts w:ascii="Georgia" w:hAnsi="Georgia" w:cs="Arial"/>
                          </w:rPr>
                        </w:pPr>
                        <w:r>
                          <w:rPr>
                            <w:rFonts w:ascii="Georgia" w:hAnsi="Georgia" w:cs="Arial"/>
                          </w:rPr>
                          <w:t>1060 SAINT-GILLES</w:t>
                        </w:r>
                      </w:p>
                    </w:tc>
                    <w:tc>
                      <w:tcPr>
                        <w:tcW w:w="1594" w:type="dxa"/>
                      </w:tcPr>
                      <w:p>
                        <w:pPr>
                          <w:rPr>
                            <w:rFonts w:ascii="Georgia" w:eastAsia="Times New Roman" w:hAnsi="Georgia" w:cs="Arial"/>
                            <w:lang w:eastAsia="fr-BE"/>
                          </w:rPr>
                        </w:pPr>
                        <w:r>
                          <w:rPr>
                            <w:rFonts w:ascii="Georgia" w:eastAsia="Times New Roman" w:hAnsi="Georgia" w:cs="Arial"/>
                            <w:lang w:eastAsia="fr-BE"/>
                          </w:rPr>
                          <w:t>02/541.81.38</w:t>
                        </w:r>
                      </w:p>
                    </w:tc>
                    <w:tc>
                      <w:tcPr>
                        <w:tcW w:w="1588" w:type="dxa"/>
                      </w:tcPr>
                      <w:p>
                        <w:pPr>
                          <w:rPr>
                            <w:rFonts w:ascii="Georgia" w:eastAsia="Times New Roman" w:hAnsi="Georgia" w:cs="Arial"/>
                            <w:lang w:eastAsia="fr-BE"/>
                          </w:rPr>
                        </w:pPr>
                        <w:r>
                          <w:rPr>
                            <w:rFonts w:ascii="Georgia" w:eastAsia="Times New Roman" w:hAnsi="Georgia" w:cs="Arial"/>
                            <w:lang w:eastAsia="fr-BE"/>
                          </w:rPr>
                          <w:t>02/534.81.39</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SAINT-GILLES III</w:t>
                        </w:r>
                      </w:p>
                    </w:tc>
                    <w:tc>
                      <w:tcPr>
                        <w:tcW w:w="2802" w:type="dxa"/>
                        <w:vAlign w:val="center"/>
                      </w:tcPr>
                      <w:p>
                        <w:pPr>
                          <w:snapToGrid w:val="0"/>
                          <w:rPr>
                            <w:rFonts w:ascii="Georgia" w:hAnsi="Georgia" w:cs="Arial"/>
                          </w:rPr>
                        </w:pPr>
                        <w:r>
                          <w:rPr>
                            <w:rFonts w:ascii="Georgia" w:hAnsi="Georgia" w:cs="Arial"/>
                          </w:rPr>
                          <w:t>Rue de l’Eglise, 59</w:t>
                        </w:r>
                      </w:p>
                    </w:tc>
                    <w:tc>
                      <w:tcPr>
                        <w:tcW w:w="2328" w:type="dxa"/>
                        <w:vAlign w:val="center"/>
                      </w:tcPr>
                      <w:p>
                        <w:pPr>
                          <w:snapToGrid w:val="0"/>
                          <w:rPr>
                            <w:rFonts w:ascii="Georgia" w:hAnsi="Georgia" w:cs="Arial"/>
                          </w:rPr>
                        </w:pPr>
                        <w:r>
                          <w:rPr>
                            <w:rFonts w:ascii="Georgia" w:hAnsi="Georgia" w:cs="Arial"/>
                          </w:rPr>
                          <w:t>1060 SAINT-GILLES</w:t>
                        </w:r>
                      </w:p>
                    </w:tc>
                    <w:tc>
                      <w:tcPr>
                        <w:tcW w:w="1594" w:type="dxa"/>
                      </w:tcPr>
                      <w:p>
                        <w:pPr>
                          <w:snapToGrid w:val="0"/>
                          <w:rPr>
                            <w:rFonts w:ascii="Georgia" w:eastAsia="Times New Roman" w:hAnsi="Georgia" w:cs="Arial"/>
                            <w:lang w:eastAsia="fr-BE"/>
                          </w:rPr>
                        </w:pPr>
                        <w:r>
                          <w:rPr>
                            <w:rFonts w:ascii="Georgia" w:eastAsia="Times New Roman" w:hAnsi="Georgia" w:cs="Arial"/>
                            <w:lang w:eastAsia="fr-BE"/>
                          </w:rPr>
                          <w:t>02/541.81.48</w:t>
                        </w:r>
                      </w:p>
                    </w:tc>
                    <w:tc>
                      <w:tcPr>
                        <w:tcW w:w="1588" w:type="dxa"/>
                      </w:tcPr>
                      <w:p>
                        <w:pPr>
                          <w:spacing w:line="312" w:lineRule="atLeast"/>
                          <w:rPr>
                            <w:rFonts w:ascii="Georgia" w:eastAsia="Times New Roman" w:hAnsi="Georgia" w:cs="Arial"/>
                            <w:lang w:eastAsia="fr-BE"/>
                          </w:rPr>
                        </w:pPr>
                        <w:r>
                          <w:rPr>
                            <w:rFonts w:ascii="Georgia" w:eastAsia="Times New Roman" w:hAnsi="Georgia" w:cs="Arial"/>
                            <w:lang w:eastAsia="fr-BE"/>
                          </w:rPr>
                          <w:t>02/541.81.39</w:t>
                        </w:r>
                      </w:p>
                      <w:p>
                        <w:pPr>
                          <w:snapToGrid w:val="0"/>
                          <w:rPr>
                            <w:rFonts w:ascii="Georgia" w:eastAsia="Times New Roman" w:hAnsi="Georgia" w:cs="Arial"/>
                            <w:lang w:eastAsia="fr-BE"/>
                          </w:rPr>
                        </w:pP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Avenue Marie de Hongrie, 60A</w:t>
                        </w:r>
                      </w:p>
                    </w:tc>
                    <w:tc>
                      <w:tcPr>
                        <w:tcW w:w="2328" w:type="dxa"/>
                        <w:vAlign w:val="center"/>
                      </w:tcPr>
                      <w:p>
                        <w:pPr>
                          <w:snapToGrid w:val="0"/>
                          <w:rPr>
                            <w:rFonts w:ascii="Georgia" w:hAnsi="Georgia" w:cs="Arial"/>
                          </w:rPr>
                        </w:pPr>
                        <w:r>
                          <w:rPr>
                            <w:rFonts w:ascii="Georgia" w:hAnsi="Georgia" w:cs="Arial"/>
                          </w:rPr>
                          <w:t>1083 GANSHOREN</w:t>
                        </w:r>
                      </w:p>
                    </w:tc>
                    <w:tc>
                      <w:tcPr>
                        <w:tcW w:w="1594" w:type="dxa"/>
                      </w:tcPr>
                      <w:p>
                        <w:pPr>
                          <w:rPr>
                            <w:rFonts w:ascii="Georgia" w:eastAsia="Times New Roman" w:hAnsi="Georgia" w:cs="Arial"/>
                            <w:lang w:eastAsia="fr-BE"/>
                          </w:rPr>
                        </w:pPr>
                        <w:r>
                          <w:rPr>
                            <w:rFonts w:ascii="Georgia" w:eastAsia="Times New Roman" w:hAnsi="Georgia" w:cs="Arial"/>
                            <w:lang w:eastAsia="fr-BE"/>
                          </w:rPr>
                          <w:t>02/468.39.38</w:t>
                        </w:r>
                      </w:p>
                    </w:tc>
                    <w:tc>
                      <w:tcPr>
                        <w:tcW w:w="1588" w:type="dxa"/>
                      </w:tcPr>
                      <w:p>
                        <w:pPr>
                          <w:rPr>
                            <w:rFonts w:ascii="Georgia" w:eastAsia="Times New Roman" w:hAnsi="Georgia" w:cs="Arial"/>
                            <w:lang w:eastAsia="fr-BE"/>
                          </w:rPr>
                        </w:pPr>
                        <w:r>
                          <w:rPr>
                            <w:rFonts w:ascii="Georgia" w:eastAsia="Times New Roman" w:hAnsi="Georgia" w:cs="Arial"/>
                            <w:lang w:eastAsia="fr-BE"/>
                          </w:rPr>
                          <w:t>02/468.10.33</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Communal  </w:t>
                        </w:r>
                      </w:p>
                    </w:tc>
                    <w:tc>
                      <w:tcPr>
                        <w:tcW w:w="2802" w:type="dxa"/>
                        <w:vAlign w:val="center"/>
                      </w:tcPr>
                      <w:p>
                        <w:pPr>
                          <w:snapToGrid w:val="0"/>
                          <w:rPr>
                            <w:rFonts w:ascii="Georgia" w:hAnsi="Georgia" w:cs="Arial"/>
                          </w:rPr>
                        </w:pPr>
                        <w:r>
                          <w:rPr>
                            <w:rFonts w:ascii="Georgia" w:hAnsi="Georgia" w:cs="Arial"/>
                          </w:rPr>
                          <w:t>Chaussée de St-Job, 683</w:t>
                        </w:r>
                      </w:p>
                    </w:tc>
                    <w:tc>
                      <w:tcPr>
                        <w:tcW w:w="2328" w:type="dxa"/>
                        <w:vAlign w:val="center"/>
                      </w:tcPr>
                      <w:p>
                        <w:pPr>
                          <w:snapToGrid w:val="0"/>
                          <w:rPr>
                            <w:rFonts w:ascii="Georgia" w:hAnsi="Georgia" w:cs="Arial"/>
                          </w:rPr>
                        </w:pPr>
                        <w:r>
                          <w:rPr>
                            <w:rFonts w:ascii="Georgia" w:hAnsi="Georgia" w:cs="Arial"/>
                          </w:rPr>
                          <w:t>1180 UCCLE</w:t>
                        </w:r>
                      </w:p>
                    </w:tc>
                    <w:tc>
                      <w:tcPr>
                        <w:tcW w:w="1594" w:type="dxa"/>
                      </w:tcPr>
                      <w:p>
                        <w:pPr>
                          <w:rPr>
                            <w:rFonts w:ascii="Georgia" w:eastAsia="Times New Roman" w:hAnsi="Georgia" w:cs="Arial"/>
                            <w:lang w:eastAsia="fr-BE"/>
                          </w:rPr>
                        </w:pPr>
                        <w:r>
                          <w:rPr>
                            <w:rFonts w:ascii="Georgia" w:eastAsia="Times New Roman" w:hAnsi="Georgia" w:cs="Arial"/>
                            <w:lang w:eastAsia="fr-BE"/>
                          </w:rPr>
                          <w:t>02/348.65.25</w:t>
                        </w:r>
                      </w:p>
                    </w:tc>
                    <w:tc>
                      <w:tcPr>
                        <w:tcW w:w="1588" w:type="dxa"/>
                      </w:tcPr>
                      <w:p>
                        <w:pPr>
                          <w:rPr>
                            <w:rFonts w:ascii="Georgia" w:eastAsia="Times New Roman" w:hAnsi="Georgia" w:cs="Arial"/>
                            <w:lang w:eastAsia="fr-BE"/>
                          </w:rPr>
                        </w:pPr>
                        <w:r>
                          <w:rPr>
                            <w:rFonts w:ascii="Georgia" w:eastAsia="Times New Roman" w:hAnsi="Georgia" w:cs="Arial"/>
                            <w:lang w:eastAsia="fr-BE"/>
                          </w:rPr>
                          <w:t>02/374.69.67</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UCCLE A</w:t>
                        </w:r>
                      </w:p>
                    </w:tc>
                    <w:tc>
                      <w:tcPr>
                        <w:tcW w:w="2802" w:type="dxa"/>
                        <w:vAlign w:val="center"/>
                      </w:tcPr>
                      <w:p>
                        <w:pPr>
                          <w:snapToGrid w:val="0"/>
                          <w:rPr>
                            <w:rFonts w:ascii="Georgia" w:hAnsi="Georgia" w:cs="Arial"/>
                          </w:rPr>
                        </w:pPr>
                        <w:r>
                          <w:rPr>
                            <w:rFonts w:ascii="Georgia" w:hAnsi="Georgia" w:cs="Arial"/>
                          </w:rPr>
                          <w:t>Avenue J. et P. Carsoel, 2</w:t>
                        </w:r>
                      </w:p>
                    </w:tc>
                    <w:tc>
                      <w:tcPr>
                        <w:tcW w:w="2328" w:type="dxa"/>
                        <w:vAlign w:val="center"/>
                      </w:tcPr>
                      <w:p>
                        <w:pPr>
                          <w:snapToGrid w:val="0"/>
                          <w:rPr>
                            <w:rFonts w:ascii="Georgia" w:hAnsi="Georgia" w:cs="Arial"/>
                          </w:rPr>
                        </w:pPr>
                        <w:r>
                          <w:rPr>
                            <w:rFonts w:ascii="Georgia" w:hAnsi="Georgia" w:cs="Arial"/>
                          </w:rPr>
                          <w:t>1180 UCCLE</w:t>
                        </w:r>
                      </w:p>
                    </w:tc>
                    <w:tc>
                      <w:tcPr>
                        <w:tcW w:w="1594" w:type="dxa"/>
                      </w:tcPr>
                      <w:p>
                        <w:pPr>
                          <w:rPr>
                            <w:rFonts w:ascii="Georgia" w:eastAsia="Times New Roman" w:hAnsi="Georgia" w:cs="Arial"/>
                            <w:lang w:eastAsia="fr-BE"/>
                          </w:rPr>
                        </w:pPr>
                        <w:r>
                          <w:rPr>
                            <w:rFonts w:ascii="Georgia" w:eastAsia="Times New Roman" w:hAnsi="Georgia" w:cs="Arial"/>
                            <w:lang w:eastAsia="fr-BE"/>
                          </w:rPr>
                          <w:t>02/374.72.79</w:t>
                        </w:r>
                      </w:p>
                    </w:tc>
                    <w:tc>
                      <w:tcPr>
                        <w:tcW w:w="1588" w:type="dxa"/>
                      </w:tcPr>
                      <w:p>
                        <w:pPr>
                          <w:rPr>
                            <w:rFonts w:ascii="Georgia" w:eastAsia="Times New Roman" w:hAnsi="Georgia" w:cs="Arial"/>
                            <w:lang w:eastAsia="fr-BE"/>
                          </w:rPr>
                        </w:pPr>
                        <w:r>
                          <w:rPr>
                            <w:rFonts w:ascii="Georgia" w:eastAsia="Times New Roman" w:hAnsi="Georgia" w:cs="Arial"/>
                            <w:lang w:eastAsia="fr-BE"/>
                          </w:rPr>
                          <w:t>02/374.67.35</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UCCLE B</w:t>
                        </w:r>
                      </w:p>
                    </w:tc>
                    <w:tc>
                      <w:tcPr>
                        <w:tcW w:w="2802" w:type="dxa"/>
                        <w:vAlign w:val="center"/>
                      </w:tcPr>
                      <w:p>
                        <w:pPr>
                          <w:snapToGrid w:val="0"/>
                          <w:rPr>
                            <w:rFonts w:ascii="Georgia" w:hAnsi="Georgia" w:cs="Arial"/>
                          </w:rPr>
                        </w:pPr>
                        <w:r>
                          <w:rPr>
                            <w:rFonts w:ascii="Georgia" w:hAnsi="Georgia" w:cs="Arial"/>
                          </w:rPr>
                          <w:t>Avenue Coghen, 217</w:t>
                        </w:r>
                      </w:p>
                    </w:tc>
                    <w:tc>
                      <w:tcPr>
                        <w:tcW w:w="2328" w:type="dxa"/>
                        <w:vAlign w:val="center"/>
                      </w:tcPr>
                      <w:p>
                        <w:pPr>
                          <w:snapToGrid w:val="0"/>
                          <w:rPr>
                            <w:rFonts w:ascii="Georgia" w:hAnsi="Georgia" w:cs="Arial"/>
                          </w:rPr>
                        </w:pPr>
                        <w:r>
                          <w:rPr>
                            <w:rFonts w:ascii="Georgia" w:hAnsi="Georgia" w:cs="Arial"/>
                          </w:rPr>
                          <w:t>1180 UCCLE</w:t>
                        </w:r>
                      </w:p>
                    </w:tc>
                    <w:tc>
                      <w:tcPr>
                        <w:tcW w:w="1594" w:type="dxa"/>
                      </w:tcPr>
                      <w:p>
                        <w:pPr>
                          <w:snapToGrid w:val="0"/>
                          <w:jc w:val="center"/>
                          <w:rPr>
                            <w:rFonts w:ascii="Georgia" w:hAnsi="Georgia" w:cs="Arial"/>
                            <w:b/>
                            <w:bCs/>
                          </w:rPr>
                        </w:pPr>
                        <w:r>
                          <w:rPr>
                            <w:rFonts w:ascii="Georgia" w:eastAsia="Times New Roman" w:hAnsi="Georgia" w:cs="Arial"/>
                            <w:lang w:eastAsia="fr-BE"/>
                          </w:rPr>
                          <w:t>02/226.41.30</w:t>
                        </w:r>
                      </w:p>
                    </w:tc>
                    <w:tc>
                      <w:tcPr>
                        <w:tcW w:w="1588" w:type="dxa"/>
                      </w:tcPr>
                      <w:p>
                        <w:pPr>
                          <w:snapToGrid w:val="0"/>
                          <w:jc w:val="center"/>
                          <w:rPr>
                            <w:rFonts w:ascii="Georgia" w:hAnsi="Georgia" w:cs="Arial"/>
                            <w:b/>
                            <w:bCs/>
                          </w:rPr>
                        </w:pP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Avenue Kamerdelle, 15</w:t>
                        </w:r>
                      </w:p>
                    </w:tc>
                    <w:tc>
                      <w:tcPr>
                        <w:tcW w:w="2328" w:type="dxa"/>
                        <w:vAlign w:val="center"/>
                      </w:tcPr>
                      <w:p>
                        <w:pPr>
                          <w:snapToGrid w:val="0"/>
                          <w:rPr>
                            <w:rFonts w:ascii="Georgia" w:hAnsi="Georgia" w:cs="Arial"/>
                          </w:rPr>
                        </w:pPr>
                        <w:r>
                          <w:rPr>
                            <w:rFonts w:ascii="Georgia" w:hAnsi="Georgia" w:cs="Arial"/>
                          </w:rPr>
                          <w:t>1180 UCCLE</w:t>
                        </w:r>
                      </w:p>
                    </w:tc>
                    <w:tc>
                      <w:tcPr>
                        <w:tcW w:w="1594" w:type="dxa"/>
                      </w:tcPr>
                      <w:p>
                        <w:pPr>
                          <w:rPr>
                            <w:rFonts w:ascii="Georgia" w:eastAsia="Times New Roman" w:hAnsi="Georgia" w:cs="Arial"/>
                            <w:lang w:eastAsia="fr-BE"/>
                          </w:rPr>
                        </w:pPr>
                        <w:r>
                          <w:rPr>
                            <w:rFonts w:ascii="Georgia" w:eastAsia="Times New Roman" w:hAnsi="Georgia" w:cs="Arial"/>
                            <w:lang w:eastAsia="fr-BE"/>
                          </w:rPr>
                          <w:t>02/374.89.10</w:t>
                        </w:r>
                      </w:p>
                    </w:tc>
                    <w:tc>
                      <w:tcPr>
                        <w:tcW w:w="1588" w:type="dxa"/>
                      </w:tcPr>
                      <w:p>
                        <w:pPr>
                          <w:rPr>
                            <w:rFonts w:ascii="Georgia" w:eastAsia="Times New Roman" w:hAnsi="Georgia" w:cs="Arial"/>
                            <w:lang w:eastAsia="fr-BE"/>
                          </w:rPr>
                        </w:pPr>
                        <w:r>
                          <w:rPr>
                            <w:rFonts w:ascii="Georgia" w:eastAsia="Times New Roman" w:hAnsi="Georgia" w:cs="Arial"/>
                            <w:lang w:eastAsia="fr-BE"/>
                          </w:rPr>
                          <w:t>02/375.98.60</w:t>
                        </w:r>
                      </w:p>
                    </w:tc>
                    <w:tc>
                      <w:tcPr>
                        <w:tcW w:w="3562" w:type="dxa"/>
                        <w:vAlign w:val="center"/>
                      </w:tcPr>
                      <w:p>
                        <w:pPr>
                          <w:snapToGrid w:val="0"/>
                          <w:jc w:val="center"/>
                          <w:rPr>
                            <w:rFonts w:ascii="Georgia" w:hAnsi="Georgia" w:cs="Arial"/>
                            <w:b/>
                            <w:bCs/>
                          </w:rPr>
                        </w:pPr>
                        <w:r>
                          <w:rPr>
                            <w:rFonts w:ascii="Georgia" w:hAnsi="Georgia" w:cs="Arial"/>
                            <w:b/>
                            <w:bCs/>
                            <w:noProof/>
                            <w:lang w:eastAsia="fr-BE"/>
                          </w:rPr>
                          <mc:AlternateContent>
                            <mc:Choice Requires="wps">
                              <w:drawing>
                                <wp:anchor distT="0" distB="0" distL="114300" distR="114300" simplePos="0" relativeHeight="252099584" behindDoc="0" locked="0" layoutInCell="1" allowOverlap="1">
                                  <wp:simplePos x="0" y="0"/>
                                  <wp:positionH relativeFrom="column">
                                    <wp:posOffset>2305050</wp:posOffset>
                                  </wp:positionH>
                                  <wp:positionV relativeFrom="paragraph">
                                    <wp:posOffset>340360</wp:posOffset>
                                  </wp:positionV>
                                  <wp:extent cx="0" cy="2095500"/>
                                  <wp:effectExtent l="0" t="0" r="19050" b="19050"/>
                                  <wp:wrapNone/>
                                  <wp:docPr id="479" name="Connecteur droit 479"/>
                                  <wp:cNvGraphicFramePr/>
                                  <a:graphic xmlns:a="http://schemas.openxmlformats.org/drawingml/2006/main">
                                    <a:graphicData uri="http://schemas.microsoft.com/office/word/2010/wordprocessingShape">
                                      <wps:wsp>
                                        <wps:cNvCnPr/>
                                        <wps:spPr>
                                          <a:xfrm>
                                            <a:off x="0" y="0"/>
                                            <a:ext cx="0" cy="20955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2FD09DE" id="Connecteur droit 479" o:spid="_x0000_s1026" style="position:absolute;z-index:252099584;visibility:visible;mso-wrap-style:square;mso-wrap-distance-left:9pt;mso-wrap-distance-top:0;mso-wrap-distance-right:9pt;mso-wrap-distance-bottom:0;mso-position-horizontal:absolute;mso-position-horizontal-relative:text;mso-position-vertical:absolute;mso-position-vertical-relative:text" from="181.5pt,26.8pt" to="181.5pt,19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" strokecolor="black [3040]"/>
                              </w:pict>
                            </mc:Fallback>
                          </mc:AlternateContent>
                        </w: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d’ETTERBEEK</w:t>
                        </w:r>
                      </w:p>
                    </w:tc>
                    <w:tc>
                      <w:tcPr>
                        <w:tcW w:w="2802" w:type="dxa"/>
                        <w:vAlign w:val="center"/>
                      </w:tcPr>
                      <w:p>
                        <w:pPr>
                          <w:snapToGrid w:val="0"/>
                          <w:rPr>
                            <w:rFonts w:ascii="Georgia" w:hAnsi="Georgia" w:cs="Arial"/>
                          </w:rPr>
                        </w:pPr>
                        <w:r>
                          <w:rPr>
                            <w:rFonts w:ascii="Georgia" w:hAnsi="Georgia" w:cs="Arial"/>
                          </w:rPr>
                          <w:t>Place de l’Alma, 3bte 9</w:t>
                        </w:r>
                      </w:p>
                    </w:tc>
                    <w:tc>
                      <w:tcPr>
                        <w:tcW w:w="2328" w:type="dxa"/>
                        <w:vAlign w:val="center"/>
                      </w:tcPr>
                      <w:p>
                        <w:pPr>
                          <w:snapToGrid w:val="0"/>
                          <w:rPr>
                            <w:rFonts w:ascii="Georgia" w:hAnsi="Georgia" w:cs="Arial"/>
                          </w:rPr>
                        </w:pPr>
                        <w:r>
                          <w:rPr>
                            <w:rFonts w:ascii="Georgia" w:hAnsi="Georgia" w:cs="Arial"/>
                          </w:rPr>
                          <w:t>1200 WOLUWE-ST-LAMBERT</w:t>
                        </w:r>
                      </w:p>
                    </w:tc>
                    <w:tc>
                      <w:tcPr>
                        <w:tcW w:w="1594" w:type="dxa"/>
                      </w:tcPr>
                      <w:p>
                        <w:pPr>
                          <w:rPr>
                            <w:rFonts w:ascii="Georgia" w:eastAsia="Times New Roman" w:hAnsi="Georgia" w:cs="Arial"/>
                            <w:lang w:eastAsia="fr-BE"/>
                          </w:rPr>
                        </w:pPr>
                        <w:r>
                          <w:rPr>
                            <w:rFonts w:ascii="Georgia" w:eastAsia="Times New Roman" w:hAnsi="Georgia" w:cs="Arial"/>
                            <w:lang w:eastAsia="fr-BE"/>
                          </w:rPr>
                          <w:t>02/896.54.51</w:t>
                        </w:r>
                      </w:p>
                      <w:p>
                        <w:pPr>
                          <w:rPr>
                            <w:rFonts w:ascii="Georgia" w:eastAsia="Times New Roman" w:hAnsi="Georgia" w:cs="Arial"/>
                            <w:lang w:eastAsia="fr-BE"/>
                          </w:rPr>
                        </w:pPr>
                        <w:r>
                          <w:rPr>
                            <w:rFonts w:ascii="Georgia" w:eastAsia="Times New Roman" w:hAnsi="Georgia" w:cs="Arial"/>
                            <w:lang w:eastAsia="fr-BE"/>
                          </w:rPr>
                          <w:t>02/896.54.50</w:t>
                        </w:r>
                      </w:p>
                      <w:p>
                        <w:pPr>
                          <w:rPr>
                            <w:rFonts w:ascii="Georgia" w:eastAsia="Times New Roman" w:hAnsi="Georgia" w:cs="Arial"/>
                            <w:lang w:eastAsia="fr-BE"/>
                          </w:rPr>
                        </w:pPr>
                      </w:p>
                    </w:tc>
                    <w:tc>
                      <w:tcPr>
                        <w:tcW w:w="1588" w:type="dxa"/>
                      </w:tcPr>
                      <w:p>
                        <w:pPr>
                          <w:rPr>
                            <w:rFonts w:ascii="Georgia" w:eastAsia="Times New Roman" w:hAnsi="Georgia" w:cs="Arial"/>
                            <w:lang w:eastAsia="fr-BE"/>
                          </w:rPr>
                        </w:pPr>
                        <w:r>
                          <w:rPr>
                            <w:rFonts w:ascii="Georgia" w:eastAsia="Times New Roman" w:hAnsi="Georgia" w:cs="Arial"/>
                            <w:lang w:eastAsia="fr-BE"/>
                          </w:rPr>
                          <w:t>02/896.54.41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d’IXELLES</w:t>
                        </w:r>
                      </w:p>
                    </w:tc>
                    <w:tc>
                      <w:tcPr>
                        <w:tcW w:w="2802" w:type="dxa"/>
                        <w:vAlign w:val="center"/>
                      </w:tcPr>
                      <w:p>
                        <w:pPr>
                          <w:snapToGrid w:val="0"/>
                          <w:rPr>
                            <w:rFonts w:ascii="Georgia" w:hAnsi="Georgia" w:cs="Arial"/>
                          </w:rPr>
                        </w:pPr>
                        <w:r>
                          <w:rPr>
                            <w:rFonts w:ascii="Georgia" w:hAnsi="Georgia" w:cs="Arial"/>
                          </w:rPr>
                          <w:t>Place de l’Alma, 3bte 9</w:t>
                        </w:r>
                      </w:p>
                    </w:tc>
                    <w:tc>
                      <w:tcPr>
                        <w:tcW w:w="2328" w:type="dxa"/>
                        <w:vAlign w:val="center"/>
                      </w:tcPr>
                      <w:p>
                        <w:pPr>
                          <w:snapToGrid w:val="0"/>
                          <w:rPr>
                            <w:rFonts w:ascii="Georgia" w:hAnsi="Georgia" w:cs="Arial"/>
                          </w:rPr>
                        </w:pPr>
                        <w:r>
                          <w:rPr>
                            <w:rFonts w:ascii="Georgia" w:hAnsi="Georgia" w:cs="Arial"/>
                          </w:rPr>
                          <w:t>1200 WOLUWE-ST-LAMBERT</w:t>
                        </w:r>
                      </w:p>
                    </w:tc>
                    <w:tc>
                      <w:tcPr>
                        <w:tcW w:w="1594" w:type="dxa"/>
                      </w:tcPr>
                      <w:p>
                        <w:pPr>
                          <w:snapToGrid w:val="0"/>
                          <w:jc w:val="center"/>
                          <w:rPr>
                            <w:rFonts w:ascii="Georgia" w:eastAsia="Times New Roman" w:hAnsi="Georgia" w:cs="Arial"/>
                            <w:lang w:eastAsia="fr-BE"/>
                          </w:rPr>
                        </w:pPr>
                        <w:r>
                          <w:rPr>
                            <w:rFonts w:ascii="Georgia" w:eastAsia="Times New Roman" w:hAnsi="Georgia" w:cs="Arial"/>
                            <w:lang w:eastAsia="fr-BE"/>
                          </w:rPr>
                          <w:t>02/896.54.45</w:t>
                        </w:r>
                      </w:p>
                      <w:p>
                        <w:pPr>
                          <w:snapToGrid w:val="0"/>
                          <w:jc w:val="center"/>
                          <w:rPr>
                            <w:rFonts w:ascii="Georgia" w:eastAsia="Times New Roman" w:hAnsi="Georgia" w:cs="Arial"/>
                            <w:lang w:eastAsia="fr-BE"/>
                          </w:rPr>
                        </w:pPr>
                        <w:r>
                          <w:rPr>
                            <w:rFonts w:ascii="Georgia" w:eastAsia="Times New Roman" w:hAnsi="Georgia" w:cs="Arial"/>
                            <w:lang w:eastAsia="fr-BE"/>
                          </w:rPr>
                          <w:t>02/896.54.44</w:t>
                        </w:r>
                      </w:p>
                    </w:tc>
                    <w:tc>
                      <w:tcPr>
                        <w:tcW w:w="1588" w:type="dxa"/>
                      </w:tcPr>
                      <w:p>
                        <w:pPr>
                          <w:snapToGrid w:val="0"/>
                          <w:jc w:val="center"/>
                          <w:rPr>
                            <w:rFonts w:ascii="Georgia" w:eastAsia="Times New Roman" w:hAnsi="Georgia" w:cs="Arial"/>
                            <w:lang w:eastAsia="fr-BE"/>
                          </w:rPr>
                        </w:pPr>
                        <w:r>
                          <w:rPr>
                            <w:rFonts w:ascii="Georgia" w:eastAsia="Times New Roman" w:hAnsi="Georgia" w:cs="Arial"/>
                            <w:lang w:eastAsia="fr-BE"/>
                          </w:rPr>
                          <w:t>02/896.54.41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de SCHAERBEEK</w:t>
                        </w:r>
                      </w:p>
                    </w:tc>
                    <w:tc>
                      <w:tcPr>
                        <w:tcW w:w="2802" w:type="dxa"/>
                        <w:vAlign w:val="center"/>
                      </w:tcPr>
                      <w:p>
                        <w:pPr>
                          <w:snapToGrid w:val="0"/>
                          <w:rPr>
                            <w:rFonts w:ascii="Georgia" w:hAnsi="Georgia" w:cs="Arial"/>
                          </w:rPr>
                        </w:pPr>
                        <w:r>
                          <w:rPr>
                            <w:rFonts w:ascii="Georgia" w:hAnsi="Georgia" w:cs="Arial"/>
                          </w:rPr>
                          <w:t>Place de l’Alma, 3bte 9</w:t>
                        </w:r>
                      </w:p>
                    </w:tc>
                    <w:tc>
                      <w:tcPr>
                        <w:tcW w:w="2328" w:type="dxa"/>
                        <w:vAlign w:val="center"/>
                      </w:tcPr>
                      <w:p>
                        <w:pPr>
                          <w:snapToGrid w:val="0"/>
                          <w:rPr>
                            <w:rFonts w:ascii="Georgia" w:hAnsi="Georgia" w:cs="Arial"/>
                          </w:rPr>
                        </w:pPr>
                        <w:r>
                          <w:rPr>
                            <w:rFonts w:ascii="Georgia" w:hAnsi="Georgia" w:cs="Arial"/>
                          </w:rPr>
                          <w:t>1200 WOLUWE-ST-LAMBERT</w:t>
                        </w:r>
                      </w:p>
                    </w:tc>
                    <w:tc>
                      <w:tcPr>
                        <w:tcW w:w="1594" w:type="dxa"/>
                      </w:tcPr>
                      <w:p>
                        <w:pPr>
                          <w:snapToGrid w:val="0"/>
                          <w:jc w:val="center"/>
                          <w:rPr>
                            <w:rFonts w:ascii="Georgia" w:eastAsia="Times New Roman" w:hAnsi="Georgia" w:cs="Arial"/>
                            <w:lang w:eastAsia="fr-BE"/>
                          </w:rPr>
                        </w:pPr>
                        <w:r>
                          <w:rPr>
                            <w:rFonts w:ascii="Georgia" w:eastAsia="Times New Roman" w:hAnsi="Georgia" w:cs="Arial"/>
                            <w:lang w:eastAsia="fr-BE"/>
                          </w:rPr>
                          <w:t>02/896.54.49</w:t>
                        </w:r>
                      </w:p>
                      <w:p>
                        <w:pPr>
                          <w:snapToGrid w:val="0"/>
                          <w:jc w:val="center"/>
                          <w:rPr>
                            <w:rFonts w:ascii="Georgia" w:eastAsia="Times New Roman" w:hAnsi="Georgia" w:cs="Arial"/>
                            <w:lang w:eastAsia="fr-BE"/>
                          </w:rPr>
                        </w:pPr>
                        <w:r>
                          <w:rPr>
                            <w:rFonts w:ascii="Georgia" w:eastAsia="Times New Roman" w:hAnsi="Georgia" w:cs="Arial"/>
                            <w:lang w:eastAsia="fr-BE"/>
                          </w:rPr>
                          <w:t>02/896.54.48</w:t>
                        </w:r>
                      </w:p>
                    </w:tc>
                    <w:tc>
                      <w:tcPr>
                        <w:tcW w:w="1588" w:type="dxa"/>
                      </w:tcPr>
                      <w:p>
                        <w:pPr>
                          <w:snapToGrid w:val="0"/>
                          <w:jc w:val="center"/>
                          <w:rPr>
                            <w:rFonts w:ascii="Georgia" w:eastAsia="Times New Roman" w:hAnsi="Georgia" w:cs="Arial"/>
                            <w:lang w:eastAsia="fr-BE"/>
                          </w:rPr>
                        </w:pPr>
                        <w:r>
                          <w:rPr>
                            <w:rFonts w:ascii="Georgia" w:eastAsia="Times New Roman" w:hAnsi="Georgia" w:cs="Arial"/>
                            <w:lang w:eastAsia="fr-BE"/>
                          </w:rPr>
                          <w:t>02/896.54.41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WOLUWE I</w:t>
                        </w:r>
                      </w:p>
                    </w:tc>
                    <w:tc>
                      <w:tcPr>
                        <w:tcW w:w="2802" w:type="dxa"/>
                        <w:vAlign w:val="center"/>
                      </w:tcPr>
                      <w:p>
                        <w:pPr>
                          <w:snapToGrid w:val="0"/>
                          <w:rPr>
                            <w:rFonts w:ascii="Georgia" w:hAnsi="Georgia" w:cs="Arial"/>
                          </w:rPr>
                        </w:pPr>
                        <w:r>
                          <w:rPr>
                            <w:rFonts w:ascii="Georgia" w:hAnsi="Georgia" w:cs="Arial"/>
                          </w:rPr>
                          <w:t>Place de l’Alma, 3bte 9</w:t>
                        </w:r>
                      </w:p>
                    </w:tc>
                    <w:tc>
                      <w:tcPr>
                        <w:tcW w:w="2328" w:type="dxa"/>
                        <w:vAlign w:val="center"/>
                      </w:tcPr>
                      <w:p>
                        <w:pPr>
                          <w:snapToGrid w:val="0"/>
                          <w:rPr>
                            <w:rFonts w:ascii="Georgia" w:hAnsi="Georgia" w:cs="Arial"/>
                          </w:rPr>
                        </w:pPr>
                        <w:r>
                          <w:rPr>
                            <w:rFonts w:ascii="Georgia" w:hAnsi="Georgia" w:cs="Arial"/>
                          </w:rPr>
                          <w:t>1200 WOLUWE-ST-LAMBERT</w:t>
                        </w:r>
                      </w:p>
                    </w:tc>
                    <w:tc>
                      <w:tcPr>
                        <w:tcW w:w="1594" w:type="dxa"/>
                      </w:tcPr>
                      <w:p>
                        <w:pPr>
                          <w:snapToGrid w:val="0"/>
                          <w:jc w:val="center"/>
                          <w:rPr>
                            <w:rFonts w:ascii="Georgia" w:eastAsia="Times New Roman" w:hAnsi="Georgia" w:cs="Arial"/>
                            <w:lang w:eastAsia="fr-BE"/>
                          </w:rPr>
                        </w:pPr>
                        <w:r>
                          <w:rPr>
                            <w:rFonts w:ascii="Georgia" w:eastAsia="Times New Roman" w:hAnsi="Georgia" w:cs="Arial"/>
                            <w:lang w:eastAsia="fr-BE"/>
                          </w:rPr>
                          <w:t>02/896.54.43</w:t>
                        </w:r>
                      </w:p>
                      <w:p>
                        <w:pPr>
                          <w:snapToGrid w:val="0"/>
                          <w:jc w:val="center"/>
                          <w:rPr>
                            <w:rFonts w:ascii="Georgia" w:eastAsia="Times New Roman" w:hAnsi="Georgia" w:cs="Arial"/>
                            <w:lang w:eastAsia="fr-BE"/>
                          </w:rPr>
                        </w:pPr>
                        <w:r>
                          <w:rPr>
                            <w:rFonts w:ascii="Georgia" w:eastAsia="Times New Roman" w:hAnsi="Georgia" w:cs="Arial"/>
                            <w:lang w:eastAsia="fr-BE"/>
                          </w:rPr>
                          <w:t>02/896.54.42</w:t>
                        </w:r>
                      </w:p>
                    </w:tc>
                    <w:tc>
                      <w:tcPr>
                        <w:tcW w:w="1588" w:type="dxa"/>
                      </w:tcPr>
                      <w:p>
                        <w:pPr>
                          <w:tabs>
                            <w:tab w:val="center" w:pos="686"/>
                          </w:tabs>
                          <w:snapToGrid w:val="0"/>
                          <w:rPr>
                            <w:rFonts w:ascii="Georgia" w:eastAsia="Times New Roman" w:hAnsi="Georgia" w:cs="Arial"/>
                            <w:lang w:eastAsia="fr-BE"/>
                          </w:rPr>
                        </w:pPr>
                        <w:r>
                          <w:rPr>
                            <w:rFonts w:ascii="Georgia" w:eastAsia="Times New Roman" w:hAnsi="Georgia" w:cs="Arial"/>
                            <w:lang w:eastAsia="fr-BE"/>
                          </w:rPr>
                          <w:tab/>
                          <w:t>02/896.54.41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WOLUWE II</w:t>
                        </w:r>
                      </w:p>
                    </w:tc>
                    <w:tc>
                      <w:tcPr>
                        <w:tcW w:w="2802" w:type="dxa"/>
                        <w:vAlign w:val="center"/>
                      </w:tcPr>
                      <w:p>
                        <w:pPr>
                          <w:snapToGrid w:val="0"/>
                          <w:rPr>
                            <w:rFonts w:ascii="Georgia" w:hAnsi="Georgia" w:cs="Arial"/>
                          </w:rPr>
                        </w:pPr>
                        <w:r>
                          <w:rPr>
                            <w:rFonts w:ascii="Georgia" w:hAnsi="Georgia" w:cs="Arial"/>
                          </w:rPr>
                          <w:t>Place de l’Alma, 3bte 9</w:t>
                        </w:r>
                      </w:p>
                    </w:tc>
                    <w:tc>
                      <w:tcPr>
                        <w:tcW w:w="2328" w:type="dxa"/>
                        <w:vAlign w:val="center"/>
                      </w:tcPr>
                      <w:p>
                        <w:pPr>
                          <w:snapToGrid w:val="0"/>
                          <w:rPr>
                            <w:rFonts w:ascii="Georgia" w:hAnsi="Georgia" w:cs="Arial"/>
                          </w:rPr>
                        </w:pPr>
                        <w:r>
                          <w:rPr>
                            <w:rFonts w:ascii="Georgia" w:hAnsi="Georgia" w:cs="Arial"/>
                          </w:rPr>
                          <w:t>1200 WOLUWE-ST-LAMBERT</w:t>
                        </w:r>
                      </w:p>
                    </w:tc>
                    <w:tc>
                      <w:tcPr>
                        <w:tcW w:w="1594" w:type="dxa"/>
                      </w:tcPr>
                      <w:p>
                        <w:pPr>
                          <w:snapToGrid w:val="0"/>
                          <w:jc w:val="center"/>
                          <w:rPr>
                            <w:rFonts w:ascii="Georgia" w:eastAsia="Times New Roman" w:hAnsi="Georgia" w:cs="Arial"/>
                            <w:lang w:eastAsia="fr-BE"/>
                          </w:rPr>
                        </w:pPr>
                        <w:r>
                          <w:rPr>
                            <w:rFonts w:ascii="Georgia" w:eastAsia="Times New Roman" w:hAnsi="Georgia" w:cs="Arial"/>
                            <w:lang w:eastAsia="fr-BE"/>
                          </w:rPr>
                          <w:t>02/896.54.47</w:t>
                        </w:r>
                      </w:p>
                      <w:p>
                        <w:pPr>
                          <w:snapToGrid w:val="0"/>
                          <w:jc w:val="center"/>
                          <w:rPr>
                            <w:rFonts w:ascii="Georgia" w:eastAsia="Times New Roman" w:hAnsi="Georgia" w:cs="Arial"/>
                            <w:lang w:eastAsia="fr-BE"/>
                          </w:rPr>
                        </w:pPr>
                        <w:r>
                          <w:rPr>
                            <w:rFonts w:ascii="Georgia" w:eastAsia="Times New Roman" w:hAnsi="Georgia" w:cs="Arial"/>
                            <w:lang w:eastAsia="fr-BE"/>
                          </w:rPr>
                          <w:t>02/896.54.46</w:t>
                        </w:r>
                      </w:p>
                    </w:tc>
                    <w:tc>
                      <w:tcPr>
                        <w:tcW w:w="1588" w:type="dxa"/>
                      </w:tcPr>
                      <w:p>
                        <w:pPr>
                          <w:snapToGrid w:val="0"/>
                          <w:jc w:val="center"/>
                          <w:rPr>
                            <w:rFonts w:ascii="Georgia" w:eastAsia="Times New Roman" w:hAnsi="Georgia" w:cs="Arial"/>
                            <w:lang w:eastAsia="fr-BE"/>
                          </w:rPr>
                        </w:pPr>
                        <w:r>
                          <w:rPr>
                            <w:rFonts w:ascii="Georgia" w:eastAsia="Times New Roman" w:hAnsi="Georgia" w:cs="Arial"/>
                            <w:lang w:eastAsia="fr-BE"/>
                          </w:rPr>
                          <w:t>02/896.54.41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WOLUWE III</w:t>
                        </w:r>
                      </w:p>
                    </w:tc>
                    <w:tc>
                      <w:tcPr>
                        <w:tcW w:w="2802" w:type="dxa"/>
                        <w:vAlign w:val="center"/>
                      </w:tcPr>
                      <w:p>
                        <w:pPr>
                          <w:snapToGrid w:val="0"/>
                          <w:rPr>
                            <w:rFonts w:ascii="Georgia" w:hAnsi="Georgia" w:cs="Arial"/>
                          </w:rPr>
                        </w:pPr>
                        <w:r>
                          <w:rPr>
                            <w:rFonts w:ascii="Georgia" w:hAnsi="Georgia" w:cs="Arial"/>
                          </w:rPr>
                          <w:t>Place de l’Alma, 3bte 9</w:t>
                        </w:r>
                      </w:p>
                    </w:tc>
                    <w:tc>
                      <w:tcPr>
                        <w:tcW w:w="2328" w:type="dxa"/>
                        <w:vAlign w:val="center"/>
                      </w:tcPr>
                      <w:p>
                        <w:pPr>
                          <w:snapToGrid w:val="0"/>
                          <w:rPr>
                            <w:rFonts w:ascii="Georgia" w:hAnsi="Georgia" w:cs="Arial"/>
                          </w:rPr>
                        </w:pPr>
                        <w:r>
                          <w:rPr>
                            <w:rFonts w:ascii="Georgia" w:hAnsi="Georgia" w:cs="Arial"/>
                          </w:rPr>
                          <w:t>1200 WOLUWE-ST-LAMBERT</w:t>
                        </w:r>
                      </w:p>
                    </w:tc>
                    <w:tc>
                      <w:tcPr>
                        <w:tcW w:w="1594" w:type="dxa"/>
                      </w:tcPr>
                      <w:p>
                        <w:pPr>
                          <w:snapToGrid w:val="0"/>
                          <w:jc w:val="center"/>
                          <w:rPr>
                            <w:rFonts w:ascii="Georgia" w:eastAsia="Times New Roman" w:hAnsi="Georgia" w:cs="Arial"/>
                            <w:lang w:eastAsia="fr-BE"/>
                          </w:rPr>
                        </w:pPr>
                        <w:r>
                          <w:rPr>
                            <w:rFonts w:ascii="Georgia" w:eastAsia="Times New Roman" w:hAnsi="Georgia" w:cs="Arial"/>
                            <w:lang w:eastAsia="fr-BE"/>
                          </w:rPr>
                          <w:t>02/896.54.53</w:t>
                        </w:r>
                      </w:p>
                      <w:p>
                        <w:pPr>
                          <w:snapToGrid w:val="0"/>
                          <w:jc w:val="center"/>
                          <w:rPr>
                            <w:rFonts w:ascii="Georgia" w:eastAsia="Times New Roman" w:hAnsi="Georgia" w:cs="Arial"/>
                            <w:lang w:eastAsia="fr-BE"/>
                          </w:rPr>
                        </w:pPr>
                        <w:r>
                          <w:rPr>
                            <w:rFonts w:ascii="Georgia" w:eastAsia="Times New Roman" w:hAnsi="Georgia" w:cs="Arial"/>
                            <w:lang w:eastAsia="fr-BE"/>
                          </w:rPr>
                          <w:t>02/896.54.52</w:t>
                        </w:r>
                      </w:p>
                    </w:tc>
                    <w:tc>
                      <w:tcPr>
                        <w:tcW w:w="1588" w:type="dxa"/>
                      </w:tcPr>
                      <w:p>
                        <w:pPr>
                          <w:snapToGrid w:val="0"/>
                          <w:jc w:val="center"/>
                          <w:rPr>
                            <w:rFonts w:ascii="Georgia" w:eastAsia="Times New Roman" w:hAnsi="Georgia" w:cs="Arial"/>
                            <w:lang w:eastAsia="fr-BE"/>
                          </w:rPr>
                        </w:pPr>
                        <w:r>
                          <w:rPr>
                            <w:rFonts w:ascii="Georgia" w:eastAsia="Times New Roman" w:hAnsi="Georgia" w:cs="Arial"/>
                            <w:lang w:eastAsia="fr-BE"/>
                          </w:rPr>
                          <w:t>02/896.54.41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Avenue Jacques Brel, 30</w:t>
                        </w:r>
                      </w:p>
                    </w:tc>
                    <w:tc>
                      <w:tcPr>
                        <w:tcW w:w="2328" w:type="dxa"/>
                        <w:vAlign w:val="center"/>
                      </w:tcPr>
                      <w:p>
                        <w:pPr>
                          <w:snapToGrid w:val="0"/>
                          <w:rPr>
                            <w:rFonts w:ascii="Georgia" w:hAnsi="Georgia" w:cs="Arial"/>
                          </w:rPr>
                        </w:pPr>
                        <w:r>
                          <w:rPr>
                            <w:rFonts w:ascii="Georgia" w:hAnsi="Georgia" w:cs="Arial"/>
                          </w:rPr>
                          <w:t>1200 WOLUWE-ST-LAMBERT</w:t>
                        </w:r>
                      </w:p>
                    </w:tc>
                    <w:tc>
                      <w:tcPr>
                        <w:tcW w:w="1594" w:type="dxa"/>
                      </w:tcPr>
                      <w:p>
                        <w:pPr>
                          <w:rPr>
                            <w:rFonts w:ascii="Georgia" w:eastAsia="Times New Roman" w:hAnsi="Georgia" w:cs="Arial"/>
                            <w:lang w:eastAsia="fr-BE"/>
                          </w:rPr>
                        </w:pPr>
                        <w:r>
                          <w:rPr>
                            <w:rFonts w:ascii="Georgia" w:eastAsia="Times New Roman" w:hAnsi="Georgia" w:cs="Arial"/>
                            <w:lang w:eastAsia="fr-BE"/>
                          </w:rPr>
                          <w:t>02/762.60.23</w:t>
                        </w:r>
                      </w:p>
                    </w:tc>
                    <w:tc>
                      <w:tcPr>
                        <w:tcW w:w="1588" w:type="dxa"/>
                      </w:tcPr>
                      <w:p>
                        <w:pPr>
                          <w:rPr>
                            <w:rFonts w:ascii="Georgia" w:eastAsia="Times New Roman" w:hAnsi="Georgia" w:cs="Arial"/>
                            <w:lang w:eastAsia="fr-BE"/>
                          </w:rPr>
                        </w:pPr>
                        <w:r>
                          <w:rPr>
                            <w:rFonts w:ascii="Georgia" w:eastAsia="Times New Roman" w:hAnsi="Georgia" w:cs="Arial"/>
                            <w:lang w:eastAsia="fr-BE"/>
                          </w:rPr>
                          <w:t>02/762.87.27</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Chaussée de Louvain, 72</w:t>
                        </w:r>
                      </w:p>
                    </w:tc>
                    <w:tc>
                      <w:tcPr>
                        <w:tcW w:w="2328" w:type="dxa"/>
                        <w:vAlign w:val="center"/>
                      </w:tcPr>
                      <w:p>
                        <w:pPr>
                          <w:snapToGrid w:val="0"/>
                          <w:rPr>
                            <w:rFonts w:ascii="Georgia" w:hAnsi="Georgia" w:cs="Arial"/>
                          </w:rPr>
                        </w:pPr>
                        <w:r>
                          <w:rPr>
                            <w:rFonts w:ascii="Georgia" w:hAnsi="Georgia" w:cs="Arial"/>
                          </w:rPr>
                          <w:t>1300 WAVRE</w:t>
                        </w:r>
                      </w:p>
                    </w:tc>
                    <w:tc>
                      <w:tcPr>
                        <w:tcW w:w="1594" w:type="dxa"/>
                      </w:tcPr>
                      <w:p>
                        <w:pPr>
                          <w:rPr>
                            <w:rFonts w:ascii="Georgia" w:eastAsia="Times New Roman" w:hAnsi="Georgia" w:cs="Arial"/>
                            <w:lang w:eastAsia="fr-BE"/>
                          </w:rPr>
                        </w:pPr>
                        <w:r>
                          <w:rPr>
                            <w:rFonts w:ascii="Georgia" w:eastAsia="Times New Roman" w:hAnsi="Georgia" w:cs="Arial"/>
                            <w:lang w:eastAsia="fr-BE"/>
                          </w:rPr>
                          <w:t>010/22.30.90</w:t>
                        </w:r>
                      </w:p>
                    </w:tc>
                    <w:tc>
                      <w:tcPr>
                        <w:tcW w:w="1588" w:type="dxa"/>
                      </w:tcPr>
                      <w:p>
                        <w:pPr>
                          <w:rPr>
                            <w:rFonts w:ascii="Georgia" w:eastAsia="Times New Roman" w:hAnsi="Georgia" w:cs="Arial"/>
                            <w:lang w:eastAsia="fr-BE"/>
                          </w:rPr>
                        </w:pPr>
                        <w:r>
                          <w:rPr>
                            <w:rFonts w:ascii="Georgia" w:eastAsia="Times New Roman" w:hAnsi="Georgia" w:cs="Arial"/>
                            <w:lang w:eastAsia="fr-BE"/>
                          </w:rPr>
                          <w:t>010/24.50.51</w:t>
                        </w:r>
                      </w:p>
                    </w:tc>
                    <w:tc>
                      <w:tcPr>
                        <w:tcW w:w="3562" w:type="dxa"/>
                      </w:tcPr>
                      <w:p>
                        <w:pPr>
                          <w:snapToGrid w:val="0"/>
                          <w:jc w:val="center"/>
                          <w:rPr>
                            <w:rFonts w:ascii="Georgia" w:hAnsi="Georgia" w:cs="Arial"/>
                            <w:b/>
                            <w:bCs/>
                          </w:rPr>
                        </w:pPr>
                        <w:r>
                          <w:rPr>
                            <w:rFonts w:ascii="Georgia" w:hAnsi="Georgia" w:cs="Arial"/>
                            <w:b/>
                            <w:bCs/>
                          </w:rPr>
                          <w:t>Province du Brabant - Wallon</w:t>
                        </w:r>
                      </w:p>
                    </w:tc>
                  </w:tr>
                  <w:tr>
                    <w:trPr>
                      <w:cantSplit/>
                      <w:trHeight w:val="397"/>
                    </w:trPr>
                    <w:tc>
                      <w:tcPr>
                        <w:tcW w:w="3147" w:type="dxa"/>
                        <w:vAlign w:val="center"/>
                      </w:tcPr>
                      <w:p>
                        <w:pPr>
                          <w:snapToGrid w:val="0"/>
                          <w:rPr>
                            <w:rFonts w:ascii="Georgia" w:hAnsi="Georgia" w:cs="Arial"/>
                          </w:rPr>
                        </w:pPr>
                        <w:r>
                          <w:rPr>
                            <w:rFonts w:ascii="Georgia" w:hAnsi="Georgia" w:cs="Arial"/>
                          </w:rPr>
                          <w:t>CPMS Libre WAVRE III</w:t>
                        </w:r>
                      </w:p>
                    </w:tc>
                    <w:tc>
                      <w:tcPr>
                        <w:tcW w:w="2802" w:type="dxa"/>
                        <w:vAlign w:val="center"/>
                      </w:tcPr>
                      <w:p>
                        <w:pPr>
                          <w:snapToGrid w:val="0"/>
                          <w:rPr>
                            <w:rFonts w:ascii="Georgia" w:hAnsi="Georgia" w:cs="Arial"/>
                          </w:rPr>
                        </w:pPr>
                        <w:r>
                          <w:rPr>
                            <w:rFonts w:ascii="Georgia" w:hAnsi="Georgia" w:cs="Arial"/>
                          </w:rPr>
                          <w:t>Route Provinciale, 213</w:t>
                        </w:r>
                      </w:p>
                    </w:tc>
                    <w:tc>
                      <w:tcPr>
                        <w:tcW w:w="2328" w:type="dxa"/>
                        <w:vAlign w:val="center"/>
                      </w:tcPr>
                      <w:p>
                        <w:pPr>
                          <w:snapToGrid w:val="0"/>
                          <w:rPr>
                            <w:rFonts w:ascii="Georgia" w:hAnsi="Georgia" w:cs="Arial"/>
                          </w:rPr>
                        </w:pPr>
                        <w:r>
                          <w:rPr>
                            <w:rFonts w:ascii="Georgia" w:hAnsi="Georgia" w:cs="Arial"/>
                          </w:rPr>
                          <w:t>1301 BIERGES</w:t>
                        </w:r>
                      </w:p>
                    </w:tc>
                    <w:tc>
                      <w:tcPr>
                        <w:tcW w:w="1594" w:type="dxa"/>
                      </w:tcPr>
                      <w:p>
                        <w:pPr>
                          <w:snapToGrid w:val="0"/>
                          <w:jc w:val="center"/>
                          <w:rPr>
                            <w:rFonts w:ascii="Georgia" w:hAnsi="Georgia" w:cs="Arial"/>
                            <w:b/>
                            <w:bCs/>
                          </w:rPr>
                        </w:pPr>
                        <w:r>
                          <w:rPr>
                            <w:rFonts w:ascii="Georgia" w:eastAsia="Times New Roman" w:hAnsi="Georgia" w:cs="Arial"/>
                            <w:lang w:eastAsia="fr-BE"/>
                          </w:rPr>
                          <w:t>010/40.01.50</w:t>
                        </w:r>
                      </w:p>
                    </w:tc>
                    <w:tc>
                      <w:tcPr>
                        <w:tcW w:w="1588" w:type="dxa"/>
                      </w:tcPr>
                      <w:p>
                        <w:pPr>
                          <w:snapToGrid w:val="0"/>
                          <w:jc w:val="center"/>
                          <w:rPr>
                            <w:rFonts w:ascii="Georgia" w:hAnsi="Georgia" w:cs="Arial"/>
                            <w:b/>
                            <w:bCs/>
                          </w:rPr>
                        </w:pPr>
                      </w:p>
                    </w:tc>
                    <w:tc>
                      <w:tcPr>
                        <w:tcW w:w="3562" w:type="dxa"/>
                      </w:tcPr>
                      <w:p>
                        <w:pPr>
                          <w:snapToGrid w:val="0"/>
                          <w:jc w:val="center"/>
                          <w:rPr>
                            <w:rFonts w:ascii="Georgia" w:hAnsi="Georgia" w:cs="Arial"/>
                            <w:b/>
                            <w:bCs/>
                          </w:rPr>
                        </w:pPr>
                        <w:r>
                          <w:rPr>
                            <w:rFonts w:ascii="Georgia" w:hAnsi="Georgia" w:cs="Arial"/>
                            <w:b/>
                            <w:bCs/>
                          </w:rPr>
                          <w:t>Province du Brabant- Wallon</w:t>
                        </w:r>
                      </w:p>
                    </w:tc>
                  </w:tr>
                  <w:tr>
                    <w:trPr>
                      <w:cantSplit/>
                      <w:trHeight w:val="397"/>
                    </w:trPr>
                    <w:tc>
                      <w:tcPr>
                        <w:tcW w:w="3147" w:type="dxa"/>
                        <w:vAlign w:val="center"/>
                      </w:tcPr>
                      <w:p>
                        <w:pPr>
                          <w:snapToGrid w:val="0"/>
                          <w:rPr>
                            <w:rFonts w:ascii="Georgia" w:hAnsi="Georgia" w:cs="Arial"/>
                          </w:rPr>
                        </w:pPr>
                        <w:r>
                          <w:rPr>
                            <w:rFonts w:ascii="Georgia" w:hAnsi="Georgia" w:cs="Arial"/>
                          </w:rPr>
                          <w:t>CPMS provincial BRABANT III</w:t>
                        </w:r>
                      </w:p>
                    </w:tc>
                    <w:tc>
                      <w:tcPr>
                        <w:tcW w:w="2802" w:type="dxa"/>
                        <w:vAlign w:val="center"/>
                      </w:tcPr>
                      <w:p>
                        <w:pPr>
                          <w:snapToGrid w:val="0"/>
                          <w:rPr>
                            <w:rFonts w:ascii="Georgia" w:hAnsi="Georgia" w:cs="Arial"/>
                          </w:rPr>
                        </w:pPr>
                        <w:r>
                          <w:rPr>
                            <w:rFonts w:ascii="Georgia" w:hAnsi="Georgia" w:cs="Arial"/>
                          </w:rPr>
                          <w:t>Chaussée de Tirlemont, 87</w:t>
                        </w:r>
                      </w:p>
                    </w:tc>
                    <w:tc>
                      <w:tcPr>
                        <w:tcW w:w="2328" w:type="dxa"/>
                        <w:vAlign w:val="center"/>
                      </w:tcPr>
                      <w:p>
                        <w:pPr>
                          <w:snapToGrid w:val="0"/>
                          <w:rPr>
                            <w:rFonts w:ascii="Georgia" w:hAnsi="Georgia" w:cs="Arial"/>
                          </w:rPr>
                        </w:pPr>
                        <w:r>
                          <w:rPr>
                            <w:rFonts w:ascii="Georgia" w:hAnsi="Georgia" w:cs="Arial"/>
                          </w:rPr>
                          <w:t>1370 JODOIGNE</w:t>
                        </w:r>
                      </w:p>
                    </w:tc>
                    <w:tc>
                      <w:tcPr>
                        <w:tcW w:w="1594" w:type="dxa"/>
                      </w:tcPr>
                      <w:p>
                        <w:pPr>
                          <w:rPr>
                            <w:rFonts w:ascii="Georgia" w:eastAsia="Times New Roman" w:hAnsi="Georgia" w:cs="Arial"/>
                            <w:lang w:eastAsia="fr-BE"/>
                          </w:rPr>
                        </w:pPr>
                        <w:r>
                          <w:rPr>
                            <w:rFonts w:ascii="Georgia" w:eastAsia="Times New Roman" w:hAnsi="Georgia" w:cs="Arial"/>
                            <w:lang w:eastAsia="fr-BE"/>
                          </w:rPr>
                          <w:t>010/81.35.64</w:t>
                        </w:r>
                      </w:p>
                    </w:tc>
                    <w:tc>
                      <w:tcPr>
                        <w:tcW w:w="1588" w:type="dxa"/>
                      </w:tcPr>
                      <w:p>
                        <w:pPr>
                          <w:rPr>
                            <w:rFonts w:ascii="Georgia" w:eastAsia="Times New Roman" w:hAnsi="Georgia" w:cs="Arial"/>
                            <w:lang w:eastAsia="fr-BE"/>
                          </w:rPr>
                        </w:pPr>
                        <w:r>
                          <w:rPr>
                            <w:rFonts w:ascii="Georgia" w:eastAsia="Times New Roman" w:hAnsi="Georgia" w:cs="Arial"/>
                            <w:lang w:eastAsia="fr-BE"/>
                          </w:rPr>
                          <w:t>010/81.58.21</w:t>
                        </w:r>
                      </w:p>
                    </w:tc>
                    <w:tc>
                      <w:tcPr>
                        <w:tcW w:w="3562" w:type="dxa"/>
                      </w:tcPr>
                      <w:p>
                        <w:pPr>
                          <w:snapToGrid w:val="0"/>
                          <w:jc w:val="center"/>
                          <w:rPr>
                            <w:rFonts w:ascii="Georgia" w:hAnsi="Georgia" w:cs="Arial"/>
                            <w:b/>
                            <w:bCs/>
                          </w:rPr>
                        </w:pPr>
                        <w:r>
                          <w:rPr>
                            <w:rFonts w:ascii="Georgia" w:hAnsi="Georgia" w:cs="Arial"/>
                            <w:b/>
                            <w:bCs/>
                          </w:rPr>
                          <w:t>Province du Brabant- Wallon</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Chaussée de Charleroi, 31A</w:t>
                        </w:r>
                      </w:p>
                    </w:tc>
                    <w:tc>
                      <w:tcPr>
                        <w:tcW w:w="2328" w:type="dxa"/>
                        <w:vAlign w:val="center"/>
                      </w:tcPr>
                      <w:p>
                        <w:pPr>
                          <w:snapToGrid w:val="0"/>
                          <w:rPr>
                            <w:rFonts w:ascii="Georgia" w:hAnsi="Georgia" w:cs="Arial"/>
                          </w:rPr>
                        </w:pPr>
                        <w:r>
                          <w:rPr>
                            <w:rFonts w:ascii="Georgia" w:hAnsi="Georgia" w:cs="Arial"/>
                          </w:rPr>
                          <w:t>1370 JODOIGNE</w:t>
                        </w:r>
                      </w:p>
                    </w:tc>
                    <w:tc>
                      <w:tcPr>
                        <w:tcW w:w="1594" w:type="dxa"/>
                      </w:tcPr>
                      <w:p>
                        <w:pPr>
                          <w:rPr>
                            <w:rFonts w:ascii="Georgia" w:eastAsia="Times New Roman" w:hAnsi="Georgia" w:cs="Arial"/>
                            <w:lang w:eastAsia="fr-BE"/>
                          </w:rPr>
                        </w:pPr>
                        <w:r>
                          <w:rPr>
                            <w:rFonts w:ascii="Georgia" w:eastAsia="Times New Roman" w:hAnsi="Georgia" w:cs="Arial"/>
                            <w:lang w:eastAsia="fr-BE"/>
                          </w:rPr>
                          <w:t>010/81.26.27</w:t>
                        </w:r>
                      </w:p>
                    </w:tc>
                    <w:tc>
                      <w:tcPr>
                        <w:tcW w:w="1588" w:type="dxa"/>
                      </w:tcPr>
                      <w:p>
                        <w:pPr>
                          <w:rPr>
                            <w:rFonts w:ascii="Georgia" w:eastAsia="Times New Roman" w:hAnsi="Georgia" w:cs="Arial"/>
                            <w:lang w:eastAsia="fr-BE"/>
                          </w:rPr>
                        </w:pPr>
                        <w:r>
                          <w:rPr>
                            <w:rFonts w:ascii="Georgia" w:eastAsia="Times New Roman" w:hAnsi="Georgia" w:cs="Arial"/>
                            <w:lang w:eastAsia="fr-BE"/>
                          </w:rPr>
                          <w:t>010/81.61.72</w:t>
                        </w:r>
                      </w:p>
                    </w:tc>
                    <w:tc>
                      <w:tcPr>
                        <w:tcW w:w="3562" w:type="dxa"/>
                      </w:tcPr>
                      <w:p>
                        <w:pPr>
                          <w:snapToGrid w:val="0"/>
                          <w:jc w:val="center"/>
                          <w:rPr>
                            <w:rFonts w:ascii="Georgia" w:hAnsi="Georgia" w:cs="Arial"/>
                            <w:b/>
                            <w:bCs/>
                          </w:rPr>
                        </w:pPr>
                        <w:r>
                          <w:rPr>
                            <w:rFonts w:ascii="Georgia" w:hAnsi="Georgia" w:cs="Arial"/>
                            <w:b/>
                            <w:bCs/>
                          </w:rPr>
                          <w:t>Province du Brabant- Wallon</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Avenue du Burlet, 23</w:t>
                        </w:r>
                      </w:p>
                    </w:tc>
                    <w:tc>
                      <w:tcPr>
                        <w:tcW w:w="2328" w:type="dxa"/>
                        <w:vAlign w:val="center"/>
                      </w:tcPr>
                      <w:p>
                        <w:pPr>
                          <w:snapToGrid w:val="0"/>
                          <w:rPr>
                            <w:rFonts w:ascii="Georgia" w:hAnsi="Georgia" w:cs="Arial"/>
                          </w:rPr>
                        </w:pPr>
                        <w:r>
                          <w:rPr>
                            <w:rFonts w:ascii="Georgia" w:hAnsi="Georgia" w:cs="Arial"/>
                          </w:rPr>
                          <w:t>1400 NIVELLES</w:t>
                        </w:r>
                      </w:p>
                    </w:tc>
                    <w:tc>
                      <w:tcPr>
                        <w:tcW w:w="1594" w:type="dxa"/>
                      </w:tcPr>
                      <w:p>
                        <w:pPr>
                          <w:rPr>
                            <w:rFonts w:ascii="Georgia" w:eastAsia="Times New Roman" w:hAnsi="Georgia" w:cs="Arial"/>
                            <w:lang w:eastAsia="fr-BE"/>
                          </w:rPr>
                        </w:pPr>
                        <w:r>
                          <w:rPr>
                            <w:rFonts w:ascii="Georgia" w:eastAsia="Times New Roman" w:hAnsi="Georgia" w:cs="Arial"/>
                            <w:lang w:eastAsia="fr-BE"/>
                          </w:rPr>
                          <w:t>067/21.40.55</w:t>
                        </w:r>
                      </w:p>
                    </w:tc>
                    <w:tc>
                      <w:tcPr>
                        <w:tcW w:w="1588" w:type="dxa"/>
                      </w:tcPr>
                      <w:p>
                        <w:pPr>
                          <w:rPr>
                            <w:rFonts w:ascii="Georgia" w:eastAsia="Times New Roman" w:hAnsi="Georgia" w:cs="Arial"/>
                            <w:lang w:eastAsia="fr-BE"/>
                          </w:rPr>
                        </w:pPr>
                        <w:r>
                          <w:rPr>
                            <w:rFonts w:ascii="Georgia" w:eastAsia="Times New Roman" w:hAnsi="Georgia" w:cs="Arial"/>
                            <w:lang w:eastAsia="fr-BE"/>
                          </w:rPr>
                          <w:t>067/21.27.56</w:t>
                        </w:r>
                      </w:p>
                    </w:tc>
                    <w:tc>
                      <w:tcPr>
                        <w:tcW w:w="3562" w:type="dxa"/>
                      </w:tcPr>
                      <w:p>
                        <w:pPr>
                          <w:snapToGrid w:val="0"/>
                          <w:jc w:val="center"/>
                          <w:rPr>
                            <w:rFonts w:ascii="Georgia" w:hAnsi="Georgia" w:cs="Arial"/>
                            <w:b/>
                            <w:bCs/>
                          </w:rPr>
                        </w:pPr>
                        <w:r>
                          <w:rPr>
                            <w:rFonts w:ascii="Georgia" w:hAnsi="Georgia" w:cs="Arial"/>
                            <w:b/>
                            <w:bCs/>
                          </w:rPr>
                          <w:t>Province du Brabant- Wallon</w:t>
                        </w:r>
                      </w:p>
                    </w:tc>
                  </w:tr>
                  <w:tr>
                    <w:trPr>
                      <w:cantSplit/>
                      <w:trHeight w:val="397"/>
                    </w:trPr>
                    <w:tc>
                      <w:tcPr>
                        <w:tcW w:w="3147" w:type="dxa"/>
                        <w:vAlign w:val="center"/>
                      </w:tcPr>
                      <w:p>
                        <w:pPr>
                          <w:snapToGrid w:val="0"/>
                          <w:rPr>
                            <w:rFonts w:ascii="Georgia" w:hAnsi="Georgia" w:cs="Arial"/>
                          </w:rPr>
                        </w:pPr>
                        <w:r>
                          <w:rPr>
                            <w:rFonts w:ascii="Georgia" w:hAnsi="Georgia" w:cs="Arial"/>
                          </w:rPr>
                          <w:t>CPMS provincial BRABANT IV</w:t>
                        </w:r>
                      </w:p>
                    </w:tc>
                    <w:tc>
                      <w:tcPr>
                        <w:tcW w:w="2802" w:type="dxa"/>
                        <w:vAlign w:val="center"/>
                      </w:tcPr>
                      <w:p>
                        <w:pPr>
                          <w:snapToGrid w:val="0"/>
                          <w:rPr>
                            <w:rFonts w:ascii="Georgia" w:hAnsi="Georgia" w:cs="Arial"/>
                          </w:rPr>
                        </w:pPr>
                        <w:r>
                          <w:rPr>
                            <w:rFonts w:ascii="Georgia" w:hAnsi="Georgia" w:cs="Arial"/>
                          </w:rPr>
                          <w:t>Rue Demulder, 10</w:t>
                        </w:r>
                      </w:p>
                    </w:tc>
                    <w:tc>
                      <w:tcPr>
                        <w:tcW w:w="2328" w:type="dxa"/>
                        <w:vAlign w:val="center"/>
                      </w:tcPr>
                      <w:p>
                        <w:pPr>
                          <w:snapToGrid w:val="0"/>
                          <w:rPr>
                            <w:rFonts w:ascii="Georgia" w:hAnsi="Georgia" w:cs="Arial"/>
                          </w:rPr>
                        </w:pPr>
                        <w:r>
                          <w:rPr>
                            <w:rFonts w:ascii="Georgia" w:hAnsi="Georgia" w:cs="Arial"/>
                          </w:rPr>
                          <w:t>1400 NIVELLES</w:t>
                        </w:r>
                      </w:p>
                    </w:tc>
                    <w:tc>
                      <w:tcPr>
                        <w:tcW w:w="1594" w:type="dxa"/>
                      </w:tcPr>
                      <w:p>
                        <w:pPr>
                          <w:rPr>
                            <w:rFonts w:ascii="Georgia" w:eastAsia="Times New Roman" w:hAnsi="Georgia" w:cs="Arial"/>
                            <w:lang w:eastAsia="fr-BE"/>
                          </w:rPr>
                        </w:pPr>
                        <w:r>
                          <w:rPr>
                            <w:rFonts w:ascii="Georgia" w:eastAsia="Times New Roman" w:hAnsi="Georgia" w:cs="Arial"/>
                            <w:lang w:eastAsia="fr-BE"/>
                          </w:rPr>
                          <w:t>067/21.79.21</w:t>
                        </w:r>
                      </w:p>
                    </w:tc>
                    <w:tc>
                      <w:tcPr>
                        <w:tcW w:w="1588" w:type="dxa"/>
                      </w:tcPr>
                      <w:p>
                        <w:pPr>
                          <w:rPr>
                            <w:rFonts w:ascii="Georgia" w:eastAsia="Times New Roman" w:hAnsi="Georgia" w:cs="Arial"/>
                            <w:lang w:eastAsia="fr-BE"/>
                          </w:rPr>
                        </w:pPr>
                        <w:r>
                          <w:rPr>
                            <w:rFonts w:ascii="Georgia" w:eastAsia="Times New Roman" w:hAnsi="Georgia" w:cs="Arial"/>
                            <w:lang w:eastAsia="fr-BE"/>
                          </w:rPr>
                          <w:t>067/21.79.22</w:t>
                        </w:r>
                      </w:p>
                    </w:tc>
                    <w:tc>
                      <w:tcPr>
                        <w:tcW w:w="3562" w:type="dxa"/>
                      </w:tcPr>
                      <w:p>
                        <w:pPr>
                          <w:snapToGrid w:val="0"/>
                          <w:jc w:val="center"/>
                          <w:rPr>
                            <w:rFonts w:ascii="Georgia" w:hAnsi="Georgia" w:cs="Arial"/>
                            <w:b/>
                            <w:bCs/>
                          </w:rPr>
                        </w:pPr>
                        <w:r>
                          <w:rPr>
                            <w:rFonts w:ascii="Georgia" w:hAnsi="Georgia" w:cs="Arial"/>
                            <w:b/>
                            <w:bCs/>
                          </w:rPr>
                          <w:t>Province du Brabant- Wallon</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Rue F. Lebon, 34</w:t>
                        </w:r>
                      </w:p>
                    </w:tc>
                    <w:tc>
                      <w:tcPr>
                        <w:tcW w:w="2328" w:type="dxa"/>
                        <w:vAlign w:val="center"/>
                      </w:tcPr>
                      <w:p>
                        <w:pPr>
                          <w:snapToGrid w:val="0"/>
                          <w:rPr>
                            <w:rFonts w:ascii="Georgia" w:hAnsi="Georgia" w:cs="Arial"/>
                          </w:rPr>
                        </w:pPr>
                        <w:r>
                          <w:rPr>
                            <w:rFonts w:ascii="Georgia" w:hAnsi="Georgia" w:cs="Arial"/>
                          </w:rPr>
                          <w:t>1400 NIVELLES</w:t>
                        </w:r>
                      </w:p>
                    </w:tc>
                    <w:tc>
                      <w:tcPr>
                        <w:tcW w:w="1594" w:type="dxa"/>
                      </w:tcPr>
                      <w:p>
                        <w:pPr>
                          <w:rPr>
                            <w:rFonts w:ascii="Georgia" w:eastAsia="Times New Roman" w:hAnsi="Georgia" w:cs="Arial"/>
                            <w:lang w:eastAsia="fr-BE"/>
                          </w:rPr>
                        </w:pPr>
                        <w:r>
                          <w:rPr>
                            <w:rFonts w:ascii="Georgia" w:eastAsia="Times New Roman" w:hAnsi="Georgia" w:cs="Arial"/>
                            <w:lang w:eastAsia="fr-BE"/>
                          </w:rPr>
                          <w:t>067/21.44.22</w:t>
                        </w:r>
                      </w:p>
                    </w:tc>
                    <w:tc>
                      <w:tcPr>
                        <w:tcW w:w="1588" w:type="dxa"/>
                      </w:tcPr>
                      <w:p>
                        <w:pPr>
                          <w:rPr>
                            <w:rFonts w:ascii="Georgia" w:eastAsia="Times New Roman" w:hAnsi="Georgia" w:cs="Arial"/>
                            <w:lang w:eastAsia="fr-BE"/>
                          </w:rPr>
                        </w:pPr>
                        <w:r>
                          <w:rPr>
                            <w:rFonts w:ascii="Georgia" w:eastAsia="Times New Roman" w:hAnsi="Georgia" w:cs="Arial"/>
                            <w:lang w:eastAsia="fr-BE"/>
                          </w:rPr>
                          <w:t>067/84.18.34</w:t>
                        </w:r>
                      </w:p>
                    </w:tc>
                    <w:tc>
                      <w:tcPr>
                        <w:tcW w:w="3562" w:type="dxa"/>
                      </w:tcPr>
                      <w:p>
                        <w:pPr>
                          <w:snapToGrid w:val="0"/>
                          <w:jc w:val="center"/>
                          <w:rPr>
                            <w:rFonts w:ascii="Georgia" w:hAnsi="Georgia" w:cs="Arial"/>
                            <w:b/>
                            <w:bCs/>
                          </w:rPr>
                        </w:pPr>
                        <w:r>
                          <w:rPr>
                            <w:rFonts w:ascii="Georgia" w:hAnsi="Georgia" w:cs="Arial"/>
                            <w:b/>
                            <w:bCs/>
                          </w:rPr>
                          <w:t>Province du Brabant- Wallon</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Chaussée Reine Astrid, 79</w:t>
                        </w:r>
                      </w:p>
                    </w:tc>
                    <w:tc>
                      <w:tcPr>
                        <w:tcW w:w="2328" w:type="dxa"/>
                        <w:vAlign w:val="center"/>
                      </w:tcPr>
                      <w:p>
                        <w:pPr>
                          <w:snapToGrid w:val="0"/>
                          <w:rPr>
                            <w:rFonts w:ascii="Georgia" w:hAnsi="Georgia" w:cs="Arial"/>
                          </w:rPr>
                        </w:pPr>
                        <w:r>
                          <w:rPr>
                            <w:rFonts w:ascii="Georgia" w:hAnsi="Georgia" w:cs="Arial"/>
                          </w:rPr>
                          <w:t>1420 BRAINE L ALLEUD</w:t>
                        </w:r>
                      </w:p>
                    </w:tc>
                    <w:tc>
                      <w:tcPr>
                        <w:tcW w:w="1594" w:type="dxa"/>
                      </w:tcPr>
                      <w:p>
                        <w:pPr>
                          <w:rPr>
                            <w:rFonts w:ascii="Georgia" w:eastAsia="Times New Roman" w:hAnsi="Georgia" w:cs="Arial"/>
                            <w:lang w:eastAsia="fr-BE"/>
                          </w:rPr>
                        </w:pPr>
                        <w:r>
                          <w:rPr>
                            <w:rFonts w:ascii="Georgia" w:eastAsia="Times New Roman" w:hAnsi="Georgia" w:cs="Arial"/>
                            <w:lang w:eastAsia="fr-BE"/>
                          </w:rPr>
                          <w:t>02/384.51.36</w:t>
                        </w:r>
                      </w:p>
                    </w:tc>
                    <w:tc>
                      <w:tcPr>
                        <w:tcW w:w="1588" w:type="dxa"/>
                      </w:tcPr>
                      <w:p>
                        <w:pPr>
                          <w:rPr>
                            <w:rFonts w:ascii="Georgia" w:eastAsia="Times New Roman" w:hAnsi="Georgia" w:cs="Arial"/>
                            <w:lang w:eastAsia="fr-BE"/>
                          </w:rPr>
                        </w:pPr>
                        <w:r>
                          <w:rPr>
                            <w:rFonts w:ascii="Georgia" w:eastAsia="Times New Roman" w:hAnsi="Georgia" w:cs="Arial"/>
                            <w:lang w:eastAsia="fr-BE"/>
                          </w:rPr>
                          <w:t>02/387.23.26</w:t>
                        </w:r>
                      </w:p>
                    </w:tc>
                    <w:tc>
                      <w:tcPr>
                        <w:tcW w:w="3562" w:type="dxa"/>
                      </w:tcPr>
                      <w:p>
                        <w:pPr>
                          <w:snapToGrid w:val="0"/>
                          <w:jc w:val="center"/>
                          <w:rPr>
                            <w:rFonts w:ascii="Georgia" w:hAnsi="Georgia" w:cs="Arial"/>
                            <w:b/>
                            <w:bCs/>
                          </w:rPr>
                        </w:pPr>
                        <w:r>
                          <w:rPr>
                            <w:rFonts w:ascii="Georgia" w:hAnsi="Georgia" w:cs="Arial"/>
                            <w:b/>
                            <w:bCs/>
                          </w:rPr>
                          <w:t>Province du Brabant- Wallon</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Saint-Léonard, 378</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04/227.11.71</w:t>
                        </w:r>
                      </w:p>
                    </w:tc>
                    <w:tc>
                      <w:tcPr>
                        <w:tcW w:w="1588" w:type="dxa"/>
                      </w:tcPr>
                      <w:p>
                        <w:pPr>
                          <w:rPr>
                            <w:rFonts w:ascii="Georgia" w:eastAsia="Times New Roman" w:hAnsi="Georgia" w:cs="Arial"/>
                            <w:lang w:eastAsia="fr-BE"/>
                          </w:rPr>
                        </w:pPr>
                        <w:r>
                          <w:rPr>
                            <w:rFonts w:ascii="Georgia" w:eastAsia="Times New Roman" w:hAnsi="Georgia" w:cs="Arial"/>
                            <w:lang w:eastAsia="fr-BE"/>
                          </w:rPr>
                          <w:t>04/227.70.78</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Quai de Rome, 43</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04/365.32.85</w:t>
                        </w:r>
                      </w:p>
                    </w:tc>
                    <w:tc>
                      <w:tcPr>
                        <w:tcW w:w="1588" w:type="dxa"/>
                      </w:tcPr>
                      <w:p>
                        <w:pPr>
                          <w:rPr>
                            <w:rFonts w:ascii="Georgia" w:eastAsia="Times New Roman" w:hAnsi="Georgia" w:cs="Arial"/>
                            <w:lang w:eastAsia="fr-BE"/>
                          </w:rPr>
                        </w:pPr>
                        <w:r>
                          <w:rPr>
                            <w:rFonts w:ascii="Georgia" w:eastAsia="Times New Roman" w:hAnsi="Georgia" w:cs="Arial"/>
                            <w:lang w:eastAsia="fr-BE"/>
                          </w:rPr>
                          <w:t>04/239.10.29</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Communal I</w:t>
                        </w:r>
                      </w:p>
                    </w:tc>
                    <w:tc>
                      <w:tcPr>
                        <w:tcW w:w="2802" w:type="dxa"/>
                        <w:vAlign w:val="center"/>
                      </w:tcPr>
                      <w:p>
                        <w:pPr>
                          <w:snapToGrid w:val="0"/>
                          <w:rPr>
                            <w:rFonts w:ascii="Georgia" w:hAnsi="Georgia" w:cs="Arial"/>
                          </w:rPr>
                        </w:pPr>
                        <w:r>
                          <w:rPr>
                            <w:rFonts w:ascii="Georgia" w:hAnsi="Georgia" w:cs="Arial"/>
                          </w:rPr>
                          <w:t>Rue Beeckman, 27</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04/222.04.93</w:t>
                        </w:r>
                      </w:p>
                    </w:tc>
                    <w:tc>
                      <w:tcPr>
                        <w:tcW w:w="1588" w:type="dxa"/>
                      </w:tcPr>
                      <w:p>
                        <w:pPr>
                          <w:rPr>
                            <w:rFonts w:ascii="Georgia" w:eastAsia="Times New Roman" w:hAnsi="Georgia" w:cs="Arial"/>
                            <w:lang w:eastAsia="fr-BE"/>
                          </w:rPr>
                        </w:pPr>
                        <w:r>
                          <w:rPr>
                            <w:rFonts w:ascii="Georgia" w:eastAsia="Times New Roman" w:hAnsi="Georgia" w:cs="Arial"/>
                            <w:lang w:eastAsia="fr-BE"/>
                          </w:rPr>
                          <w:t>04/221.39.17</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Communal III</w:t>
                        </w:r>
                      </w:p>
                    </w:tc>
                    <w:tc>
                      <w:tcPr>
                        <w:tcW w:w="2802" w:type="dxa"/>
                        <w:vAlign w:val="center"/>
                      </w:tcPr>
                      <w:p>
                        <w:pPr>
                          <w:snapToGrid w:val="0"/>
                          <w:rPr>
                            <w:rFonts w:ascii="Georgia" w:hAnsi="Georgia" w:cs="Arial"/>
                          </w:rPr>
                        </w:pPr>
                        <w:r>
                          <w:rPr>
                            <w:rFonts w:ascii="Georgia" w:hAnsi="Georgia" w:cs="Arial"/>
                          </w:rPr>
                          <w:t>Rue Beeckman, 29</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04/223.79.34</w:t>
                        </w:r>
                      </w:p>
                    </w:tc>
                    <w:tc>
                      <w:tcPr>
                        <w:tcW w:w="1588" w:type="dxa"/>
                      </w:tcPr>
                      <w:p>
                        <w:pPr>
                          <w:rPr>
                            <w:rFonts w:ascii="Georgia" w:eastAsia="Times New Roman" w:hAnsi="Georgia" w:cs="Arial"/>
                            <w:lang w:eastAsia="fr-BE"/>
                          </w:rPr>
                        </w:pPr>
                        <w:r>
                          <w:rPr>
                            <w:rFonts w:ascii="Georgia" w:eastAsia="Times New Roman" w:hAnsi="Georgia" w:cs="Arial"/>
                            <w:lang w:eastAsia="fr-BE"/>
                          </w:rPr>
                          <w:t>04/232.19.87</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Communal IV</w:t>
                        </w:r>
                      </w:p>
                    </w:tc>
                    <w:tc>
                      <w:tcPr>
                        <w:tcW w:w="2802" w:type="dxa"/>
                        <w:vAlign w:val="center"/>
                      </w:tcPr>
                      <w:p>
                        <w:pPr>
                          <w:snapToGrid w:val="0"/>
                          <w:rPr>
                            <w:rFonts w:ascii="Georgia" w:hAnsi="Georgia" w:cs="Arial"/>
                          </w:rPr>
                        </w:pPr>
                        <w:r>
                          <w:rPr>
                            <w:rFonts w:ascii="Georgia" w:hAnsi="Georgia" w:cs="Arial"/>
                          </w:rPr>
                          <w:t>Rue Beeckman, 27</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04/222.04.93</w:t>
                        </w:r>
                      </w:p>
                    </w:tc>
                    <w:tc>
                      <w:tcPr>
                        <w:tcW w:w="1588" w:type="dxa"/>
                      </w:tcPr>
                      <w:p>
                        <w:pPr>
                          <w:rPr>
                            <w:rFonts w:ascii="Georgia" w:eastAsia="Times New Roman" w:hAnsi="Georgia" w:cs="Arial"/>
                            <w:lang w:eastAsia="fr-BE"/>
                          </w:rPr>
                        </w:pPr>
                        <w:r>
                          <w:rPr>
                            <w:rFonts w:ascii="Georgia" w:eastAsia="Times New Roman" w:hAnsi="Georgia" w:cs="Arial"/>
                            <w:lang w:eastAsia="fr-BE"/>
                          </w:rPr>
                          <w:t>04/221.39.17</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LIEGE II</w:t>
                        </w:r>
                      </w:p>
                    </w:tc>
                    <w:tc>
                      <w:tcPr>
                        <w:tcW w:w="2802" w:type="dxa"/>
                        <w:vAlign w:val="center"/>
                      </w:tcPr>
                      <w:p>
                        <w:pPr>
                          <w:snapToGrid w:val="0"/>
                          <w:rPr>
                            <w:rFonts w:ascii="Georgia" w:hAnsi="Georgia" w:cs="Arial"/>
                          </w:rPr>
                        </w:pPr>
                        <w:r>
                          <w:rPr>
                            <w:rFonts w:ascii="Georgia" w:hAnsi="Georgia" w:cs="Arial"/>
                          </w:rPr>
                          <w:t>Boulevard de Laveleye, 78</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04/252.15.63</w:t>
                        </w:r>
                      </w:p>
                    </w:tc>
                    <w:tc>
                      <w:tcPr>
                        <w:tcW w:w="1588" w:type="dxa"/>
                      </w:tcPr>
                      <w:p>
                        <w:pPr>
                          <w:rPr>
                            <w:rFonts w:ascii="Georgia" w:eastAsia="Times New Roman" w:hAnsi="Georgia" w:cs="Arial"/>
                            <w:lang w:eastAsia="fr-BE"/>
                          </w:rPr>
                        </w:pPr>
                        <w:r>
                          <w:rPr>
                            <w:rFonts w:ascii="Georgia" w:eastAsia="Times New Roman" w:hAnsi="Georgia" w:cs="Arial"/>
                            <w:lang w:eastAsia="fr-BE"/>
                          </w:rPr>
                          <w:t>04/254.08.34</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LIEGE III</w:t>
                        </w:r>
                      </w:p>
                    </w:tc>
                    <w:tc>
                      <w:tcPr>
                        <w:tcW w:w="2802" w:type="dxa"/>
                        <w:vAlign w:val="center"/>
                      </w:tcPr>
                      <w:p>
                        <w:pPr>
                          <w:snapToGrid w:val="0"/>
                          <w:rPr>
                            <w:rFonts w:ascii="Georgia" w:hAnsi="Georgia" w:cs="Arial"/>
                          </w:rPr>
                        </w:pPr>
                        <w:r>
                          <w:rPr>
                            <w:rFonts w:ascii="Georgia" w:hAnsi="Georgia" w:cs="Arial"/>
                          </w:rPr>
                          <w:t>Rue Louvrex, 70</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04/254.97.40</w:t>
                        </w:r>
                      </w:p>
                    </w:tc>
                    <w:tc>
                      <w:tcPr>
                        <w:tcW w:w="1588" w:type="dxa"/>
                      </w:tcPr>
                      <w:p>
                        <w:pPr>
                          <w:rPr>
                            <w:rFonts w:ascii="Georgia" w:eastAsia="Times New Roman" w:hAnsi="Georgia" w:cs="Arial"/>
                            <w:lang w:eastAsia="fr-BE"/>
                          </w:rPr>
                        </w:pPr>
                        <w:r>
                          <w:rPr>
                            <w:rFonts w:ascii="Georgia" w:eastAsia="Times New Roman" w:hAnsi="Georgia" w:cs="Arial"/>
                            <w:lang w:eastAsia="fr-BE"/>
                          </w:rPr>
                          <w:t>04/254.97.41</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LIEGE VI</w:t>
                        </w:r>
                      </w:p>
                    </w:tc>
                    <w:tc>
                      <w:tcPr>
                        <w:tcW w:w="2802" w:type="dxa"/>
                        <w:vAlign w:val="center"/>
                      </w:tcPr>
                      <w:p>
                        <w:pPr>
                          <w:snapToGrid w:val="0"/>
                          <w:rPr>
                            <w:rFonts w:ascii="Georgia" w:hAnsi="Georgia" w:cs="Arial"/>
                          </w:rPr>
                        </w:pPr>
                        <w:r>
                          <w:rPr>
                            <w:rFonts w:ascii="Georgia" w:hAnsi="Georgia" w:cs="Arial"/>
                          </w:rPr>
                          <w:t>Rue Louvrex, 70</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04/254.97.40</w:t>
                        </w:r>
                      </w:p>
                    </w:tc>
                    <w:tc>
                      <w:tcPr>
                        <w:tcW w:w="1588" w:type="dxa"/>
                      </w:tcPr>
                      <w:p>
                        <w:pPr>
                          <w:rPr>
                            <w:rFonts w:ascii="Georgia" w:eastAsia="Times New Roman" w:hAnsi="Georgia" w:cs="Arial"/>
                            <w:lang w:eastAsia="fr-BE"/>
                          </w:rPr>
                        </w:pPr>
                        <w:r>
                          <w:rPr>
                            <w:rFonts w:ascii="Georgia" w:eastAsia="Times New Roman" w:hAnsi="Georgia" w:cs="Arial"/>
                            <w:lang w:eastAsia="fr-BE"/>
                          </w:rPr>
                          <w:t>04/254.97.41</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LIEGE VII</w:t>
                        </w:r>
                      </w:p>
                    </w:tc>
                    <w:tc>
                      <w:tcPr>
                        <w:tcW w:w="2802" w:type="dxa"/>
                        <w:vAlign w:val="center"/>
                      </w:tcPr>
                      <w:p>
                        <w:pPr>
                          <w:snapToGrid w:val="0"/>
                          <w:rPr>
                            <w:rFonts w:ascii="Georgia" w:hAnsi="Georgia" w:cs="Arial"/>
                          </w:rPr>
                        </w:pPr>
                        <w:r>
                          <w:rPr>
                            <w:rFonts w:ascii="Georgia" w:hAnsi="Georgia" w:cs="Arial"/>
                          </w:rPr>
                          <w:t>Rue Louvrex, 70</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04/254.97.40</w:t>
                        </w:r>
                      </w:p>
                    </w:tc>
                    <w:tc>
                      <w:tcPr>
                        <w:tcW w:w="1588" w:type="dxa"/>
                      </w:tcPr>
                      <w:p>
                        <w:pPr>
                          <w:rPr>
                            <w:rFonts w:ascii="Georgia" w:eastAsia="Times New Roman" w:hAnsi="Georgia" w:cs="Arial"/>
                            <w:lang w:eastAsia="fr-BE"/>
                          </w:rPr>
                        </w:pPr>
                        <w:r>
                          <w:rPr>
                            <w:rFonts w:ascii="Georgia" w:eastAsia="Times New Roman" w:hAnsi="Georgia" w:cs="Arial"/>
                            <w:lang w:eastAsia="fr-BE"/>
                          </w:rPr>
                          <w:t>04/254.97.41</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LIEGE X</w:t>
                        </w:r>
                      </w:p>
                    </w:tc>
                    <w:tc>
                      <w:tcPr>
                        <w:tcW w:w="2802" w:type="dxa"/>
                        <w:vAlign w:val="center"/>
                      </w:tcPr>
                      <w:p>
                        <w:pPr>
                          <w:snapToGrid w:val="0"/>
                          <w:rPr>
                            <w:rFonts w:ascii="Georgia" w:hAnsi="Georgia" w:cs="Arial"/>
                          </w:rPr>
                        </w:pPr>
                        <w:r>
                          <w:rPr>
                            <w:rFonts w:ascii="Georgia" w:hAnsi="Georgia" w:cs="Arial"/>
                          </w:rPr>
                          <w:t>Rue Louvrex, 70</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04/254.97.40</w:t>
                        </w:r>
                      </w:p>
                    </w:tc>
                    <w:tc>
                      <w:tcPr>
                        <w:tcW w:w="1588" w:type="dxa"/>
                      </w:tcPr>
                      <w:p>
                        <w:pPr>
                          <w:rPr>
                            <w:rFonts w:ascii="Georgia" w:eastAsia="Times New Roman" w:hAnsi="Georgia" w:cs="Arial"/>
                            <w:lang w:eastAsia="fr-BE"/>
                          </w:rPr>
                        </w:pPr>
                        <w:r>
                          <w:rPr>
                            <w:rFonts w:ascii="Georgia" w:eastAsia="Times New Roman" w:hAnsi="Georgia" w:cs="Arial"/>
                            <w:lang w:eastAsia="fr-BE"/>
                          </w:rPr>
                          <w:t>04/254.97.41</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Communal II</w:t>
                        </w:r>
                      </w:p>
                    </w:tc>
                    <w:tc>
                      <w:tcPr>
                        <w:tcW w:w="2802" w:type="dxa"/>
                        <w:vAlign w:val="center"/>
                      </w:tcPr>
                      <w:p>
                        <w:pPr>
                          <w:snapToGrid w:val="0"/>
                          <w:rPr>
                            <w:rFonts w:ascii="Georgia" w:hAnsi="Georgia" w:cs="Arial"/>
                          </w:rPr>
                        </w:pPr>
                        <w:r>
                          <w:rPr>
                            <w:rFonts w:ascii="Georgia" w:hAnsi="Georgia" w:cs="Arial"/>
                          </w:rPr>
                          <w:t>Rue Georges Simenon, 13</w:t>
                        </w:r>
                      </w:p>
                    </w:tc>
                    <w:tc>
                      <w:tcPr>
                        <w:tcW w:w="2328" w:type="dxa"/>
                        <w:vAlign w:val="center"/>
                      </w:tcPr>
                      <w:p>
                        <w:pPr>
                          <w:snapToGrid w:val="0"/>
                          <w:rPr>
                            <w:rFonts w:ascii="Georgia" w:hAnsi="Georgia" w:cs="Arial"/>
                          </w:rPr>
                        </w:pPr>
                        <w:r>
                          <w:rPr>
                            <w:rFonts w:ascii="Georgia" w:hAnsi="Georgia" w:cs="Arial"/>
                          </w:rPr>
                          <w:t>4020 LIEGE</w:t>
                        </w:r>
                      </w:p>
                    </w:tc>
                    <w:tc>
                      <w:tcPr>
                        <w:tcW w:w="1594" w:type="dxa"/>
                      </w:tcPr>
                      <w:p>
                        <w:pPr>
                          <w:rPr>
                            <w:rFonts w:ascii="Georgia" w:eastAsia="Times New Roman" w:hAnsi="Georgia" w:cs="Arial"/>
                            <w:lang w:eastAsia="fr-BE"/>
                          </w:rPr>
                        </w:pPr>
                        <w:r>
                          <w:rPr>
                            <w:rFonts w:ascii="Georgia" w:eastAsia="Times New Roman" w:hAnsi="Georgia" w:cs="Arial"/>
                            <w:lang w:eastAsia="fr-BE"/>
                          </w:rPr>
                          <w:t>04/341.40.14</w:t>
                        </w:r>
                      </w:p>
                    </w:tc>
                    <w:tc>
                      <w:tcPr>
                        <w:tcW w:w="1588" w:type="dxa"/>
                      </w:tcPr>
                      <w:p>
                        <w:pPr>
                          <w:rPr>
                            <w:rFonts w:ascii="Georgia" w:eastAsia="Times New Roman" w:hAnsi="Georgia" w:cs="Arial"/>
                            <w:lang w:eastAsia="fr-BE"/>
                          </w:rPr>
                        </w:pPr>
                        <w:r>
                          <w:rPr>
                            <w:rFonts w:ascii="Georgia" w:eastAsia="Times New Roman" w:hAnsi="Georgia" w:cs="Arial"/>
                            <w:lang w:eastAsia="fr-BE"/>
                          </w:rPr>
                          <w:t>04/343.07.21</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AYWAILLE</w:t>
                        </w:r>
                      </w:p>
                    </w:tc>
                    <w:tc>
                      <w:tcPr>
                        <w:tcW w:w="2802" w:type="dxa"/>
                        <w:vAlign w:val="center"/>
                      </w:tcPr>
                      <w:p>
                        <w:pPr>
                          <w:snapToGrid w:val="0"/>
                          <w:rPr>
                            <w:rFonts w:ascii="Georgia" w:hAnsi="Georgia" w:cs="Arial"/>
                          </w:rPr>
                        </w:pPr>
                        <w:r>
                          <w:rPr>
                            <w:rFonts w:ascii="Georgia" w:hAnsi="Georgia" w:cs="Arial"/>
                          </w:rPr>
                          <w:t>Boulevard de Laveleye, 78</w:t>
                        </w:r>
                      </w:p>
                    </w:tc>
                    <w:tc>
                      <w:tcPr>
                        <w:tcW w:w="2328" w:type="dxa"/>
                        <w:vAlign w:val="center"/>
                      </w:tcPr>
                      <w:p>
                        <w:pPr>
                          <w:snapToGrid w:val="0"/>
                          <w:rPr>
                            <w:rFonts w:ascii="Georgia" w:hAnsi="Georgia" w:cs="Arial"/>
                          </w:rPr>
                        </w:pPr>
                        <w:r>
                          <w:rPr>
                            <w:rFonts w:ascii="Georgia" w:hAnsi="Georgia" w:cs="Arial"/>
                          </w:rPr>
                          <w:t>4020 LIEGE</w:t>
                        </w:r>
                      </w:p>
                    </w:tc>
                    <w:tc>
                      <w:tcPr>
                        <w:tcW w:w="1594" w:type="dxa"/>
                      </w:tcPr>
                      <w:p>
                        <w:pPr>
                          <w:rPr>
                            <w:rFonts w:ascii="Georgia" w:eastAsia="Times New Roman" w:hAnsi="Georgia" w:cs="Arial"/>
                            <w:lang w:eastAsia="fr-BE"/>
                          </w:rPr>
                        </w:pPr>
                        <w:r>
                          <w:rPr>
                            <w:rFonts w:ascii="Georgia" w:eastAsia="Times New Roman" w:hAnsi="Georgia" w:cs="Arial"/>
                            <w:lang w:eastAsia="fr-BE"/>
                          </w:rPr>
                          <w:t>04/247.29.77</w:t>
                        </w:r>
                      </w:p>
                    </w:tc>
                    <w:tc>
                      <w:tcPr>
                        <w:tcW w:w="1588" w:type="dxa"/>
                      </w:tcPr>
                      <w:p>
                        <w:pPr>
                          <w:rPr>
                            <w:rFonts w:ascii="Georgia" w:eastAsia="Times New Roman" w:hAnsi="Georgia" w:cs="Arial"/>
                            <w:lang w:eastAsia="fr-BE"/>
                          </w:rPr>
                        </w:pPr>
                        <w:r>
                          <w:rPr>
                            <w:rFonts w:ascii="Georgia" w:eastAsia="Times New Roman" w:hAnsi="Georgia" w:cs="Arial"/>
                            <w:lang w:eastAsia="fr-BE"/>
                          </w:rPr>
                          <w:t>04/254.24.47</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LIEGE I</w:t>
                        </w:r>
                      </w:p>
                    </w:tc>
                    <w:tc>
                      <w:tcPr>
                        <w:tcW w:w="2802" w:type="dxa"/>
                        <w:vAlign w:val="center"/>
                      </w:tcPr>
                      <w:p>
                        <w:pPr>
                          <w:snapToGrid w:val="0"/>
                          <w:rPr>
                            <w:rFonts w:ascii="Georgia" w:hAnsi="Georgia" w:cs="Arial"/>
                          </w:rPr>
                        </w:pPr>
                        <w:r>
                          <w:rPr>
                            <w:rFonts w:ascii="Georgia" w:hAnsi="Georgia" w:cs="Arial"/>
                          </w:rPr>
                          <w:t>Boulevard de Laveleye, 78</w:t>
                        </w:r>
                      </w:p>
                    </w:tc>
                    <w:tc>
                      <w:tcPr>
                        <w:tcW w:w="2328" w:type="dxa"/>
                        <w:vAlign w:val="center"/>
                      </w:tcPr>
                      <w:p>
                        <w:pPr>
                          <w:snapToGrid w:val="0"/>
                          <w:rPr>
                            <w:rFonts w:ascii="Georgia" w:hAnsi="Georgia" w:cs="Arial"/>
                          </w:rPr>
                        </w:pPr>
                        <w:r>
                          <w:rPr>
                            <w:rFonts w:ascii="Georgia" w:hAnsi="Georgia" w:cs="Arial"/>
                          </w:rPr>
                          <w:t>4020 LIEGE</w:t>
                        </w:r>
                      </w:p>
                    </w:tc>
                    <w:tc>
                      <w:tcPr>
                        <w:tcW w:w="1594" w:type="dxa"/>
                      </w:tcPr>
                      <w:p>
                        <w:pPr>
                          <w:rPr>
                            <w:rFonts w:ascii="Georgia" w:eastAsia="Times New Roman" w:hAnsi="Georgia" w:cs="Arial"/>
                            <w:lang w:eastAsia="fr-BE"/>
                          </w:rPr>
                        </w:pPr>
                        <w:r>
                          <w:rPr>
                            <w:rFonts w:ascii="Georgia" w:eastAsia="Times New Roman" w:hAnsi="Georgia" w:cs="Arial"/>
                            <w:lang w:eastAsia="fr-BE"/>
                          </w:rPr>
                          <w:t>04/254.24.14</w:t>
                        </w:r>
                      </w:p>
                    </w:tc>
                    <w:tc>
                      <w:tcPr>
                        <w:tcW w:w="1588" w:type="dxa"/>
                      </w:tcPr>
                      <w:p>
                        <w:pPr>
                          <w:rPr>
                            <w:rFonts w:ascii="Georgia" w:eastAsia="Times New Roman" w:hAnsi="Georgia" w:cs="Arial"/>
                            <w:lang w:eastAsia="fr-BE"/>
                          </w:rPr>
                        </w:pPr>
                        <w:r>
                          <w:rPr>
                            <w:rFonts w:ascii="Georgia" w:eastAsia="Times New Roman" w:hAnsi="Georgia" w:cs="Arial"/>
                            <w:lang w:eastAsia="fr-BE"/>
                          </w:rPr>
                          <w:t>04/254.58.64</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provincial LIEGE</w:t>
                        </w:r>
                      </w:p>
                    </w:tc>
                    <w:tc>
                      <w:tcPr>
                        <w:tcW w:w="2802" w:type="dxa"/>
                        <w:vAlign w:val="center"/>
                      </w:tcPr>
                      <w:p>
                        <w:pPr>
                          <w:snapToGrid w:val="0"/>
                          <w:rPr>
                            <w:rFonts w:ascii="Georgia" w:hAnsi="Georgia" w:cs="Arial"/>
                          </w:rPr>
                        </w:pPr>
                        <w:r>
                          <w:rPr>
                            <w:rFonts w:ascii="Georgia" w:hAnsi="Georgia" w:cs="Arial"/>
                          </w:rPr>
                          <w:t>Place Coronmeuse, 21 – 1er étage</w:t>
                        </w:r>
                      </w:p>
                    </w:tc>
                    <w:tc>
                      <w:tcPr>
                        <w:tcW w:w="2328" w:type="dxa"/>
                        <w:vAlign w:val="center"/>
                      </w:tcPr>
                      <w:p>
                        <w:pPr>
                          <w:snapToGrid w:val="0"/>
                          <w:rPr>
                            <w:rFonts w:ascii="Georgia" w:hAnsi="Georgia" w:cs="Arial"/>
                          </w:rPr>
                        </w:pPr>
                        <w:r>
                          <w:rPr>
                            <w:rFonts w:ascii="Georgia" w:hAnsi="Georgia" w:cs="Arial"/>
                          </w:rPr>
                          <w:t>4040 HERSTAL</w:t>
                        </w:r>
                      </w:p>
                    </w:tc>
                    <w:tc>
                      <w:tcPr>
                        <w:tcW w:w="1594" w:type="dxa"/>
                      </w:tcPr>
                      <w:p>
                        <w:pPr>
                          <w:rPr>
                            <w:rFonts w:ascii="Georgia" w:eastAsia="Times New Roman" w:hAnsi="Georgia" w:cs="Arial"/>
                            <w:lang w:eastAsia="fr-BE"/>
                          </w:rPr>
                        </w:pPr>
                        <w:r>
                          <w:rPr>
                            <w:rFonts w:ascii="Georgia" w:eastAsia="Times New Roman" w:hAnsi="Georgia" w:cs="Arial"/>
                            <w:lang w:eastAsia="fr-BE"/>
                          </w:rPr>
                          <w:t>04/248.80.61</w:t>
                        </w:r>
                      </w:p>
                    </w:tc>
                    <w:tc>
                      <w:tcPr>
                        <w:tcW w:w="1588" w:type="dxa"/>
                      </w:tcPr>
                      <w:p>
                        <w:pPr>
                          <w:rPr>
                            <w:rFonts w:ascii="Georgia" w:eastAsia="Times New Roman" w:hAnsi="Georgia" w:cs="Arial"/>
                            <w:lang w:eastAsia="fr-BE"/>
                          </w:rPr>
                        </w:pPr>
                        <w:r>
                          <w:rPr>
                            <w:rFonts w:ascii="Georgia" w:eastAsia="Times New Roman" w:hAnsi="Georgia" w:cs="Arial"/>
                            <w:lang w:eastAsia="fr-BE"/>
                          </w:rPr>
                          <w:t>04/248.80.70</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du Marais, 35</w:t>
                        </w:r>
                      </w:p>
                    </w:tc>
                    <w:tc>
                      <w:tcPr>
                        <w:tcW w:w="2328" w:type="dxa"/>
                        <w:vAlign w:val="center"/>
                      </w:tcPr>
                      <w:p>
                        <w:pPr>
                          <w:snapToGrid w:val="0"/>
                          <w:rPr>
                            <w:rFonts w:ascii="Georgia" w:hAnsi="Georgia" w:cs="Arial"/>
                          </w:rPr>
                        </w:pPr>
                        <w:r>
                          <w:rPr>
                            <w:rFonts w:ascii="Georgia" w:hAnsi="Georgia" w:cs="Arial"/>
                          </w:rPr>
                          <w:t>4100 SERAING</w:t>
                        </w:r>
                      </w:p>
                    </w:tc>
                    <w:tc>
                      <w:tcPr>
                        <w:tcW w:w="1594" w:type="dxa"/>
                      </w:tcPr>
                      <w:p>
                        <w:pPr>
                          <w:rPr>
                            <w:rFonts w:ascii="Georgia" w:eastAsia="Times New Roman" w:hAnsi="Georgia" w:cs="Arial"/>
                            <w:lang w:eastAsia="fr-BE"/>
                          </w:rPr>
                        </w:pPr>
                        <w:r>
                          <w:rPr>
                            <w:rFonts w:ascii="Georgia" w:eastAsia="Times New Roman" w:hAnsi="Georgia" w:cs="Arial"/>
                            <w:lang w:eastAsia="fr-BE"/>
                          </w:rPr>
                          <w:t>04/336.66.79</w:t>
                        </w:r>
                      </w:p>
                    </w:tc>
                    <w:tc>
                      <w:tcPr>
                        <w:tcW w:w="1588" w:type="dxa"/>
                      </w:tcPr>
                      <w:p>
                        <w:pPr>
                          <w:rPr>
                            <w:rFonts w:ascii="Georgia" w:eastAsia="Times New Roman" w:hAnsi="Georgia" w:cs="Arial"/>
                            <w:lang w:eastAsia="fr-BE"/>
                          </w:rPr>
                        </w:pPr>
                        <w:r>
                          <w:rPr>
                            <w:rFonts w:ascii="Georgia" w:eastAsia="Times New Roman" w:hAnsi="Georgia" w:cs="Arial"/>
                            <w:lang w:eastAsia="fr-BE"/>
                          </w:rPr>
                          <w:t>04/336.79.98</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provincial SERAING II</w:t>
                        </w:r>
                      </w:p>
                    </w:tc>
                    <w:tc>
                      <w:tcPr>
                        <w:tcW w:w="2802" w:type="dxa"/>
                        <w:vAlign w:val="center"/>
                      </w:tcPr>
                      <w:p>
                        <w:pPr>
                          <w:snapToGrid w:val="0"/>
                          <w:rPr>
                            <w:rFonts w:ascii="Georgia" w:hAnsi="Georgia" w:cs="Arial"/>
                          </w:rPr>
                        </w:pPr>
                        <w:r>
                          <w:rPr>
                            <w:rFonts w:ascii="Georgia" w:hAnsi="Georgia" w:cs="Arial"/>
                          </w:rPr>
                          <w:t>Avenue de la Concorde, 212</w:t>
                        </w:r>
                      </w:p>
                    </w:tc>
                    <w:tc>
                      <w:tcPr>
                        <w:tcW w:w="2328" w:type="dxa"/>
                        <w:vAlign w:val="center"/>
                      </w:tcPr>
                      <w:p>
                        <w:pPr>
                          <w:snapToGrid w:val="0"/>
                          <w:rPr>
                            <w:rFonts w:ascii="Georgia" w:hAnsi="Georgia" w:cs="Arial"/>
                          </w:rPr>
                        </w:pPr>
                        <w:r>
                          <w:rPr>
                            <w:rFonts w:ascii="Georgia" w:hAnsi="Georgia" w:cs="Arial"/>
                          </w:rPr>
                          <w:t>4100 SERAING</w:t>
                        </w:r>
                      </w:p>
                    </w:tc>
                    <w:tc>
                      <w:tcPr>
                        <w:tcW w:w="1594" w:type="dxa"/>
                      </w:tcPr>
                      <w:p>
                        <w:pPr>
                          <w:rPr>
                            <w:rFonts w:ascii="Georgia" w:eastAsia="Times New Roman" w:hAnsi="Georgia" w:cs="Arial"/>
                            <w:lang w:eastAsia="fr-BE"/>
                          </w:rPr>
                        </w:pPr>
                        <w:r>
                          <w:rPr>
                            <w:rFonts w:ascii="Georgia" w:eastAsia="Times New Roman" w:hAnsi="Georgia" w:cs="Arial"/>
                            <w:lang w:eastAsia="fr-BE"/>
                          </w:rPr>
                          <w:t>04/237.36.60</w:t>
                        </w:r>
                      </w:p>
                    </w:tc>
                    <w:tc>
                      <w:tcPr>
                        <w:tcW w:w="1588" w:type="dxa"/>
                      </w:tcPr>
                      <w:p>
                        <w:pPr>
                          <w:rPr>
                            <w:rFonts w:ascii="Georgia" w:eastAsia="Times New Roman" w:hAnsi="Georgia" w:cs="Arial"/>
                            <w:lang w:eastAsia="fr-BE"/>
                          </w:rPr>
                        </w:pPr>
                        <w:r>
                          <w:rPr>
                            <w:rFonts w:ascii="Georgia" w:eastAsia="Times New Roman" w:hAnsi="Georgia" w:cs="Arial"/>
                            <w:lang w:eastAsia="fr-BE"/>
                          </w:rPr>
                          <w:t>04/237.36.61</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Gustave Renier, 19</w:t>
                        </w:r>
                      </w:p>
                    </w:tc>
                    <w:tc>
                      <w:tcPr>
                        <w:tcW w:w="2328" w:type="dxa"/>
                        <w:vAlign w:val="center"/>
                      </w:tcPr>
                      <w:p>
                        <w:pPr>
                          <w:snapToGrid w:val="0"/>
                          <w:rPr>
                            <w:rFonts w:ascii="Georgia" w:hAnsi="Georgia" w:cs="Arial"/>
                          </w:rPr>
                        </w:pPr>
                        <w:r>
                          <w:rPr>
                            <w:rFonts w:ascii="Georgia" w:hAnsi="Georgia" w:cs="Arial"/>
                          </w:rPr>
                          <w:t>4300 WAREMME</w:t>
                        </w:r>
                      </w:p>
                    </w:tc>
                    <w:tc>
                      <w:tcPr>
                        <w:tcW w:w="1594" w:type="dxa"/>
                      </w:tcPr>
                      <w:p>
                        <w:pPr>
                          <w:rPr>
                            <w:rFonts w:ascii="Georgia" w:eastAsia="Times New Roman" w:hAnsi="Georgia" w:cs="Arial"/>
                            <w:lang w:eastAsia="fr-BE"/>
                          </w:rPr>
                        </w:pPr>
                        <w:r>
                          <w:rPr>
                            <w:rFonts w:ascii="Georgia" w:eastAsia="Times New Roman" w:hAnsi="Georgia" w:cs="Arial"/>
                            <w:lang w:eastAsia="fr-BE"/>
                          </w:rPr>
                          <w:t>019/32.26.41</w:t>
                        </w:r>
                      </w:p>
                    </w:tc>
                    <w:tc>
                      <w:tcPr>
                        <w:tcW w:w="1588" w:type="dxa"/>
                      </w:tcPr>
                      <w:p>
                        <w:pPr>
                          <w:rPr>
                            <w:rFonts w:ascii="Georgia" w:eastAsia="Times New Roman" w:hAnsi="Georgia" w:cs="Arial"/>
                            <w:lang w:eastAsia="fr-BE"/>
                          </w:rPr>
                        </w:pPr>
                        <w:r>
                          <w:rPr>
                            <w:rFonts w:ascii="Georgia" w:eastAsia="Times New Roman" w:hAnsi="Georgia" w:cs="Arial"/>
                            <w:lang w:eastAsia="fr-BE"/>
                          </w:rPr>
                          <w:t>019/58.76.31</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vAlign w:val="center"/>
                      </w:tcPr>
                      <w:p>
                        <w:pPr>
                          <w:snapToGrid w:val="0"/>
                          <w:rPr>
                            <w:rFonts w:ascii="Georgia" w:hAnsi="Georgia" w:cs="Arial"/>
                          </w:rPr>
                        </w:pPr>
                        <w:r>
                          <w:rPr>
                            <w:rFonts w:ascii="Georgia" w:hAnsi="Georgia" w:cs="Arial"/>
                          </w:rPr>
                          <w:t>Rue E. de Sélys Longchamps, 33</w:t>
                        </w:r>
                      </w:p>
                    </w:tc>
                    <w:tc>
                      <w:tcPr>
                        <w:tcW w:w="2328" w:type="dxa"/>
                        <w:vAlign w:val="center"/>
                      </w:tcPr>
                      <w:p>
                        <w:pPr>
                          <w:snapToGrid w:val="0"/>
                          <w:rPr>
                            <w:rFonts w:ascii="Georgia" w:hAnsi="Georgia" w:cs="Arial"/>
                          </w:rPr>
                        </w:pPr>
                        <w:r>
                          <w:rPr>
                            <w:rFonts w:ascii="Georgia" w:hAnsi="Georgia" w:cs="Arial"/>
                          </w:rPr>
                          <w:t>4300 WAREMME</w:t>
                        </w:r>
                      </w:p>
                    </w:tc>
                    <w:tc>
                      <w:tcPr>
                        <w:tcW w:w="1594" w:type="dxa"/>
                      </w:tcPr>
                      <w:p>
                        <w:pPr>
                          <w:rPr>
                            <w:rFonts w:ascii="Georgia" w:eastAsia="Times New Roman" w:hAnsi="Georgia" w:cs="Arial"/>
                            <w:lang w:eastAsia="fr-BE"/>
                          </w:rPr>
                        </w:pPr>
                        <w:r>
                          <w:rPr>
                            <w:rFonts w:ascii="Georgia" w:eastAsia="Times New Roman" w:hAnsi="Georgia" w:cs="Arial"/>
                            <w:lang w:eastAsia="fr-BE"/>
                          </w:rPr>
                          <w:t>019/32.26.12</w:t>
                        </w:r>
                      </w:p>
                    </w:tc>
                    <w:tc>
                      <w:tcPr>
                        <w:tcW w:w="1588" w:type="dxa"/>
                      </w:tcPr>
                      <w:p>
                        <w:pPr>
                          <w:rPr>
                            <w:rFonts w:ascii="Georgia" w:eastAsia="Times New Roman" w:hAnsi="Georgia" w:cs="Arial"/>
                            <w:lang w:eastAsia="fr-BE"/>
                          </w:rPr>
                        </w:pPr>
                        <w:r>
                          <w:rPr>
                            <w:rFonts w:ascii="Georgia" w:eastAsia="Times New Roman" w:hAnsi="Georgia" w:cs="Arial"/>
                            <w:lang w:eastAsia="fr-BE"/>
                          </w:rPr>
                          <w:t>019/32.80.73</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Centre de Hesbaye</w:t>
                        </w:r>
                      </w:p>
                    </w:tc>
                    <w:tc>
                      <w:tcPr>
                        <w:tcW w:w="2802" w:type="dxa"/>
                        <w:vAlign w:val="center"/>
                      </w:tcPr>
                      <w:p>
                        <w:pPr>
                          <w:snapToGrid w:val="0"/>
                          <w:rPr>
                            <w:rFonts w:ascii="Georgia" w:hAnsi="Georgia" w:cs="Arial"/>
                          </w:rPr>
                        </w:pPr>
                        <w:r>
                          <w:rPr>
                            <w:rFonts w:ascii="Georgia" w:hAnsi="Georgia" w:cs="Arial"/>
                          </w:rPr>
                          <w:t>Rue Joseph Wauters, 41A</w:t>
                        </w:r>
                      </w:p>
                    </w:tc>
                    <w:tc>
                      <w:tcPr>
                        <w:tcW w:w="2328" w:type="dxa"/>
                        <w:vAlign w:val="center"/>
                      </w:tcPr>
                      <w:p>
                        <w:pPr>
                          <w:snapToGrid w:val="0"/>
                          <w:rPr>
                            <w:rFonts w:ascii="Georgia" w:hAnsi="Georgia" w:cs="Arial"/>
                          </w:rPr>
                        </w:pPr>
                        <w:r>
                          <w:rPr>
                            <w:rFonts w:ascii="Georgia" w:hAnsi="Georgia" w:cs="Arial"/>
                          </w:rPr>
                          <w:t>4300 WAREMME</w:t>
                        </w:r>
                      </w:p>
                    </w:tc>
                    <w:tc>
                      <w:tcPr>
                        <w:tcW w:w="1594" w:type="dxa"/>
                      </w:tcPr>
                      <w:p>
                        <w:pPr>
                          <w:rPr>
                            <w:rFonts w:ascii="Georgia" w:eastAsia="Times New Roman" w:hAnsi="Georgia" w:cs="Arial"/>
                            <w:lang w:eastAsia="fr-BE"/>
                          </w:rPr>
                        </w:pPr>
                        <w:r>
                          <w:rPr>
                            <w:rFonts w:ascii="Georgia" w:eastAsia="Times New Roman" w:hAnsi="Georgia" w:cs="Arial"/>
                            <w:lang w:eastAsia="fr-BE"/>
                          </w:rPr>
                          <w:t>019/67.78.64</w:t>
                        </w:r>
                      </w:p>
                    </w:tc>
                    <w:tc>
                      <w:tcPr>
                        <w:tcW w:w="1588" w:type="dxa"/>
                      </w:tcPr>
                      <w:p>
                        <w:pPr>
                          <w:rPr>
                            <w:rFonts w:ascii="Georgia" w:eastAsia="Times New Roman" w:hAnsi="Georgia" w:cs="Arial"/>
                            <w:lang w:eastAsia="fr-BE"/>
                          </w:rPr>
                        </w:pPr>
                        <w:r>
                          <w:rPr>
                            <w:rFonts w:ascii="Georgia" w:eastAsia="Times New Roman" w:hAnsi="Georgia" w:cs="Arial"/>
                            <w:lang w:eastAsia="fr-BE"/>
                          </w:rPr>
                          <w:t>019/67.78.65</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des Augustins, 11</w:t>
                        </w:r>
                      </w:p>
                    </w:tc>
                    <w:tc>
                      <w:tcPr>
                        <w:tcW w:w="2328" w:type="dxa"/>
                        <w:vAlign w:val="center"/>
                      </w:tcPr>
                      <w:p>
                        <w:pPr>
                          <w:snapToGrid w:val="0"/>
                          <w:rPr>
                            <w:rFonts w:ascii="Georgia" w:hAnsi="Georgia" w:cs="Arial"/>
                          </w:rPr>
                        </w:pPr>
                        <w:r>
                          <w:rPr>
                            <w:rFonts w:ascii="Georgia" w:hAnsi="Georgia" w:cs="Arial"/>
                          </w:rPr>
                          <w:t>4500 HUY</w:t>
                        </w:r>
                      </w:p>
                    </w:tc>
                    <w:tc>
                      <w:tcPr>
                        <w:tcW w:w="1594" w:type="dxa"/>
                      </w:tcPr>
                      <w:p>
                        <w:pPr>
                          <w:rPr>
                            <w:rFonts w:ascii="Georgia" w:eastAsia="Times New Roman" w:hAnsi="Georgia" w:cs="Arial"/>
                            <w:lang w:eastAsia="fr-BE"/>
                          </w:rPr>
                        </w:pPr>
                        <w:r>
                          <w:rPr>
                            <w:rFonts w:ascii="Georgia" w:eastAsia="Times New Roman" w:hAnsi="Georgia" w:cs="Arial"/>
                            <w:lang w:eastAsia="fr-BE"/>
                          </w:rPr>
                          <w:t>085/21.34.88</w:t>
                        </w:r>
                      </w:p>
                    </w:tc>
                    <w:tc>
                      <w:tcPr>
                        <w:tcW w:w="1588" w:type="dxa"/>
                      </w:tcPr>
                      <w:p>
                        <w:pPr>
                          <w:rPr>
                            <w:rFonts w:ascii="Georgia" w:eastAsia="Times New Roman" w:hAnsi="Georgia" w:cs="Arial"/>
                            <w:lang w:eastAsia="fr-BE"/>
                          </w:rPr>
                        </w:pPr>
                        <w:r>
                          <w:rPr>
                            <w:rFonts w:ascii="Georgia" w:eastAsia="Times New Roman" w:hAnsi="Georgia" w:cs="Arial"/>
                            <w:lang w:eastAsia="fr-BE"/>
                          </w:rPr>
                          <w:t>085/21.64.62</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provincial HUY II</w:t>
                        </w:r>
                      </w:p>
                    </w:tc>
                    <w:tc>
                      <w:tcPr>
                        <w:tcW w:w="2802" w:type="dxa"/>
                        <w:vAlign w:val="center"/>
                      </w:tcPr>
                      <w:p>
                        <w:pPr>
                          <w:snapToGrid w:val="0"/>
                          <w:rPr>
                            <w:rFonts w:ascii="Georgia" w:hAnsi="Georgia" w:cs="Arial"/>
                          </w:rPr>
                        </w:pPr>
                        <w:r>
                          <w:rPr>
                            <w:rFonts w:ascii="Georgia" w:hAnsi="Georgia" w:cs="Arial"/>
                          </w:rPr>
                          <w:t>Rue Saint-Pierre, 48</w:t>
                        </w:r>
                      </w:p>
                    </w:tc>
                    <w:tc>
                      <w:tcPr>
                        <w:tcW w:w="2328" w:type="dxa"/>
                        <w:vAlign w:val="center"/>
                      </w:tcPr>
                      <w:p>
                        <w:pPr>
                          <w:snapToGrid w:val="0"/>
                          <w:rPr>
                            <w:rFonts w:ascii="Georgia" w:hAnsi="Georgia" w:cs="Arial"/>
                          </w:rPr>
                        </w:pPr>
                        <w:r>
                          <w:rPr>
                            <w:rFonts w:ascii="Georgia" w:hAnsi="Georgia" w:cs="Arial"/>
                          </w:rPr>
                          <w:t>4500 HUY</w:t>
                        </w:r>
                      </w:p>
                    </w:tc>
                    <w:tc>
                      <w:tcPr>
                        <w:tcW w:w="1594" w:type="dxa"/>
                      </w:tcPr>
                      <w:p>
                        <w:pPr>
                          <w:rPr>
                            <w:rFonts w:ascii="Georgia" w:eastAsia="Times New Roman" w:hAnsi="Georgia" w:cs="Arial"/>
                            <w:lang w:eastAsia="fr-BE"/>
                          </w:rPr>
                        </w:pPr>
                        <w:r>
                          <w:rPr>
                            <w:rFonts w:ascii="Georgia" w:eastAsia="Times New Roman" w:hAnsi="Georgia" w:cs="Arial"/>
                            <w:lang w:eastAsia="fr-BE"/>
                          </w:rPr>
                          <w:t>085/21.13.75</w:t>
                        </w:r>
                      </w:p>
                    </w:tc>
                    <w:tc>
                      <w:tcPr>
                        <w:tcW w:w="1588" w:type="dxa"/>
                      </w:tcPr>
                      <w:p>
                        <w:pPr>
                          <w:rPr>
                            <w:rFonts w:ascii="Georgia" w:eastAsia="Times New Roman" w:hAnsi="Georgia" w:cs="Arial"/>
                            <w:lang w:eastAsia="fr-BE"/>
                          </w:rPr>
                        </w:pPr>
                        <w:r>
                          <w:rPr>
                            <w:rFonts w:ascii="Georgia" w:eastAsia="Times New Roman" w:hAnsi="Georgia" w:cs="Arial"/>
                            <w:lang w:eastAsia="fr-BE"/>
                          </w:rPr>
                          <w:t>085/21.13.75</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HUY I</w:t>
                        </w:r>
                      </w:p>
                    </w:tc>
                    <w:tc>
                      <w:tcPr>
                        <w:tcW w:w="2802" w:type="dxa"/>
                        <w:vAlign w:val="center"/>
                      </w:tcPr>
                      <w:p>
                        <w:pPr>
                          <w:snapToGrid w:val="0"/>
                          <w:rPr>
                            <w:rFonts w:ascii="Georgia" w:hAnsi="Georgia" w:cs="Arial"/>
                          </w:rPr>
                        </w:pPr>
                        <w:r>
                          <w:rPr>
                            <w:rFonts w:ascii="Georgia" w:hAnsi="Georgia" w:cs="Arial"/>
                          </w:rPr>
                          <w:t>Rue des Augustins, 44</w:t>
                        </w:r>
                      </w:p>
                    </w:tc>
                    <w:tc>
                      <w:tcPr>
                        <w:tcW w:w="2328" w:type="dxa"/>
                        <w:vAlign w:val="center"/>
                      </w:tcPr>
                      <w:p>
                        <w:pPr>
                          <w:snapToGrid w:val="0"/>
                          <w:rPr>
                            <w:rFonts w:ascii="Georgia" w:hAnsi="Georgia" w:cs="Arial"/>
                          </w:rPr>
                        </w:pPr>
                        <w:r>
                          <w:rPr>
                            <w:rFonts w:ascii="Georgia" w:hAnsi="Georgia" w:cs="Arial"/>
                          </w:rPr>
                          <w:t>4500 HUY</w:t>
                        </w:r>
                      </w:p>
                    </w:tc>
                    <w:tc>
                      <w:tcPr>
                        <w:tcW w:w="1594" w:type="dxa"/>
                      </w:tcPr>
                      <w:p>
                        <w:pPr>
                          <w:snapToGrid w:val="0"/>
                          <w:jc w:val="center"/>
                          <w:rPr>
                            <w:rFonts w:ascii="Georgia" w:eastAsia="Times New Roman" w:hAnsi="Georgia" w:cs="Arial"/>
                            <w:lang w:eastAsia="fr-BE"/>
                          </w:rPr>
                        </w:pPr>
                        <w:r>
                          <w:rPr>
                            <w:rFonts w:ascii="Georgia" w:eastAsia="Times New Roman" w:hAnsi="Georgia" w:cs="Arial"/>
                            <w:lang w:eastAsia="fr-BE"/>
                          </w:rPr>
                          <w:t>085-21 29 14</w:t>
                        </w:r>
                      </w:p>
                    </w:tc>
                    <w:tc>
                      <w:tcPr>
                        <w:tcW w:w="1588" w:type="dxa"/>
                      </w:tcPr>
                      <w:p>
                        <w:pPr>
                          <w:snapToGrid w:val="0"/>
                          <w:jc w:val="center"/>
                          <w:rPr>
                            <w:rFonts w:ascii="Georgia" w:eastAsia="Times New Roman" w:hAnsi="Georgia" w:cs="Arial"/>
                            <w:lang w:eastAsia="fr-BE"/>
                          </w:rPr>
                        </w:pPr>
                        <w:r>
                          <w:rPr>
                            <w:rFonts w:ascii="Georgia" w:eastAsia="Times New Roman" w:hAnsi="Georgia" w:cs="Arial"/>
                            <w:lang w:eastAsia="fr-BE"/>
                          </w:rPr>
                          <w:t>085-21 59 71</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de la Wade, 9</w:t>
                        </w:r>
                      </w:p>
                    </w:tc>
                    <w:tc>
                      <w:tcPr>
                        <w:tcW w:w="2328" w:type="dxa"/>
                        <w:vAlign w:val="center"/>
                      </w:tcPr>
                      <w:p>
                        <w:pPr>
                          <w:snapToGrid w:val="0"/>
                          <w:rPr>
                            <w:rFonts w:ascii="Georgia" w:hAnsi="Georgia" w:cs="Arial"/>
                          </w:rPr>
                        </w:pPr>
                        <w:r>
                          <w:rPr>
                            <w:rFonts w:ascii="Georgia" w:hAnsi="Georgia" w:cs="Arial"/>
                          </w:rPr>
                          <w:t>4600 VISE</w:t>
                        </w:r>
                      </w:p>
                    </w:tc>
                    <w:tc>
                      <w:tcPr>
                        <w:tcW w:w="1594" w:type="dxa"/>
                      </w:tcPr>
                      <w:p>
                        <w:pPr>
                          <w:rPr>
                            <w:rFonts w:ascii="Georgia" w:eastAsia="Times New Roman" w:hAnsi="Georgia" w:cs="Arial"/>
                            <w:lang w:eastAsia="fr-BE"/>
                          </w:rPr>
                        </w:pPr>
                        <w:r>
                          <w:rPr>
                            <w:rFonts w:ascii="Georgia" w:eastAsia="Times New Roman" w:hAnsi="Georgia" w:cs="Arial"/>
                            <w:lang w:eastAsia="fr-BE"/>
                          </w:rPr>
                          <w:t>04/379.33.22</w:t>
                        </w:r>
                      </w:p>
                    </w:tc>
                    <w:tc>
                      <w:tcPr>
                        <w:tcW w:w="1588" w:type="dxa"/>
                      </w:tcPr>
                      <w:p>
                        <w:pPr>
                          <w:rPr>
                            <w:rFonts w:ascii="Georgia" w:eastAsia="Times New Roman" w:hAnsi="Georgia" w:cs="Arial"/>
                            <w:lang w:eastAsia="fr-BE"/>
                          </w:rPr>
                        </w:pPr>
                        <w:r>
                          <w:rPr>
                            <w:rFonts w:ascii="Georgia" w:eastAsia="Times New Roman" w:hAnsi="Georgia" w:cs="Arial"/>
                            <w:lang w:eastAsia="fr-BE"/>
                          </w:rPr>
                          <w:t>04/379.90.02</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LIEGE VIII</w:t>
                        </w:r>
                      </w:p>
                    </w:tc>
                    <w:tc>
                      <w:tcPr>
                        <w:tcW w:w="2802" w:type="dxa"/>
                        <w:vAlign w:val="center"/>
                      </w:tcPr>
                      <w:p>
                        <w:pPr>
                          <w:snapToGrid w:val="0"/>
                          <w:rPr>
                            <w:rFonts w:ascii="Georgia" w:hAnsi="Georgia" w:cs="Arial"/>
                          </w:rPr>
                        </w:pPr>
                        <w:r>
                          <w:rPr>
                            <w:rFonts w:ascii="Georgia" w:hAnsi="Georgia" w:cs="Arial"/>
                          </w:rPr>
                          <w:t>Rue de Mons, 14</w:t>
                        </w:r>
                      </w:p>
                    </w:tc>
                    <w:tc>
                      <w:tcPr>
                        <w:tcW w:w="2328" w:type="dxa"/>
                        <w:vAlign w:val="center"/>
                      </w:tcPr>
                      <w:p>
                        <w:pPr>
                          <w:snapToGrid w:val="0"/>
                          <w:rPr>
                            <w:rFonts w:ascii="Georgia" w:hAnsi="Georgia" w:cs="Arial"/>
                          </w:rPr>
                        </w:pPr>
                        <w:r>
                          <w:rPr>
                            <w:rFonts w:ascii="Georgia" w:hAnsi="Georgia" w:cs="Arial"/>
                          </w:rPr>
                          <w:t>4600 VISE</w:t>
                        </w:r>
                      </w:p>
                    </w:tc>
                    <w:tc>
                      <w:tcPr>
                        <w:tcW w:w="1594" w:type="dxa"/>
                      </w:tcPr>
                      <w:p>
                        <w:pPr>
                          <w:rPr>
                            <w:rFonts w:ascii="Georgia" w:eastAsia="Times New Roman" w:hAnsi="Georgia" w:cs="Arial"/>
                            <w:lang w:eastAsia="fr-BE"/>
                          </w:rPr>
                        </w:pPr>
                        <w:r>
                          <w:rPr>
                            <w:rFonts w:ascii="Georgia" w:eastAsia="Times New Roman" w:hAnsi="Georgia" w:cs="Arial"/>
                            <w:lang w:eastAsia="fr-BE"/>
                          </w:rPr>
                          <w:t>04/379.28.13</w:t>
                        </w:r>
                      </w:p>
                    </w:tc>
                    <w:tc>
                      <w:tcPr>
                        <w:tcW w:w="1588" w:type="dxa"/>
                      </w:tcPr>
                      <w:p>
                        <w:pPr>
                          <w:rPr>
                            <w:rFonts w:ascii="Georgia" w:eastAsia="Times New Roman" w:hAnsi="Georgia" w:cs="Arial"/>
                            <w:lang w:eastAsia="fr-BE"/>
                          </w:rPr>
                        </w:pPr>
                        <w:r>
                          <w:rPr>
                            <w:rFonts w:ascii="Georgia" w:eastAsia="Times New Roman" w:hAnsi="Georgia" w:cs="Arial"/>
                            <w:lang w:eastAsia="fr-BE"/>
                          </w:rPr>
                          <w:t>04/374.29.32</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du Palais, 27 bte 5</w:t>
                        </w:r>
                      </w:p>
                    </w:tc>
                    <w:tc>
                      <w:tcPr>
                        <w:tcW w:w="2328" w:type="dxa"/>
                        <w:vAlign w:val="center"/>
                      </w:tcPr>
                      <w:p>
                        <w:pPr>
                          <w:snapToGrid w:val="0"/>
                          <w:rPr>
                            <w:rFonts w:ascii="Georgia" w:hAnsi="Georgia" w:cs="Arial"/>
                          </w:rPr>
                        </w:pPr>
                        <w:r>
                          <w:rPr>
                            <w:rFonts w:ascii="Georgia" w:hAnsi="Georgia" w:cs="Arial"/>
                          </w:rPr>
                          <w:t>4800 VERVIERS</w:t>
                        </w:r>
                      </w:p>
                    </w:tc>
                    <w:tc>
                      <w:tcPr>
                        <w:tcW w:w="1594" w:type="dxa"/>
                      </w:tcPr>
                      <w:p>
                        <w:pPr>
                          <w:rPr>
                            <w:rFonts w:ascii="Georgia" w:eastAsia="Times New Roman" w:hAnsi="Georgia" w:cs="Arial"/>
                            <w:lang w:eastAsia="fr-BE"/>
                          </w:rPr>
                        </w:pPr>
                        <w:r>
                          <w:rPr>
                            <w:rFonts w:ascii="Georgia" w:eastAsia="Times New Roman" w:hAnsi="Georgia" w:cs="Arial"/>
                            <w:lang w:eastAsia="fr-BE"/>
                          </w:rPr>
                          <w:t>087/22.57.93</w:t>
                        </w:r>
                      </w:p>
                    </w:tc>
                    <w:tc>
                      <w:tcPr>
                        <w:tcW w:w="1588" w:type="dxa"/>
                      </w:tcPr>
                      <w:p>
                        <w:pPr>
                          <w:rPr>
                            <w:rFonts w:ascii="Georgia" w:eastAsia="Times New Roman" w:hAnsi="Georgia" w:cs="Arial"/>
                            <w:lang w:eastAsia="fr-BE"/>
                          </w:rPr>
                        </w:pPr>
                        <w:r>
                          <w:rPr>
                            <w:rFonts w:ascii="Georgia" w:eastAsia="Times New Roman" w:hAnsi="Georgia" w:cs="Arial"/>
                            <w:lang w:eastAsia="fr-BE"/>
                          </w:rPr>
                          <w:t>087/23.18.51</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provincial VERVIERS I</w:t>
                        </w:r>
                      </w:p>
                    </w:tc>
                    <w:tc>
                      <w:tcPr>
                        <w:tcW w:w="2802" w:type="dxa"/>
                        <w:vAlign w:val="center"/>
                      </w:tcPr>
                      <w:p>
                        <w:pPr>
                          <w:snapToGrid w:val="0"/>
                          <w:rPr>
                            <w:rFonts w:ascii="Georgia" w:hAnsi="Georgia" w:cs="Arial"/>
                          </w:rPr>
                        </w:pPr>
                        <w:r>
                          <w:rPr>
                            <w:rFonts w:ascii="Georgia" w:hAnsi="Georgia" w:cs="Arial"/>
                          </w:rPr>
                          <w:t>Rue aux laines, 69A</w:t>
                        </w:r>
                      </w:p>
                    </w:tc>
                    <w:tc>
                      <w:tcPr>
                        <w:tcW w:w="2328" w:type="dxa"/>
                        <w:vAlign w:val="center"/>
                      </w:tcPr>
                      <w:p>
                        <w:pPr>
                          <w:snapToGrid w:val="0"/>
                          <w:rPr>
                            <w:rFonts w:ascii="Georgia" w:hAnsi="Georgia" w:cs="Arial"/>
                          </w:rPr>
                        </w:pPr>
                        <w:r>
                          <w:rPr>
                            <w:rFonts w:ascii="Georgia" w:hAnsi="Georgia" w:cs="Arial"/>
                          </w:rPr>
                          <w:t>4800 VERVIERS</w:t>
                        </w:r>
                      </w:p>
                    </w:tc>
                    <w:tc>
                      <w:tcPr>
                        <w:tcW w:w="1594" w:type="dxa"/>
                      </w:tcPr>
                      <w:p>
                        <w:pPr>
                          <w:snapToGrid w:val="0"/>
                          <w:jc w:val="center"/>
                          <w:rPr>
                            <w:rFonts w:ascii="Georgia" w:eastAsia="Times New Roman" w:hAnsi="Georgia" w:cs="Arial"/>
                            <w:lang w:eastAsia="fr-BE"/>
                          </w:rPr>
                        </w:pPr>
                        <w:r>
                          <w:rPr>
                            <w:rFonts w:ascii="Georgia" w:eastAsia="Times New Roman" w:hAnsi="Georgia" w:cs="Arial"/>
                            <w:lang w:eastAsia="fr-BE"/>
                          </w:rPr>
                          <w:t>087/31 00 19</w:t>
                        </w:r>
                      </w:p>
                    </w:tc>
                    <w:tc>
                      <w:tcPr>
                        <w:tcW w:w="1588" w:type="dxa"/>
                      </w:tcPr>
                      <w:p>
                        <w:pPr>
                          <w:snapToGrid w:val="0"/>
                          <w:jc w:val="center"/>
                          <w:rPr>
                            <w:rFonts w:ascii="Georgia" w:eastAsia="Times New Roman" w:hAnsi="Georgia" w:cs="Arial"/>
                            <w:lang w:eastAsia="fr-BE"/>
                          </w:rPr>
                        </w:pPr>
                        <w:r>
                          <w:rPr>
                            <w:rFonts w:ascii="Georgia" w:eastAsia="Times New Roman" w:hAnsi="Georgia" w:cs="Arial"/>
                            <w:lang w:eastAsia="fr-BE"/>
                          </w:rPr>
                          <w:t>087/35 43 61</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VERVIERS I</w:t>
                        </w:r>
                      </w:p>
                    </w:tc>
                    <w:tc>
                      <w:tcPr>
                        <w:tcW w:w="2802" w:type="dxa"/>
                        <w:vAlign w:val="center"/>
                      </w:tcPr>
                      <w:p>
                        <w:pPr>
                          <w:snapToGrid w:val="0"/>
                          <w:rPr>
                            <w:rFonts w:ascii="Georgia" w:hAnsi="Georgia" w:cs="Arial"/>
                          </w:rPr>
                        </w:pPr>
                        <w:r>
                          <w:rPr>
                            <w:rFonts w:ascii="Georgia" w:hAnsi="Georgia" w:cs="Arial"/>
                          </w:rPr>
                          <w:t>Rue Laoureux, 32</w:t>
                        </w:r>
                      </w:p>
                    </w:tc>
                    <w:tc>
                      <w:tcPr>
                        <w:tcW w:w="2328" w:type="dxa"/>
                        <w:vAlign w:val="center"/>
                      </w:tcPr>
                      <w:p>
                        <w:pPr>
                          <w:snapToGrid w:val="0"/>
                          <w:rPr>
                            <w:rFonts w:ascii="Georgia" w:hAnsi="Georgia" w:cs="Arial"/>
                          </w:rPr>
                        </w:pPr>
                        <w:r>
                          <w:rPr>
                            <w:rFonts w:ascii="Georgia" w:hAnsi="Georgia" w:cs="Arial"/>
                          </w:rPr>
                          <w:t>4800 VERVIERS</w:t>
                        </w:r>
                      </w:p>
                    </w:tc>
                    <w:tc>
                      <w:tcPr>
                        <w:tcW w:w="1594" w:type="dxa"/>
                      </w:tcPr>
                      <w:p>
                        <w:pPr>
                          <w:rPr>
                            <w:rFonts w:ascii="Georgia" w:eastAsia="Times New Roman" w:hAnsi="Georgia" w:cs="Arial"/>
                            <w:lang w:eastAsia="fr-BE"/>
                          </w:rPr>
                        </w:pPr>
                        <w:r>
                          <w:rPr>
                            <w:rFonts w:ascii="Georgia" w:eastAsia="Times New Roman" w:hAnsi="Georgia" w:cs="Arial"/>
                            <w:lang w:eastAsia="fr-BE"/>
                          </w:rPr>
                          <w:t>087/32.27.41</w:t>
                        </w:r>
                      </w:p>
                    </w:tc>
                    <w:tc>
                      <w:tcPr>
                        <w:tcW w:w="1588" w:type="dxa"/>
                      </w:tcPr>
                      <w:p>
                        <w:pPr>
                          <w:rPr>
                            <w:rFonts w:ascii="Georgia" w:eastAsia="Times New Roman" w:hAnsi="Georgia" w:cs="Arial"/>
                            <w:lang w:eastAsia="fr-BE"/>
                          </w:rPr>
                        </w:pPr>
                        <w:r>
                          <w:rPr>
                            <w:rFonts w:ascii="Georgia" w:eastAsia="Times New Roman" w:hAnsi="Georgia" w:cs="Arial"/>
                            <w:lang w:eastAsia="fr-BE"/>
                          </w:rPr>
                          <w:t>087/32.27.40</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de Sclessin, 2</w:t>
                        </w:r>
                      </w:p>
                    </w:tc>
                    <w:tc>
                      <w:tcPr>
                        <w:tcW w:w="2328" w:type="dxa"/>
                        <w:vAlign w:val="center"/>
                      </w:tcPr>
                      <w:p>
                        <w:pPr>
                          <w:snapToGrid w:val="0"/>
                          <w:rPr>
                            <w:rFonts w:ascii="Georgia" w:hAnsi="Georgia" w:cs="Arial"/>
                          </w:rPr>
                        </w:pPr>
                        <w:r>
                          <w:rPr>
                            <w:rFonts w:ascii="Georgia" w:hAnsi="Georgia" w:cs="Arial"/>
                          </w:rPr>
                          <w:t>4900 SPA</w:t>
                        </w:r>
                      </w:p>
                    </w:tc>
                    <w:tc>
                      <w:tcPr>
                        <w:tcW w:w="1594" w:type="dxa"/>
                      </w:tcPr>
                      <w:p>
                        <w:pPr>
                          <w:rPr>
                            <w:rFonts w:ascii="Georgia" w:eastAsia="Times New Roman" w:hAnsi="Georgia" w:cs="Arial"/>
                            <w:lang w:eastAsia="fr-BE"/>
                          </w:rPr>
                        </w:pPr>
                        <w:r>
                          <w:rPr>
                            <w:rFonts w:ascii="Georgia" w:eastAsia="Times New Roman" w:hAnsi="Georgia" w:cs="Arial"/>
                            <w:lang w:eastAsia="fr-BE"/>
                          </w:rPr>
                          <w:t>087/77.13.28</w:t>
                        </w:r>
                      </w:p>
                    </w:tc>
                    <w:tc>
                      <w:tcPr>
                        <w:tcW w:w="1588" w:type="dxa"/>
                      </w:tcPr>
                      <w:p>
                        <w:pPr>
                          <w:rPr>
                            <w:rFonts w:ascii="Georgia" w:eastAsia="Times New Roman" w:hAnsi="Georgia" w:cs="Arial"/>
                            <w:lang w:eastAsia="fr-BE"/>
                          </w:rPr>
                        </w:pPr>
                        <w:r>
                          <w:rPr>
                            <w:rFonts w:ascii="Georgia" w:eastAsia="Times New Roman" w:hAnsi="Georgia" w:cs="Arial"/>
                            <w:lang w:eastAsia="fr-BE"/>
                          </w:rPr>
                          <w:t>087/77.08.64</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de Bruxelles, 34 B</w:t>
                        </w:r>
                      </w:p>
                    </w:tc>
                    <w:tc>
                      <w:tcPr>
                        <w:tcW w:w="2328" w:type="dxa"/>
                        <w:vAlign w:val="center"/>
                      </w:tcPr>
                      <w:p>
                        <w:pPr>
                          <w:snapToGrid w:val="0"/>
                          <w:rPr>
                            <w:rFonts w:ascii="Georgia" w:hAnsi="Georgia" w:cs="Arial"/>
                          </w:rPr>
                        </w:pPr>
                        <w:r>
                          <w:rPr>
                            <w:rFonts w:ascii="Georgia" w:hAnsi="Georgia" w:cs="Arial"/>
                          </w:rPr>
                          <w:t>5000 NAMUR</w:t>
                        </w:r>
                      </w:p>
                    </w:tc>
                    <w:tc>
                      <w:tcPr>
                        <w:tcW w:w="1594" w:type="dxa"/>
                      </w:tcPr>
                      <w:p>
                        <w:pPr>
                          <w:rPr>
                            <w:rFonts w:ascii="Georgia" w:eastAsia="Times New Roman" w:hAnsi="Georgia" w:cs="Arial"/>
                            <w:lang w:eastAsia="fr-BE"/>
                          </w:rPr>
                        </w:pPr>
                        <w:r>
                          <w:rPr>
                            <w:rFonts w:ascii="Georgia" w:eastAsia="Times New Roman" w:hAnsi="Georgia" w:cs="Arial"/>
                            <w:lang w:eastAsia="fr-BE"/>
                          </w:rPr>
                          <w:t>081/22.81.79</w:t>
                        </w:r>
                      </w:p>
                    </w:tc>
                    <w:tc>
                      <w:tcPr>
                        <w:tcW w:w="1588" w:type="dxa"/>
                      </w:tcPr>
                      <w:p>
                        <w:pPr>
                          <w:rPr>
                            <w:rFonts w:ascii="Georgia" w:eastAsia="Times New Roman" w:hAnsi="Georgia" w:cs="Arial"/>
                            <w:lang w:eastAsia="fr-BE"/>
                          </w:rPr>
                        </w:pPr>
                        <w:r>
                          <w:rPr>
                            <w:rFonts w:ascii="Georgia" w:eastAsia="Times New Roman" w:hAnsi="Georgia" w:cs="Arial"/>
                            <w:lang w:eastAsia="fr-BE"/>
                          </w:rPr>
                          <w:t>081/26.25.05</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vAlign w:val="center"/>
                      </w:tcPr>
                      <w:p>
                        <w:pPr>
                          <w:snapToGrid w:val="0"/>
                          <w:rPr>
                            <w:rFonts w:ascii="Georgia" w:hAnsi="Georgia" w:cs="Arial"/>
                          </w:rPr>
                        </w:pPr>
                        <w:r>
                          <w:rPr>
                            <w:rFonts w:ascii="Georgia" w:hAnsi="Georgia" w:cs="Arial"/>
                          </w:rPr>
                          <w:t>Rue Château des Balances, 3B</w:t>
                        </w:r>
                      </w:p>
                    </w:tc>
                    <w:tc>
                      <w:tcPr>
                        <w:tcW w:w="2328" w:type="dxa"/>
                        <w:vAlign w:val="center"/>
                      </w:tcPr>
                      <w:p>
                        <w:pPr>
                          <w:snapToGrid w:val="0"/>
                          <w:rPr>
                            <w:rFonts w:ascii="Georgia" w:hAnsi="Georgia" w:cs="Arial"/>
                          </w:rPr>
                        </w:pPr>
                        <w:r>
                          <w:rPr>
                            <w:rFonts w:ascii="Georgia" w:hAnsi="Georgia" w:cs="Arial"/>
                          </w:rPr>
                          <w:t>5000 NAMUR</w:t>
                        </w:r>
                      </w:p>
                    </w:tc>
                    <w:tc>
                      <w:tcPr>
                        <w:tcW w:w="1594" w:type="dxa"/>
                      </w:tcPr>
                      <w:p>
                        <w:pPr>
                          <w:rPr>
                            <w:rFonts w:ascii="Georgia" w:eastAsia="Times New Roman" w:hAnsi="Georgia" w:cs="Arial"/>
                            <w:lang w:eastAsia="fr-BE"/>
                          </w:rPr>
                        </w:pPr>
                        <w:r>
                          <w:rPr>
                            <w:rFonts w:ascii="Georgia" w:eastAsia="Times New Roman" w:hAnsi="Georgia" w:cs="Arial"/>
                            <w:lang w:eastAsia="fr-BE"/>
                          </w:rPr>
                          <w:t>081/77.67.09</w:t>
                        </w:r>
                      </w:p>
                    </w:tc>
                    <w:tc>
                      <w:tcPr>
                        <w:tcW w:w="1588" w:type="dxa"/>
                      </w:tcPr>
                      <w:p>
                        <w:pPr>
                          <w:rPr>
                            <w:rFonts w:ascii="Georgia" w:eastAsia="Times New Roman" w:hAnsi="Georgia" w:cs="Arial"/>
                            <w:lang w:eastAsia="fr-BE"/>
                          </w:rPr>
                        </w:pPr>
                        <w:r>
                          <w:rPr>
                            <w:rFonts w:ascii="Georgia" w:eastAsia="Times New Roman" w:hAnsi="Georgia" w:cs="Arial"/>
                            <w:lang w:eastAsia="fr-BE"/>
                          </w:rPr>
                          <w:t>081/77.69.45</w:t>
                        </w:r>
                      </w:p>
                    </w:tc>
                    <w:tc>
                      <w:tcPr>
                        <w:tcW w:w="3562"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Libre NAMUR I</w:t>
                        </w:r>
                      </w:p>
                    </w:tc>
                    <w:tc>
                      <w:tcPr>
                        <w:tcW w:w="2802" w:type="dxa"/>
                        <w:vAlign w:val="center"/>
                      </w:tcPr>
                      <w:p>
                        <w:pPr>
                          <w:snapToGrid w:val="0"/>
                          <w:rPr>
                            <w:rFonts w:ascii="Georgia" w:hAnsi="Georgia" w:cs="Arial"/>
                          </w:rPr>
                        </w:pPr>
                        <w:r>
                          <w:rPr>
                            <w:rFonts w:ascii="Georgia" w:hAnsi="Georgia" w:cs="Arial"/>
                          </w:rPr>
                          <w:t>Rue du Lombard, 24</w:t>
                        </w:r>
                      </w:p>
                    </w:tc>
                    <w:tc>
                      <w:tcPr>
                        <w:tcW w:w="2328" w:type="dxa"/>
                        <w:vAlign w:val="center"/>
                      </w:tcPr>
                      <w:p>
                        <w:pPr>
                          <w:snapToGrid w:val="0"/>
                          <w:rPr>
                            <w:rFonts w:ascii="Georgia" w:hAnsi="Georgia" w:cs="Arial"/>
                          </w:rPr>
                        </w:pPr>
                        <w:r>
                          <w:rPr>
                            <w:rFonts w:ascii="Georgia" w:hAnsi="Georgia" w:cs="Arial"/>
                          </w:rPr>
                          <w:t>5000 NAMUR</w:t>
                        </w:r>
                      </w:p>
                    </w:tc>
                    <w:tc>
                      <w:tcPr>
                        <w:tcW w:w="1594" w:type="dxa"/>
                      </w:tcPr>
                      <w:p>
                        <w:pPr>
                          <w:rPr>
                            <w:rFonts w:ascii="Georgia" w:eastAsia="Times New Roman" w:hAnsi="Georgia" w:cs="Arial"/>
                            <w:lang w:eastAsia="fr-BE"/>
                          </w:rPr>
                        </w:pPr>
                        <w:r>
                          <w:rPr>
                            <w:rFonts w:ascii="Georgia" w:eastAsia="Times New Roman" w:hAnsi="Georgia" w:cs="Arial"/>
                            <w:lang w:eastAsia="fr-BE"/>
                          </w:rPr>
                          <w:t>081/22.38.30</w:t>
                        </w:r>
                      </w:p>
                    </w:tc>
                    <w:tc>
                      <w:tcPr>
                        <w:tcW w:w="1588" w:type="dxa"/>
                      </w:tcPr>
                      <w:p>
                        <w:pPr>
                          <w:rPr>
                            <w:rFonts w:ascii="Georgia" w:eastAsia="Times New Roman" w:hAnsi="Georgia" w:cs="Arial"/>
                            <w:lang w:eastAsia="fr-BE"/>
                          </w:rPr>
                        </w:pPr>
                        <w:r>
                          <w:rPr>
                            <w:rFonts w:ascii="Georgia" w:eastAsia="Times New Roman" w:hAnsi="Georgia" w:cs="Arial"/>
                            <w:lang w:eastAsia="fr-BE"/>
                          </w:rPr>
                          <w:t>081/22.15.02</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Libre NAMUR II</w:t>
                        </w:r>
                      </w:p>
                    </w:tc>
                    <w:tc>
                      <w:tcPr>
                        <w:tcW w:w="2802" w:type="dxa"/>
                        <w:vAlign w:val="center"/>
                      </w:tcPr>
                      <w:p>
                        <w:pPr>
                          <w:snapToGrid w:val="0"/>
                          <w:rPr>
                            <w:rFonts w:ascii="Georgia" w:hAnsi="Georgia" w:cs="Arial"/>
                          </w:rPr>
                        </w:pPr>
                        <w:r>
                          <w:rPr>
                            <w:rFonts w:ascii="Georgia" w:hAnsi="Georgia" w:cs="Arial"/>
                          </w:rPr>
                          <w:t>Rue du Lombard, 24</w:t>
                        </w:r>
                      </w:p>
                    </w:tc>
                    <w:tc>
                      <w:tcPr>
                        <w:tcW w:w="2328" w:type="dxa"/>
                        <w:vAlign w:val="center"/>
                      </w:tcPr>
                      <w:p>
                        <w:pPr>
                          <w:snapToGrid w:val="0"/>
                          <w:rPr>
                            <w:rFonts w:ascii="Georgia" w:hAnsi="Georgia" w:cs="Arial"/>
                          </w:rPr>
                        </w:pPr>
                        <w:r>
                          <w:rPr>
                            <w:rFonts w:ascii="Georgia" w:hAnsi="Georgia" w:cs="Arial"/>
                          </w:rPr>
                          <w:t>5000 NAMUR</w:t>
                        </w:r>
                      </w:p>
                    </w:tc>
                    <w:tc>
                      <w:tcPr>
                        <w:tcW w:w="1594" w:type="dxa"/>
                      </w:tcPr>
                      <w:p>
                        <w:pPr>
                          <w:rPr>
                            <w:rFonts w:ascii="Georgia" w:eastAsia="Times New Roman" w:hAnsi="Georgia" w:cs="Arial"/>
                            <w:lang w:eastAsia="fr-BE"/>
                          </w:rPr>
                        </w:pPr>
                        <w:r>
                          <w:rPr>
                            <w:rFonts w:ascii="Georgia" w:eastAsia="Times New Roman" w:hAnsi="Georgia" w:cs="Arial"/>
                            <w:lang w:eastAsia="fr-BE"/>
                          </w:rPr>
                          <w:t>081/22.34.71</w:t>
                        </w:r>
                      </w:p>
                    </w:tc>
                    <w:tc>
                      <w:tcPr>
                        <w:tcW w:w="1588" w:type="dxa"/>
                      </w:tcPr>
                      <w:p>
                        <w:pPr>
                          <w:rPr>
                            <w:rFonts w:ascii="Georgia" w:eastAsia="Times New Roman" w:hAnsi="Georgia" w:cs="Arial"/>
                            <w:lang w:eastAsia="fr-BE"/>
                          </w:rPr>
                        </w:pPr>
                        <w:r>
                          <w:rPr>
                            <w:rFonts w:ascii="Georgia" w:eastAsia="Times New Roman" w:hAnsi="Georgia" w:cs="Arial"/>
                            <w:lang w:eastAsia="fr-BE"/>
                          </w:rPr>
                          <w:t>081/22.15.02</w:t>
                        </w:r>
                      </w:p>
                    </w:tc>
                    <w:tc>
                      <w:tcPr>
                        <w:tcW w:w="3562"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Libre NAMUR III</w:t>
                        </w:r>
                      </w:p>
                    </w:tc>
                    <w:tc>
                      <w:tcPr>
                        <w:tcW w:w="2802" w:type="dxa"/>
                        <w:vAlign w:val="center"/>
                      </w:tcPr>
                      <w:p>
                        <w:pPr>
                          <w:snapToGrid w:val="0"/>
                          <w:rPr>
                            <w:rFonts w:ascii="Georgia" w:hAnsi="Georgia" w:cs="Arial"/>
                          </w:rPr>
                        </w:pPr>
                        <w:r>
                          <w:rPr>
                            <w:rFonts w:ascii="Georgia" w:hAnsi="Georgia" w:cs="Arial"/>
                          </w:rPr>
                          <w:t>Rue du Lombard, 24</w:t>
                        </w:r>
                      </w:p>
                    </w:tc>
                    <w:tc>
                      <w:tcPr>
                        <w:tcW w:w="2328" w:type="dxa"/>
                        <w:vAlign w:val="center"/>
                      </w:tcPr>
                      <w:p>
                        <w:pPr>
                          <w:snapToGrid w:val="0"/>
                          <w:rPr>
                            <w:rFonts w:ascii="Georgia" w:hAnsi="Georgia" w:cs="Arial"/>
                          </w:rPr>
                        </w:pPr>
                        <w:r>
                          <w:rPr>
                            <w:rFonts w:ascii="Georgia" w:hAnsi="Georgia" w:cs="Arial"/>
                          </w:rPr>
                          <w:t>5000 NAMUR</w:t>
                        </w:r>
                      </w:p>
                    </w:tc>
                    <w:tc>
                      <w:tcPr>
                        <w:tcW w:w="1594" w:type="dxa"/>
                      </w:tcPr>
                      <w:p>
                        <w:pPr>
                          <w:rPr>
                            <w:rFonts w:ascii="Georgia" w:eastAsia="Times New Roman" w:hAnsi="Georgia" w:cs="Arial"/>
                            <w:lang w:eastAsia="fr-BE"/>
                          </w:rPr>
                        </w:pPr>
                        <w:r>
                          <w:rPr>
                            <w:rFonts w:ascii="Georgia" w:eastAsia="Times New Roman" w:hAnsi="Georgia" w:cs="Arial"/>
                            <w:lang w:eastAsia="fr-BE"/>
                          </w:rPr>
                          <w:t>081/22.39.36</w:t>
                        </w:r>
                      </w:p>
                    </w:tc>
                    <w:tc>
                      <w:tcPr>
                        <w:tcW w:w="1588" w:type="dxa"/>
                      </w:tcPr>
                      <w:p>
                        <w:pPr>
                          <w:rPr>
                            <w:rFonts w:ascii="Georgia" w:eastAsia="Times New Roman" w:hAnsi="Georgia" w:cs="Arial"/>
                            <w:lang w:eastAsia="fr-BE"/>
                          </w:rPr>
                        </w:pPr>
                        <w:r>
                          <w:rPr>
                            <w:rFonts w:ascii="Georgia" w:eastAsia="Times New Roman" w:hAnsi="Georgia" w:cs="Arial"/>
                            <w:lang w:eastAsia="fr-BE"/>
                          </w:rPr>
                          <w:t>081/22.15.02</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Entrée Jacques, 68</w:t>
                        </w:r>
                      </w:p>
                    </w:tc>
                    <w:tc>
                      <w:tcPr>
                        <w:tcW w:w="2328" w:type="dxa"/>
                        <w:vAlign w:val="center"/>
                      </w:tcPr>
                      <w:p>
                        <w:pPr>
                          <w:snapToGrid w:val="0"/>
                          <w:rPr>
                            <w:rFonts w:ascii="Georgia" w:hAnsi="Georgia" w:cs="Arial"/>
                          </w:rPr>
                        </w:pPr>
                        <w:r>
                          <w:rPr>
                            <w:rFonts w:ascii="Georgia" w:hAnsi="Georgia" w:cs="Arial"/>
                          </w:rPr>
                          <w:t>5030 GEMBLOUX </w:t>
                        </w:r>
                      </w:p>
                    </w:tc>
                    <w:tc>
                      <w:tcPr>
                        <w:tcW w:w="1594" w:type="dxa"/>
                      </w:tcPr>
                      <w:p>
                        <w:pPr>
                          <w:rPr>
                            <w:rFonts w:ascii="Georgia" w:eastAsia="Times New Roman" w:hAnsi="Georgia" w:cs="Arial"/>
                            <w:lang w:eastAsia="fr-BE"/>
                          </w:rPr>
                        </w:pPr>
                        <w:r>
                          <w:rPr>
                            <w:rFonts w:ascii="Georgia" w:eastAsia="Times New Roman" w:hAnsi="Georgia" w:cs="Arial"/>
                            <w:lang w:eastAsia="fr-BE"/>
                          </w:rPr>
                          <w:t>081/61.48.08</w:t>
                        </w:r>
                      </w:p>
                    </w:tc>
                    <w:tc>
                      <w:tcPr>
                        <w:tcW w:w="1588" w:type="dxa"/>
                      </w:tcPr>
                      <w:p>
                        <w:pPr>
                          <w:rPr>
                            <w:rFonts w:ascii="Georgia" w:eastAsia="Times New Roman" w:hAnsi="Georgia" w:cs="Arial"/>
                            <w:lang w:eastAsia="fr-BE"/>
                          </w:rPr>
                        </w:pPr>
                        <w:r>
                          <w:rPr>
                            <w:rFonts w:ascii="Georgia" w:eastAsia="Times New Roman" w:hAnsi="Georgia" w:cs="Arial"/>
                            <w:lang w:eastAsia="fr-BE"/>
                          </w:rPr>
                          <w:t>081/61.60.41</w:t>
                        </w:r>
                      </w:p>
                    </w:tc>
                    <w:tc>
                      <w:tcPr>
                        <w:tcW w:w="3562"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Rue des Sartinets, 22</w:t>
                        </w:r>
                      </w:p>
                    </w:tc>
                    <w:tc>
                      <w:tcPr>
                        <w:tcW w:w="2328" w:type="dxa"/>
                        <w:vAlign w:val="center"/>
                      </w:tcPr>
                      <w:p>
                        <w:pPr>
                          <w:snapToGrid w:val="0"/>
                          <w:rPr>
                            <w:rFonts w:ascii="Georgia" w:hAnsi="Georgia" w:cs="Arial"/>
                          </w:rPr>
                        </w:pPr>
                        <w:r>
                          <w:rPr>
                            <w:rFonts w:ascii="Georgia" w:hAnsi="Georgia" w:cs="Arial"/>
                          </w:rPr>
                          <w:t>5060 AUVELAIS</w:t>
                        </w:r>
                      </w:p>
                    </w:tc>
                    <w:tc>
                      <w:tcPr>
                        <w:tcW w:w="1594" w:type="dxa"/>
                      </w:tcPr>
                      <w:p>
                        <w:pPr>
                          <w:rPr>
                            <w:rFonts w:ascii="Georgia" w:eastAsia="Times New Roman" w:hAnsi="Georgia" w:cs="Arial"/>
                            <w:lang w:eastAsia="fr-BE"/>
                          </w:rPr>
                        </w:pPr>
                        <w:r>
                          <w:rPr>
                            <w:rFonts w:ascii="Georgia" w:eastAsia="Times New Roman" w:hAnsi="Georgia" w:cs="Arial"/>
                            <w:lang w:eastAsia="fr-BE"/>
                          </w:rPr>
                          <w:t>071/74.11.57</w:t>
                        </w:r>
                      </w:p>
                    </w:tc>
                    <w:tc>
                      <w:tcPr>
                        <w:tcW w:w="1588" w:type="dxa"/>
                      </w:tcPr>
                      <w:p>
                        <w:pPr>
                          <w:rPr>
                            <w:rFonts w:ascii="Georgia" w:eastAsia="Times New Roman" w:hAnsi="Georgia" w:cs="Arial"/>
                            <w:lang w:eastAsia="fr-BE"/>
                          </w:rPr>
                        </w:pPr>
                        <w:r>
                          <w:rPr>
                            <w:rFonts w:ascii="Georgia" w:eastAsia="Times New Roman" w:hAnsi="Georgia" w:cs="Arial"/>
                            <w:lang w:eastAsia="fr-BE"/>
                          </w:rPr>
                          <w:t>071/72.59.40</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Reine Elisabeth, 26</w:t>
                        </w:r>
                      </w:p>
                    </w:tc>
                    <w:tc>
                      <w:tcPr>
                        <w:tcW w:w="2328" w:type="dxa"/>
                        <w:vAlign w:val="center"/>
                      </w:tcPr>
                      <w:p>
                        <w:pPr>
                          <w:snapToGrid w:val="0"/>
                          <w:rPr>
                            <w:rFonts w:ascii="Georgia" w:hAnsi="Georgia" w:cs="Arial"/>
                          </w:rPr>
                        </w:pPr>
                        <w:r>
                          <w:rPr>
                            <w:rFonts w:ascii="Georgia" w:hAnsi="Georgia" w:cs="Arial"/>
                          </w:rPr>
                          <w:t>5060 TAMINES</w:t>
                        </w:r>
                      </w:p>
                    </w:tc>
                    <w:tc>
                      <w:tcPr>
                        <w:tcW w:w="1594" w:type="dxa"/>
                      </w:tcPr>
                      <w:p>
                        <w:pPr>
                          <w:rPr>
                            <w:rFonts w:ascii="Georgia" w:eastAsia="Times New Roman" w:hAnsi="Georgia" w:cs="Arial"/>
                            <w:lang w:eastAsia="fr-BE"/>
                          </w:rPr>
                        </w:pPr>
                        <w:r>
                          <w:rPr>
                            <w:rFonts w:ascii="Georgia" w:eastAsia="Times New Roman" w:hAnsi="Georgia" w:cs="Arial"/>
                            <w:lang w:eastAsia="fr-BE"/>
                          </w:rPr>
                          <w:t>071/77.24.22</w:t>
                        </w:r>
                      </w:p>
                    </w:tc>
                    <w:tc>
                      <w:tcPr>
                        <w:tcW w:w="1588" w:type="dxa"/>
                      </w:tcPr>
                      <w:p>
                        <w:pPr>
                          <w:rPr>
                            <w:rFonts w:ascii="Georgia" w:eastAsia="Times New Roman" w:hAnsi="Georgia" w:cs="Arial"/>
                            <w:lang w:eastAsia="fr-BE"/>
                          </w:rPr>
                        </w:pPr>
                        <w:r>
                          <w:rPr>
                            <w:rFonts w:ascii="Georgia" w:eastAsia="Times New Roman" w:hAnsi="Georgia" w:cs="Arial"/>
                            <w:lang w:eastAsia="fr-BE"/>
                          </w:rPr>
                          <w:t>071/77.16.12</w:t>
                        </w:r>
                      </w:p>
                    </w:tc>
                    <w:tc>
                      <w:tcPr>
                        <w:tcW w:w="3562"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provincial Tamines Gembloux</w:t>
                        </w:r>
                      </w:p>
                    </w:tc>
                    <w:tc>
                      <w:tcPr>
                        <w:tcW w:w="2802" w:type="dxa"/>
                        <w:vAlign w:val="center"/>
                      </w:tcPr>
                      <w:p>
                        <w:pPr>
                          <w:snapToGrid w:val="0"/>
                          <w:rPr>
                            <w:rFonts w:ascii="Georgia" w:hAnsi="Georgia" w:cs="Arial"/>
                          </w:rPr>
                        </w:pPr>
                        <w:r>
                          <w:rPr>
                            <w:rFonts w:ascii="Georgia" w:hAnsi="Georgia" w:cs="Arial"/>
                          </w:rPr>
                          <w:t>Rue Duculot, 11</w:t>
                        </w:r>
                      </w:p>
                    </w:tc>
                    <w:tc>
                      <w:tcPr>
                        <w:tcW w:w="2328" w:type="dxa"/>
                        <w:vAlign w:val="center"/>
                      </w:tcPr>
                      <w:p>
                        <w:pPr>
                          <w:snapToGrid w:val="0"/>
                          <w:rPr>
                            <w:rFonts w:ascii="Georgia" w:hAnsi="Georgia" w:cs="Arial"/>
                          </w:rPr>
                        </w:pPr>
                        <w:r>
                          <w:rPr>
                            <w:rFonts w:ascii="Georgia" w:hAnsi="Georgia" w:cs="Arial"/>
                          </w:rPr>
                          <w:t>5060 TAMINES</w:t>
                        </w:r>
                      </w:p>
                    </w:tc>
                    <w:tc>
                      <w:tcPr>
                        <w:tcW w:w="1594" w:type="dxa"/>
                      </w:tcPr>
                      <w:p>
                        <w:pPr>
                          <w:rPr>
                            <w:rFonts w:ascii="Georgia" w:eastAsia="Times New Roman" w:hAnsi="Georgia" w:cs="Arial"/>
                            <w:lang w:eastAsia="fr-BE"/>
                          </w:rPr>
                        </w:pPr>
                        <w:r>
                          <w:rPr>
                            <w:rFonts w:ascii="Georgia" w:eastAsia="Times New Roman" w:hAnsi="Georgia" w:cs="Arial"/>
                            <w:lang w:eastAsia="fr-BE"/>
                          </w:rPr>
                          <w:t>071/26.99.05 081/77.67.94</w:t>
                        </w:r>
                      </w:p>
                    </w:tc>
                    <w:tc>
                      <w:tcPr>
                        <w:tcW w:w="1588" w:type="dxa"/>
                      </w:tcPr>
                      <w:p>
                        <w:pPr>
                          <w:rPr>
                            <w:rFonts w:ascii="Georgia" w:eastAsia="Times New Roman" w:hAnsi="Georgia" w:cs="Arial"/>
                            <w:lang w:eastAsia="fr-BE"/>
                          </w:rPr>
                        </w:pPr>
                        <w:r>
                          <w:rPr>
                            <w:rFonts w:ascii="Georgia" w:eastAsia="Times New Roman" w:hAnsi="Georgia" w:cs="Arial"/>
                            <w:lang w:eastAsia="fr-BE"/>
                          </w:rPr>
                          <w:t>071/26.99.19 081/77.67.94</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Libre JAMBES II</w:t>
                        </w:r>
                      </w:p>
                    </w:tc>
                    <w:tc>
                      <w:tcPr>
                        <w:tcW w:w="2802" w:type="dxa"/>
                        <w:vAlign w:val="center"/>
                      </w:tcPr>
                      <w:p>
                        <w:pPr>
                          <w:snapToGrid w:val="0"/>
                          <w:rPr>
                            <w:rFonts w:ascii="Georgia" w:hAnsi="Georgia" w:cs="Arial"/>
                          </w:rPr>
                        </w:pPr>
                        <w:r>
                          <w:rPr>
                            <w:rFonts w:ascii="Georgia" w:hAnsi="Georgia" w:cs="Arial"/>
                          </w:rPr>
                          <w:t>Rue Tillieux, 5</w:t>
                        </w:r>
                      </w:p>
                    </w:tc>
                    <w:tc>
                      <w:tcPr>
                        <w:tcW w:w="2328" w:type="dxa"/>
                        <w:vAlign w:val="center"/>
                      </w:tcPr>
                      <w:p>
                        <w:pPr>
                          <w:snapToGrid w:val="0"/>
                          <w:rPr>
                            <w:rFonts w:ascii="Georgia" w:hAnsi="Georgia" w:cs="Arial"/>
                          </w:rPr>
                        </w:pPr>
                        <w:r>
                          <w:rPr>
                            <w:rFonts w:ascii="Georgia" w:hAnsi="Georgia" w:cs="Arial"/>
                          </w:rPr>
                          <w:t>5100 JAMBES</w:t>
                        </w:r>
                      </w:p>
                    </w:tc>
                    <w:tc>
                      <w:tcPr>
                        <w:tcW w:w="1594" w:type="dxa"/>
                      </w:tcPr>
                      <w:p>
                        <w:pPr>
                          <w:rPr>
                            <w:rFonts w:ascii="Georgia" w:eastAsia="Times New Roman" w:hAnsi="Georgia" w:cs="Arial"/>
                            <w:lang w:eastAsia="fr-BE"/>
                          </w:rPr>
                        </w:pPr>
                        <w:r>
                          <w:rPr>
                            <w:rFonts w:ascii="Georgia" w:eastAsia="Times New Roman" w:hAnsi="Georgia" w:cs="Arial"/>
                            <w:lang w:eastAsia="fr-BE"/>
                          </w:rPr>
                          <w:t>081/30.75.07</w:t>
                        </w:r>
                      </w:p>
                    </w:tc>
                    <w:tc>
                      <w:tcPr>
                        <w:tcW w:w="1588" w:type="dxa"/>
                      </w:tcPr>
                      <w:p>
                        <w:pPr>
                          <w:rPr>
                            <w:rFonts w:ascii="Georgia" w:eastAsia="Times New Roman" w:hAnsi="Georgia" w:cs="Arial"/>
                            <w:lang w:eastAsia="fr-BE"/>
                          </w:rPr>
                        </w:pPr>
                        <w:r>
                          <w:rPr>
                            <w:rFonts w:ascii="Georgia" w:eastAsia="Times New Roman" w:hAnsi="Georgia" w:cs="Arial"/>
                            <w:lang w:eastAsia="fr-BE"/>
                          </w:rPr>
                          <w:t>081/31.25.12</w:t>
                        </w:r>
                      </w:p>
                    </w:tc>
                    <w:tc>
                      <w:tcPr>
                        <w:tcW w:w="3562"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vAlign w:val="center"/>
                      </w:tcPr>
                      <w:p>
                        <w:pPr>
                          <w:snapToGrid w:val="0"/>
                          <w:rPr>
                            <w:rFonts w:ascii="Georgia" w:hAnsi="Georgia" w:cs="Arial"/>
                          </w:rPr>
                        </w:pPr>
                        <w:r>
                          <w:rPr>
                            <w:rFonts w:ascii="Georgia" w:hAnsi="Georgia" w:cs="Arial"/>
                          </w:rPr>
                          <w:t>Rue de l’Hôpital, 23</w:t>
                        </w:r>
                      </w:p>
                    </w:tc>
                    <w:tc>
                      <w:tcPr>
                        <w:tcW w:w="2328" w:type="dxa"/>
                        <w:vAlign w:val="center"/>
                      </w:tcPr>
                      <w:p>
                        <w:pPr>
                          <w:snapToGrid w:val="0"/>
                          <w:rPr>
                            <w:rFonts w:ascii="Georgia" w:hAnsi="Georgia" w:cs="Arial"/>
                          </w:rPr>
                        </w:pPr>
                        <w:r>
                          <w:rPr>
                            <w:rFonts w:ascii="Georgia" w:hAnsi="Georgia" w:cs="Arial"/>
                          </w:rPr>
                          <w:t>5300 ANDENNE</w:t>
                        </w:r>
                      </w:p>
                    </w:tc>
                    <w:tc>
                      <w:tcPr>
                        <w:tcW w:w="1594" w:type="dxa"/>
                      </w:tcPr>
                      <w:p>
                        <w:pPr>
                          <w:rPr>
                            <w:rFonts w:ascii="Georgia" w:eastAsia="Times New Roman" w:hAnsi="Georgia" w:cs="Arial"/>
                            <w:lang w:eastAsia="fr-BE"/>
                          </w:rPr>
                        </w:pPr>
                        <w:r>
                          <w:rPr>
                            <w:rFonts w:ascii="Georgia" w:eastAsia="Times New Roman" w:hAnsi="Georgia" w:cs="Arial"/>
                            <w:lang w:eastAsia="fr-BE"/>
                          </w:rPr>
                          <w:t>081/77.68.32</w:t>
                        </w:r>
                      </w:p>
                    </w:tc>
                    <w:tc>
                      <w:tcPr>
                        <w:tcW w:w="1588" w:type="dxa"/>
                      </w:tcPr>
                      <w:p>
                        <w:pPr>
                          <w:rPr>
                            <w:rFonts w:ascii="Georgia" w:eastAsia="Times New Roman" w:hAnsi="Georgia" w:cs="Arial"/>
                            <w:lang w:eastAsia="fr-BE"/>
                          </w:rPr>
                        </w:pPr>
                        <w:r>
                          <w:rPr>
                            <w:rFonts w:ascii="Georgia" w:eastAsia="Times New Roman" w:hAnsi="Georgia" w:cs="Arial"/>
                            <w:lang w:eastAsia="fr-BE"/>
                          </w:rPr>
                          <w:t>085/84.91.50</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Saint-Pierre, 139</w:t>
                        </w:r>
                      </w:p>
                    </w:tc>
                    <w:tc>
                      <w:tcPr>
                        <w:tcW w:w="2328" w:type="dxa"/>
                        <w:vAlign w:val="center"/>
                      </w:tcPr>
                      <w:p>
                        <w:pPr>
                          <w:snapToGrid w:val="0"/>
                          <w:rPr>
                            <w:rFonts w:ascii="Georgia" w:hAnsi="Georgia" w:cs="Arial"/>
                          </w:rPr>
                        </w:pPr>
                        <w:r>
                          <w:rPr>
                            <w:rFonts w:ascii="Georgia" w:hAnsi="Georgia" w:cs="Arial"/>
                          </w:rPr>
                          <w:t>5500 DINANT</w:t>
                        </w:r>
                      </w:p>
                    </w:tc>
                    <w:tc>
                      <w:tcPr>
                        <w:tcW w:w="1594" w:type="dxa"/>
                      </w:tcPr>
                      <w:p>
                        <w:pPr>
                          <w:rPr>
                            <w:rFonts w:ascii="Georgia" w:eastAsia="Times New Roman" w:hAnsi="Georgia" w:cs="Arial"/>
                            <w:lang w:eastAsia="fr-BE"/>
                          </w:rPr>
                        </w:pPr>
                        <w:r>
                          <w:rPr>
                            <w:rFonts w:ascii="Georgia" w:eastAsia="Times New Roman" w:hAnsi="Georgia" w:cs="Arial"/>
                            <w:lang w:eastAsia="fr-BE"/>
                          </w:rPr>
                          <w:t>082/22.29.73</w:t>
                        </w:r>
                      </w:p>
                    </w:tc>
                    <w:tc>
                      <w:tcPr>
                        <w:tcW w:w="1588" w:type="dxa"/>
                      </w:tcPr>
                      <w:p>
                        <w:pPr>
                          <w:rPr>
                            <w:rFonts w:ascii="Georgia" w:eastAsia="Times New Roman" w:hAnsi="Georgia" w:cs="Arial"/>
                            <w:lang w:eastAsia="fr-BE"/>
                          </w:rPr>
                        </w:pPr>
                        <w:r>
                          <w:rPr>
                            <w:rFonts w:ascii="Georgia" w:eastAsia="Times New Roman" w:hAnsi="Georgia" w:cs="Arial"/>
                            <w:lang w:eastAsia="fr-BE"/>
                          </w:rPr>
                          <w:t>082/22.79.69</w:t>
                        </w:r>
                      </w:p>
                    </w:tc>
                    <w:tc>
                      <w:tcPr>
                        <w:tcW w:w="3562"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Avenue Franchet d’Esperey, 9</w:t>
                        </w:r>
                      </w:p>
                    </w:tc>
                    <w:tc>
                      <w:tcPr>
                        <w:tcW w:w="2328" w:type="dxa"/>
                        <w:vAlign w:val="center"/>
                      </w:tcPr>
                      <w:p>
                        <w:pPr>
                          <w:snapToGrid w:val="0"/>
                          <w:rPr>
                            <w:rFonts w:ascii="Georgia" w:hAnsi="Georgia" w:cs="Arial"/>
                          </w:rPr>
                        </w:pPr>
                        <w:r>
                          <w:rPr>
                            <w:rFonts w:ascii="Georgia" w:hAnsi="Georgia" w:cs="Arial"/>
                          </w:rPr>
                          <w:t>5500 DINANT</w:t>
                        </w:r>
                      </w:p>
                    </w:tc>
                    <w:tc>
                      <w:tcPr>
                        <w:tcW w:w="1594" w:type="dxa"/>
                      </w:tcPr>
                      <w:p>
                        <w:pPr>
                          <w:rPr>
                            <w:rFonts w:ascii="Georgia" w:eastAsia="Times New Roman" w:hAnsi="Georgia" w:cs="Arial"/>
                            <w:lang w:eastAsia="fr-BE"/>
                          </w:rPr>
                        </w:pPr>
                        <w:r>
                          <w:rPr>
                            <w:rFonts w:ascii="Georgia" w:eastAsia="Times New Roman" w:hAnsi="Georgia" w:cs="Arial"/>
                            <w:lang w:eastAsia="fr-BE"/>
                          </w:rPr>
                          <w:t>082/22.29.31</w:t>
                        </w:r>
                      </w:p>
                    </w:tc>
                    <w:tc>
                      <w:tcPr>
                        <w:tcW w:w="1588" w:type="dxa"/>
                      </w:tcPr>
                      <w:p>
                        <w:pPr>
                          <w:rPr>
                            <w:rFonts w:ascii="Georgia" w:eastAsia="Times New Roman" w:hAnsi="Georgia" w:cs="Arial"/>
                            <w:lang w:eastAsia="fr-BE"/>
                          </w:rPr>
                        </w:pPr>
                        <w:r>
                          <w:rPr>
                            <w:rFonts w:ascii="Georgia" w:eastAsia="Times New Roman" w:hAnsi="Georgia" w:cs="Arial"/>
                            <w:lang w:eastAsia="fr-BE"/>
                          </w:rPr>
                          <w:t>082/22.29.81</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vAlign w:val="center"/>
                      </w:tcPr>
                      <w:p>
                        <w:pPr>
                          <w:snapToGrid w:val="0"/>
                          <w:rPr>
                            <w:rFonts w:ascii="Georgia" w:hAnsi="Georgia" w:cs="Arial"/>
                          </w:rPr>
                        </w:pPr>
                        <w:r>
                          <w:rPr>
                            <w:rFonts w:ascii="Georgia" w:hAnsi="Georgia" w:cs="Arial"/>
                          </w:rPr>
                          <w:t>Rue de l’Aubépine, 61</w:t>
                        </w:r>
                      </w:p>
                    </w:tc>
                    <w:tc>
                      <w:tcPr>
                        <w:tcW w:w="2328" w:type="dxa"/>
                        <w:vAlign w:val="center"/>
                      </w:tcPr>
                      <w:p>
                        <w:pPr>
                          <w:snapToGrid w:val="0"/>
                          <w:rPr>
                            <w:rFonts w:ascii="Georgia" w:hAnsi="Georgia" w:cs="Arial"/>
                          </w:rPr>
                        </w:pPr>
                        <w:r>
                          <w:rPr>
                            <w:rFonts w:ascii="Georgia" w:hAnsi="Georgia" w:cs="Arial"/>
                          </w:rPr>
                          <w:t>5570 BEAURAING</w:t>
                        </w:r>
                      </w:p>
                    </w:tc>
                    <w:tc>
                      <w:tcPr>
                        <w:tcW w:w="1594" w:type="dxa"/>
                      </w:tcPr>
                      <w:p>
                        <w:pPr>
                          <w:rPr>
                            <w:rFonts w:ascii="Georgia" w:eastAsia="Times New Roman" w:hAnsi="Georgia" w:cs="Arial"/>
                            <w:lang w:eastAsia="fr-BE"/>
                          </w:rPr>
                        </w:pPr>
                        <w:r>
                          <w:rPr>
                            <w:rFonts w:ascii="Georgia" w:eastAsia="Times New Roman" w:hAnsi="Georgia" w:cs="Arial"/>
                            <w:lang w:eastAsia="fr-BE"/>
                          </w:rPr>
                          <w:t>081/77.68.28</w:t>
                        </w:r>
                      </w:p>
                    </w:tc>
                    <w:tc>
                      <w:tcPr>
                        <w:tcW w:w="1588" w:type="dxa"/>
                      </w:tcPr>
                      <w:p>
                        <w:pPr>
                          <w:rPr>
                            <w:rFonts w:ascii="Georgia" w:eastAsia="Times New Roman" w:hAnsi="Georgia" w:cs="Arial"/>
                            <w:lang w:eastAsia="fr-BE"/>
                          </w:rPr>
                        </w:pPr>
                        <w:r>
                          <w:rPr>
                            <w:rFonts w:ascii="Georgia" w:eastAsia="Times New Roman" w:hAnsi="Georgia" w:cs="Arial"/>
                            <w:lang w:eastAsia="fr-BE"/>
                          </w:rPr>
                          <w:t>081/22.83.77</w:t>
                        </w:r>
                      </w:p>
                    </w:tc>
                    <w:tc>
                      <w:tcPr>
                        <w:tcW w:w="3562"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vAlign w:val="center"/>
                      </w:tcPr>
                      <w:p>
                        <w:pPr>
                          <w:snapToGrid w:val="0"/>
                          <w:rPr>
                            <w:rFonts w:ascii="Georgia" w:hAnsi="Georgia" w:cs="Arial"/>
                          </w:rPr>
                        </w:pPr>
                        <w:r>
                          <w:rPr>
                            <w:rFonts w:ascii="Georgia" w:hAnsi="Georgia" w:cs="Arial"/>
                          </w:rPr>
                          <w:t>Rue G. de Cambrai, 18</w:t>
                        </w:r>
                      </w:p>
                    </w:tc>
                    <w:tc>
                      <w:tcPr>
                        <w:tcW w:w="2328" w:type="dxa"/>
                        <w:vAlign w:val="center"/>
                      </w:tcPr>
                      <w:p>
                        <w:pPr>
                          <w:snapToGrid w:val="0"/>
                          <w:rPr>
                            <w:rFonts w:ascii="Georgia" w:hAnsi="Georgia" w:cs="Arial"/>
                          </w:rPr>
                        </w:pPr>
                        <w:r>
                          <w:rPr>
                            <w:rFonts w:ascii="Georgia" w:hAnsi="Georgia" w:cs="Arial"/>
                          </w:rPr>
                          <w:t>5620 FLORENNES</w:t>
                        </w:r>
                      </w:p>
                    </w:tc>
                    <w:tc>
                      <w:tcPr>
                        <w:tcW w:w="1594" w:type="dxa"/>
                      </w:tcPr>
                      <w:p>
                        <w:pPr>
                          <w:rPr>
                            <w:rFonts w:ascii="Georgia" w:eastAsia="Times New Roman" w:hAnsi="Georgia" w:cs="Arial"/>
                            <w:lang w:eastAsia="fr-BE"/>
                          </w:rPr>
                        </w:pPr>
                        <w:r>
                          <w:rPr>
                            <w:rFonts w:ascii="Georgia" w:eastAsia="Times New Roman" w:hAnsi="Georgia" w:cs="Arial"/>
                            <w:lang w:eastAsia="fr-BE"/>
                          </w:rPr>
                          <w:t>081/77.68.30</w:t>
                        </w:r>
                      </w:p>
                    </w:tc>
                    <w:tc>
                      <w:tcPr>
                        <w:tcW w:w="1588" w:type="dxa"/>
                      </w:tcPr>
                      <w:p>
                        <w:pPr>
                          <w:rPr>
                            <w:rFonts w:ascii="Georgia" w:eastAsia="Times New Roman" w:hAnsi="Georgia" w:cs="Arial"/>
                            <w:lang w:eastAsia="fr-BE"/>
                          </w:rPr>
                        </w:pPr>
                        <w:r>
                          <w:rPr>
                            <w:rFonts w:ascii="Georgia" w:eastAsia="Times New Roman" w:hAnsi="Georgia" w:cs="Arial"/>
                            <w:lang w:eastAsia="fr-BE"/>
                          </w:rPr>
                          <w:t>071/68.50.15</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du Bercet, 2</w:t>
                        </w:r>
                      </w:p>
                    </w:tc>
                    <w:tc>
                      <w:tcPr>
                        <w:tcW w:w="2328" w:type="dxa"/>
                        <w:vAlign w:val="center"/>
                      </w:tcPr>
                      <w:p>
                        <w:pPr>
                          <w:snapToGrid w:val="0"/>
                          <w:rPr>
                            <w:rFonts w:ascii="Georgia" w:hAnsi="Georgia" w:cs="Arial"/>
                          </w:rPr>
                        </w:pPr>
                        <w:r>
                          <w:rPr>
                            <w:rFonts w:ascii="Georgia" w:hAnsi="Georgia" w:cs="Arial"/>
                          </w:rPr>
                          <w:t>5660 COUVIN</w:t>
                        </w:r>
                      </w:p>
                    </w:tc>
                    <w:tc>
                      <w:tcPr>
                        <w:tcW w:w="1594" w:type="dxa"/>
                      </w:tcPr>
                      <w:p>
                        <w:pPr>
                          <w:rPr>
                            <w:rFonts w:ascii="Georgia" w:eastAsia="Times New Roman" w:hAnsi="Georgia" w:cs="Arial"/>
                            <w:lang w:eastAsia="fr-BE"/>
                          </w:rPr>
                        </w:pPr>
                        <w:r>
                          <w:rPr>
                            <w:rFonts w:ascii="Georgia" w:eastAsia="Times New Roman" w:hAnsi="Georgia" w:cs="Arial"/>
                            <w:lang w:eastAsia="fr-BE"/>
                          </w:rPr>
                          <w:t>060/34.42.68</w:t>
                        </w:r>
                      </w:p>
                    </w:tc>
                    <w:tc>
                      <w:tcPr>
                        <w:tcW w:w="1588" w:type="dxa"/>
                      </w:tcPr>
                      <w:p>
                        <w:pPr>
                          <w:rPr>
                            <w:rFonts w:ascii="Georgia" w:eastAsia="Times New Roman" w:hAnsi="Georgia" w:cs="Arial"/>
                            <w:lang w:eastAsia="fr-BE"/>
                          </w:rPr>
                        </w:pPr>
                        <w:r>
                          <w:rPr>
                            <w:rFonts w:ascii="Georgia" w:eastAsia="Times New Roman" w:hAnsi="Georgia" w:cs="Arial"/>
                            <w:lang w:eastAsia="fr-BE"/>
                          </w:rPr>
                          <w:t>060/34.69.47</w:t>
                        </w:r>
                      </w:p>
                    </w:tc>
                    <w:tc>
                      <w:tcPr>
                        <w:tcW w:w="3562"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Rue de la Gare, 43</w:t>
                        </w:r>
                      </w:p>
                    </w:tc>
                    <w:tc>
                      <w:tcPr>
                        <w:tcW w:w="2328" w:type="dxa"/>
                        <w:vAlign w:val="center"/>
                      </w:tcPr>
                      <w:p>
                        <w:pPr>
                          <w:snapToGrid w:val="0"/>
                          <w:rPr>
                            <w:rFonts w:ascii="Georgia" w:hAnsi="Georgia" w:cs="Arial"/>
                          </w:rPr>
                        </w:pPr>
                        <w:r>
                          <w:rPr>
                            <w:rFonts w:ascii="Georgia" w:hAnsi="Georgia" w:cs="Arial"/>
                          </w:rPr>
                          <w:t>5660 COUVIN</w:t>
                        </w:r>
                      </w:p>
                    </w:tc>
                    <w:tc>
                      <w:tcPr>
                        <w:tcW w:w="1594" w:type="dxa"/>
                      </w:tcPr>
                      <w:p>
                        <w:pPr>
                          <w:rPr>
                            <w:rFonts w:ascii="Georgia" w:eastAsia="Times New Roman" w:hAnsi="Georgia" w:cs="Arial"/>
                            <w:lang w:eastAsia="fr-BE"/>
                          </w:rPr>
                        </w:pPr>
                        <w:r>
                          <w:rPr>
                            <w:rFonts w:ascii="Georgia" w:eastAsia="Times New Roman" w:hAnsi="Georgia" w:cs="Arial"/>
                            <w:lang w:eastAsia="fr-BE"/>
                          </w:rPr>
                          <w:t>060/34.48.89</w:t>
                        </w:r>
                      </w:p>
                    </w:tc>
                    <w:tc>
                      <w:tcPr>
                        <w:tcW w:w="1588" w:type="dxa"/>
                      </w:tcPr>
                      <w:p>
                        <w:pPr>
                          <w:rPr>
                            <w:rFonts w:ascii="Georgia" w:eastAsia="Times New Roman" w:hAnsi="Georgia" w:cs="Arial"/>
                            <w:lang w:eastAsia="fr-BE"/>
                          </w:rPr>
                        </w:pPr>
                        <w:r>
                          <w:rPr>
                            <w:rFonts w:ascii="Georgia" w:eastAsia="Times New Roman" w:hAnsi="Georgia" w:cs="Arial"/>
                            <w:lang w:eastAsia="fr-BE"/>
                          </w:rPr>
                          <w:t>060/34.72.25</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Rue de Maies, 1</w:t>
                        </w:r>
                      </w:p>
                    </w:tc>
                    <w:tc>
                      <w:tcPr>
                        <w:tcW w:w="2328" w:type="dxa"/>
                        <w:vAlign w:val="center"/>
                      </w:tcPr>
                      <w:p>
                        <w:pPr>
                          <w:snapToGrid w:val="0"/>
                          <w:rPr>
                            <w:rFonts w:ascii="Georgia" w:hAnsi="Georgia" w:cs="Arial"/>
                          </w:rPr>
                        </w:pPr>
                        <w:r>
                          <w:rPr>
                            <w:rFonts w:ascii="Georgia" w:hAnsi="Georgia" w:cs="Arial"/>
                          </w:rPr>
                          <w:t>6600 BASTOGNE</w:t>
                        </w:r>
                      </w:p>
                    </w:tc>
                    <w:tc>
                      <w:tcPr>
                        <w:tcW w:w="1594" w:type="dxa"/>
                      </w:tcPr>
                      <w:p>
                        <w:pPr>
                          <w:rPr>
                            <w:rFonts w:ascii="Georgia" w:eastAsia="Times New Roman" w:hAnsi="Georgia" w:cs="Arial"/>
                            <w:lang w:eastAsia="fr-BE"/>
                          </w:rPr>
                        </w:pPr>
                        <w:r>
                          <w:rPr>
                            <w:rFonts w:ascii="Georgia" w:eastAsia="Times New Roman" w:hAnsi="Georgia" w:cs="Arial"/>
                            <w:lang w:eastAsia="fr-BE"/>
                          </w:rPr>
                          <w:t>061/21.63.33</w:t>
                        </w:r>
                      </w:p>
                    </w:tc>
                    <w:tc>
                      <w:tcPr>
                        <w:tcW w:w="1588" w:type="dxa"/>
                      </w:tcPr>
                      <w:p>
                        <w:pPr>
                          <w:rPr>
                            <w:rFonts w:ascii="Georgia" w:eastAsia="Times New Roman" w:hAnsi="Georgia" w:cs="Arial"/>
                            <w:lang w:eastAsia="fr-BE"/>
                          </w:rPr>
                        </w:pPr>
                        <w:r>
                          <w:rPr>
                            <w:rFonts w:ascii="Georgia" w:eastAsia="Times New Roman" w:hAnsi="Georgia" w:cs="Arial"/>
                            <w:lang w:eastAsia="fr-BE"/>
                          </w:rPr>
                          <w:t>061/21.63.34</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de Sesselich, 61</w:t>
                        </w:r>
                      </w:p>
                    </w:tc>
                    <w:tc>
                      <w:tcPr>
                        <w:tcW w:w="2328" w:type="dxa"/>
                        <w:vAlign w:val="center"/>
                      </w:tcPr>
                      <w:p>
                        <w:pPr>
                          <w:snapToGrid w:val="0"/>
                          <w:rPr>
                            <w:rFonts w:ascii="Georgia" w:hAnsi="Georgia" w:cs="Arial"/>
                          </w:rPr>
                        </w:pPr>
                        <w:r>
                          <w:rPr>
                            <w:rFonts w:ascii="Georgia" w:hAnsi="Georgia" w:cs="Arial"/>
                          </w:rPr>
                          <w:t>6700 ARLON</w:t>
                        </w:r>
                      </w:p>
                    </w:tc>
                    <w:tc>
                      <w:tcPr>
                        <w:tcW w:w="1594" w:type="dxa"/>
                      </w:tcPr>
                      <w:p>
                        <w:pPr>
                          <w:rPr>
                            <w:rFonts w:ascii="Georgia" w:eastAsia="Times New Roman" w:hAnsi="Georgia" w:cs="Arial"/>
                            <w:lang w:eastAsia="fr-BE"/>
                          </w:rPr>
                        </w:pPr>
                        <w:r>
                          <w:rPr>
                            <w:rFonts w:ascii="Georgia" w:eastAsia="Times New Roman" w:hAnsi="Georgia" w:cs="Arial"/>
                            <w:lang w:eastAsia="fr-BE"/>
                          </w:rPr>
                          <w:t>063/22.02.47</w:t>
                        </w:r>
                      </w:p>
                    </w:tc>
                    <w:tc>
                      <w:tcPr>
                        <w:tcW w:w="1588" w:type="dxa"/>
                      </w:tcPr>
                      <w:p>
                        <w:pPr>
                          <w:rPr>
                            <w:rFonts w:ascii="Georgia" w:eastAsia="Times New Roman" w:hAnsi="Georgia" w:cs="Arial"/>
                            <w:lang w:eastAsia="fr-BE"/>
                          </w:rPr>
                        </w:pPr>
                        <w:r>
                          <w:rPr>
                            <w:rFonts w:ascii="Georgia" w:eastAsia="Times New Roman" w:hAnsi="Georgia" w:cs="Arial"/>
                            <w:lang w:eastAsia="fr-BE"/>
                          </w:rPr>
                          <w:t>063/23.48.77</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Faubourg d’Arival, 39</w:t>
                        </w:r>
                      </w:p>
                    </w:tc>
                    <w:tc>
                      <w:tcPr>
                        <w:tcW w:w="2328" w:type="dxa"/>
                        <w:vAlign w:val="center"/>
                      </w:tcPr>
                      <w:p>
                        <w:pPr>
                          <w:snapToGrid w:val="0"/>
                          <w:rPr>
                            <w:rFonts w:ascii="Georgia" w:hAnsi="Georgia" w:cs="Arial"/>
                          </w:rPr>
                        </w:pPr>
                        <w:r>
                          <w:rPr>
                            <w:rFonts w:ascii="Georgia" w:hAnsi="Georgia" w:cs="Arial"/>
                          </w:rPr>
                          <w:t>6760 VIRTON</w:t>
                        </w:r>
                      </w:p>
                    </w:tc>
                    <w:tc>
                      <w:tcPr>
                        <w:tcW w:w="1594" w:type="dxa"/>
                      </w:tcPr>
                      <w:p>
                        <w:pPr>
                          <w:rPr>
                            <w:rFonts w:ascii="Georgia" w:eastAsia="Times New Roman" w:hAnsi="Georgia" w:cs="Arial"/>
                            <w:lang w:eastAsia="fr-BE"/>
                          </w:rPr>
                        </w:pPr>
                        <w:r>
                          <w:rPr>
                            <w:rFonts w:ascii="Georgia" w:eastAsia="Times New Roman" w:hAnsi="Georgia" w:cs="Arial"/>
                            <w:lang w:eastAsia="fr-BE"/>
                          </w:rPr>
                          <w:t>063/57.72.07</w:t>
                        </w:r>
                      </w:p>
                    </w:tc>
                    <w:tc>
                      <w:tcPr>
                        <w:tcW w:w="1588" w:type="dxa"/>
                      </w:tcPr>
                      <w:p>
                        <w:pPr>
                          <w:rPr>
                            <w:rFonts w:ascii="Georgia" w:eastAsia="Times New Roman" w:hAnsi="Georgia" w:cs="Arial"/>
                            <w:lang w:eastAsia="fr-BE"/>
                          </w:rPr>
                        </w:pPr>
                        <w:r>
                          <w:rPr>
                            <w:rFonts w:ascii="Georgia" w:eastAsia="Times New Roman" w:hAnsi="Georgia" w:cs="Arial"/>
                            <w:lang w:eastAsia="fr-BE"/>
                          </w:rPr>
                          <w:t>063/57.17.90</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CPMS Libre VIRTON II</w:t>
                        </w:r>
                      </w:p>
                    </w:tc>
                    <w:tc>
                      <w:tcPr>
                        <w:tcW w:w="2802" w:type="dxa"/>
                        <w:vAlign w:val="center"/>
                      </w:tcPr>
                      <w:p>
                        <w:pPr>
                          <w:snapToGrid w:val="0"/>
                          <w:rPr>
                            <w:rFonts w:ascii="Georgia" w:hAnsi="Georgia" w:cs="Arial"/>
                          </w:rPr>
                        </w:pPr>
                        <w:r>
                          <w:rPr>
                            <w:rFonts w:ascii="Georgia" w:hAnsi="Georgia" w:cs="Arial"/>
                          </w:rPr>
                          <w:t>Rue Croix-le-Maire, 17</w:t>
                        </w:r>
                      </w:p>
                    </w:tc>
                    <w:tc>
                      <w:tcPr>
                        <w:tcW w:w="2328" w:type="dxa"/>
                        <w:vAlign w:val="center"/>
                      </w:tcPr>
                      <w:p>
                        <w:pPr>
                          <w:snapToGrid w:val="0"/>
                          <w:rPr>
                            <w:rFonts w:ascii="Georgia" w:hAnsi="Georgia" w:cs="Arial"/>
                          </w:rPr>
                        </w:pPr>
                        <w:r>
                          <w:rPr>
                            <w:rFonts w:ascii="Georgia" w:hAnsi="Georgia" w:cs="Arial"/>
                          </w:rPr>
                          <w:t>6760 VIRTON</w:t>
                        </w:r>
                      </w:p>
                    </w:tc>
                    <w:tc>
                      <w:tcPr>
                        <w:tcW w:w="1594" w:type="dxa"/>
                      </w:tcPr>
                      <w:p>
                        <w:pPr>
                          <w:rPr>
                            <w:rFonts w:ascii="Georgia" w:eastAsia="Times New Roman" w:hAnsi="Georgia" w:cs="Arial"/>
                            <w:lang w:eastAsia="fr-BE"/>
                          </w:rPr>
                        </w:pPr>
                        <w:r>
                          <w:rPr>
                            <w:rFonts w:ascii="Georgia" w:eastAsia="Times New Roman" w:hAnsi="Georgia" w:cs="Arial"/>
                            <w:lang w:eastAsia="fr-BE"/>
                          </w:rPr>
                          <w:t>063/57.89.92</w:t>
                        </w:r>
                      </w:p>
                    </w:tc>
                    <w:tc>
                      <w:tcPr>
                        <w:tcW w:w="1588" w:type="dxa"/>
                      </w:tcPr>
                      <w:p>
                        <w:pPr>
                          <w:rPr>
                            <w:rFonts w:ascii="Georgia" w:eastAsia="Times New Roman" w:hAnsi="Georgia" w:cs="Arial"/>
                            <w:lang w:eastAsia="fr-BE"/>
                          </w:rPr>
                        </w:pPr>
                        <w:r>
                          <w:rPr>
                            <w:rFonts w:ascii="Georgia" w:eastAsia="Times New Roman" w:hAnsi="Georgia" w:cs="Arial"/>
                            <w:lang w:eastAsia="fr-BE"/>
                          </w:rPr>
                          <w:t>063/58.15.79</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Avenue de la Gare, 10</w:t>
                        </w:r>
                      </w:p>
                    </w:tc>
                    <w:tc>
                      <w:tcPr>
                        <w:tcW w:w="2328" w:type="dxa"/>
                        <w:vAlign w:val="center"/>
                      </w:tcPr>
                      <w:p>
                        <w:pPr>
                          <w:snapToGrid w:val="0"/>
                          <w:rPr>
                            <w:rFonts w:ascii="Georgia" w:hAnsi="Georgia" w:cs="Arial"/>
                          </w:rPr>
                        </w:pPr>
                        <w:r>
                          <w:rPr>
                            <w:rFonts w:ascii="Georgia" w:hAnsi="Georgia" w:cs="Arial"/>
                          </w:rPr>
                          <w:t>6840 NEUFCHATEAU</w:t>
                        </w:r>
                      </w:p>
                    </w:tc>
                    <w:tc>
                      <w:tcPr>
                        <w:tcW w:w="1594" w:type="dxa"/>
                      </w:tcPr>
                      <w:p>
                        <w:pPr>
                          <w:rPr>
                            <w:rFonts w:ascii="Georgia" w:eastAsia="Times New Roman" w:hAnsi="Georgia" w:cs="Arial"/>
                            <w:lang w:eastAsia="fr-BE"/>
                          </w:rPr>
                        </w:pPr>
                        <w:r>
                          <w:rPr>
                            <w:rFonts w:ascii="Georgia" w:eastAsia="Times New Roman" w:hAnsi="Georgia" w:cs="Arial"/>
                            <w:lang w:eastAsia="fr-BE"/>
                          </w:rPr>
                          <w:t>061/27.74.58</w:t>
                        </w:r>
                      </w:p>
                    </w:tc>
                    <w:tc>
                      <w:tcPr>
                        <w:tcW w:w="1588" w:type="dxa"/>
                      </w:tcPr>
                      <w:p>
                        <w:pPr>
                          <w:rPr>
                            <w:rFonts w:ascii="Georgia" w:eastAsia="Times New Roman" w:hAnsi="Georgia" w:cs="Arial"/>
                            <w:lang w:eastAsia="fr-BE"/>
                          </w:rPr>
                        </w:pPr>
                        <w:r>
                          <w:rPr>
                            <w:rFonts w:ascii="Georgia" w:eastAsia="Times New Roman" w:hAnsi="Georgia" w:cs="Arial"/>
                            <w:lang w:eastAsia="fr-BE"/>
                          </w:rPr>
                          <w:t>061/27.95.90</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Rue des Charmes, 3</w:t>
                        </w:r>
                      </w:p>
                    </w:tc>
                    <w:tc>
                      <w:tcPr>
                        <w:tcW w:w="2328" w:type="dxa"/>
                        <w:vAlign w:val="center"/>
                      </w:tcPr>
                      <w:p>
                        <w:pPr>
                          <w:snapToGrid w:val="0"/>
                          <w:rPr>
                            <w:rFonts w:ascii="Georgia" w:hAnsi="Georgia" w:cs="Arial"/>
                          </w:rPr>
                        </w:pPr>
                        <w:r>
                          <w:rPr>
                            <w:rFonts w:ascii="Georgia" w:hAnsi="Georgia" w:cs="Arial"/>
                          </w:rPr>
                          <w:t>6840 NEUFCHATEAU</w:t>
                        </w:r>
                      </w:p>
                    </w:tc>
                    <w:tc>
                      <w:tcPr>
                        <w:tcW w:w="1594" w:type="dxa"/>
                      </w:tcPr>
                      <w:p>
                        <w:pPr>
                          <w:rPr>
                            <w:rFonts w:ascii="Georgia" w:eastAsia="Times New Roman" w:hAnsi="Georgia" w:cs="Arial"/>
                            <w:lang w:eastAsia="fr-BE"/>
                          </w:rPr>
                        </w:pPr>
                        <w:r>
                          <w:rPr>
                            <w:rFonts w:ascii="Georgia" w:eastAsia="Times New Roman" w:hAnsi="Georgia" w:cs="Arial"/>
                            <w:lang w:eastAsia="fr-BE"/>
                          </w:rPr>
                          <w:t>061/27.14.38</w:t>
                        </w:r>
                      </w:p>
                    </w:tc>
                    <w:tc>
                      <w:tcPr>
                        <w:tcW w:w="1588" w:type="dxa"/>
                      </w:tcPr>
                      <w:p>
                        <w:pPr>
                          <w:rPr>
                            <w:rFonts w:ascii="Georgia" w:eastAsia="Times New Roman" w:hAnsi="Georgia" w:cs="Arial"/>
                            <w:lang w:eastAsia="fr-BE"/>
                          </w:rPr>
                        </w:pPr>
                        <w:r>
                          <w:rPr>
                            <w:rFonts w:ascii="Georgia" w:eastAsia="Times New Roman" w:hAnsi="Georgia" w:cs="Arial"/>
                            <w:lang w:eastAsia="fr-BE"/>
                          </w:rPr>
                          <w:t>061/27.14.39</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Rue de la Fontaine, 29</w:t>
                        </w:r>
                      </w:p>
                    </w:tc>
                    <w:tc>
                      <w:tcPr>
                        <w:tcW w:w="2328" w:type="dxa"/>
                        <w:vAlign w:val="center"/>
                      </w:tcPr>
                      <w:p>
                        <w:pPr>
                          <w:snapToGrid w:val="0"/>
                          <w:rPr>
                            <w:rFonts w:ascii="Georgia" w:hAnsi="Georgia" w:cs="Arial"/>
                          </w:rPr>
                        </w:pPr>
                        <w:r>
                          <w:rPr>
                            <w:rFonts w:ascii="Georgia" w:hAnsi="Georgia" w:cs="Arial"/>
                          </w:rPr>
                          <w:t>6870 SAINT-HUBERT</w:t>
                        </w:r>
                      </w:p>
                    </w:tc>
                    <w:tc>
                      <w:tcPr>
                        <w:tcW w:w="1594" w:type="dxa"/>
                      </w:tcPr>
                      <w:p>
                        <w:pPr>
                          <w:rPr>
                            <w:rFonts w:ascii="Georgia" w:eastAsia="Times New Roman" w:hAnsi="Georgia" w:cs="Arial"/>
                            <w:lang w:eastAsia="fr-BE"/>
                          </w:rPr>
                        </w:pPr>
                        <w:r>
                          <w:rPr>
                            <w:rFonts w:ascii="Georgia" w:eastAsia="Times New Roman" w:hAnsi="Georgia" w:cs="Arial"/>
                            <w:lang w:eastAsia="fr-BE"/>
                          </w:rPr>
                          <w:t>061/61.23.63</w:t>
                        </w:r>
                      </w:p>
                    </w:tc>
                    <w:tc>
                      <w:tcPr>
                        <w:tcW w:w="1588" w:type="dxa"/>
                      </w:tcPr>
                      <w:p>
                        <w:pPr>
                          <w:rPr>
                            <w:rFonts w:ascii="Georgia" w:eastAsia="Times New Roman" w:hAnsi="Georgia" w:cs="Arial"/>
                            <w:lang w:eastAsia="fr-BE"/>
                          </w:rPr>
                        </w:pPr>
                        <w:r>
                          <w:rPr>
                            <w:rFonts w:ascii="Georgia" w:eastAsia="Times New Roman" w:hAnsi="Georgia" w:cs="Arial"/>
                            <w:lang w:eastAsia="fr-BE"/>
                          </w:rPr>
                          <w:t>061/61.50.74</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Avenue de la Toison d’Or, 75</w:t>
                        </w:r>
                      </w:p>
                    </w:tc>
                    <w:tc>
                      <w:tcPr>
                        <w:tcW w:w="2328" w:type="dxa"/>
                        <w:vAlign w:val="center"/>
                      </w:tcPr>
                      <w:p>
                        <w:pPr>
                          <w:snapToGrid w:val="0"/>
                          <w:rPr>
                            <w:rFonts w:ascii="Georgia" w:hAnsi="Georgia" w:cs="Arial"/>
                          </w:rPr>
                        </w:pPr>
                        <w:r>
                          <w:rPr>
                            <w:rFonts w:ascii="Georgia" w:hAnsi="Georgia" w:cs="Arial"/>
                          </w:rPr>
                          <w:t>6900 MARCHE-EN-FAMENNE</w:t>
                        </w:r>
                      </w:p>
                    </w:tc>
                    <w:tc>
                      <w:tcPr>
                        <w:tcW w:w="1594" w:type="dxa"/>
                      </w:tcPr>
                      <w:p>
                        <w:pPr>
                          <w:rPr>
                            <w:rFonts w:ascii="Georgia" w:eastAsia="Times New Roman" w:hAnsi="Georgia" w:cs="Arial"/>
                            <w:lang w:eastAsia="fr-BE"/>
                          </w:rPr>
                        </w:pPr>
                        <w:r>
                          <w:rPr>
                            <w:rFonts w:ascii="Georgia" w:eastAsia="Times New Roman" w:hAnsi="Georgia" w:cs="Arial"/>
                            <w:lang w:eastAsia="fr-BE"/>
                          </w:rPr>
                          <w:t>084/31.11.39</w:t>
                        </w:r>
                      </w:p>
                    </w:tc>
                    <w:tc>
                      <w:tcPr>
                        <w:tcW w:w="1588" w:type="dxa"/>
                      </w:tcPr>
                      <w:p>
                        <w:pPr>
                          <w:rPr>
                            <w:rFonts w:ascii="Georgia" w:eastAsia="Times New Roman" w:hAnsi="Georgia" w:cs="Arial"/>
                            <w:lang w:eastAsia="fr-BE"/>
                          </w:rPr>
                        </w:pPr>
                        <w:r>
                          <w:rPr>
                            <w:rFonts w:ascii="Georgia" w:eastAsia="Times New Roman" w:hAnsi="Georgia" w:cs="Arial"/>
                            <w:lang w:eastAsia="fr-BE"/>
                          </w:rPr>
                          <w:t>084/31.38.65</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CPMS Libre MARCHE I</w:t>
                        </w:r>
                      </w:p>
                    </w:tc>
                    <w:tc>
                      <w:tcPr>
                        <w:tcW w:w="2802" w:type="dxa"/>
                        <w:vAlign w:val="center"/>
                      </w:tcPr>
                      <w:p>
                        <w:pPr>
                          <w:snapToGrid w:val="0"/>
                          <w:rPr>
                            <w:rFonts w:ascii="Georgia" w:hAnsi="Georgia" w:cs="Arial"/>
                          </w:rPr>
                        </w:pPr>
                        <w:r>
                          <w:rPr>
                            <w:rFonts w:ascii="Georgia" w:hAnsi="Georgia" w:cs="Arial"/>
                          </w:rPr>
                          <w:t>Avenue de la Toison d’Or, 72</w:t>
                        </w:r>
                      </w:p>
                    </w:tc>
                    <w:tc>
                      <w:tcPr>
                        <w:tcW w:w="2328" w:type="dxa"/>
                        <w:vAlign w:val="center"/>
                      </w:tcPr>
                      <w:p>
                        <w:pPr>
                          <w:snapToGrid w:val="0"/>
                          <w:rPr>
                            <w:rFonts w:ascii="Georgia" w:hAnsi="Georgia" w:cs="Arial"/>
                          </w:rPr>
                        </w:pPr>
                        <w:r>
                          <w:rPr>
                            <w:rFonts w:ascii="Georgia" w:hAnsi="Georgia" w:cs="Arial"/>
                          </w:rPr>
                          <w:t>6900 MARCHE-EN-FAMENNE</w:t>
                        </w:r>
                      </w:p>
                    </w:tc>
                    <w:tc>
                      <w:tcPr>
                        <w:tcW w:w="1594" w:type="dxa"/>
                      </w:tcPr>
                      <w:p>
                        <w:pPr>
                          <w:rPr>
                            <w:rFonts w:ascii="Georgia" w:eastAsia="Times New Roman" w:hAnsi="Georgia" w:cs="Arial"/>
                            <w:lang w:eastAsia="fr-BE"/>
                          </w:rPr>
                        </w:pPr>
                        <w:r>
                          <w:rPr>
                            <w:rFonts w:ascii="Georgia" w:eastAsia="Times New Roman" w:hAnsi="Georgia" w:cs="Arial"/>
                            <w:lang w:eastAsia="fr-BE"/>
                          </w:rPr>
                          <w:t>084/31.10.82</w:t>
                        </w:r>
                      </w:p>
                    </w:tc>
                    <w:tc>
                      <w:tcPr>
                        <w:tcW w:w="1588" w:type="dxa"/>
                      </w:tcPr>
                      <w:p>
                        <w:pPr>
                          <w:rPr>
                            <w:rFonts w:ascii="Georgia" w:eastAsia="Times New Roman" w:hAnsi="Georgia" w:cs="Arial"/>
                            <w:lang w:eastAsia="fr-BE"/>
                          </w:rPr>
                        </w:pPr>
                        <w:r>
                          <w:rPr>
                            <w:rFonts w:ascii="Georgia" w:eastAsia="Times New Roman" w:hAnsi="Georgia" w:cs="Arial"/>
                            <w:lang w:eastAsia="fr-BE"/>
                          </w:rPr>
                          <w:t>084/31.57.89</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de la Science, 38</w:t>
                        </w:r>
                      </w:p>
                    </w:tc>
                    <w:tc>
                      <w:tcPr>
                        <w:tcW w:w="2328" w:type="dxa"/>
                        <w:vAlign w:val="center"/>
                      </w:tcPr>
                      <w:p>
                        <w:pPr>
                          <w:snapToGrid w:val="0"/>
                          <w:rPr>
                            <w:rFonts w:ascii="Georgia" w:hAnsi="Georgia" w:cs="Arial"/>
                          </w:rPr>
                        </w:pPr>
                        <w:r>
                          <w:rPr>
                            <w:rFonts w:ascii="Georgia" w:hAnsi="Georgia" w:cs="Arial"/>
                          </w:rPr>
                          <w:t>6000 CHARLEROI</w:t>
                        </w:r>
                      </w:p>
                    </w:tc>
                    <w:tc>
                      <w:tcPr>
                        <w:tcW w:w="1594" w:type="dxa"/>
                      </w:tcPr>
                      <w:p>
                        <w:pPr>
                          <w:rPr>
                            <w:rFonts w:ascii="Georgia" w:eastAsia="Times New Roman" w:hAnsi="Georgia" w:cs="Arial"/>
                            <w:lang w:eastAsia="fr-BE"/>
                          </w:rPr>
                        </w:pPr>
                        <w:r>
                          <w:rPr>
                            <w:rFonts w:ascii="Georgia" w:eastAsia="Times New Roman" w:hAnsi="Georgia" w:cs="Arial"/>
                            <w:lang w:eastAsia="fr-BE"/>
                          </w:rPr>
                          <w:t>071/20.11.70</w:t>
                        </w:r>
                      </w:p>
                    </w:tc>
                    <w:tc>
                      <w:tcPr>
                        <w:tcW w:w="1588" w:type="dxa"/>
                      </w:tcPr>
                      <w:p>
                        <w:pPr>
                          <w:rPr>
                            <w:rFonts w:ascii="Georgia" w:eastAsia="Times New Roman" w:hAnsi="Georgia" w:cs="Arial"/>
                            <w:lang w:eastAsia="fr-BE"/>
                          </w:rPr>
                        </w:pPr>
                        <w:r>
                          <w:rPr>
                            <w:rFonts w:ascii="Georgia" w:eastAsia="Times New Roman" w:hAnsi="Georgia" w:cs="Arial"/>
                            <w:lang w:eastAsia="fr-BE"/>
                          </w:rPr>
                          <w:t>071/20.11.77</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UTPP – CPMS CHARLEROI I</w:t>
                        </w:r>
                      </w:p>
                    </w:tc>
                    <w:tc>
                      <w:tcPr>
                        <w:tcW w:w="2802" w:type="dxa"/>
                        <w:vAlign w:val="center"/>
                      </w:tcPr>
                      <w:p>
                        <w:pPr>
                          <w:snapToGrid w:val="0"/>
                          <w:rPr>
                            <w:rFonts w:ascii="Georgia" w:hAnsi="Georgia" w:cs="Arial"/>
                          </w:rPr>
                        </w:pPr>
                        <w:r>
                          <w:rPr>
                            <w:rFonts w:ascii="Georgia" w:hAnsi="Georgia" w:cs="Arial"/>
                          </w:rPr>
                          <w:t>Square Hiernaux, 2</w:t>
                        </w:r>
                      </w:p>
                    </w:tc>
                    <w:tc>
                      <w:tcPr>
                        <w:tcW w:w="2328" w:type="dxa"/>
                        <w:vAlign w:val="center"/>
                      </w:tcPr>
                      <w:p>
                        <w:pPr>
                          <w:snapToGrid w:val="0"/>
                          <w:rPr>
                            <w:rFonts w:ascii="Georgia" w:hAnsi="Georgia" w:cs="Arial"/>
                          </w:rPr>
                        </w:pPr>
                        <w:r>
                          <w:rPr>
                            <w:rFonts w:ascii="Georgia" w:hAnsi="Georgia" w:cs="Arial"/>
                          </w:rPr>
                          <w:t>6000 CHARLEROI</w:t>
                        </w:r>
                      </w:p>
                    </w:tc>
                    <w:tc>
                      <w:tcPr>
                        <w:tcW w:w="1594" w:type="dxa"/>
                      </w:tcPr>
                      <w:p>
                        <w:pPr>
                          <w:rPr>
                            <w:rFonts w:ascii="Georgia" w:eastAsia="Times New Roman" w:hAnsi="Georgia" w:cs="Arial"/>
                            <w:lang w:eastAsia="fr-BE"/>
                          </w:rPr>
                        </w:pPr>
                        <w:r>
                          <w:rPr>
                            <w:rFonts w:ascii="Georgia" w:eastAsia="Times New Roman" w:hAnsi="Georgia" w:cs="Arial"/>
                            <w:lang w:eastAsia="fr-BE"/>
                          </w:rPr>
                          <w:t>071/53.12.45</w:t>
                        </w:r>
                      </w:p>
                    </w:tc>
                    <w:tc>
                      <w:tcPr>
                        <w:tcW w:w="1588" w:type="dxa"/>
                      </w:tcPr>
                      <w:p>
                        <w:pPr>
                          <w:rPr>
                            <w:rFonts w:ascii="Georgia" w:eastAsia="Times New Roman" w:hAnsi="Georgia" w:cs="Arial"/>
                            <w:lang w:eastAsia="fr-BE"/>
                          </w:rPr>
                        </w:pPr>
                        <w:r>
                          <w:rPr>
                            <w:rFonts w:ascii="Georgia" w:eastAsia="Times New Roman" w:hAnsi="Georgia" w:cs="Arial"/>
                            <w:lang w:eastAsia="fr-BE"/>
                          </w:rPr>
                          <w:t>071/53.12.51</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CHARLEROI  II</w:t>
                        </w:r>
                      </w:p>
                    </w:tc>
                    <w:tc>
                      <w:tcPr>
                        <w:tcW w:w="2802" w:type="dxa"/>
                        <w:vAlign w:val="center"/>
                      </w:tcPr>
                      <w:p>
                        <w:pPr>
                          <w:snapToGrid w:val="0"/>
                          <w:rPr>
                            <w:rFonts w:ascii="Georgia" w:hAnsi="Georgia" w:cs="Arial"/>
                          </w:rPr>
                        </w:pPr>
                        <w:r>
                          <w:rPr>
                            <w:rFonts w:ascii="Georgia" w:hAnsi="Georgia" w:cs="Arial"/>
                          </w:rPr>
                          <w:t>Rue de la Régence, 19</w:t>
                        </w:r>
                      </w:p>
                    </w:tc>
                    <w:tc>
                      <w:tcPr>
                        <w:tcW w:w="2328" w:type="dxa"/>
                        <w:vAlign w:val="center"/>
                      </w:tcPr>
                      <w:p>
                        <w:pPr>
                          <w:snapToGrid w:val="0"/>
                          <w:rPr>
                            <w:rFonts w:ascii="Georgia" w:hAnsi="Georgia" w:cs="Arial"/>
                          </w:rPr>
                        </w:pPr>
                        <w:r>
                          <w:rPr>
                            <w:rFonts w:ascii="Georgia" w:hAnsi="Georgia" w:cs="Arial"/>
                          </w:rPr>
                          <w:t>6000 CHARLEROI</w:t>
                        </w:r>
                      </w:p>
                    </w:tc>
                    <w:tc>
                      <w:tcPr>
                        <w:tcW w:w="1594" w:type="dxa"/>
                      </w:tcPr>
                      <w:p>
                        <w:pPr>
                          <w:rPr>
                            <w:rFonts w:ascii="Georgia" w:eastAsia="Times New Roman" w:hAnsi="Georgia" w:cs="Arial"/>
                            <w:lang w:eastAsia="fr-BE"/>
                          </w:rPr>
                        </w:pPr>
                        <w:r>
                          <w:rPr>
                            <w:rFonts w:ascii="Georgia" w:eastAsia="Times New Roman" w:hAnsi="Georgia" w:cs="Arial"/>
                            <w:lang w:eastAsia="fr-BE"/>
                          </w:rPr>
                          <w:t>071/23.62.70</w:t>
                        </w:r>
                      </w:p>
                    </w:tc>
                    <w:tc>
                      <w:tcPr>
                        <w:tcW w:w="1588" w:type="dxa"/>
                      </w:tcPr>
                      <w:p>
                        <w:pPr>
                          <w:rPr>
                            <w:rFonts w:ascii="Georgia" w:eastAsia="Times New Roman" w:hAnsi="Georgia" w:cs="Arial"/>
                            <w:lang w:eastAsia="fr-BE"/>
                          </w:rPr>
                        </w:pPr>
                        <w:r>
                          <w:rPr>
                            <w:rFonts w:ascii="Georgia" w:eastAsia="Times New Roman" w:hAnsi="Georgia" w:cs="Arial"/>
                            <w:lang w:eastAsia="fr-BE"/>
                          </w:rPr>
                          <w:t>071/33.01.29</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CHARLEROI III</w:t>
                        </w:r>
                      </w:p>
                    </w:tc>
                    <w:tc>
                      <w:tcPr>
                        <w:tcW w:w="2802" w:type="dxa"/>
                        <w:vAlign w:val="center"/>
                      </w:tcPr>
                      <w:p>
                        <w:pPr>
                          <w:snapToGrid w:val="0"/>
                          <w:rPr>
                            <w:rFonts w:ascii="Georgia" w:hAnsi="Georgia" w:cs="Arial"/>
                          </w:rPr>
                        </w:pPr>
                        <w:r>
                          <w:rPr>
                            <w:rFonts w:ascii="Georgia" w:hAnsi="Georgia" w:cs="Arial"/>
                          </w:rPr>
                          <w:t>Cité Juvénile, Square Hiernaux, 2 -6ème étage</w:t>
                        </w:r>
                      </w:p>
                    </w:tc>
                    <w:tc>
                      <w:tcPr>
                        <w:tcW w:w="2328" w:type="dxa"/>
                        <w:vAlign w:val="center"/>
                      </w:tcPr>
                      <w:p>
                        <w:pPr>
                          <w:snapToGrid w:val="0"/>
                          <w:rPr>
                            <w:rFonts w:ascii="Georgia" w:hAnsi="Georgia" w:cs="Arial"/>
                          </w:rPr>
                        </w:pPr>
                        <w:r>
                          <w:rPr>
                            <w:rFonts w:ascii="Georgia" w:hAnsi="Georgia" w:cs="Arial"/>
                          </w:rPr>
                          <w:t>6000 CHARLEROI</w:t>
                        </w:r>
                      </w:p>
                    </w:tc>
                    <w:tc>
                      <w:tcPr>
                        <w:tcW w:w="1594" w:type="dxa"/>
                      </w:tcPr>
                      <w:p>
                        <w:pPr>
                          <w:rPr>
                            <w:rFonts w:ascii="Georgia" w:eastAsia="Times New Roman" w:hAnsi="Georgia" w:cs="Arial"/>
                            <w:lang w:eastAsia="fr-BE"/>
                          </w:rPr>
                        </w:pPr>
                        <w:r>
                          <w:rPr>
                            <w:rFonts w:ascii="Georgia" w:eastAsia="Times New Roman" w:hAnsi="Georgia" w:cs="Arial"/>
                            <w:lang w:eastAsia="fr-BE"/>
                          </w:rPr>
                          <w:t>071/53.15.17</w:t>
                        </w:r>
                      </w:p>
                    </w:tc>
                    <w:tc>
                      <w:tcPr>
                        <w:tcW w:w="1588" w:type="dxa"/>
                      </w:tcPr>
                      <w:p>
                        <w:pPr>
                          <w:rPr>
                            <w:rFonts w:ascii="Georgia" w:eastAsia="Times New Roman" w:hAnsi="Georgia" w:cs="Arial"/>
                            <w:lang w:eastAsia="fr-BE"/>
                          </w:rPr>
                        </w:pPr>
                        <w:r>
                          <w:rPr>
                            <w:rFonts w:ascii="Georgia" w:eastAsia="Times New Roman" w:hAnsi="Georgia" w:cs="Arial"/>
                            <w:lang w:eastAsia="fr-BE"/>
                          </w:rPr>
                          <w:t>071/53.16.27</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CHARLEROI I</w:t>
                        </w:r>
                      </w:p>
                    </w:tc>
                    <w:tc>
                      <w:tcPr>
                        <w:tcW w:w="2802" w:type="dxa"/>
                        <w:vAlign w:val="center"/>
                      </w:tcPr>
                      <w:p>
                        <w:pPr>
                          <w:snapToGrid w:val="0"/>
                          <w:rPr>
                            <w:rFonts w:ascii="Georgia" w:hAnsi="Georgia" w:cs="Arial"/>
                          </w:rPr>
                        </w:pPr>
                        <w:r>
                          <w:rPr>
                            <w:rFonts w:ascii="Georgia" w:hAnsi="Georgia" w:cs="Arial"/>
                          </w:rPr>
                          <w:t>Route de Beaumont, 71</w:t>
                        </w:r>
                      </w:p>
                    </w:tc>
                    <w:tc>
                      <w:tcPr>
                        <w:tcW w:w="2328" w:type="dxa"/>
                        <w:vAlign w:val="center"/>
                      </w:tcPr>
                      <w:p>
                        <w:pPr>
                          <w:snapToGrid w:val="0"/>
                          <w:rPr>
                            <w:rFonts w:ascii="Georgia" w:hAnsi="Georgia" w:cs="Arial"/>
                          </w:rPr>
                        </w:pPr>
                        <w:r>
                          <w:rPr>
                            <w:rFonts w:ascii="Georgia" w:hAnsi="Georgia" w:cs="Arial"/>
                          </w:rPr>
                          <w:t>6030 MARCHIENNE-AU-PONT</w:t>
                        </w:r>
                      </w:p>
                    </w:tc>
                    <w:tc>
                      <w:tcPr>
                        <w:tcW w:w="1594" w:type="dxa"/>
                      </w:tcPr>
                      <w:p>
                        <w:pPr>
                          <w:rPr>
                            <w:rFonts w:ascii="Georgia" w:eastAsia="Times New Roman" w:hAnsi="Georgia" w:cs="Arial"/>
                            <w:lang w:eastAsia="fr-BE"/>
                          </w:rPr>
                        </w:pPr>
                        <w:r>
                          <w:rPr>
                            <w:rFonts w:ascii="Georgia" w:eastAsia="Times New Roman" w:hAnsi="Georgia" w:cs="Arial"/>
                            <w:lang w:eastAsia="fr-BE"/>
                          </w:rPr>
                          <w:t>071/51.61.27</w:t>
                        </w:r>
                      </w:p>
                    </w:tc>
                    <w:tc>
                      <w:tcPr>
                        <w:tcW w:w="1588" w:type="dxa"/>
                      </w:tcPr>
                      <w:p>
                        <w:pPr>
                          <w:rPr>
                            <w:rFonts w:ascii="Georgia" w:eastAsia="Times New Roman" w:hAnsi="Georgia" w:cs="Arial"/>
                            <w:lang w:eastAsia="fr-BE"/>
                          </w:rPr>
                        </w:pPr>
                        <w:r>
                          <w:rPr>
                            <w:rFonts w:ascii="Georgia" w:eastAsia="Times New Roman" w:hAnsi="Georgia" w:cs="Arial"/>
                            <w:lang w:eastAsia="fr-BE"/>
                          </w:rPr>
                          <w:t>071/56.00.62</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Faubourg de Bruxelles, 110</w:t>
                        </w:r>
                      </w:p>
                    </w:tc>
                    <w:tc>
                      <w:tcPr>
                        <w:tcW w:w="2328" w:type="dxa"/>
                        <w:vAlign w:val="center"/>
                      </w:tcPr>
                      <w:p>
                        <w:pPr>
                          <w:snapToGrid w:val="0"/>
                          <w:rPr>
                            <w:rFonts w:ascii="Georgia" w:hAnsi="Georgia" w:cs="Arial"/>
                          </w:rPr>
                        </w:pPr>
                        <w:r>
                          <w:rPr>
                            <w:rFonts w:ascii="Georgia" w:hAnsi="Georgia" w:cs="Arial"/>
                          </w:rPr>
                          <w:t>6041 GOSSELIES</w:t>
                        </w:r>
                      </w:p>
                    </w:tc>
                    <w:tc>
                      <w:tcPr>
                        <w:tcW w:w="1594" w:type="dxa"/>
                      </w:tcPr>
                      <w:p>
                        <w:pPr>
                          <w:snapToGrid w:val="0"/>
                          <w:jc w:val="center"/>
                          <w:rPr>
                            <w:rFonts w:ascii="Georgia" w:eastAsia="Times New Roman" w:hAnsi="Georgia" w:cs="Arial"/>
                            <w:lang w:eastAsia="fr-BE"/>
                          </w:rPr>
                        </w:pPr>
                        <w:r>
                          <w:rPr>
                            <w:rFonts w:ascii="Georgia" w:eastAsia="Times New Roman" w:hAnsi="Georgia" w:cs="Arial"/>
                            <w:lang w:eastAsia="fr-BE"/>
                          </w:rPr>
                          <w:t>071/35 52 57</w:t>
                        </w:r>
                      </w:p>
                    </w:tc>
                    <w:tc>
                      <w:tcPr>
                        <w:tcW w:w="1588" w:type="dxa"/>
                      </w:tcPr>
                      <w:p>
                        <w:pPr>
                          <w:snapToGrid w:val="0"/>
                          <w:jc w:val="center"/>
                          <w:rPr>
                            <w:rFonts w:ascii="Georgia" w:eastAsia="Times New Roman" w:hAnsi="Georgia" w:cs="Arial"/>
                            <w:lang w:eastAsia="fr-BE"/>
                          </w:rPr>
                        </w:pPr>
                        <w:r>
                          <w:rPr>
                            <w:rFonts w:ascii="Georgia" w:eastAsia="Times New Roman" w:hAnsi="Georgia" w:cs="Arial"/>
                            <w:lang w:eastAsia="fr-BE"/>
                          </w:rPr>
                          <w:t>071/35 86 58</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CHATELET I</w:t>
                        </w:r>
                      </w:p>
                    </w:tc>
                    <w:tc>
                      <w:tcPr>
                        <w:tcW w:w="2802" w:type="dxa"/>
                        <w:vAlign w:val="center"/>
                      </w:tcPr>
                      <w:p>
                        <w:pPr>
                          <w:snapToGrid w:val="0"/>
                          <w:rPr>
                            <w:rFonts w:ascii="Georgia" w:hAnsi="Georgia" w:cs="Arial"/>
                          </w:rPr>
                        </w:pPr>
                        <w:r>
                          <w:rPr>
                            <w:rFonts w:ascii="Georgia" w:hAnsi="Georgia" w:cs="Arial"/>
                          </w:rPr>
                          <w:t>Rue du Collège, 43</w:t>
                        </w:r>
                      </w:p>
                    </w:tc>
                    <w:tc>
                      <w:tcPr>
                        <w:tcW w:w="2328" w:type="dxa"/>
                        <w:vAlign w:val="center"/>
                      </w:tcPr>
                      <w:p>
                        <w:pPr>
                          <w:snapToGrid w:val="0"/>
                          <w:rPr>
                            <w:rFonts w:ascii="Georgia" w:hAnsi="Georgia" w:cs="Arial"/>
                          </w:rPr>
                        </w:pPr>
                        <w:r>
                          <w:rPr>
                            <w:rFonts w:ascii="Georgia" w:hAnsi="Georgia" w:cs="Arial"/>
                          </w:rPr>
                          <w:t>6200 CHATELET</w:t>
                        </w:r>
                      </w:p>
                    </w:tc>
                    <w:tc>
                      <w:tcPr>
                        <w:tcW w:w="1594" w:type="dxa"/>
                      </w:tcPr>
                      <w:p>
                        <w:pPr>
                          <w:rPr>
                            <w:rFonts w:ascii="Georgia" w:eastAsia="Times New Roman" w:hAnsi="Georgia" w:cs="Arial"/>
                            <w:lang w:eastAsia="fr-BE"/>
                          </w:rPr>
                        </w:pPr>
                        <w:r>
                          <w:rPr>
                            <w:rFonts w:ascii="Georgia" w:eastAsia="Times New Roman" w:hAnsi="Georgia" w:cs="Arial"/>
                            <w:lang w:eastAsia="fr-BE"/>
                          </w:rPr>
                          <w:t>071/38.35.96</w:t>
                        </w:r>
                      </w:p>
                    </w:tc>
                    <w:tc>
                      <w:tcPr>
                        <w:tcW w:w="1588" w:type="dxa"/>
                      </w:tcPr>
                      <w:p>
                        <w:pPr>
                          <w:rPr>
                            <w:rFonts w:ascii="Georgia" w:eastAsia="Times New Roman" w:hAnsi="Georgia" w:cs="Arial"/>
                            <w:lang w:eastAsia="fr-BE"/>
                          </w:rPr>
                        </w:pPr>
                        <w:r>
                          <w:rPr>
                            <w:rFonts w:ascii="Georgia" w:eastAsia="Times New Roman" w:hAnsi="Georgia" w:cs="Arial"/>
                            <w:lang w:eastAsia="fr-BE"/>
                          </w:rPr>
                          <w:t>071/40.36.57</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CHATELET II</w:t>
                        </w:r>
                      </w:p>
                    </w:tc>
                    <w:tc>
                      <w:tcPr>
                        <w:tcW w:w="2802" w:type="dxa"/>
                        <w:vAlign w:val="center"/>
                      </w:tcPr>
                      <w:p>
                        <w:pPr>
                          <w:snapToGrid w:val="0"/>
                          <w:rPr>
                            <w:rFonts w:ascii="Georgia" w:hAnsi="Georgia" w:cs="Arial"/>
                          </w:rPr>
                        </w:pPr>
                        <w:r>
                          <w:rPr>
                            <w:rFonts w:ascii="Georgia" w:hAnsi="Georgia" w:cs="Arial"/>
                          </w:rPr>
                          <w:t>Rue de la Station, 164</w:t>
                        </w:r>
                      </w:p>
                    </w:tc>
                    <w:tc>
                      <w:tcPr>
                        <w:tcW w:w="2328" w:type="dxa"/>
                        <w:vAlign w:val="center"/>
                      </w:tcPr>
                      <w:p>
                        <w:pPr>
                          <w:snapToGrid w:val="0"/>
                          <w:rPr>
                            <w:rFonts w:ascii="Georgia" w:hAnsi="Georgia" w:cs="Arial"/>
                          </w:rPr>
                        </w:pPr>
                        <w:r>
                          <w:rPr>
                            <w:rFonts w:ascii="Georgia" w:hAnsi="Georgia" w:cs="Arial"/>
                          </w:rPr>
                          <w:t>6200 CHATELET</w:t>
                        </w:r>
                      </w:p>
                    </w:tc>
                    <w:tc>
                      <w:tcPr>
                        <w:tcW w:w="1594" w:type="dxa"/>
                      </w:tcPr>
                      <w:p>
                        <w:pPr>
                          <w:rPr>
                            <w:rFonts w:ascii="Georgia" w:eastAsia="Times New Roman" w:hAnsi="Georgia" w:cs="Arial"/>
                            <w:lang w:eastAsia="fr-BE"/>
                          </w:rPr>
                        </w:pPr>
                        <w:r>
                          <w:rPr>
                            <w:rFonts w:ascii="Georgia" w:eastAsia="Times New Roman" w:hAnsi="Georgia" w:cs="Arial"/>
                            <w:lang w:eastAsia="fr-BE"/>
                          </w:rPr>
                          <w:t>071/38.69.69</w:t>
                        </w:r>
                      </w:p>
                    </w:tc>
                    <w:tc>
                      <w:tcPr>
                        <w:tcW w:w="1588" w:type="dxa"/>
                      </w:tcPr>
                      <w:p>
                        <w:pPr>
                          <w:rPr>
                            <w:rFonts w:ascii="Georgia" w:eastAsia="Times New Roman" w:hAnsi="Georgia" w:cs="Arial"/>
                            <w:lang w:eastAsia="fr-BE"/>
                          </w:rPr>
                        </w:pPr>
                        <w:r>
                          <w:rPr>
                            <w:rFonts w:ascii="Georgia" w:eastAsia="Times New Roman" w:hAnsi="Georgia" w:cs="Arial"/>
                            <w:lang w:eastAsia="fr-BE"/>
                          </w:rPr>
                          <w:t>071/38.69.69</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Drève des Alliés, 9A</w:t>
                        </w:r>
                      </w:p>
                    </w:tc>
                    <w:tc>
                      <w:tcPr>
                        <w:tcW w:w="2328" w:type="dxa"/>
                        <w:vAlign w:val="center"/>
                      </w:tcPr>
                      <w:p>
                        <w:pPr>
                          <w:snapToGrid w:val="0"/>
                          <w:rPr>
                            <w:rFonts w:ascii="Georgia" w:hAnsi="Georgia" w:cs="Arial"/>
                          </w:rPr>
                        </w:pPr>
                        <w:r>
                          <w:rPr>
                            <w:rFonts w:ascii="Georgia" w:hAnsi="Georgia" w:cs="Arial"/>
                          </w:rPr>
                          <w:t>6530 THUIN</w:t>
                        </w:r>
                      </w:p>
                    </w:tc>
                    <w:tc>
                      <w:tcPr>
                        <w:tcW w:w="1594" w:type="dxa"/>
                      </w:tcPr>
                      <w:p>
                        <w:pPr>
                          <w:rPr>
                            <w:rFonts w:ascii="Georgia" w:eastAsia="Times New Roman" w:hAnsi="Georgia" w:cs="Arial"/>
                            <w:lang w:eastAsia="fr-BE"/>
                          </w:rPr>
                        </w:pPr>
                        <w:r>
                          <w:rPr>
                            <w:rFonts w:ascii="Georgia" w:eastAsia="Times New Roman" w:hAnsi="Georgia" w:cs="Arial"/>
                            <w:lang w:eastAsia="fr-BE"/>
                          </w:rPr>
                          <w:t>071/59.15.64</w:t>
                        </w:r>
                      </w:p>
                    </w:tc>
                    <w:tc>
                      <w:tcPr>
                        <w:tcW w:w="1588" w:type="dxa"/>
                      </w:tcPr>
                      <w:p>
                        <w:pPr>
                          <w:rPr>
                            <w:rFonts w:ascii="Georgia" w:eastAsia="Times New Roman" w:hAnsi="Georgia" w:cs="Arial"/>
                            <w:lang w:eastAsia="fr-BE"/>
                          </w:rPr>
                        </w:pPr>
                        <w:r>
                          <w:rPr>
                            <w:rFonts w:ascii="Georgia" w:eastAsia="Times New Roman" w:hAnsi="Georgia" w:cs="Arial"/>
                            <w:lang w:eastAsia="fr-BE"/>
                          </w:rPr>
                          <w:t>071/59.48.88</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vAlign w:val="center"/>
                      </w:tcPr>
                      <w:p>
                        <w:pPr>
                          <w:snapToGrid w:val="0"/>
                          <w:rPr>
                            <w:rFonts w:ascii="Georgia" w:hAnsi="Georgia" w:cs="Arial"/>
                          </w:rPr>
                        </w:pPr>
                        <w:r>
                          <w:rPr>
                            <w:rFonts w:ascii="Georgia" w:hAnsi="Georgia" w:cs="Arial"/>
                          </w:rPr>
                          <w:t>Rue A. Liégeois, 9</w:t>
                        </w:r>
                      </w:p>
                    </w:tc>
                    <w:tc>
                      <w:tcPr>
                        <w:tcW w:w="2328" w:type="dxa"/>
                        <w:vAlign w:val="center"/>
                      </w:tcPr>
                      <w:p>
                        <w:pPr>
                          <w:snapToGrid w:val="0"/>
                          <w:rPr>
                            <w:rFonts w:ascii="Georgia" w:hAnsi="Georgia" w:cs="Arial"/>
                          </w:rPr>
                        </w:pPr>
                        <w:r>
                          <w:rPr>
                            <w:rFonts w:ascii="Georgia" w:hAnsi="Georgia" w:cs="Arial"/>
                          </w:rPr>
                          <w:t>6530 THUIN</w:t>
                        </w:r>
                      </w:p>
                    </w:tc>
                    <w:tc>
                      <w:tcPr>
                        <w:tcW w:w="1594" w:type="dxa"/>
                      </w:tcPr>
                      <w:p>
                        <w:pPr>
                          <w:rPr>
                            <w:rFonts w:ascii="Georgia" w:eastAsia="Times New Roman" w:hAnsi="Georgia" w:cs="Arial"/>
                            <w:lang w:eastAsia="fr-BE"/>
                          </w:rPr>
                        </w:pPr>
                        <w:r>
                          <w:rPr>
                            <w:rFonts w:ascii="Georgia" w:eastAsia="Times New Roman" w:hAnsi="Georgia" w:cs="Arial"/>
                            <w:lang w:eastAsia="fr-BE"/>
                          </w:rPr>
                          <w:t>071/59.02.46</w:t>
                        </w:r>
                      </w:p>
                    </w:tc>
                    <w:tc>
                      <w:tcPr>
                        <w:tcW w:w="1588" w:type="dxa"/>
                      </w:tcPr>
                      <w:p>
                        <w:pPr>
                          <w:rPr>
                            <w:rFonts w:ascii="Georgia" w:eastAsia="Times New Roman" w:hAnsi="Georgia" w:cs="Arial"/>
                            <w:lang w:eastAsia="fr-BE"/>
                          </w:rPr>
                        </w:pPr>
                        <w:r>
                          <w:rPr>
                            <w:rFonts w:ascii="Georgia" w:eastAsia="Times New Roman" w:hAnsi="Georgia" w:cs="Arial"/>
                            <w:lang w:eastAsia="fr-BE"/>
                          </w:rPr>
                          <w:t>071/59.42.88</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Avenue du Champs de Mars, 2</w:t>
                        </w:r>
                      </w:p>
                    </w:tc>
                    <w:tc>
                      <w:tcPr>
                        <w:tcW w:w="2328" w:type="dxa"/>
                        <w:vAlign w:val="center"/>
                      </w:tcPr>
                      <w:p>
                        <w:pPr>
                          <w:snapToGrid w:val="0"/>
                          <w:rPr>
                            <w:rFonts w:ascii="Georgia" w:hAnsi="Georgia" w:cs="Arial"/>
                          </w:rPr>
                        </w:pPr>
                        <w:r>
                          <w:rPr>
                            <w:rFonts w:ascii="Georgia" w:hAnsi="Georgia" w:cs="Arial"/>
                          </w:rPr>
                          <w:t>7000 MONS</w:t>
                        </w:r>
                      </w:p>
                    </w:tc>
                    <w:tc>
                      <w:tcPr>
                        <w:tcW w:w="1594" w:type="dxa"/>
                      </w:tcPr>
                      <w:p>
                        <w:pPr>
                          <w:rPr>
                            <w:rFonts w:ascii="Georgia" w:eastAsia="Times New Roman" w:hAnsi="Georgia" w:cs="Arial"/>
                            <w:lang w:eastAsia="fr-BE"/>
                          </w:rPr>
                        </w:pPr>
                        <w:r>
                          <w:rPr>
                            <w:rFonts w:ascii="Georgia" w:eastAsia="Times New Roman" w:hAnsi="Georgia" w:cs="Arial"/>
                            <w:lang w:eastAsia="fr-BE"/>
                          </w:rPr>
                          <w:t>065/84.80.14</w:t>
                        </w:r>
                      </w:p>
                    </w:tc>
                    <w:tc>
                      <w:tcPr>
                        <w:tcW w:w="1588" w:type="dxa"/>
                      </w:tcPr>
                      <w:p>
                        <w:pPr>
                          <w:rPr>
                            <w:rFonts w:ascii="Georgia" w:eastAsia="Times New Roman" w:hAnsi="Georgia" w:cs="Arial"/>
                            <w:lang w:eastAsia="fr-BE"/>
                          </w:rPr>
                        </w:pPr>
                        <w:r>
                          <w:rPr>
                            <w:rFonts w:ascii="Georgia" w:eastAsia="Times New Roman" w:hAnsi="Georgia" w:cs="Arial"/>
                            <w:lang w:eastAsia="fr-BE"/>
                          </w:rPr>
                          <w:t>065/84.80.16</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vAlign w:val="center"/>
                      </w:tcPr>
                      <w:p>
                        <w:pPr>
                          <w:snapToGrid w:val="0"/>
                          <w:rPr>
                            <w:rFonts w:ascii="Georgia" w:hAnsi="Georgia" w:cs="Arial"/>
                          </w:rPr>
                        </w:pPr>
                        <w:r>
                          <w:rPr>
                            <w:rFonts w:ascii="Georgia" w:hAnsi="Georgia" w:cs="Arial"/>
                          </w:rPr>
                          <w:t>Résidence Robersart, Rue de la Grande Triperie, 21</w:t>
                        </w:r>
                      </w:p>
                    </w:tc>
                    <w:tc>
                      <w:tcPr>
                        <w:tcW w:w="2328" w:type="dxa"/>
                        <w:vAlign w:val="center"/>
                      </w:tcPr>
                      <w:p>
                        <w:pPr>
                          <w:snapToGrid w:val="0"/>
                          <w:rPr>
                            <w:rFonts w:ascii="Georgia" w:hAnsi="Georgia" w:cs="Arial"/>
                          </w:rPr>
                        </w:pPr>
                        <w:r>
                          <w:rPr>
                            <w:rFonts w:ascii="Georgia" w:hAnsi="Georgia" w:cs="Arial"/>
                          </w:rPr>
                          <w:t>7000 MONS</w:t>
                        </w:r>
                      </w:p>
                    </w:tc>
                    <w:tc>
                      <w:tcPr>
                        <w:tcW w:w="1594" w:type="dxa"/>
                      </w:tcPr>
                      <w:p>
                        <w:pPr>
                          <w:rPr>
                            <w:rFonts w:ascii="Georgia" w:eastAsia="Times New Roman" w:hAnsi="Georgia" w:cs="Arial"/>
                            <w:lang w:eastAsia="fr-BE"/>
                          </w:rPr>
                        </w:pPr>
                        <w:r>
                          <w:rPr>
                            <w:rFonts w:ascii="Georgia" w:eastAsia="Times New Roman" w:hAnsi="Georgia" w:cs="Arial"/>
                            <w:lang w:eastAsia="fr-BE"/>
                          </w:rPr>
                          <w:t>065/39.41.70 (71 ou 72)</w:t>
                        </w:r>
                      </w:p>
                    </w:tc>
                    <w:tc>
                      <w:tcPr>
                        <w:tcW w:w="1588" w:type="dxa"/>
                      </w:tcPr>
                      <w:p>
                        <w:pPr>
                          <w:rPr>
                            <w:rFonts w:ascii="Georgia" w:eastAsia="Times New Roman" w:hAnsi="Georgia" w:cs="Arial"/>
                            <w:lang w:eastAsia="fr-BE"/>
                          </w:rPr>
                        </w:pPr>
                        <w:r>
                          <w:rPr>
                            <w:rFonts w:ascii="Georgia" w:eastAsia="Times New Roman" w:hAnsi="Georgia" w:cs="Arial"/>
                            <w:lang w:eastAsia="fr-BE"/>
                          </w:rPr>
                          <w:t>065/39.41.73</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Mons 2</w:t>
                        </w:r>
                      </w:p>
                    </w:tc>
                    <w:tc>
                      <w:tcPr>
                        <w:tcW w:w="2802" w:type="dxa"/>
                        <w:vAlign w:val="center"/>
                      </w:tcPr>
                      <w:p>
                        <w:pPr>
                          <w:snapToGrid w:val="0"/>
                          <w:rPr>
                            <w:rFonts w:ascii="Georgia" w:hAnsi="Georgia" w:cs="Arial"/>
                          </w:rPr>
                        </w:pPr>
                        <w:r>
                          <w:rPr>
                            <w:rFonts w:ascii="Georgia" w:hAnsi="Georgia" w:cs="Arial"/>
                          </w:rPr>
                          <w:t>Rue de la Grande Triperie, 21</w:t>
                        </w:r>
                      </w:p>
                    </w:tc>
                    <w:tc>
                      <w:tcPr>
                        <w:tcW w:w="2328" w:type="dxa"/>
                        <w:vAlign w:val="center"/>
                      </w:tcPr>
                      <w:p>
                        <w:pPr>
                          <w:snapToGrid w:val="0"/>
                          <w:rPr>
                            <w:rFonts w:ascii="Georgia" w:hAnsi="Georgia" w:cs="Arial"/>
                          </w:rPr>
                        </w:pPr>
                        <w:r>
                          <w:rPr>
                            <w:rFonts w:ascii="Georgia" w:hAnsi="Georgia" w:cs="Arial"/>
                          </w:rPr>
                          <w:t>7000 MONS</w:t>
                        </w:r>
                      </w:p>
                    </w:tc>
                    <w:tc>
                      <w:tcPr>
                        <w:tcW w:w="1594" w:type="dxa"/>
                      </w:tcPr>
                      <w:p>
                        <w:pPr>
                          <w:rPr>
                            <w:rFonts w:ascii="Georgia" w:eastAsia="Times New Roman" w:hAnsi="Georgia" w:cs="Arial"/>
                            <w:lang w:eastAsia="fr-BE"/>
                          </w:rPr>
                        </w:pPr>
                        <w:r>
                          <w:rPr>
                            <w:rFonts w:ascii="Georgia" w:eastAsia="Times New Roman" w:hAnsi="Georgia" w:cs="Arial"/>
                            <w:lang w:eastAsia="fr-BE"/>
                          </w:rPr>
                          <w:t>065/39.41.70</w:t>
                        </w:r>
                      </w:p>
                    </w:tc>
                    <w:tc>
                      <w:tcPr>
                        <w:tcW w:w="1588" w:type="dxa"/>
                      </w:tcPr>
                      <w:tbl>
                        <w:tblPr>
                          <w:tblW w:w="0" w:type="auto"/>
                          <w:shd w:val="clear" w:color="auto" w:fill="FFFFFF"/>
                          <w:tblLayout w:type="fixed"/>
                          <w:tblCellMar>
                            <w:left w:w="0" w:type="dxa"/>
                            <w:right w:w="0" w:type="dxa"/>
                          </w:tblCellMar>
                          <w:tblLook w:val="04A0" w:firstRow="1" w:lastRow="0" w:firstColumn="1" w:lastColumn="0" w:noHBand="0" w:noVBand="1"/>
                        </w:tblPr>
                        <w:tblGrid>
                          <w:gridCol w:w="1355"/>
                        </w:tblGrid>
                        <w:tr>
                          <w:tc>
                            <w:tcPr>
                              <w:tcW w:w="1355" w:type="dxa"/>
                              <w:tcBorders>
                                <w:top w:val="nil"/>
                                <w:left w:val="nil"/>
                                <w:bottom w:val="nil"/>
                                <w:right w:val="nil"/>
                              </w:tcBorders>
                              <w:shd w:val="clear" w:color="auto" w:fill="FFFFFF"/>
                              <w:tcMar>
                                <w:top w:w="30" w:type="dxa"/>
                                <w:left w:w="30" w:type="dxa"/>
                                <w:bottom w:w="30" w:type="dxa"/>
                                <w:right w:w="30" w:type="dxa"/>
                              </w:tcMar>
                              <w:hideMark/>
                            </w:tcPr>
                            <w:p>
                              <w:pPr>
                                <w:spacing w:line="312" w:lineRule="atLeast"/>
                                <w:rPr>
                                  <w:rFonts w:ascii="Georgia" w:eastAsia="Times New Roman" w:hAnsi="Georgia" w:cs="Arial"/>
                                  <w:lang w:eastAsia="fr-BE"/>
                                </w:rPr>
                              </w:pPr>
                              <w:r>
                                <w:rPr>
                                  <w:rFonts w:ascii="Georgia" w:eastAsia="Times New Roman" w:hAnsi="Georgia" w:cs="Arial"/>
                                  <w:lang w:eastAsia="fr-BE"/>
                                </w:rPr>
                                <w:t>065/39.41.73</w:t>
                              </w:r>
                            </w:p>
                          </w:tc>
                        </w:tr>
                        <w:tr>
                          <w:tc>
                            <w:tcPr>
                              <w:tcW w:w="1355" w:type="dxa"/>
                              <w:shd w:val="clear" w:color="auto" w:fill="FFFFFF"/>
                              <w:vAlign w:val="bottom"/>
                              <w:hideMark/>
                            </w:tcPr>
                            <w:p>
                              <w:pPr>
                                <w:spacing w:line="312" w:lineRule="atLeast"/>
                                <w:rPr>
                                  <w:rFonts w:ascii="Georgia" w:eastAsia="Times New Roman" w:hAnsi="Georgia" w:cs="Arial"/>
                                  <w:spacing w:val="2"/>
                                  <w:lang w:eastAsia="fr-BE"/>
                                </w:rPr>
                              </w:pPr>
                            </w:p>
                          </w:tc>
                        </w:tr>
                      </w:tbl>
                      <w:p>
                        <w:pPr>
                          <w:rPr>
                            <w:rFonts w:ascii="Georgia" w:eastAsia="Times New Roman" w:hAnsi="Georgia" w:cs="Arial"/>
                            <w:lang w:eastAsia="fr-BE"/>
                          </w:rPr>
                        </w:pP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MONS I</w:t>
                        </w:r>
                      </w:p>
                    </w:tc>
                    <w:tc>
                      <w:tcPr>
                        <w:tcW w:w="2802" w:type="dxa"/>
                        <w:vAlign w:val="center"/>
                      </w:tcPr>
                      <w:p>
                        <w:pPr>
                          <w:snapToGrid w:val="0"/>
                          <w:rPr>
                            <w:rFonts w:ascii="Georgia" w:hAnsi="Georgia" w:cs="Arial"/>
                          </w:rPr>
                        </w:pPr>
                        <w:r>
                          <w:rPr>
                            <w:rFonts w:ascii="Georgia" w:hAnsi="Georgia" w:cs="Arial"/>
                          </w:rPr>
                          <w:t>Rue du Joncquois, 122</w:t>
                        </w:r>
                      </w:p>
                    </w:tc>
                    <w:tc>
                      <w:tcPr>
                        <w:tcW w:w="2328" w:type="dxa"/>
                        <w:vAlign w:val="center"/>
                      </w:tcPr>
                      <w:p>
                        <w:pPr>
                          <w:snapToGrid w:val="0"/>
                          <w:rPr>
                            <w:rFonts w:ascii="Georgia" w:hAnsi="Georgia" w:cs="Arial"/>
                          </w:rPr>
                        </w:pPr>
                        <w:r>
                          <w:rPr>
                            <w:rFonts w:ascii="Georgia" w:hAnsi="Georgia" w:cs="Arial"/>
                          </w:rPr>
                          <w:t>7000 MONS</w:t>
                        </w:r>
                      </w:p>
                    </w:tc>
                    <w:tc>
                      <w:tcPr>
                        <w:tcW w:w="1594" w:type="dxa"/>
                      </w:tcPr>
                      <w:p>
                        <w:pPr>
                          <w:rPr>
                            <w:rFonts w:ascii="Georgia" w:eastAsia="Times New Roman" w:hAnsi="Georgia" w:cs="Arial"/>
                            <w:lang w:eastAsia="fr-BE"/>
                          </w:rPr>
                        </w:pPr>
                        <w:r>
                          <w:rPr>
                            <w:rFonts w:ascii="Georgia" w:eastAsia="Times New Roman" w:hAnsi="Georgia" w:cs="Arial"/>
                            <w:lang w:eastAsia="fr-BE"/>
                          </w:rPr>
                          <w:t>065/33.70.85</w:t>
                        </w:r>
                      </w:p>
                    </w:tc>
                    <w:tc>
                      <w:tcPr>
                        <w:tcW w:w="1588" w:type="dxa"/>
                      </w:tcPr>
                      <w:p>
                        <w:pPr>
                          <w:rPr>
                            <w:rFonts w:ascii="Georgia" w:eastAsia="Times New Roman" w:hAnsi="Georgia" w:cs="Arial"/>
                            <w:lang w:eastAsia="fr-BE"/>
                          </w:rPr>
                        </w:pPr>
                        <w:r>
                          <w:rPr>
                            <w:rFonts w:ascii="Georgia" w:eastAsia="Times New Roman" w:hAnsi="Georgia" w:cs="Arial"/>
                            <w:lang w:eastAsia="fr-BE"/>
                          </w:rPr>
                          <w:t>065/84.65.50</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MONS II</w:t>
                        </w:r>
                      </w:p>
                    </w:tc>
                    <w:tc>
                      <w:tcPr>
                        <w:tcW w:w="2802" w:type="dxa"/>
                        <w:vAlign w:val="center"/>
                      </w:tcPr>
                      <w:p>
                        <w:pPr>
                          <w:snapToGrid w:val="0"/>
                          <w:rPr>
                            <w:rFonts w:ascii="Georgia" w:hAnsi="Georgia" w:cs="Arial"/>
                          </w:rPr>
                        </w:pPr>
                        <w:r>
                          <w:rPr>
                            <w:rFonts w:ascii="Georgia" w:hAnsi="Georgia" w:cs="Arial"/>
                          </w:rPr>
                          <w:t>Rue du Joncquois, 122</w:t>
                        </w:r>
                      </w:p>
                    </w:tc>
                    <w:tc>
                      <w:tcPr>
                        <w:tcW w:w="2328" w:type="dxa"/>
                        <w:vAlign w:val="center"/>
                      </w:tcPr>
                      <w:p>
                        <w:pPr>
                          <w:snapToGrid w:val="0"/>
                          <w:rPr>
                            <w:rFonts w:ascii="Georgia" w:hAnsi="Georgia" w:cs="Arial"/>
                          </w:rPr>
                        </w:pPr>
                        <w:r>
                          <w:rPr>
                            <w:rFonts w:ascii="Georgia" w:hAnsi="Georgia" w:cs="Arial"/>
                          </w:rPr>
                          <w:t>7000 MONS</w:t>
                        </w:r>
                      </w:p>
                    </w:tc>
                    <w:tc>
                      <w:tcPr>
                        <w:tcW w:w="1594" w:type="dxa"/>
                      </w:tcPr>
                      <w:p>
                        <w:pPr>
                          <w:rPr>
                            <w:rFonts w:ascii="Georgia" w:eastAsia="Times New Roman" w:hAnsi="Georgia" w:cs="Arial"/>
                            <w:lang w:eastAsia="fr-BE"/>
                          </w:rPr>
                        </w:pPr>
                        <w:r>
                          <w:rPr>
                            <w:rFonts w:ascii="Georgia" w:eastAsia="Times New Roman" w:hAnsi="Georgia" w:cs="Arial"/>
                            <w:lang w:eastAsia="fr-BE"/>
                          </w:rPr>
                          <w:t>065/31.38.78</w:t>
                        </w:r>
                      </w:p>
                    </w:tc>
                    <w:tc>
                      <w:tcPr>
                        <w:tcW w:w="1588" w:type="dxa"/>
                      </w:tcPr>
                      <w:p>
                        <w:pPr>
                          <w:rPr>
                            <w:rFonts w:ascii="Georgia" w:eastAsia="Times New Roman" w:hAnsi="Georgia" w:cs="Arial"/>
                            <w:lang w:eastAsia="fr-BE"/>
                          </w:rPr>
                        </w:pPr>
                        <w:r>
                          <w:rPr>
                            <w:rFonts w:ascii="Georgia" w:eastAsia="Times New Roman" w:hAnsi="Georgia" w:cs="Arial"/>
                            <w:lang w:eastAsia="fr-BE"/>
                          </w:rPr>
                          <w:t>065/59.55.94</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tcPr>
                      <w:p>
                        <w:pPr>
                          <w:snapToGrid w:val="0"/>
                          <w:rPr>
                            <w:rFonts w:ascii="Georgia" w:hAnsi="Georgia" w:cs="Arial"/>
                          </w:rPr>
                        </w:pPr>
                        <w:r>
                          <w:rPr>
                            <w:rFonts w:ascii="Georgia" w:hAnsi="Georgia" w:cs="Arial"/>
                          </w:rPr>
                          <w:t>Rue Léon Hachez, 38</w:t>
                        </w:r>
                      </w:p>
                    </w:tc>
                    <w:tc>
                      <w:tcPr>
                        <w:tcW w:w="2328" w:type="dxa"/>
                      </w:tcPr>
                      <w:p>
                        <w:pPr>
                          <w:snapToGrid w:val="0"/>
                          <w:rPr>
                            <w:rFonts w:ascii="Georgia" w:hAnsi="Georgia" w:cs="Arial"/>
                          </w:rPr>
                        </w:pPr>
                        <w:r>
                          <w:rPr>
                            <w:rFonts w:ascii="Georgia" w:hAnsi="Georgia" w:cs="Arial"/>
                          </w:rPr>
                          <w:t>7060 SOIGNIES</w:t>
                        </w:r>
                      </w:p>
                    </w:tc>
                    <w:tc>
                      <w:tcPr>
                        <w:tcW w:w="1594" w:type="dxa"/>
                      </w:tcPr>
                      <w:p>
                        <w:pPr>
                          <w:rPr>
                            <w:rFonts w:ascii="Georgia" w:eastAsia="Times New Roman" w:hAnsi="Georgia" w:cs="Arial"/>
                            <w:lang w:eastAsia="fr-BE"/>
                          </w:rPr>
                        </w:pPr>
                        <w:r>
                          <w:rPr>
                            <w:rFonts w:ascii="Georgia" w:eastAsia="Times New Roman" w:hAnsi="Georgia" w:cs="Arial"/>
                            <w:lang w:eastAsia="fr-BE"/>
                          </w:rPr>
                          <w:t>067/33.57.85</w:t>
                        </w:r>
                      </w:p>
                    </w:tc>
                    <w:tc>
                      <w:tcPr>
                        <w:tcW w:w="1588" w:type="dxa"/>
                      </w:tcPr>
                      <w:p>
                        <w:pPr>
                          <w:rPr>
                            <w:rFonts w:ascii="Georgia" w:eastAsia="Times New Roman" w:hAnsi="Georgia" w:cs="Arial"/>
                            <w:lang w:eastAsia="fr-BE"/>
                          </w:rPr>
                        </w:pPr>
                        <w:r>
                          <w:rPr>
                            <w:rFonts w:ascii="Georgia" w:eastAsia="Times New Roman" w:hAnsi="Georgia" w:cs="Arial"/>
                            <w:lang w:eastAsia="fr-BE"/>
                          </w:rPr>
                          <w:t>067/33.94.56</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Rue de la Régence, 25</w:t>
                        </w:r>
                      </w:p>
                    </w:tc>
                    <w:tc>
                      <w:tcPr>
                        <w:tcW w:w="2328" w:type="dxa"/>
                      </w:tcPr>
                      <w:p>
                        <w:pPr>
                          <w:snapToGrid w:val="0"/>
                          <w:rPr>
                            <w:rFonts w:ascii="Georgia" w:hAnsi="Georgia" w:cs="Arial"/>
                          </w:rPr>
                        </w:pPr>
                        <w:r>
                          <w:rPr>
                            <w:rFonts w:ascii="Georgia" w:hAnsi="Georgia" w:cs="Arial"/>
                          </w:rPr>
                          <w:t>7060 SOIGNIES</w:t>
                        </w:r>
                      </w:p>
                    </w:tc>
                    <w:tc>
                      <w:tcPr>
                        <w:tcW w:w="1594" w:type="dxa"/>
                      </w:tcPr>
                      <w:p>
                        <w:pPr>
                          <w:rPr>
                            <w:rFonts w:ascii="Georgia" w:eastAsia="Times New Roman" w:hAnsi="Georgia" w:cs="Arial"/>
                            <w:lang w:eastAsia="fr-BE"/>
                          </w:rPr>
                        </w:pPr>
                        <w:r>
                          <w:rPr>
                            <w:rFonts w:ascii="Georgia" w:eastAsia="Times New Roman" w:hAnsi="Georgia" w:cs="Arial"/>
                            <w:lang w:eastAsia="fr-BE"/>
                          </w:rPr>
                          <w:t>067/33.33.08</w:t>
                        </w:r>
                      </w:p>
                    </w:tc>
                    <w:tc>
                      <w:tcPr>
                        <w:tcW w:w="1588" w:type="dxa"/>
                      </w:tcPr>
                      <w:p>
                        <w:pPr>
                          <w:rPr>
                            <w:rFonts w:ascii="Georgia" w:eastAsia="Times New Roman" w:hAnsi="Georgia" w:cs="Arial"/>
                            <w:lang w:eastAsia="fr-BE"/>
                          </w:rPr>
                        </w:pPr>
                        <w:r>
                          <w:rPr>
                            <w:rFonts w:ascii="Georgia" w:eastAsia="Times New Roman" w:hAnsi="Georgia" w:cs="Arial"/>
                            <w:lang w:eastAsia="fr-BE"/>
                          </w:rPr>
                          <w:t>067/33.94.94</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SOIGNIES I</w:t>
                        </w:r>
                      </w:p>
                    </w:tc>
                    <w:tc>
                      <w:tcPr>
                        <w:tcW w:w="2802" w:type="dxa"/>
                      </w:tcPr>
                      <w:p>
                        <w:pPr>
                          <w:snapToGrid w:val="0"/>
                          <w:rPr>
                            <w:rFonts w:ascii="Georgia" w:hAnsi="Georgia" w:cs="Arial"/>
                          </w:rPr>
                        </w:pPr>
                        <w:r>
                          <w:rPr>
                            <w:rFonts w:ascii="Georgia" w:hAnsi="Georgia" w:cs="Arial"/>
                          </w:rPr>
                          <w:t>Ruelle Scaffart</w:t>
                        </w:r>
                      </w:p>
                    </w:tc>
                    <w:tc>
                      <w:tcPr>
                        <w:tcW w:w="2328" w:type="dxa"/>
                      </w:tcPr>
                      <w:p>
                        <w:pPr>
                          <w:snapToGrid w:val="0"/>
                          <w:rPr>
                            <w:rFonts w:ascii="Georgia" w:hAnsi="Georgia" w:cs="Arial"/>
                          </w:rPr>
                        </w:pPr>
                        <w:r>
                          <w:rPr>
                            <w:rFonts w:ascii="Georgia" w:hAnsi="Georgia" w:cs="Arial"/>
                          </w:rPr>
                          <w:t>7060 SOIGNIES</w:t>
                        </w:r>
                      </w:p>
                    </w:tc>
                    <w:tc>
                      <w:tcPr>
                        <w:tcW w:w="1594" w:type="dxa"/>
                      </w:tcPr>
                      <w:p>
                        <w:pPr>
                          <w:rPr>
                            <w:rFonts w:ascii="Georgia" w:eastAsia="Times New Roman" w:hAnsi="Georgia" w:cs="Arial"/>
                            <w:lang w:eastAsia="fr-BE"/>
                          </w:rPr>
                        </w:pPr>
                        <w:r>
                          <w:rPr>
                            <w:rFonts w:ascii="Georgia" w:eastAsia="Times New Roman" w:hAnsi="Georgia" w:cs="Arial"/>
                            <w:lang w:eastAsia="fr-BE"/>
                          </w:rPr>
                          <w:t>067/33.36.42</w:t>
                        </w:r>
                      </w:p>
                    </w:tc>
                    <w:tc>
                      <w:tcPr>
                        <w:tcW w:w="1588" w:type="dxa"/>
                      </w:tcPr>
                      <w:p>
                        <w:pPr>
                          <w:rPr>
                            <w:rFonts w:ascii="Georgia" w:eastAsia="Times New Roman" w:hAnsi="Georgia" w:cs="Arial"/>
                            <w:lang w:eastAsia="fr-BE"/>
                          </w:rPr>
                        </w:pPr>
                        <w:r>
                          <w:rPr>
                            <w:rFonts w:ascii="Georgia" w:eastAsia="Times New Roman" w:hAnsi="Georgia" w:cs="Arial"/>
                            <w:lang w:eastAsia="fr-BE"/>
                          </w:rPr>
                          <w:t>067/33.37.71</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Rue du Parc, 87</w:t>
                        </w:r>
                      </w:p>
                    </w:tc>
                    <w:tc>
                      <w:tcPr>
                        <w:tcW w:w="2328" w:type="dxa"/>
                      </w:tcPr>
                      <w:p>
                        <w:pPr>
                          <w:snapToGrid w:val="0"/>
                          <w:rPr>
                            <w:rFonts w:ascii="Georgia" w:hAnsi="Georgia" w:cs="Arial"/>
                          </w:rPr>
                        </w:pPr>
                        <w:r>
                          <w:rPr>
                            <w:rFonts w:ascii="Georgia" w:hAnsi="Georgia" w:cs="Arial"/>
                          </w:rPr>
                          <w:t>7100 LA LOUVIERE</w:t>
                        </w:r>
                      </w:p>
                    </w:tc>
                    <w:tc>
                      <w:tcPr>
                        <w:tcW w:w="1594" w:type="dxa"/>
                      </w:tcPr>
                      <w:p>
                        <w:pPr>
                          <w:rPr>
                            <w:rFonts w:ascii="Georgia" w:eastAsia="Times New Roman" w:hAnsi="Georgia" w:cs="Arial"/>
                            <w:lang w:eastAsia="fr-BE"/>
                          </w:rPr>
                        </w:pPr>
                        <w:r>
                          <w:rPr>
                            <w:rFonts w:ascii="Georgia" w:eastAsia="Times New Roman" w:hAnsi="Georgia" w:cs="Arial"/>
                            <w:lang w:eastAsia="fr-BE"/>
                          </w:rPr>
                          <w:t>064/22.26.71</w:t>
                        </w:r>
                      </w:p>
                    </w:tc>
                    <w:tc>
                      <w:tcPr>
                        <w:tcW w:w="1588" w:type="dxa"/>
                      </w:tcPr>
                      <w:p>
                        <w:pPr>
                          <w:rPr>
                            <w:rFonts w:ascii="Georgia" w:eastAsia="Times New Roman" w:hAnsi="Georgia" w:cs="Arial"/>
                            <w:lang w:eastAsia="fr-BE"/>
                          </w:rPr>
                        </w:pPr>
                        <w:r>
                          <w:rPr>
                            <w:rFonts w:ascii="Georgia" w:eastAsia="Times New Roman" w:hAnsi="Georgia" w:cs="Arial"/>
                            <w:lang w:eastAsia="fr-BE"/>
                          </w:rPr>
                          <w:t>064/26.68.60</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tcPr>
                      <w:p>
                        <w:pPr>
                          <w:snapToGrid w:val="0"/>
                          <w:rPr>
                            <w:rFonts w:ascii="Georgia" w:hAnsi="Georgia" w:cs="Arial"/>
                          </w:rPr>
                        </w:pPr>
                        <w:r>
                          <w:rPr>
                            <w:rFonts w:ascii="Georgia" w:hAnsi="Georgia" w:cs="Arial"/>
                          </w:rPr>
                          <w:t>Rue Warocqué, 88</w:t>
                        </w:r>
                      </w:p>
                    </w:tc>
                    <w:tc>
                      <w:tcPr>
                        <w:tcW w:w="2328" w:type="dxa"/>
                      </w:tcPr>
                      <w:p>
                        <w:pPr>
                          <w:snapToGrid w:val="0"/>
                          <w:rPr>
                            <w:rFonts w:ascii="Georgia" w:hAnsi="Georgia" w:cs="Arial"/>
                          </w:rPr>
                        </w:pPr>
                        <w:r>
                          <w:rPr>
                            <w:rFonts w:ascii="Georgia" w:hAnsi="Georgia" w:cs="Arial"/>
                          </w:rPr>
                          <w:t>7100 LA LOUVIERE</w:t>
                        </w:r>
                      </w:p>
                    </w:tc>
                    <w:tc>
                      <w:tcPr>
                        <w:tcW w:w="1594" w:type="dxa"/>
                      </w:tcPr>
                      <w:p>
                        <w:pPr>
                          <w:rPr>
                            <w:rFonts w:ascii="Georgia" w:eastAsia="Times New Roman" w:hAnsi="Georgia" w:cs="Arial"/>
                            <w:lang w:eastAsia="fr-BE"/>
                          </w:rPr>
                        </w:pPr>
                        <w:r>
                          <w:rPr>
                            <w:rFonts w:ascii="Georgia" w:eastAsia="Times New Roman" w:hAnsi="Georgia" w:cs="Arial"/>
                            <w:lang w:eastAsia="fr-BE"/>
                          </w:rPr>
                          <w:t>064/22.58.74</w:t>
                        </w:r>
                      </w:p>
                    </w:tc>
                    <w:tc>
                      <w:tcPr>
                        <w:tcW w:w="1588" w:type="dxa"/>
                      </w:tcPr>
                      <w:p>
                        <w:pPr>
                          <w:rPr>
                            <w:rFonts w:ascii="Georgia" w:eastAsia="Times New Roman" w:hAnsi="Georgia" w:cs="Arial"/>
                            <w:lang w:eastAsia="fr-BE"/>
                          </w:rPr>
                        </w:pPr>
                        <w:r>
                          <w:rPr>
                            <w:rFonts w:ascii="Georgia" w:eastAsia="Times New Roman" w:hAnsi="Georgia" w:cs="Arial"/>
                            <w:lang w:eastAsia="fr-BE"/>
                          </w:rPr>
                          <w:t>064/22.73.18</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Rue de Bruxelles, 14-16</w:t>
                        </w:r>
                      </w:p>
                    </w:tc>
                    <w:tc>
                      <w:tcPr>
                        <w:tcW w:w="2328" w:type="dxa"/>
                      </w:tcPr>
                      <w:p>
                        <w:pPr>
                          <w:snapToGrid w:val="0"/>
                          <w:rPr>
                            <w:rFonts w:ascii="Georgia" w:hAnsi="Georgia" w:cs="Arial"/>
                          </w:rPr>
                        </w:pPr>
                        <w:r>
                          <w:rPr>
                            <w:rFonts w:ascii="Georgia" w:hAnsi="Georgia" w:cs="Arial"/>
                          </w:rPr>
                          <w:t>7130 BINCHE</w:t>
                        </w:r>
                      </w:p>
                    </w:tc>
                    <w:tc>
                      <w:tcPr>
                        <w:tcW w:w="1594" w:type="dxa"/>
                      </w:tcPr>
                      <w:p>
                        <w:pPr>
                          <w:rPr>
                            <w:rFonts w:ascii="Georgia" w:eastAsia="Times New Roman" w:hAnsi="Georgia" w:cs="Arial"/>
                            <w:lang w:eastAsia="fr-BE"/>
                          </w:rPr>
                        </w:pPr>
                        <w:r>
                          <w:rPr>
                            <w:rFonts w:ascii="Georgia" w:eastAsia="Times New Roman" w:hAnsi="Georgia" w:cs="Arial"/>
                            <w:lang w:eastAsia="fr-BE"/>
                          </w:rPr>
                          <w:t>064/33.28.55</w:t>
                        </w:r>
                      </w:p>
                    </w:tc>
                    <w:tc>
                      <w:tcPr>
                        <w:tcW w:w="1588" w:type="dxa"/>
                      </w:tcPr>
                      <w:p>
                        <w:pPr>
                          <w:rPr>
                            <w:rFonts w:ascii="Georgia" w:eastAsia="Times New Roman" w:hAnsi="Georgia" w:cs="Arial"/>
                            <w:lang w:eastAsia="fr-BE"/>
                          </w:rPr>
                        </w:pPr>
                        <w:r>
                          <w:rPr>
                            <w:rFonts w:ascii="Georgia" w:eastAsia="Times New Roman" w:hAnsi="Georgia" w:cs="Arial"/>
                            <w:lang w:eastAsia="fr-BE"/>
                          </w:rPr>
                          <w:t>064/33.93.75</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tcPr>
                      <w:p>
                        <w:pPr>
                          <w:snapToGrid w:val="0"/>
                          <w:rPr>
                            <w:rFonts w:ascii="Georgia" w:hAnsi="Georgia" w:cs="Arial"/>
                          </w:rPr>
                        </w:pPr>
                        <w:r>
                          <w:rPr>
                            <w:rFonts w:ascii="Georgia" w:hAnsi="Georgia" w:cs="Arial"/>
                          </w:rPr>
                          <w:t>Avenue Marie-José, 48</w:t>
                        </w:r>
                      </w:p>
                    </w:tc>
                    <w:tc>
                      <w:tcPr>
                        <w:tcW w:w="2328" w:type="dxa"/>
                      </w:tcPr>
                      <w:p>
                        <w:pPr>
                          <w:snapToGrid w:val="0"/>
                          <w:rPr>
                            <w:rFonts w:ascii="Georgia" w:hAnsi="Georgia" w:cs="Arial"/>
                          </w:rPr>
                        </w:pPr>
                        <w:r>
                          <w:rPr>
                            <w:rFonts w:ascii="Georgia" w:hAnsi="Georgia" w:cs="Arial"/>
                          </w:rPr>
                          <w:t>7130 BINCHE</w:t>
                        </w:r>
                      </w:p>
                    </w:tc>
                    <w:tc>
                      <w:tcPr>
                        <w:tcW w:w="1594" w:type="dxa"/>
                      </w:tcPr>
                      <w:p>
                        <w:pPr>
                          <w:rPr>
                            <w:rFonts w:ascii="Georgia" w:eastAsia="Times New Roman" w:hAnsi="Georgia" w:cs="Arial"/>
                            <w:lang w:eastAsia="fr-BE"/>
                          </w:rPr>
                        </w:pPr>
                        <w:r>
                          <w:rPr>
                            <w:rFonts w:ascii="Georgia" w:eastAsia="Times New Roman" w:hAnsi="Georgia" w:cs="Arial"/>
                            <w:lang w:eastAsia="fr-BE"/>
                          </w:rPr>
                          <w:t>064/33.73.24</w:t>
                        </w:r>
                      </w:p>
                    </w:tc>
                    <w:tc>
                      <w:tcPr>
                        <w:tcW w:w="1588" w:type="dxa"/>
                      </w:tcPr>
                      <w:p>
                        <w:pPr>
                          <w:rPr>
                            <w:rFonts w:ascii="Georgia" w:eastAsia="Times New Roman" w:hAnsi="Georgia" w:cs="Arial"/>
                            <w:lang w:eastAsia="fr-BE"/>
                          </w:rPr>
                        </w:pPr>
                        <w:r>
                          <w:rPr>
                            <w:rFonts w:ascii="Georgia" w:eastAsia="Times New Roman" w:hAnsi="Georgia" w:cs="Arial"/>
                            <w:lang w:eastAsia="fr-BE"/>
                          </w:rPr>
                          <w:t>064/33.66.84</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Rue de l’Enseignement, 12</w:t>
                        </w:r>
                      </w:p>
                    </w:tc>
                    <w:tc>
                      <w:tcPr>
                        <w:tcW w:w="2328" w:type="dxa"/>
                      </w:tcPr>
                      <w:p>
                        <w:pPr>
                          <w:snapToGrid w:val="0"/>
                          <w:rPr>
                            <w:rFonts w:ascii="Georgia" w:hAnsi="Georgia" w:cs="Arial"/>
                          </w:rPr>
                        </w:pPr>
                        <w:r>
                          <w:rPr>
                            <w:rFonts w:ascii="Georgia" w:hAnsi="Georgia" w:cs="Arial"/>
                          </w:rPr>
                          <w:t>7140 MORLANWELZ</w:t>
                        </w:r>
                      </w:p>
                    </w:tc>
                    <w:tc>
                      <w:tcPr>
                        <w:tcW w:w="1594" w:type="dxa"/>
                      </w:tcPr>
                      <w:p>
                        <w:pPr>
                          <w:rPr>
                            <w:rFonts w:ascii="Georgia" w:eastAsia="Times New Roman" w:hAnsi="Georgia" w:cs="Arial"/>
                            <w:lang w:eastAsia="fr-BE"/>
                          </w:rPr>
                        </w:pPr>
                        <w:r>
                          <w:rPr>
                            <w:rFonts w:ascii="Georgia" w:eastAsia="Times New Roman" w:hAnsi="Georgia" w:cs="Arial"/>
                            <w:lang w:eastAsia="fr-BE"/>
                          </w:rPr>
                          <w:t>064/31.25.25</w:t>
                        </w:r>
                      </w:p>
                    </w:tc>
                    <w:tc>
                      <w:tcPr>
                        <w:tcW w:w="1588" w:type="dxa"/>
                      </w:tcPr>
                      <w:p>
                        <w:pPr>
                          <w:rPr>
                            <w:rFonts w:ascii="Georgia" w:eastAsia="Times New Roman" w:hAnsi="Georgia" w:cs="Arial"/>
                            <w:lang w:eastAsia="fr-BE"/>
                          </w:rPr>
                        </w:pPr>
                        <w:r>
                          <w:rPr>
                            <w:rFonts w:ascii="Georgia" w:eastAsia="Times New Roman" w:hAnsi="Georgia" w:cs="Arial"/>
                            <w:lang w:eastAsia="fr-BE"/>
                          </w:rPr>
                          <w:t>064/31.25.24</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tcPr>
                      <w:p>
                        <w:pPr>
                          <w:snapToGrid w:val="0"/>
                          <w:rPr>
                            <w:rFonts w:ascii="Georgia" w:hAnsi="Georgia" w:cs="Arial"/>
                          </w:rPr>
                        </w:pPr>
                        <w:r>
                          <w:rPr>
                            <w:rFonts w:ascii="Georgia" w:hAnsi="Georgia" w:cs="Arial"/>
                          </w:rPr>
                          <w:t>Rue Léon Moyaux, 82</w:t>
                        </w:r>
                      </w:p>
                    </w:tc>
                    <w:tc>
                      <w:tcPr>
                        <w:tcW w:w="2328" w:type="dxa"/>
                      </w:tcPr>
                      <w:p>
                        <w:pPr>
                          <w:snapToGrid w:val="0"/>
                          <w:rPr>
                            <w:rFonts w:ascii="Georgia" w:hAnsi="Georgia" w:cs="Arial"/>
                          </w:rPr>
                        </w:pPr>
                        <w:r>
                          <w:rPr>
                            <w:rFonts w:ascii="Georgia" w:hAnsi="Georgia" w:cs="Arial"/>
                          </w:rPr>
                          <w:t>7140 MORLANWELZ</w:t>
                        </w:r>
                      </w:p>
                    </w:tc>
                    <w:tc>
                      <w:tcPr>
                        <w:tcW w:w="1594" w:type="dxa"/>
                      </w:tcPr>
                      <w:p>
                        <w:pPr>
                          <w:rPr>
                            <w:rFonts w:ascii="Georgia" w:eastAsia="Times New Roman" w:hAnsi="Georgia" w:cs="Arial"/>
                            <w:lang w:eastAsia="fr-BE"/>
                          </w:rPr>
                        </w:pPr>
                        <w:r>
                          <w:rPr>
                            <w:rFonts w:ascii="Georgia" w:eastAsia="Times New Roman" w:hAnsi="Georgia" w:cs="Arial"/>
                            <w:lang w:eastAsia="fr-BE"/>
                          </w:rPr>
                          <w:t>064/44.45.50</w:t>
                        </w:r>
                      </w:p>
                    </w:tc>
                    <w:tc>
                      <w:tcPr>
                        <w:tcW w:w="1588" w:type="dxa"/>
                      </w:tcPr>
                      <w:p>
                        <w:pPr>
                          <w:rPr>
                            <w:rFonts w:ascii="Georgia" w:eastAsia="Times New Roman" w:hAnsi="Georgia" w:cs="Arial"/>
                            <w:lang w:eastAsia="fr-BE"/>
                          </w:rPr>
                        </w:pPr>
                        <w:r>
                          <w:rPr>
                            <w:rFonts w:ascii="Georgia" w:eastAsia="Times New Roman" w:hAnsi="Georgia" w:cs="Arial"/>
                            <w:lang w:eastAsia="fr-BE"/>
                          </w:rPr>
                          <w:t>064/44.45.59</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HORNU I</w:t>
                        </w:r>
                      </w:p>
                    </w:tc>
                    <w:tc>
                      <w:tcPr>
                        <w:tcW w:w="2802" w:type="dxa"/>
                      </w:tcPr>
                      <w:p>
                        <w:pPr>
                          <w:snapToGrid w:val="0"/>
                          <w:rPr>
                            <w:rFonts w:ascii="Georgia" w:hAnsi="Georgia" w:cs="Arial"/>
                          </w:rPr>
                        </w:pPr>
                        <w:r>
                          <w:rPr>
                            <w:rFonts w:ascii="Georgia" w:hAnsi="Georgia" w:cs="Arial"/>
                          </w:rPr>
                          <w:t>Rue A. Demot, 9</w:t>
                        </w:r>
                      </w:p>
                    </w:tc>
                    <w:tc>
                      <w:tcPr>
                        <w:tcW w:w="2328" w:type="dxa"/>
                      </w:tcPr>
                      <w:p>
                        <w:pPr>
                          <w:snapToGrid w:val="0"/>
                          <w:rPr>
                            <w:rFonts w:ascii="Georgia" w:hAnsi="Georgia" w:cs="Arial"/>
                          </w:rPr>
                        </w:pPr>
                        <w:r>
                          <w:rPr>
                            <w:rFonts w:ascii="Georgia" w:hAnsi="Georgia" w:cs="Arial"/>
                          </w:rPr>
                          <w:t>7301 HORNU</w:t>
                        </w:r>
                      </w:p>
                    </w:tc>
                    <w:tc>
                      <w:tcPr>
                        <w:tcW w:w="1594" w:type="dxa"/>
                      </w:tcPr>
                      <w:p>
                        <w:pPr>
                          <w:rPr>
                            <w:rFonts w:ascii="Georgia" w:eastAsia="Times New Roman" w:hAnsi="Georgia" w:cs="Arial"/>
                            <w:lang w:eastAsia="fr-BE"/>
                          </w:rPr>
                        </w:pPr>
                        <w:r>
                          <w:rPr>
                            <w:rFonts w:ascii="Georgia" w:eastAsia="Times New Roman" w:hAnsi="Georgia" w:cs="Arial"/>
                            <w:lang w:eastAsia="fr-BE"/>
                          </w:rPr>
                          <w:t>065/78.28.90</w:t>
                        </w:r>
                      </w:p>
                    </w:tc>
                    <w:tc>
                      <w:tcPr>
                        <w:tcW w:w="1588" w:type="dxa"/>
                      </w:tcPr>
                      <w:p>
                        <w:pPr>
                          <w:rPr>
                            <w:rFonts w:ascii="Georgia" w:eastAsia="Times New Roman" w:hAnsi="Georgia" w:cs="Arial"/>
                            <w:lang w:eastAsia="fr-BE"/>
                          </w:rPr>
                        </w:pPr>
                        <w:r>
                          <w:rPr>
                            <w:rFonts w:ascii="Georgia" w:eastAsia="Times New Roman" w:hAnsi="Georgia" w:cs="Arial"/>
                            <w:lang w:eastAsia="fr-BE"/>
                          </w:rPr>
                          <w:t>065/78.76.96</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Place Albert-Elisabeth, 50</w:t>
                        </w:r>
                      </w:p>
                    </w:tc>
                    <w:tc>
                      <w:tcPr>
                        <w:tcW w:w="2328" w:type="dxa"/>
                      </w:tcPr>
                      <w:p>
                        <w:pPr>
                          <w:snapToGrid w:val="0"/>
                          <w:rPr>
                            <w:rFonts w:ascii="Georgia" w:hAnsi="Georgia" w:cs="Arial"/>
                          </w:rPr>
                        </w:pPr>
                        <w:r>
                          <w:rPr>
                            <w:rFonts w:ascii="Georgia" w:hAnsi="Georgia" w:cs="Arial"/>
                          </w:rPr>
                          <w:t>7330 SAINT-GHISLAIN</w:t>
                        </w:r>
                      </w:p>
                    </w:tc>
                    <w:tc>
                      <w:tcPr>
                        <w:tcW w:w="1594" w:type="dxa"/>
                      </w:tcPr>
                      <w:p>
                        <w:pPr>
                          <w:rPr>
                            <w:rFonts w:ascii="Georgia" w:eastAsia="Times New Roman" w:hAnsi="Georgia" w:cs="Arial"/>
                            <w:lang w:eastAsia="fr-BE"/>
                          </w:rPr>
                        </w:pPr>
                        <w:r>
                          <w:rPr>
                            <w:rFonts w:ascii="Georgia" w:eastAsia="Times New Roman" w:hAnsi="Georgia" w:cs="Arial"/>
                            <w:lang w:eastAsia="fr-BE"/>
                          </w:rPr>
                          <w:t>065/76.40.30</w:t>
                        </w:r>
                      </w:p>
                    </w:tc>
                    <w:tc>
                      <w:tcPr>
                        <w:tcW w:w="1588" w:type="dxa"/>
                      </w:tcPr>
                      <w:p>
                        <w:pPr>
                          <w:rPr>
                            <w:rFonts w:ascii="Georgia" w:eastAsia="Times New Roman" w:hAnsi="Georgia" w:cs="Arial"/>
                            <w:lang w:eastAsia="fr-BE"/>
                          </w:rPr>
                        </w:pPr>
                        <w:r>
                          <w:rPr>
                            <w:rFonts w:ascii="Georgia" w:eastAsia="Times New Roman" w:hAnsi="Georgia" w:cs="Arial"/>
                            <w:lang w:eastAsia="fr-BE"/>
                          </w:rPr>
                          <w:t>065/76.40.31</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tcPr>
                      <w:p>
                        <w:pPr>
                          <w:snapToGrid w:val="0"/>
                          <w:rPr>
                            <w:rFonts w:ascii="Georgia" w:hAnsi="Georgia" w:cs="Arial"/>
                          </w:rPr>
                        </w:pPr>
                        <w:r>
                          <w:rPr>
                            <w:rFonts w:ascii="Georgia" w:hAnsi="Georgia" w:cs="Arial"/>
                          </w:rPr>
                          <w:t>Rue de l’Athénée, 37</w:t>
                        </w:r>
                      </w:p>
                    </w:tc>
                    <w:tc>
                      <w:tcPr>
                        <w:tcW w:w="2328" w:type="dxa"/>
                      </w:tcPr>
                      <w:p>
                        <w:pPr>
                          <w:snapToGrid w:val="0"/>
                          <w:rPr>
                            <w:rFonts w:ascii="Georgia" w:hAnsi="Georgia" w:cs="Arial"/>
                          </w:rPr>
                        </w:pPr>
                        <w:r>
                          <w:rPr>
                            <w:rFonts w:ascii="Georgia" w:hAnsi="Georgia" w:cs="Arial"/>
                          </w:rPr>
                          <w:t>7370 DOUR</w:t>
                        </w:r>
                      </w:p>
                    </w:tc>
                    <w:tc>
                      <w:tcPr>
                        <w:tcW w:w="1594" w:type="dxa"/>
                      </w:tcPr>
                      <w:p>
                        <w:pPr>
                          <w:rPr>
                            <w:rFonts w:ascii="Georgia" w:eastAsia="Times New Roman" w:hAnsi="Georgia" w:cs="Arial"/>
                            <w:lang w:eastAsia="fr-BE"/>
                          </w:rPr>
                        </w:pPr>
                        <w:r>
                          <w:rPr>
                            <w:rFonts w:ascii="Georgia" w:eastAsia="Times New Roman" w:hAnsi="Georgia" w:cs="Arial"/>
                            <w:lang w:eastAsia="fr-BE"/>
                          </w:rPr>
                          <w:t>065/65.38.93</w:t>
                        </w:r>
                      </w:p>
                    </w:tc>
                    <w:tc>
                      <w:tcPr>
                        <w:tcW w:w="1588" w:type="dxa"/>
                      </w:tcPr>
                      <w:p>
                        <w:pPr>
                          <w:rPr>
                            <w:rFonts w:ascii="Georgia" w:eastAsia="Times New Roman" w:hAnsi="Georgia" w:cs="Arial"/>
                            <w:lang w:eastAsia="fr-BE"/>
                          </w:rPr>
                        </w:pPr>
                        <w:r>
                          <w:rPr>
                            <w:rFonts w:ascii="Georgia" w:eastAsia="Times New Roman" w:hAnsi="Georgia" w:cs="Arial"/>
                            <w:lang w:eastAsia="fr-BE"/>
                          </w:rPr>
                          <w:t>065/65.18.08</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tcPr>
                      <w:p>
                        <w:pPr>
                          <w:snapToGrid w:val="0"/>
                          <w:rPr>
                            <w:rFonts w:ascii="Georgia" w:hAnsi="Georgia" w:cs="Arial"/>
                          </w:rPr>
                        </w:pPr>
                        <w:r>
                          <w:rPr>
                            <w:rFonts w:ascii="Georgia" w:hAnsi="Georgia" w:cs="Arial"/>
                          </w:rPr>
                          <w:t>Rue Beyaert, 39</w:t>
                        </w:r>
                      </w:p>
                    </w:tc>
                    <w:tc>
                      <w:tcPr>
                        <w:tcW w:w="2328" w:type="dxa"/>
                      </w:tcPr>
                      <w:p>
                        <w:pPr>
                          <w:snapToGrid w:val="0"/>
                          <w:rPr>
                            <w:rFonts w:ascii="Georgia" w:hAnsi="Georgia" w:cs="Arial"/>
                          </w:rPr>
                        </w:pPr>
                        <w:r>
                          <w:rPr>
                            <w:rFonts w:ascii="Georgia" w:hAnsi="Georgia" w:cs="Arial"/>
                          </w:rPr>
                          <w:t>7500 TOURNAI</w:t>
                        </w:r>
                      </w:p>
                    </w:tc>
                    <w:tc>
                      <w:tcPr>
                        <w:tcW w:w="1594" w:type="dxa"/>
                      </w:tcPr>
                      <w:p>
                        <w:pPr>
                          <w:rPr>
                            <w:rFonts w:ascii="Georgia" w:eastAsia="Times New Roman" w:hAnsi="Georgia" w:cs="Arial"/>
                            <w:lang w:eastAsia="fr-BE"/>
                          </w:rPr>
                        </w:pPr>
                        <w:r>
                          <w:rPr>
                            <w:rFonts w:ascii="Georgia" w:eastAsia="Times New Roman" w:hAnsi="Georgia" w:cs="Arial"/>
                            <w:lang w:eastAsia="fr-BE"/>
                          </w:rPr>
                          <w:t>069/22.51.39</w:t>
                        </w:r>
                      </w:p>
                    </w:tc>
                    <w:tc>
                      <w:tcPr>
                        <w:tcW w:w="1588" w:type="dxa"/>
                      </w:tcPr>
                      <w:p>
                        <w:pPr>
                          <w:rPr>
                            <w:rFonts w:ascii="Georgia" w:eastAsia="Times New Roman" w:hAnsi="Georgia" w:cs="Arial"/>
                            <w:lang w:eastAsia="fr-BE"/>
                          </w:rPr>
                        </w:pPr>
                        <w:r>
                          <w:rPr>
                            <w:rFonts w:ascii="Georgia" w:eastAsia="Times New Roman" w:hAnsi="Georgia" w:cs="Arial"/>
                            <w:lang w:eastAsia="fr-BE"/>
                          </w:rPr>
                          <w:t>069/84.21.11</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Rue Royale, 87</w:t>
                        </w:r>
                      </w:p>
                    </w:tc>
                    <w:tc>
                      <w:tcPr>
                        <w:tcW w:w="2328" w:type="dxa"/>
                      </w:tcPr>
                      <w:p>
                        <w:pPr>
                          <w:snapToGrid w:val="0"/>
                          <w:rPr>
                            <w:rFonts w:ascii="Georgia" w:hAnsi="Georgia" w:cs="Arial"/>
                          </w:rPr>
                        </w:pPr>
                        <w:r>
                          <w:rPr>
                            <w:rFonts w:ascii="Georgia" w:hAnsi="Georgia" w:cs="Arial"/>
                          </w:rPr>
                          <w:t>7500 TOURNAI</w:t>
                        </w:r>
                      </w:p>
                    </w:tc>
                    <w:tc>
                      <w:tcPr>
                        <w:tcW w:w="1594" w:type="dxa"/>
                      </w:tcPr>
                      <w:p>
                        <w:pPr>
                          <w:rPr>
                            <w:rFonts w:ascii="Georgia" w:eastAsia="Times New Roman" w:hAnsi="Georgia" w:cs="Arial"/>
                            <w:lang w:eastAsia="fr-BE"/>
                          </w:rPr>
                        </w:pPr>
                        <w:r>
                          <w:rPr>
                            <w:rFonts w:ascii="Georgia" w:eastAsia="Times New Roman" w:hAnsi="Georgia" w:cs="Arial"/>
                            <w:lang w:eastAsia="fr-BE"/>
                          </w:rPr>
                          <w:t>069/55.37.10</w:t>
                        </w:r>
                      </w:p>
                    </w:tc>
                    <w:tc>
                      <w:tcPr>
                        <w:tcW w:w="1588" w:type="dxa"/>
                      </w:tcPr>
                      <w:p>
                        <w:pPr>
                          <w:rPr>
                            <w:rFonts w:ascii="Georgia" w:eastAsia="Times New Roman" w:hAnsi="Georgia" w:cs="Arial"/>
                            <w:lang w:eastAsia="fr-BE"/>
                          </w:rPr>
                        </w:pPr>
                        <w:r>
                          <w:rPr>
                            <w:rFonts w:ascii="Georgia" w:eastAsia="Times New Roman" w:hAnsi="Georgia" w:cs="Arial"/>
                            <w:lang w:eastAsia="fr-BE"/>
                          </w:rPr>
                          <w:t>069/55.37.11</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TOURNAI I</w:t>
                        </w:r>
                      </w:p>
                    </w:tc>
                    <w:tc>
                      <w:tcPr>
                        <w:tcW w:w="2802" w:type="dxa"/>
                      </w:tcPr>
                      <w:p>
                        <w:pPr>
                          <w:snapToGrid w:val="0"/>
                          <w:rPr>
                            <w:rFonts w:ascii="Georgia" w:hAnsi="Georgia" w:cs="Arial"/>
                          </w:rPr>
                        </w:pPr>
                        <w:r>
                          <w:rPr>
                            <w:rFonts w:ascii="Georgia" w:hAnsi="Georgia" w:cs="Arial"/>
                          </w:rPr>
                          <w:t>Rue des Sœurs de la Charité, 6</w:t>
                        </w:r>
                      </w:p>
                    </w:tc>
                    <w:tc>
                      <w:tcPr>
                        <w:tcW w:w="2328" w:type="dxa"/>
                      </w:tcPr>
                      <w:p>
                        <w:pPr>
                          <w:snapToGrid w:val="0"/>
                          <w:rPr>
                            <w:rFonts w:ascii="Georgia" w:hAnsi="Georgia" w:cs="Arial"/>
                          </w:rPr>
                        </w:pPr>
                        <w:r>
                          <w:rPr>
                            <w:rFonts w:ascii="Georgia" w:hAnsi="Georgia" w:cs="Arial"/>
                          </w:rPr>
                          <w:t>7500 TOURNAI</w:t>
                        </w:r>
                      </w:p>
                    </w:tc>
                    <w:tc>
                      <w:tcPr>
                        <w:tcW w:w="1594" w:type="dxa"/>
                      </w:tcPr>
                      <w:p>
                        <w:pPr>
                          <w:rPr>
                            <w:rFonts w:ascii="Georgia" w:eastAsia="Times New Roman" w:hAnsi="Georgia" w:cs="Arial"/>
                            <w:lang w:eastAsia="fr-BE"/>
                          </w:rPr>
                        </w:pPr>
                        <w:r>
                          <w:rPr>
                            <w:rFonts w:ascii="Georgia" w:eastAsia="Times New Roman" w:hAnsi="Georgia" w:cs="Arial"/>
                            <w:lang w:eastAsia="fr-BE"/>
                          </w:rPr>
                          <w:t>069/22.19.63</w:t>
                        </w:r>
                      </w:p>
                    </w:tc>
                    <w:tc>
                      <w:tcPr>
                        <w:tcW w:w="1588" w:type="dxa"/>
                      </w:tcPr>
                      <w:p>
                        <w:pPr>
                          <w:rPr>
                            <w:rFonts w:ascii="Georgia" w:eastAsia="Times New Roman" w:hAnsi="Georgia" w:cs="Arial"/>
                            <w:lang w:eastAsia="fr-BE"/>
                          </w:rPr>
                        </w:pPr>
                        <w:r>
                          <w:rPr>
                            <w:rFonts w:ascii="Georgia" w:eastAsia="Times New Roman" w:hAnsi="Georgia" w:cs="Arial"/>
                            <w:lang w:eastAsia="fr-BE"/>
                          </w:rPr>
                          <w:t>069/21.07.64</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TOURNAI II</w:t>
                        </w:r>
                      </w:p>
                    </w:tc>
                    <w:tc>
                      <w:tcPr>
                        <w:tcW w:w="2802" w:type="dxa"/>
                      </w:tcPr>
                      <w:p>
                        <w:pPr>
                          <w:snapToGrid w:val="0"/>
                          <w:rPr>
                            <w:rFonts w:ascii="Georgia" w:hAnsi="Georgia" w:cs="Arial"/>
                          </w:rPr>
                        </w:pPr>
                        <w:r>
                          <w:rPr>
                            <w:rFonts w:ascii="Georgia" w:hAnsi="Georgia" w:cs="Arial"/>
                          </w:rPr>
                          <w:t>Rue Childéric, 29</w:t>
                        </w:r>
                      </w:p>
                    </w:tc>
                    <w:tc>
                      <w:tcPr>
                        <w:tcW w:w="2328" w:type="dxa"/>
                      </w:tcPr>
                      <w:p>
                        <w:pPr>
                          <w:snapToGrid w:val="0"/>
                          <w:rPr>
                            <w:rFonts w:ascii="Georgia" w:hAnsi="Georgia" w:cs="Arial"/>
                          </w:rPr>
                        </w:pPr>
                        <w:r>
                          <w:rPr>
                            <w:rFonts w:ascii="Georgia" w:hAnsi="Georgia" w:cs="Arial"/>
                          </w:rPr>
                          <w:t>7500 TOURNAI</w:t>
                        </w:r>
                      </w:p>
                    </w:tc>
                    <w:tc>
                      <w:tcPr>
                        <w:tcW w:w="1594" w:type="dxa"/>
                      </w:tcPr>
                      <w:p>
                        <w:pPr>
                          <w:rPr>
                            <w:rFonts w:ascii="Georgia" w:eastAsia="Times New Roman" w:hAnsi="Georgia" w:cs="Arial"/>
                            <w:lang w:eastAsia="fr-BE"/>
                          </w:rPr>
                        </w:pPr>
                        <w:r>
                          <w:rPr>
                            <w:rFonts w:ascii="Georgia" w:eastAsia="Times New Roman" w:hAnsi="Georgia" w:cs="Arial"/>
                            <w:lang w:eastAsia="fr-BE"/>
                          </w:rPr>
                          <w:t>069/22.97.83</w:t>
                        </w:r>
                      </w:p>
                    </w:tc>
                    <w:tc>
                      <w:tcPr>
                        <w:tcW w:w="1588" w:type="dxa"/>
                      </w:tcPr>
                      <w:p>
                        <w:pPr>
                          <w:rPr>
                            <w:rFonts w:ascii="Georgia" w:eastAsia="Times New Roman" w:hAnsi="Georgia" w:cs="Arial"/>
                            <w:lang w:eastAsia="fr-BE"/>
                          </w:rPr>
                        </w:pPr>
                        <w:r>
                          <w:rPr>
                            <w:rFonts w:ascii="Georgia" w:eastAsia="Times New Roman" w:hAnsi="Georgia" w:cs="Arial"/>
                            <w:lang w:eastAsia="fr-BE"/>
                          </w:rPr>
                          <w:t>069/22.97.83</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Rue Verte Chasse, 7</w:t>
                        </w:r>
                      </w:p>
                    </w:tc>
                    <w:tc>
                      <w:tcPr>
                        <w:tcW w:w="2328" w:type="dxa"/>
                      </w:tcPr>
                      <w:p>
                        <w:pPr>
                          <w:snapToGrid w:val="0"/>
                          <w:rPr>
                            <w:rFonts w:ascii="Georgia" w:hAnsi="Georgia" w:cs="Arial"/>
                          </w:rPr>
                        </w:pPr>
                        <w:r>
                          <w:rPr>
                            <w:rFonts w:ascii="Georgia" w:hAnsi="Georgia" w:cs="Arial"/>
                          </w:rPr>
                          <w:t>7600 PERUWELZ</w:t>
                        </w:r>
                      </w:p>
                    </w:tc>
                    <w:tc>
                      <w:tcPr>
                        <w:tcW w:w="1594" w:type="dxa"/>
                      </w:tcPr>
                      <w:p>
                        <w:pPr>
                          <w:rPr>
                            <w:rFonts w:ascii="Georgia" w:eastAsia="Times New Roman" w:hAnsi="Georgia" w:cs="Arial"/>
                            <w:lang w:eastAsia="fr-BE"/>
                          </w:rPr>
                        </w:pPr>
                        <w:r>
                          <w:rPr>
                            <w:rFonts w:ascii="Georgia" w:eastAsia="Times New Roman" w:hAnsi="Georgia" w:cs="Arial"/>
                            <w:lang w:eastAsia="fr-BE"/>
                          </w:rPr>
                          <w:t>069/53.27.00</w:t>
                        </w:r>
                      </w:p>
                    </w:tc>
                    <w:tc>
                      <w:tcPr>
                        <w:tcW w:w="1588" w:type="dxa"/>
                      </w:tcPr>
                      <w:p>
                        <w:pPr>
                          <w:rPr>
                            <w:rFonts w:ascii="Georgia" w:eastAsia="Times New Roman" w:hAnsi="Georgia" w:cs="Arial"/>
                            <w:lang w:eastAsia="fr-BE"/>
                          </w:rPr>
                        </w:pPr>
                        <w:r>
                          <w:rPr>
                            <w:rFonts w:ascii="Georgia" w:eastAsia="Times New Roman" w:hAnsi="Georgia" w:cs="Arial"/>
                            <w:lang w:eastAsia="fr-BE"/>
                          </w:rPr>
                          <w:t>069/53.27.01</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tcPr>
                      <w:p>
                        <w:pPr>
                          <w:snapToGrid w:val="0"/>
                          <w:rPr>
                            <w:rFonts w:ascii="Georgia" w:hAnsi="Georgia" w:cs="Arial"/>
                          </w:rPr>
                        </w:pPr>
                        <w:r>
                          <w:rPr>
                            <w:rFonts w:ascii="Georgia" w:hAnsi="Georgia" w:cs="Arial"/>
                          </w:rPr>
                          <w:t>Rue des Américains, 20</w:t>
                        </w:r>
                      </w:p>
                    </w:tc>
                    <w:tc>
                      <w:tcPr>
                        <w:tcW w:w="2328" w:type="dxa"/>
                      </w:tcPr>
                      <w:p>
                        <w:pPr>
                          <w:snapToGrid w:val="0"/>
                          <w:rPr>
                            <w:rFonts w:ascii="Georgia" w:hAnsi="Georgia" w:cs="Arial"/>
                          </w:rPr>
                        </w:pPr>
                        <w:r>
                          <w:rPr>
                            <w:rFonts w:ascii="Georgia" w:hAnsi="Georgia" w:cs="Arial"/>
                          </w:rPr>
                          <w:t>7600 PERUWELZ</w:t>
                        </w:r>
                      </w:p>
                    </w:tc>
                    <w:tc>
                      <w:tcPr>
                        <w:tcW w:w="1594" w:type="dxa"/>
                      </w:tcPr>
                      <w:p>
                        <w:pPr>
                          <w:rPr>
                            <w:rFonts w:ascii="Georgia" w:eastAsia="Times New Roman" w:hAnsi="Georgia" w:cs="Arial"/>
                            <w:lang w:eastAsia="fr-BE"/>
                          </w:rPr>
                        </w:pPr>
                        <w:r>
                          <w:rPr>
                            <w:rFonts w:ascii="Georgia" w:eastAsia="Times New Roman" w:hAnsi="Georgia" w:cs="Arial"/>
                            <w:lang w:eastAsia="fr-BE"/>
                          </w:rPr>
                          <w:t>069/44.35.11</w:t>
                        </w:r>
                      </w:p>
                    </w:tc>
                    <w:tc>
                      <w:tcPr>
                        <w:tcW w:w="1588" w:type="dxa"/>
                      </w:tcPr>
                      <w:p>
                        <w:pPr>
                          <w:rPr>
                            <w:rFonts w:ascii="Georgia" w:eastAsia="Times New Roman" w:hAnsi="Georgia" w:cs="Arial"/>
                            <w:lang w:eastAsia="fr-BE"/>
                          </w:rPr>
                        </w:pPr>
                        <w:r>
                          <w:rPr>
                            <w:rFonts w:ascii="Georgia" w:eastAsia="Times New Roman" w:hAnsi="Georgia" w:cs="Arial"/>
                            <w:lang w:eastAsia="fr-BE"/>
                          </w:rPr>
                          <w:t>069/66.35.11</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Rue du Télégraphe, 4</w:t>
                        </w:r>
                      </w:p>
                    </w:tc>
                    <w:tc>
                      <w:tcPr>
                        <w:tcW w:w="2328" w:type="dxa"/>
                      </w:tcPr>
                      <w:p>
                        <w:pPr>
                          <w:snapToGrid w:val="0"/>
                          <w:rPr>
                            <w:rFonts w:ascii="Georgia" w:hAnsi="Georgia" w:cs="Arial"/>
                          </w:rPr>
                        </w:pPr>
                        <w:r>
                          <w:rPr>
                            <w:rFonts w:ascii="Georgia" w:hAnsi="Georgia" w:cs="Arial"/>
                          </w:rPr>
                          <w:t>7700 MOUSCRON</w:t>
                        </w:r>
                      </w:p>
                    </w:tc>
                    <w:tc>
                      <w:tcPr>
                        <w:tcW w:w="1594" w:type="dxa"/>
                      </w:tcPr>
                      <w:p>
                        <w:pPr>
                          <w:rPr>
                            <w:rFonts w:ascii="Georgia" w:eastAsia="Times New Roman" w:hAnsi="Georgia" w:cs="Arial"/>
                            <w:lang w:eastAsia="fr-BE"/>
                          </w:rPr>
                        </w:pPr>
                        <w:r>
                          <w:rPr>
                            <w:rFonts w:ascii="Georgia" w:eastAsia="Times New Roman" w:hAnsi="Georgia" w:cs="Arial"/>
                            <w:lang w:eastAsia="fr-BE"/>
                          </w:rPr>
                          <w:t>056/48.18.90</w:t>
                        </w:r>
                      </w:p>
                    </w:tc>
                    <w:tc>
                      <w:tcPr>
                        <w:tcW w:w="1588" w:type="dxa"/>
                      </w:tcPr>
                      <w:p>
                        <w:pPr>
                          <w:rPr>
                            <w:rFonts w:ascii="Georgia" w:eastAsia="Times New Roman" w:hAnsi="Georgia" w:cs="Arial"/>
                            <w:lang w:eastAsia="fr-BE"/>
                          </w:rPr>
                        </w:pPr>
                        <w:r>
                          <w:rPr>
                            <w:rFonts w:ascii="Georgia" w:eastAsia="Times New Roman" w:hAnsi="Georgia" w:cs="Arial"/>
                            <w:lang w:eastAsia="fr-BE"/>
                          </w:rPr>
                          <w:t>056/33.38.59</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MOUSCRON I</w:t>
                        </w:r>
                      </w:p>
                    </w:tc>
                    <w:tc>
                      <w:tcPr>
                        <w:tcW w:w="2802" w:type="dxa"/>
                      </w:tcPr>
                      <w:p>
                        <w:pPr>
                          <w:snapToGrid w:val="0"/>
                          <w:rPr>
                            <w:rFonts w:ascii="Georgia" w:hAnsi="Georgia" w:cs="Arial"/>
                          </w:rPr>
                        </w:pPr>
                        <w:r>
                          <w:rPr>
                            <w:rFonts w:ascii="Georgia" w:hAnsi="Georgia" w:cs="Arial"/>
                          </w:rPr>
                          <w:t>Rue Saint-Joseph, 6</w:t>
                        </w:r>
                      </w:p>
                    </w:tc>
                    <w:tc>
                      <w:tcPr>
                        <w:tcW w:w="2328" w:type="dxa"/>
                      </w:tcPr>
                      <w:p>
                        <w:pPr>
                          <w:snapToGrid w:val="0"/>
                          <w:rPr>
                            <w:rFonts w:ascii="Georgia" w:hAnsi="Georgia" w:cs="Arial"/>
                          </w:rPr>
                        </w:pPr>
                        <w:r>
                          <w:rPr>
                            <w:rFonts w:ascii="Georgia" w:hAnsi="Georgia" w:cs="Arial"/>
                          </w:rPr>
                          <w:t>7700 MOUSCRON</w:t>
                        </w:r>
                      </w:p>
                    </w:tc>
                    <w:tc>
                      <w:tcPr>
                        <w:tcW w:w="1594" w:type="dxa"/>
                      </w:tcPr>
                      <w:p>
                        <w:pPr>
                          <w:rPr>
                            <w:rFonts w:ascii="Georgia" w:eastAsia="Times New Roman" w:hAnsi="Georgia" w:cs="Arial"/>
                            <w:lang w:eastAsia="fr-BE"/>
                          </w:rPr>
                        </w:pPr>
                        <w:r>
                          <w:rPr>
                            <w:rFonts w:ascii="Georgia" w:eastAsia="Times New Roman" w:hAnsi="Georgia" w:cs="Arial"/>
                            <w:lang w:eastAsia="fr-BE"/>
                          </w:rPr>
                          <w:t>056/39.16.20</w:t>
                        </w:r>
                      </w:p>
                    </w:tc>
                    <w:tc>
                      <w:tcPr>
                        <w:tcW w:w="1588" w:type="dxa"/>
                      </w:tcPr>
                      <w:p>
                        <w:pPr>
                          <w:rPr>
                            <w:rFonts w:ascii="Georgia" w:eastAsia="Times New Roman" w:hAnsi="Georgia" w:cs="Arial"/>
                            <w:lang w:eastAsia="fr-BE"/>
                          </w:rPr>
                        </w:pPr>
                        <w:r>
                          <w:rPr>
                            <w:rFonts w:ascii="Georgia" w:eastAsia="Times New Roman" w:hAnsi="Georgia" w:cs="Arial"/>
                            <w:lang w:eastAsia="fr-BE"/>
                          </w:rPr>
                          <w:t>056/39.16.05</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MOUSCRON II</w:t>
                        </w:r>
                      </w:p>
                    </w:tc>
                    <w:tc>
                      <w:tcPr>
                        <w:tcW w:w="2802" w:type="dxa"/>
                      </w:tcPr>
                      <w:p>
                        <w:pPr>
                          <w:snapToGrid w:val="0"/>
                          <w:rPr>
                            <w:rFonts w:ascii="Georgia" w:hAnsi="Georgia" w:cs="Arial"/>
                          </w:rPr>
                        </w:pPr>
                        <w:r>
                          <w:rPr>
                            <w:rFonts w:ascii="Georgia" w:hAnsi="Georgia" w:cs="Arial"/>
                          </w:rPr>
                          <w:t>Rue Saint-Joseph, 6</w:t>
                        </w:r>
                      </w:p>
                    </w:tc>
                    <w:tc>
                      <w:tcPr>
                        <w:tcW w:w="2328" w:type="dxa"/>
                      </w:tcPr>
                      <w:p>
                        <w:pPr>
                          <w:snapToGrid w:val="0"/>
                          <w:rPr>
                            <w:rFonts w:ascii="Georgia" w:hAnsi="Georgia" w:cs="Arial"/>
                          </w:rPr>
                        </w:pPr>
                        <w:r>
                          <w:rPr>
                            <w:rFonts w:ascii="Georgia" w:hAnsi="Georgia" w:cs="Arial"/>
                          </w:rPr>
                          <w:t>7700 MOUSCRON</w:t>
                        </w:r>
                      </w:p>
                    </w:tc>
                    <w:tc>
                      <w:tcPr>
                        <w:tcW w:w="1594" w:type="dxa"/>
                      </w:tcPr>
                      <w:p>
                        <w:pPr>
                          <w:rPr>
                            <w:rFonts w:ascii="Georgia" w:eastAsia="Times New Roman" w:hAnsi="Georgia" w:cs="Arial"/>
                            <w:lang w:eastAsia="fr-BE"/>
                          </w:rPr>
                        </w:pPr>
                        <w:r>
                          <w:rPr>
                            <w:rFonts w:ascii="Georgia" w:eastAsia="Times New Roman" w:hAnsi="Georgia" w:cs="Arial"/>
                            <w:lang w:eastAsia="fr-BE"/>
                          </w:rPr>
                          <w:t>056/39.16.04</w:t>
                        </w:r>
                      </w:p>
                    </w:tc>
                    <w:tc>
                      <w:tcPr>
                        <w:tcW w:w="1588" w:type="dxa"/>
                      </w:tcPr>
                      <w:p>
                        <w:pPr>
                          <w:rPr>
                            <w:rFonts w:ascii="Georgia" w:eastAsia="Times New Roman" w:hAnsi="Georgia" w:cs="Arial"/>
                            <w:lang w:eastAsia="fr-BE"/>
                          </w:rPr>
                        </w:pPr>
                        <w:r>
                          <w:rPr>
                            <w:rFonts w:ascii="Georgia" w:eastAsia="Times New Roman" w:hAnsi="Georgia" w:cs="Arial"/>
                            <w:lang w:eastAsia="fr-BE"/>
                          </w:rPr>
                          <w:t>056/39.16.05</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tcPr>
                      <w:p>
                        <w:pPr>
                          <w:snapToGrid w:val="0"/>
                          <w:rPr>
                            <w:rFonts w:ascii="Georgia" w:hAnsi="Georgia" w:cs="Arial"/>
                          </w:rPr>
                        </w:pPr>
                        <w:r>
                          <w:rPr>
                            <w:rFonts w:ascii="Georgia" w:hAnsi="Georgia" w:cs="Arial"/>
                          </w:rPr>
                          <w:t>Rue de Wervicq, 14</w:t>
                        </w:r>
                      </w:p>
                    </w:tc>
                    <w:tc>
                      <w:tcPr>
                        <w:tcW w:w="2328" w:type="dxa"/>
                      </w:tcPr>
                      <w:p>
                        <w:pPr>
                          <w:snapToGrid w:val="0"/>
                          <w:rPr>
                            <w:rFonts w:ascii="Georgia" w:hAnsi="Georgia" w:cs="Arial"/>
                          </w:rPr>
                        </w:pPr>
                        <w:r>
                          <w:rPr>
                            <w:rFonts w:ascii="Georgia" w:hAnsi="Georgia" w:cs="Arial"/>
                          </w:rPr>
                          <w:t>7780 COMINES</w:t>
                        </w:r>
                      </w:p>
                    </w:tc>
                    <w:tc>
                      <w:tcPr>
                        <w:tcW w:w="1594" w:type="dxa"/>
                      </w:tcPr>
                      <w:p>
                        <w:pPr>
                          <w:rPr>
                            <w:rFonts w:ascii="Georgia" w:eastAsia="Times New Roman" w:hAnsi="Georgia" w:cs="Arial"/>
                            <w:lang w:eastAsia="fr-BE"/>
                          </w:rPr>
                        </w:pPr>
                        <w:r>
                          <w:rPr>
                            <w:rFonts w:ascii="Georgia" w:eastAsia="Times New Roman" w:hAnsi="Georgia" w:cs="Arial"/>
                            <w:lang w:eastAsia="fr-BE"/>
                          </w:rPr>
                          <w:t>056/48.30.90</w:t>
                        </w:r>
                      </w:p>
                    </w:tc>
                    <w:tc>
                      <w:tcPr>
                        <w:tcW w:w="1588" w:type="dxa"/>
                      </w:tcPr>
                      <w:p>
                        <w:pPr>
                          <w:rPr>
                            <w:rFonts w:ascii="Georgia" w:eastAsia="Times New Roman" w:hAnsi="Georgia" w:cs="Arial"/>
                            <w:lang w:eastAsia="fr-BE"/>
                          </w:rPr>
                        </w:pPr>
                        <w:r>
                          <w:rPr>
                            <w:rFonts w:ascii="Georgia" w:eastAsia="Times New Roman" w:hAnsi="Georgia" w:cs="Arial"/>
                            <w:lang w:eastAsia="fr-BE"/>
                          </w:rPr>
                          <w:t>056/55.56.27</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tcPr>
                      <w:p>
                        <w:pPr>
                          <w:snapToGrid w:val="0"/>
                          <w:rPr>
                            <w:rFonts w:ascii="Georgia" w:hAnsi="Georgia" w:cs="Arial"/>
                          </w:rPr>
                        </w:pPr>
                        <w:r>
                          <w:rPr>
                            <w:rFonts w:ascii="Georgia" w:hAnsi="Georgia" w:cs="Arial"/>
                          </w:rPr>
                          <w:t>Boulevard de l’Hôpital, 32</w:t>
                        </w:r>
                      </w:p>
                    </w:tc>
                    <w:tc>
                      <w:tcPr>
                        <w:tcW w:w="2328" w:type="dxa"/>
                      </w:tcPr>
                      <w:p>
                        <w:pPr>
                          <w:snapToGrid w:val="0"/>
                          <w:rPr>
                            <w:rFonts w:ascii="Georgia" w:hAnsi="Georgia" w:cs="Arial"/>
                          </w:rPr>
                        </w:pPr>
                        <w:r>
                          <w:rPr>
                            <w:rFonts w:ascii="Georgia" w:hAnsi="Georgia" w:cs="Arial"/>
                          </w:rPr>
                          <w:t>7800 ATH</w:t>
                        </w:r>
                      </w:p>
                    </w:tc>
                    <w:tc>
                      <w:tcPr>
                        <w:tcW w:w="1594" w:type="dxa"/>
                      </w:tcPr>
                      <w:p>
                        <w:pPr>
                          <w:rPr>
                            <w:rFonts w:ascii="Georgia" w:eastAsia="Times New Roman" w:hAnsi="Georgia" w:cs="Arial"/>
                            <w:lang w:eastAsia="fr-BE"/>
                          </w:rPr>
                        </w:pPr>
                        <w:r>
                          <w:rPr>
                            <w:rFonts w:ascii="Georgia" w:eastAsia="Times New Roman" w:hAnsi="Georgia" w:cs="Arial"/>
                            <w:lang w:eastAsia="fr-BE"/>
                          </w:rPr>
                          <w:t>068/84.29.19</w:t>
                        </w:r>
                      </w:p>
                    </w:tc>
                    <w:tc>
                      <w:tcPr>
                        <w:tcW w:w="1588" w:type="dxa"/>
                      </w:tcPr>
                      <w:p>
                        <w:pPr>
                          <w:rPr>
                            <w:rFonts w:ascii="Georgia" w:eastAsia="Times New Roman" w:hAnsi="Georgia" w:cs="Arial"/>
                            <w:lang w:eastAsia="fr-BE"/>
                          </w:rPr>
                        </w:pPr>
                        <w:r>
                          <w:rPr>
                            <w:rFonts w:ascii="Georgia" w:eastAsia="Times New Roman" w:hAnsi="Georgia" w:cs="Arial"/>
                            <w:lang w:eastAsia="fr-BE"/>
                          </w:rPr>
                          <w:t>068/28.74.45</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Boulevard de l’Est, 24</w:t>
                        </w:r>
                      </w:p>
                    </w:tc>
                    <w:tc>
                      <w:tcPr>
                        <w:tcW w:w="2328" w:type="dxa"/>
                      </w:tcPr>
                      <w:p>
                        <w:pPr>
                          <w:snapToGrid w:val="0"/>
                          <w:rPr>
                            <w:rFonts w:ascii="Georgia" w:hAnsi="Georgia" w:cs="Arial"/>
                          </w:rPr>
                        </w:pPr>
                        <w:r>
                          <w:rPr>
                            <w:rFonts w:ascii="Georgia" w:hAnsi="Georgia" w:cs="Arial"/>
                          </w:rPr>
                          <w:t>7800 ATH</w:t>
                        </w:r>
                      </w:p>
                    </w:tc>
                    <w:tc>
                      <w:tcPr>
                        <w:tcW w:w="1594" w:type="dxa"/>
                      </w:tcPr>
                      <w:p>
                        <w:pPr>
                          <w:rPr>
                            <w:rFonts w:ascii="Georgia" w:eastAsia="Times New Roman" w:hAnsi="Georgia" w:cs="Arial"/>
                            <w:lang w:eastAsia="fr-BE"/>
                          </w:rPr>
                        </w:pPr>
                        <w:r>
                          <w:rPr>
                            <w:rFonts w:ascii="Georgia" w:eastAsia="Times New Roman" w:hAnsi="Georgia" w:cs="Arial"/>
                            <w:lang w:eastAsia="fr-BE"/>
                          </w:rPr>
                          <w:t>068/26.50.80</w:t>
                        </w:r>
                      </w:p>
                    </w:tc>
                    <w:tc>
                      <w:tcPr>
                        <w:tcW w:w="1588" w:type="dxa"/>
                      </w:tcPr>
                      <w:p>
                        <w:pPr>
                          <w:rPr>
                            <w:rFonts w:ascii="Georgia" w:eastAsia="Times New Roman" w:hAnsi="Georgia" w:cs="Arial"/>
                            <w:lang w:eastAsia="fr-BE"/>
                          </w:rPr>
                        </w:pPr>
                        <w:r>
                          <w:rPr>
                            <w:rFonts w:ascii="Georgia" w:eastAsia="Times New Roman" w:hAnsi="Georgia" w:cs="Arial"/>
                            <w:lang w:eastAsia="fr-BE"/>
                          </w:rPr>
                          <w:t>068/26.50.89</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rPr>
                            <w:rFonts w:ascii="Georgia" w:hAnsi="Georgia" w:cs="Arial"/>
                          </w:rPr>
                        </w:pPr>
                        <w:r>
                          <w:rPr>
                            <w:rFonts w:ascii="Georgia" w:eastAsia="Times New Roman" w:hAnsi="Georgia" w:cs="Arial"/>
                            <w:color w:val="000000"/>
                            <w:lang w:eastAsia="fr-BE"/>
                          </w:rPr>
                          <w:t>CPMS Libre</w:t>
                        </w:r>
                        <w:r>
                          <w:rPr>
                            <w:rFonts w:ascii="Georgia" w:hAnsi="Georgia" w:cs="Arial"/>
                          </w:rPr>
                          <w:t xml:space="preserve"> </w:t>
                        </w:r>
                      </w:p>
                    </w:tc>
                    <w:tc>
                      <w:tcPr>
                        <w:tcW w:w="2802" w:type="dxa"/>
                      </w:tcPr>
                      <w:p>
                        <w:pPr>
                          <w:snapToGrid w:val="0"/>
                          <w:rPr>
                            <w:rFonts w:ascii="Georgia" w:hAnsi="Georgia" w:cs="Arial"/>
                          </w:rPr>
                        </w:pPr>
                        <w:r>
                          <w:rPr>
                            <w:rFonts w:ascii="Georgia" w:hAnsi="Georgia" w:cs="Arial"/>
                          </w:rPr>
                          <w:t>Rue Paul Pastur, 104</w:t>
                        </w:r>
                      </w:p>
                    </w:tc>
                    <w:tc>
                      <w:tcPr>
                        <w:tcW w:w="2328" w:type="dxa"/>
                      </w:tcPr>
                      <w:p>
                        <w:pPr>
                          <w:snapToGrid w:val="0"/>
                          <w:rPr>
                            <w:rFonts w:ascii="Georgia" w:hAnsi="Georgia" w:cs="Arial"/>
                          </w:rPr>
                        </w:pPr>
                        <w:r>
                          <w:rPr>
                            <w:rFonts w:ascii="Georgia" w:hAnsi="Georgia" w:cs="Arial"/>
                          </w:rPr>
                          <w:t>7800 ATH</w:t>
                        </w:r>
                      </w:p>
                    </w:tc>
                    <w:tc>
                      <w:tcPr>
                        <w:tcW w:w="1594" w:type="dxa"/>
                      </w:tcPr>
                      <w:p>
                        <w:pPr>
                          <w:rPr>
                            <w:rFonts w:ascii="Georgia" w:eastAsia="Times New Roman" w:hAnsi="Georgia" w:cs="Arial"/>
                            <w:lang w:eastAsia="fr-BE"/>
                          </w:rPr>
                        </w:pPr>
                        <w:r>
                          <w:rPr>
                            <w:rFonts w:ascii="Georgia" w:eastAsia="Times New Roman" w:hAnsi="Georgia" w:cs="Arial"/>
                            <w:lang w:eastAsia="fr-BE"/>
                          </w:rPr>
                          <w:t>068/28.34.47</w:t>
                        </w:r>
                      </w:p>
                    </w:tc>
                    <w:tc>
                      <w:tcPr>
                        <w:tcW w:w="1588" w:type="dxa"/>
                      </w:tcPr>
                      <w:p>
                        <w:pPr>
                          <w:rPr>
                            <w:rFonts w:ascii="Georgia" w:eastAsia="Times New Roman" w:hAnsi="Georgia" w:cs="Arial"/>
                            <w:lang w:eastAsia="fr-BE"/>
                          </w:rPr>
                        </w:pPr>
                        <w:r>
                          <w:rPr>
                            <w:rFonts w:ascii="Georgia" w:eastAsia="Times New Roman" w:hAnsi="Georgia" w:cs="Arial"/>
                            <w:lang w:eastAsia="fr-BE"/>
                          </w:rPr>
                          <w:t>068/28.57.00</w:t>
                        </w:r>
                      </w:p>
                    </w:tc>
                    <w:tc>
                      <w:tcPr>
                        <w:tcW w:w="3562" w:type="dxa"/>
                      </w:tcPr>
                      <w:p>
                        <w:pPr>
                          <w:snapToGrid w:val="0"/>
                          <w:jc w:val="center"/>
                          <w:rPr>
                            <w:rFonts w:ascii="Georgia" w:hAnsi="Georgia" w:cs="Arial"/>
                            <w:b/>
                            <w:bCs/>
                          </w:rPr>
                        </w:pPr>
                        <w:r>
                          <w:rPr>
                            <w:rFonts w:ascii="Georgia" w:hAnsi="Georgia" w:cs="Arial"/>
                            <w:b/>
                            <w:bCs/>
                          </w:rPr>
                          <w:t>Province du Hainaut</w:t>
                        </w:r>
                      </w:p>
                    </w:tc>
                  </w:tr>
                </w:tbl>
                <w:p>
                  <w:pPr>
                    <w:rPr>
                      <w:b/>
                      <w:u w:val="single"/>
                    </w:rPr>
                  </w:pPr>
                  <w:r>
                    <w:rPr>
                      <w:b/>
                      <w:u w:val="single"/>
                    </w:rPr>
                    <w:br w:type="page"/>
                  </w:r>
                </w:p>
                <w:p>
                  <w:pPr>
                    <w:pStyle w:val="Titre4"/>
                  </w:pPr>
                  <w:bookmarkStart w:id="3409" w:name="_Annexe_6_:_1"/>
                  <w:bookmarkStart w:id="3410" w:name="_Ref11401681"/>
                  <w:bookmarkStart w:id="3411" w:name="_Ref11401989"/>
                  <w:bookmarkStart w:id="3412" w:name="_Ref11401995"/>
                  <w:bookmarkStart w:id="3413" w:name="_Ref11401998"/>
                  <w:bookmarkStart w:id="3414" w:name="_Ref11402003"/>
                  <w:bookmarkStart w:id="3415" w:name="_Ref11402006"/>
                  <w:bookmarkStart w:id="3416" w:name="_Ref11402011"/>
                  <w:bookmarkStart w:id="3417" w:name="_Ref11402248"/>
                  <w:bookmarkStart w:id="3418" w:name="_Ref11402298"/>
                  <w:bookmarkEnd w:id="3409"/>
                  <w:r>
                    <w:t>Annexe 6 : Liste des organismes habilités</w:t>
                  </w:r>
                  <w:bookmarkEnd w:id="3410"/>
                  <w:bookmarkEnd w:id="3411"/>
                  <w:bookmarkEnd w:id="3412"/>
                  <w:bookmarkEnd w:id="3413"/>
                  <w:bookmarkEnd w:id="3414"/>
                  <w:bookmarkEnd w:id="3415"/>
                  <w:bookmarkEnd w:id="3416"/>
                  <w:bookmarkEnd w:id="3417"/>
                  <w:bookmarkEnd w:id="3418"/>
                  <w:r>
                    <w:t xml:space="preserve"> </w:t>
                  </w:r>
                </w:p>
                <w:p/>
                <w:tbl>
                  <w:tblPr>
                    <w:tblW w:w="15451" w:type="dxa"/>
                    <w:tblInd w:w="-572" w:type="dxa"/>
                    <w:tblCellMar>
                      <w:left w:w="70" w:type="dxa"/>
                      <w:right w:w="70" w:type="dxa"/>
                    </w:tblCellMar>
                    <w:tblLook w:val="04A0" w:firstRow="1" w:lastRow="0" w:firstColumn="1" w:lastColumn="0" w:noHBand="0" w:noVBand="1"/>
                  </w:tblPr>
                  <w:tblGrid>
                    <w:gridCol w:w="3222"/>
                    <w:gridCol w:w="3205"/>
                    <w:gridCol w:w="844"/>
                    <w:gridCol w:w="1843"/>
                    <w:gridCol w:w="1600"/>
                    <w:gridCol w:w="1520"/>
                    <w:gridCol w:w="3217"/>
                  </w:tblGrid>
                  <w:tr>
                    <w:trPr>
                      <w:cantSplit/>
                      <w:trHeight w:val="345"/>
                      <w:tblHeader/>
                    </w:trPr>
                    <w:tc>
                      <w:tcPr>
                        <w:tcW w:w="15451" w:type="dxa"/>
                        <w:gridSpan w:val="7"/>
                        <w:tcBorders>
                          <w:top w:val="single" w:sz="4" w:space="0" w:color="auto"/>
                          <w:left w:val="single" w:sz="4" w:space="0" w:color="auto"/>
                          <w:bottom w:val="single" w:sz="4" w:space="0" w:color="auto"/>
                          <w:right w:val="single" w:sz="4" w:space="0" w:color="auto"/>
                        </w:tcBorders>
                        <w:shd w:val="clear" w:color="auto" w:fill="EEECE1" w:themeFill="background2"/>
                        <w:vAlign w:val="bottom"/>
                      </w:tcPr>
                      <w:p>
                        <w:pPr>
                          <w:jc w:val="center"/>
                          <w:rPr>
                            <w:rFonts w:eastAsia="Times New Roman" w:cs="Arial"/>
                            <w:b/>
                            <w:bCs/>
                            <w:sz w:val="36"/>
                            <w:lang w:eastAsia="fr-BE"/>
                          </w:rPr>
                        </w:pPr>
                        <w:r>
                          <w:rPr>
                            <w:rFonts w:eastAsia="Times New Roman" w:cs="Arial"/>
                            <w:b/>
                            <w:bCs/>
                            <w:sz w:val="36"/>
                            <w:lang w:eastAsia="fr-BE"/>
                          </w:rPr>
                          <w:t>ORGANISMES HABILITES</w:t>
                        </w:r>
                      </w:p>
                      <w:p>
                        <w:pPr>
                          <w:jc w:val="center"/>
                          <w:rPr>
                            <w:rFonts w:ascii="Georgia" w:eastAsia="Times New Roman" w:hAnsi="Georgia" w:cs="Arial"/>
                            <w:b/>
                            <w:bCs/>
                            <w:lang w:eastAsia="fr-BE"/>
                          </w:rPr>
                        </w:pPr>
                      </w:p>
                    </w:tc>
                  </w:tr>
                  <w:tr>
                    <w:trPr>
                      <w:trHeight w:val="345"/>
                    </w:trPr>
                    <w:tc>
                      <w:tcPr>
                        <w:tcW w:w="3222" w:type="dxa"/>
                        <w:tcBorders>
                          <w:top w:val="single" w:sz="4" w:space="0" w:color="auto"/>
                          <w:left w:val="single" w:sz="4" w:space="0" w:color="auto"/>
                          <w:bottom w:val="single" w:sz="4" w:space="0" w:color="auto"/>
                          <w:right w:val="single" w:sz="4" w:space="0" w:color="auto"/>
                        </w:tcBorders>
                        <w:shd w:val="clear" w:color="auto" w:fill="auto"/>
                        <w:vAlign w:val="bottom"/>
                        <w:hideMark/>
                      </w:tcPr>
                      <w:p>
                        <w:pPr>
                          <w:jc w:val="center"/>
                          <w:rPr>
                            <w:rFonts w:ascii="Georgia" w:eastAsia="Times New Roman" w:hAnsi="Georgia" w:cs="Arial"/>
                            <w:b/>
                            <w:bCs/>
                            <w:lang w:eastAsia="fr-BE"/>
                          </w:rPr>
                        </w:pPr>
                        <w:r>
                          <w:rPr>
                            <w:rFonts w:ascii="Georgia" w:eastAsia="Times New Roman" w:hAnsi="Georgia" w:cs="Arial"/>
                            <w:b/>
                            <w:bCs/>
                            <w:lang w:eastAsia="fr-BE"/>
                          </w:rPr>
                          <w:t>Dénomination</w:t>
                        </w:r>
                      </w:p>
                    </w:tc>
                    <w:tc>
                      <w:tcPr>
                        <w:tcW w:w="3205" w:type="dxa"/>
                        <w:tcBorders>
                          <w:top w:val="single" w:sz="4" w:space="0" w:color="auto"/>
                          <w:left w:val="nil"/>
                          <w:bottom w:val="nil"/>
                          <w:right w:val="single" w:sz="4" w:space="0" w:color="auto"/>
                        </w:tcBorders>
                        <w:shd w:val="clear" w:color="auto" w:fill="auto"/>
                        <w:vAlign w:val="bottom"/>
                        <w:hideMark/>
                      </w:tcPr>
                      <w:p>
                        <w:pPr>
                          <w:jc w:val="center"/>
                          <w:rPr>
                            <w:rFonts w:ascii="Georgia" w:eastAsia="Times New Roman" w:hAnsi="Georgia" w:cs="Arial"/>
                            <w:b/>
                            <w:bCs/>
                            <w:lang w:eastAsia="fr-BE"/>
                          </w:rPr>
                        </w:pPr>
                        <w:r>
                          <w:rPr>
                            <w:rFonts w:ascii="Georgia" w:eastAsia="Times New Roman" w:hAnsi="Georgia" w:cs="Arial"/>
                            <w:b/>
                            <w:bCs/>
                            <w:lang w:eastAsia="fr-BE"/>
                          </w:rPr>
                          <w:t>Adresse</w:t>
                        </w:r>
                      </w:p>
                    </w:tc>
                    <w:tc>
                      <w:tcPr>
                        <w:tcW w:w="844" w:type="dxa"/>
                        <w:tcBorders>
                          <w:top w:val="single" w:sz="4" w:space="0" w:color="auto"/>
                          <w:left w:val="nil"/>
                          <w:bottom w:val="nil"/>
                          <w:right w:val="single" w:sz="4" w:space="0" w:color="auto"/>
                        </w:tcBorders>
                        <w:shd w:val="clear" w:color="auto" w:fill="auto"/>
                        <w:vAlign w:val="bottom"/>
                        <w:hideMark/>
                      </w:tcPr>
                      <w:p>
                        <w:pPr>
                          <w:jc w:val="center"/>
                          <w:rPr>
                            <w:rFonts w:ascii="Georgia" w:eastAsia="Times New Roman" w:hAnsi="Georgia" w:cs="Arial"/>
                            <w:b/>
                            <w:bCs/>
                            <w:lang w:eastAsia="fr-BE"/>
                          </w:rPr>
                        </w:pPr>
                        <w:r>
                          <w:rPr>
                            <w:rFonts w:ascii="Georgia" w:eastAsia="Times New Roman" w:hAnsi="Georgia" w:cs="Arial"/>
                            <w:b/>
                            <w:bCs/>
                            <w:lang w:eastAsia="fr-BE"/>
                          </w:rPr>
                          <w:t>CP</w:t>
                        </w:r>
                      </w:p>
                    </w:tc>
                    <w:tc>
                      <w:tcPr>
                        <w:tcW w:w="1843" w:type="dxa"/>
                        <w:tcBorders>
                          <w:top w:val="single" w:sz="4" w:space="0" w:color="auto"/>
                          <w:left w:val="nil"/>
                          <w:bottom w:val="single" w:sz="4" w:space="0" w:color="auto"/>
                          <w:right w:val="single" w:sz="4" w:space="0" w:color="auto"/>
                        </w:tcBorders>
                        <w:shd w:val="clear" w:color="auto" w:fill="auto"/>
                        <w:vAlign w:val="bottom"/>
                        <w:hideMark/>
                      </w:tcPr>
                      <w:p>
                        <w:pPr>
                          <w:jc w:val="center"/>
                          <w:rPr>
                            <w:rFonts w:ascii="Georgia" w:eastAsia="Times New Roman" w:hAnsi="Georgia" w:cs="Arial"/>
                            <w:b/>
                            <w:bCs/>
                            <w:lang w:eastAsia="fr-BE"/>
                          </w:rPr>
                        </w:pPr>
                        <w:r>
                          <w:rPr>
                            <w:rFonts w:ascii="Georgia" w:eastAsia="Times New Roman" w:hAnsi="Georgia" w:cs="Arial"/>
                            <w:b/>
                            <w:bCs/>
                            <w:lang w:eastAsia="fr-BE"/>
                          </w:rPr>
                          <w:t>Localité</w:t>
                        </w:r>
                      </w:p>
                    </w:tc>
                    <w:tc>
                      <w:tcPr>
                        <w:tcW w:w="1600" w:type="dxa"/>
                        <w:tcBorders>
                          <w:top w:val="single" w:sz="4" w:space="0" w:color="auto"/>
                          <w:left w:val="nil"/>
                          <w:bottom w:val="nil"/>
                          <w:right w:val="single" w:sz="4" w:space="0" w:color="auto"/>
                        </w:tcBorders>
                        <w:shd w:val="clear" w:color="auto" w:fill="auto"/>
                        <w:vAlign w:val="bottom"/>
                        <w:hideMark/>
                      </w:tcPr>
                      <w:p>
                        <w:pPr>
                          <w:jc w:val="center"/>
                          <w:rPr>
                            <w:rFonts w:ascii="Georgia" w:eastAsia="Times New Roman" w:hAnsi="Georgia" w:cs="Arial"/>
                            <w:b/>
                            <w:bCs/>
                            <w:lang w:eastAsia="fr-BE"/>
                          </w:rPr>
                        </w:pPr>
                        <w:r>
                          <w:rPr>
                            <w:rFonts w:ascii="Georgia" w:eastAsia="Times New Roman" w:hAnsi="Georgia" w:cs="Arial"/>
                            <w:b/>
                            <w:bCs/>
                            <w:lang w:eastAsia="fr-BE"/>
                          </w:rPr>
                          <w:t>Tél</w:t>
                        </w:r>
                      </w:p>
                    </w:tc>
                    <w:tc>
                      <w:tcPr>
                        <w:tcW w:w="1520" w:type="dxa"/>
                        <w:tcBorders>
                          <w:top w:val="single" w:sz="4" w:space="0" w:color="auto"/>
                          <w:left w:val="nil"/>
                          <w:bottom w:val="nil"/>
                          <w:right w:val="single" w:sz="4" w:space="0" w:color="auto"/>
                        </w:tcBorders>
                        <w:shd w:val="clear" w:color="auto" w:fill="auto"/>
                        <w:vAlign w:val="bottom"/>
                        <w:hideMark/>
                      </w:tcPr>
                      <w:p>
                        <w:pPr>
                          <w:jc w:val="center"/>
                          <w:rPr>
                            <w:rFonts w:ascii="Georgia" w:eastAsia="Times New Roman" w:hAnsi="Georgia" w:cs="Arial"/>
                            <w:b/>
                            <w:bCs/>
                            <w:lang w:eastAsia="fr-BE"/>
                          </w:rPr>
                        </w:pPr>
                        <w:r>
                          <w:rPr>
                            <w:rFonts w:ascii="Georgia" w:eastAsia="Times New Roman" w:hAnsi="Georgia" w:cs="Arial"/>
                            <w:b/>
                            <w:bCs/>
                            <w:lang w:eastAsia="fr-BE"/>
                          </w:rPr>
                          <w:t>Fax</w:t>
                        </w:r>
                      </w:p>
                    </w:tc>
                    <w:tc>
                      <w:tcPr>
                        <w:tcW w:w="3217" w:type="dxa"/>
                        <w:tcBorders>
                          <w:top w:val="single" w:sz="4" w:space="0" w:color="auto"/>
                          <w:left w:val="nil"/>
                          <w:bottom w:val="nil"/>
                          <w:right w:val="single" w:sz="4" w:space="0" w:color="auto"/>
                        </w:tcBorders>
                        <w:shd w:val="clear" w:color="auto" w:fill="auto"/>
                        <w:vAlign w:val="bottom"/>
                        <w:hideMark/>
                      </w:tcPr>
                      <w:p>
                        <w:pPr>
                          <w:jc w:val="center"/>
                          <w:rPr>
                            <w:rFonts w:ascii="Georgia" w:eastAsia="Times New Roman" w:hAnsi="Georgia" w:cs="Arial"/>
                            <w:b/>
                            <w:bCs/>
                            <w:lang w:eastAsia="fr-BE"/>
                          </w:rPr>
                        </w:pPr>
                        <w:r>
                          <w:rPr>
                            <w:rFonts w:ascii="Georgia" w:eastAsia="Times New Roman" w:hAnsi="Georgia" w:cs="Arial"/>
                            <w:b/>
                            <w:bCs/>
                            <w:lang w:eastAsia="fr-BE"/>
                          </w:rPr>
                          <w:t>Arrondissement</w:t>
                        </w:r>
                      </w:p>
                    </w:tc>
                  </w:tr>
                  <w:tr>
                    <w:trPr>
                      <w:trHeight w:val="268"/>
                    </w:trPr>
                    <w:tc>
                      <w:tcPr>
                        <w:tcW w:w="3222" w:type="dxa"/>
                        <w:tcBorders>
                          <w:top w:val="nil"/>
                          <w:left w:val="single" w:sz="4" w:space="0" w:color="auto"/>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Les Cliniques St-Joseph » - A.S.B.L.</w:t>
                        </w:r>
                      </w:p>
                    </w:tc>
                    <w:tc>
                      <w:tcPr>
                        <w:tcW w:w="3205"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de Hesbaye, 75</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4000</w:t>
                        </w:r>
                      </w:p>
                    </w:tc>
                    <w:tc>
                      <w:tcPr>
                        <w:tcW w:w="1843"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LIEGE</w:t>
                        </w:r>
                      </w:p>
                    </w:tc>
                    <w:tc>
                      <w:tcPr>
                        <w:tcW w:w="1600"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04/224.81.11</w:t>
                        </w:r>
                      </w:p>
                    </w:tc>
                    <w:tc>
                      <w:tcPr>
                        <w:tcW w:w="1520"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04/224.87.70</w:t>
                        </w:r>
                      </w:p>
                    </w:tc>
                    <w:tc>
                      <w:tcPr>
                        <w:tcW w:w="3217"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72"/>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A.S.B.L. PSYCHO-J </w:t>
                        </w:r>
                      </w:p>
                    </w:tc>
                    <w:tc>
                      <w:tcPr>
                        <w:tcW w:w="3205"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Hors Château, 59</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4000</w:t>
                        </w:r>
                      </w:p>
                    </w:tc>
                    <w:tc>
                      <w:tcPr>
                        <w:tcW w:w="1843"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LIEGE</w:t>
                        </w:r>
                      </w:p>
                    </w:tc>
                    <w:tc>
                      <w:tcPr>
                        <w:tcW w:w="1600"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04/223.55.08</w:t>
                        </w:r>
                      </w:p>
                    </w:tc>
                    <w:tc>
                      <w:tcPr>
                        <w:tcW w:w="1520"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04/222.17.31</w:t>
                        </w:r>
                      </w:p>
                    </w:tc>
                    <w:tc>
                      <w:tcPr>
                        <w:tcW w:w="3217"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574"/>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A.S.B.L. Universitaire « Enfants-Parents »  Centre de Santé Mentale  </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Lambert Le Bègue, 16</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4000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LIEGE</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04/223.41.12</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04/221.18.94</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81"/>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val="es-ES_tradnl" w:eastAsia="fr-BE"/>
                          </w:rPr>
                        </w:pPr>
                        <w:r>
                          <w:rPr>
                            <w:rFonts w:ascii="Georgia" w:eastAsia="Times New Roman" w:hAnsi="Georgia" w:cs="Arial"/>
                            <w:color w:val="000000"/>
                            <w:lang w:val="es-ES_tradnl" w:eastAsia="fr-BE"/>
                          </w:rPr>
                          <w:t>C.R.H. de la Citadelle</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Boulevard du 12e de Ligne, 1</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4000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LIEGE</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04/225.61.11</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04/226.47.47</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54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 pour enfants, adolescents et adultes</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Saint-Lambert, 84</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4040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HERSTAL</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04/248.48.10</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04/248.48.12</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66"/>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Santé Mentale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G. Joachim, 49</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4300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WAREMME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019/32.47.92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019/33.20.01</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78"/>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"Le Taquet"</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Chaussée Churchill, 28</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4420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MONTEGNEE</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04/364.06.85</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04/247.69.05</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82"/>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Place Arthur Botty, 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4550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NANDRIN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085/51.24.15</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085/21.48.20</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72"/>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la Fontaine, 53</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4600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VISE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04/379.32.62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04/379.15.50</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76"/>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l'Egalité, 250</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4630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SOUMAGE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04/377.46.65</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04/377.46.65</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8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Rue du Ponçay 1 </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4680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HERMEE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04/264.33.09</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04/228.84.39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318"/>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de guidance - Service de Santé Mentale </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Dinant, 20-22</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4800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VERVIERS</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087/22.16.45</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087/22.03.70</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74"/>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Familial d'Education</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des Déportés, 30</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4800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VERVIERS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087/22.13.92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087/22.14.70</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64"/>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Institution publique Protection de la Jeunesse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sur le Bois, 113</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4870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FRAIPONT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087/26.02.10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087/26.85.95</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54"/>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d'Aide Educative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Baron Fallon, 34</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5000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NAMUR</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081/74.39.89</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081/74.39.49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provincial de Guidance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Château des Balances, 3b-bte 5</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5000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NAMUR</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081/71.15.50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081/77.69.45</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Institution publique de Protection de la Jeunesse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Bricgniot, 196</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5002</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SAINT-SERVAIS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081/73.18.10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081/74.15.83</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292"/>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ASBL “Mon Aencre à moi”</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Place Baudouin 1</w:t>
                        </w:r>
                        <w:r>
                          <w:rPr>
                            <w:rFonts w:ascii="Georgia" w:eastAsia="Times New Roman" w:hAnsi="Georgia" w:cs="Arial"/>
                            <w:color w:val="000000"/>
                            <w:vertAlign w:val="superscript"/>
                            <w:lang w:eastAsia="fr-BE"/>
                          </w:rPr>
                          <w:t>er</w:t>
                        </w:r>
                        <w:r>
                          <w:rPr>
                            <w:rFonts w:ascii="Georgia" w:eastAsia="Times New Roman" w:hAnsi="Georgia" w:cs="Arial"/>
                            <w:color w:val="000000"/>
                            <w:lang w:eastAsia="fr-BE"/>
                          </w:rPr>
                          <w:t>, 3</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5004</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BOUGE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081/21.20.94</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272"/>
                    </w:trPr>
                    <w:tc>
                      <w:tcPr>
                        <w:tcW w:w="3222" w:type="dxa"/>
                        <w:tcBorders>
                          <w:top w:val="nil"/>
                          <w:left w:val="single" w:sz="4" w:space="0" w:color="auto"/>
                          <w:bottom w:val="single" w:sz="4" w:space="0" w:color="auto"/>
                          <w:right w:val="single" w:sz="4" w:space="0" w:color="auto"/>
                        </w:tcBorders>
                        <w:shd w:val="clear" w:color="000000" w:fill="FFFFFF"/>
                      </w:tcPr>
                      <w:p>
                        <w:pPr>
                          <w:rPr>
                            <w:rFonts w:ascii="Georgia" w:eastAsia="Times New Roman" w:hAnsi="Georgia" w:cs="Arial"/>
                            <w:color w:val="000000"/>
                            <w:lang w:val="nl-BE" w:eastAsia="fr-BE"/>
                          </w:rPr>
                        </w:pPr>
                        <w:r>
                          <w:rPr>
                            <w:rFonts w:ascii="Georgia" w:eastAsia="Times New Roman" w:hAnsi="Georgia" w:cs="Arial"/>
                            <w:color w:val="000000"/>
                            <w:lang w:val="nl-BE" w:eastAsia="fr-BE"/>
                          </w:rPr>
                          <w:t>SeLINa-SSM a.s.b.l.</w:t>
                        </w:r>
                      </w:p>
                    </w:tc>
                    <w:tc>
                      <w:tcPr>
                        <w:tcW w:w="3205"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Rue de Dave, 124</w:t>
                        </w:r>
                      </w:p>
                    </w:tc>
                    <w:tc>
                      <w:tcPr>
                        <w:tcW w:w="844"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5100</w:t>
                        </w:r>
                      </w:p>
                    </w:tc>
                    <w:tc>
                      <w:tcPr>
                        <w:tcW w:w="1843"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JAMBES</w:t>
                        </w:r>
                      </w:p>
                    </w:tc>
                    <w:tc>
                      <w:tcPr>
                        <w:tcW w:w="160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152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nil"/>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272"/>
                    </w:trPr>
                    <w:tc>
                      <w:tcPr>
                        <w:tcW w:w="3222" w:type="dxa"/>
                        <w:tcBorders>
                          <w:top w:val="nil"/>
                          <w:left w:val="single" w:sz="4" w:space="0" w:color="auto"/>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w:t>
                        </w:r>
                      </w:p>
                    </w:tc>
                    <w:tc>
                      <w:tcPr>
                        <w:tcW w:w="3205"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Chaussée de Tirlemont, 14A</w:t>
                        </w:r>
                      </w:p>
                    </w:tc>
                    <w:tc>
                      <w:tcPr>
                        <w:tcW w:w="844"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5030</w:t>
                        </w:r>
                      </w:p>
                    </w:tc>
                    <w:tc>
                      <w:tcPr>
                        <w:tcW w:w="1843"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GEMBLOUX</w:t>
                        </w:r>
                      </w:p>
                    </w:tc>
                    <w:tc>
                      <w:tcPr>
                        <w:tcW w:w="160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081/776.793</w:t>
                        </w:r>
                      </w:p>
                    </w:tc>
                    <w:tc>
                      <w:tcPr>
                        <w:tcW w:w="152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nil"/>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272"/>
                    </w:trPr>
                    <w:tc>
                      <w:tcPr>
                        <w:tcW w:w="3222" w:type="dxa"/>
                        <w:tcBorders>
                          <w:top w:val="nil"/>
                          <w:left w:val="single" w:sz="4" w:space="0" w:color="auto"/>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w:t>
                        </w:r>
                      </w:p>
                    </w:tc>
                    <w:tc>
                      <w:tcPr>
                        <w:tcW w:w="3205"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Rue Duculot, 11</w:t>
                        </w:r>
                      </w:p>
                    </w:tc>
                    <w:tc>
                      <w:tcPr>
                        <w:tcW w:w="844"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5060</w:t>
                        </w:r>
                      </w:p>
                    </w:tc>
                    <w:tc>
                      <w:tcPr>
                        <w:tcW w:w="1843"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TAMINES</w:t>
                        </w:r>
                      </w:p>
                    </w:tc>
                    <w:tc>
                      <w:tcPr>
                        <w:tcW w:w="160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081/776.840</w:t>
                        </w:r>
                      </w:p>
                    </w:tc>
                    <w:tc>
                      <w:tcPr>
                        <w:tcW w:w="152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nil"/>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272"/>
                    </w:trPr>
                    <w:tc>
                      <w:tcPr>
                        <w:tcW w:w="3222" w:type="dxa"/>
                        <w:tcBorders>
                          <w:top w:val="nil"/>
                          <w:left w:val="single" w:sz="4" w:space="0" w:color="auto"/>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w:t>
                        </w:r>
                      </w:p>
                    </w:tc>
                    <w:tc>
                      <w:tcPr>
                        <w:tcW w:w="3205"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Rue Walter Sœur, 66</w:t>
                        </w:r>
                      </w:p>
                    </w:tc>
                    <w:tc>
                      <w:tcPr>
                        <w:tcW w:w="844"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5590</w:t>
                        </w:r>
                      </w:p>
                    </w:tc>
                    <w:tc>
                      <w:tcPr>
                        <w:tcW w:w="1843"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CINEY</w:t>
                        </w:r>
                      </w:p>
                    </w:tc>
                    <w:tc>
                      <w:tcPr>
                        <w:tcW w:w="160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081/776.825</w:t>
                        </w:r>
                      </w:p>
                    </w:tc>
                    <w:tc>
                      <w:tcPr>
                        <w:tcW w:w="152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nil"/>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272"/>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Guidance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l'Hôpital, 23</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5300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ANDENNE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085/84.94.90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085/84.91.50</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Organisme Psycho-Médico-Social de Schaltin</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Cardijn, 6</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5364</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SCHALTIN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083/61.11.88</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083/61.19.70</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3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Santé mentale Provincial</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Daoust, 72</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5500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DINANT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082/21.48.20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082/21.48.29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282"/>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Santé mentale Provincial</w:t>
                        </w:r>
                      </w:p>
                    </w:tc>
                    <w:tc>
                      <w:tcPr>
                        <w:tcW w:w="3205" w:type="dxa"/>
                        <w:tcBorders>
                          <w:top w:val="nil"/>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des Aubépines, 61</w:t>
                        </w:r>
                      </w:p>
                    </w:tc>
                    <w:tc>
                      <w:tcPr>
                        <w:tcW w:w="844" w:type="dxa"/>
                        <w:tcBorders>
                          <w:top w:val="nil"/>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5570</w:t>
                        </w:r>
                      </w:p>
                    </w:tc>
                    <w:tc>
                      <w:tcPr>
                        <w:tcW w:w="1843" w:type="dxa"/>
                        <w:tcBorders>
                          <w:top w:val="nil"/>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BEAURAING</w:t>
                        </w:r>
                      </w:p>
                    </w:tc>
                    <w:tc>
                      <w:tcPr>
                        <w:tcW w:w="1600" w:type="dxa"/>
                        <w:tcBorders>
                          <w:top w:val="nil"/>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082/71.47.51</w:t>
                        </w:r>
                      </w:p>
                    </w:tc>
                    <w:tc>
                      <w:tcPr>
                        <w:tcW w:w="1520" w:type="dxa"/>
                        <w:tcBorders>
                          <w:top w:val="nil"/>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082/71.14.85</w:t>
                        </w:r>
                      </w:p>
                    </w:tc>
                    <w:tc>
                      <w:tcPr>
                        <w:tcW w:w="3217" w:type="dxa"/>
                        <w:tcBorders>
                          <w:top w:val="nil"/>
                          <w:left w:val="nil"/>
                          <w:bottom w:val="nil"/>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Centre de Santé mentale Provincial</w:t>
                        </w:r>
                      </w:p>
                    </w:tc>
                    <w:tc>
                      <w:tcPr>
                        <w:tcW w:w="3205"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Rue Gérard de Cambrai, 18</w:t>
                        </w:r>
                      </w:p>
                    </w:tc>
                    <w:tc>
                      <w:tcPr>
                        <w:tcW w:w="844"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5620</w:t>
                        </w:r>
                      </w:p>
                    </w:tc>
                    <w:tc>
                      <w:tcPr>
                        <w:tcW w:w="1843" w:type="dxa"/>
                        <w:tcBorders>
                          <w:top w:val="single" w:sz="4" w:space="0" w:color="auto"/>
                          <w:left w:val="nil"/>
                          <w:bottom w:val="nil"/>
                          <w:right w:val="single" w:sz="4" w:space="0" w:color="auto"/>
                        </w:tcBorders>
                        <w:shd w:val="clear" w:color="000000" w:fill="FFFFFF"/>
                        <w:noWrap/>
                        <w:hideMark/>
                      </w:tcPr>
                      <w:p>
                        <w:pPr>
                          <w:rPr>
                            <w:rFonts w:ascii="Georgia" w:eastAsia="Times New Roman" w:hAnsi="Georgia" w:cs="Arial"/>
                            <w:lang w:eastAsia="fr-BE"/>
                          </w:rPr>
                        </w:pPr>
                        <w:r>
                          <w:rPr>
                            <w:rFonts w:ascii="Georgia" w:eastAsia="Times New Roman" w:hAnsi="Georgia" w:cs="Arial"/>
                            <w:lang w:eastAsia="fr-BE"/>
                          </w:rPr>
                          <w:t>FLORENNES</w:t>
                        </w:r>
                      </w:p>
                    </w:tc>
                    <w:tc>
                      <w:tcPr>
                        <w:tcW w:w="1600"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071/68.10.21</w:t>
                        </w:r>
                      </w:p>
                    </w:tc>
                    <w:tc>
                      <w:tcPr>
                        <w:tcW w:w="1520"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071/68.50.15</w:t>
                        </w:r>
                      </w:p>
                    </w:tc>
                    <w:tc>
                      <w:tcPr>
                        <w:tcW w:w="3217"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Centre de Santé mentale Provincial</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Ruelle Cracsot, 12</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5660</w:t>
                        </w:r>
                      </w:p>
                    </w:tc>
                    <w:tc>
                      <w:tcPr>
                        <w:tcW w:w="1843" w:type="dxa"/>
                        <w:tcBorders>
                          <w:top w:val="single" w:sz="4" w:space="0" w:color="auto"/>
                          <w:left w:val="nil"/>
                          <w:bottom w:val="single" w:sz="4" w:space="0" w:color="auto"/>
                          <w:right w:val="single" w:sz="4" w:space="0" w:color="auto"/>
                        </w:tcBorders>
                        <w:shd w:val="clear" w:color="000000" w:fill="FFFFFF"/>
                        <w:noWrap/>
                        <w:hideMark/>
                      </w:tcPr>
                      <w:p>
                        <w:pPr>
                          <w:rPr>
                            <w:rFonts w:ascii="Georgia" w:eastAsia="Times New Roman" w:hAnsi="Georgia" w:cs="Arial"/>
                            <w:lang w:eastAsia="fr-BE"/>
                          </w:rPr>
                        </w:pPr>
                        <w:r>
                          <w:rPr>
                            <w:rFonts w:ascii="Georgia" w:eastAsia="Times New Roman" w:hAnsi="Georgia" w:cs="Arial"/>
                            <w:lang w:eastAsia="fr-BE"/>
                          </w:rPr>
                          <w:t>COUVIN</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060/34.52.33</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060/34.65.90</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d'Observation et d'Orientation  Suzanne Van Durme ASBL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du Golf, 44</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1640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RHODE-SAINT-GENESE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02/358.28.50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02/538.47.37</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Brabant Flamand</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Service de Santé Mentale de Wavre, A.S.B.L </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du Belloy, 45</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1300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WAVRE</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010/22.54.03</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010/24.37.48</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noProof/>
                            <w:lang w:eastAsia="fr-BE"/>
                          </w:rPr>
                          <mc:AlternateContent>
                            <mc:Choice Requires="wps">
                              <w:drawing>
                                <wp:anchor distT="0" distB="0" distL="114300" distR="114300" simplePos="0" relativeHeight="252097536" behindDoc="0" locked="0" layoutInCell="1" allowOverlap="1">
                                  <wp:simplePos x="0" y="0"/>
                                  <wp:positionH relativeFrom="column">
                                    <wp:posOffset>2110105</wp:posOffset>
                                  </wp:positionH>
                                  <wp:positionV relativeFrom="paragraph">
                                    <wp:posOffset>310515</wp:posOffset>
                                  </wp:positionV>
                                  <wp:extent cx="0" cy="333375"/>
                                  <wp:effectExtent l="0" t="0" r="19050" b="28575"/>
                                  <wp:wrapNone/>
                                  <wp:docPr id="476" name="Connecteur droit 476"/>
                                  <wp:cNvGraphicFramePr/>
                                  <a:graphic xmlns:a="http://schemas.openxmlformats.org/drawingml/2006/main">
                                    <a:graphicData uri="http://schemas.microsoft.com/office/word/2010/wordprocessingShape">
                                      <wps:wsp>
                                        <wps:cNvCnPr/>
                                        <wps:spPr>
                                          <a:xfrm>
                                            <a:off x="0" y="0"/>
                                            <a:ext cx="0" cy="3333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80BFC6F" id="Connecteur droit 476" o:spid="_x0000_s1026" style="position:absolute;z-index:252097536;visibility:visible;mso-wrap-style:square;mso-wrap-distance-left:9pt;mso-wrap-distance-top:0;mso-wrap-distance-right:9pt;mso-wrap-distance-bottom:0;mso-position-horizontal:absolute;mso-position-horizontal-relative:text;mso-position-vertical:absolute;mso-position-vertical-relative:text" from="166.15pt,24.45pt" to="166.15pt,5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" strokecolor="black [3040]"/>
                              </w:pict>
                            </mc:Fallback>
                          </mc:AlternateContent>
                        </w:r>
                        <w:r>
                          <w:rPr>
                            <w:rFonts w:ascii="Georgia" w:eastAsia="Times New Roman" w:hAnsi="Georgia" w:cs="Arial"/>
                            <w:b/>
                            <w:bCs/>
                            <w:lang w:eastAsia="fr-BE"/>
                          </w:rPr>
                          <w:t>Province du Brabant Wallon</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 de la Province du Brabant Wallon</w:t>
                        </w:r>
                      </w:p>
                    </w:tc>
                    <w:tc>
                      <w:tcPr>
                        <w:tcW w:w="3205"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Place du Brabant Wallon, 1</w:t>
                        </w:r>
                      </w:p>
                    </w:tc>
                    <w:tc>
                      <w:tcPr>
                        <w:tcW w:w="844"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1300</w:t>
                        </w:r>
                      </w:p>
                    </w:tc>
                    <w:tc>
                      <w:tcPr>
                        <w:tcW w:w="1843"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WAVRE</w:t>
                        </w:r>
                      </w:p>
                    </w:tc>
                    <w:tc>
                      <w:tcPr>
                        <w:tcW w:w="1600"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010/81.31.01</w:t>
                        </w:r>
                      </w:p>
                    </w:tc>
                    <w:tc>
                      <w:tcPr>
                        <w:tcW w:w="1520"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lang w:eastAsia="fr-BE"/>
                          </w:rPr>
                          <w:t>Province du Brabant Wallon</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S.A.S.P.E. "Reine Astrid"</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de la Reine, 1</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1310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LA HULPE</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02/656.08.00</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02/656.08.88</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Brabant Wallon</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Neurologique William Lennox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Allée de Clerlande, 6</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1340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OTTIGNIES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010/43.02.23</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010/41.19.72</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Brabant Wallon</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guidance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Grand Place 43</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1348</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LOUVAIN-LA-NEUVE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010/47.44.08</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010/47.87.42</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Brabant Wallon</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de Guidance du C.P.A.S. Dispensaire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Samiette, 70</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1400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NIVELLES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067/28.11.50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067/28.11.63</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Brabant Wallon</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 de la Province du Brabant Wallon</w:t>
                        </w:r>
                      </w:p>
                    </w:tc>
                    <w:tc>
                      <w:tcPr>
                        <w:tcW w:w="3205"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Chaussée de Bruxelles, 55</w:t>
                        </w:r>
                      </w:p>
                    </w:tc>
                    <w:tc>
                      <w:tcPr>
                        <w:tcW w:w="844"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1400</w:t>
                        </w:r>
                      </w:p>
                    </w:tc>
                    <w:tc>
                      <w:tcPr>
                        <w:tcW w:w="1843"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NIVELLES</w:t>
                        </w:r>
                      </w:p>
                    </w:tc>
                    <w:tc>
                      <w:tcPr>
                        <w:tcW w:w="160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067/21.91.24</w:t>
                        </w:r>
                      </w:p>
                    </w:tc>
                    <w:tc>
                      <w:tcPr>
                        <w:tcW w:w="152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nil"/>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noProof/>
                            <w:lang w:eastAsia="fr-BE"/>
                          </w:rPr>
                          <mc:AlternateContent>
                            <mc:Choice Requires="wps">
                              <w:drawing>
                                <wp:anchor distT="0" distB="0" distL="114300" distR="114300" simplePos="0" relativeHeight="252095488" behindDoc="0" locked="0" layoutInCell="1" allowOverlap="1">
                                  <wp:simplePos x="0" y="0"/>
                                  <wp:positionH relativeFrom="column">
                                    <wp:posOffset>2111375</wp:posOffset>
                                  </wp:positionH>
                                  <wp:positionV relativeFrom="paragraph">
                                    <wp:posOffset>1905</wp:posOffset>
                                  </wp:positionV>
                                  <wp:extent cx="0" cy="333375"/>
                                  <wp:effectExtent l="0" t="0" r="19050" b="28575"/>
                                  <wp:wrapNone/>
                                  <wp:docPr id="4953" name="Connecteur droit 4953"/>
                                  <wp:cNvGraphicFramePr/>
                                  <a:graphic xmlns:a="http://schemas.openxmlformats.org/drawingml/2006/main">
                                    <a:graphicData uri="http://schemas.microsoft.com/office/word/2010/wordprocessingShape">
                                      <wps:wsp>
                                        <wps:cNvCnPr/>
                                        <wps:spPr>
                                          <a:xfrm>
                                            <a:off x="0" y="0"/>
                                            <a:ext cx="0" cy="3333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C6508CB" id="Connecteur droit 4953" o:spid="_x0000_s1026" style="position:absolute;z-index:252095488;visibility:visible;mso-wrap-style:square;mso-wrap-distance-left:9pt;mso-wrap-distance-top:0;mso-wrap-distance-right:9pt;mso-wrap-distance-bottom:0;mso-position-horizontal:absolute;mso-position-horizontal-relative:text;mso-position-vertical:absolute;mso-position-vertical-relative:text" from="166.25pt,.15pt" to="166.25pt,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" strokecolor="black [3040]"/>
                              </w:pict>
                            </mc:Fallback>
                          </mc:AlternateContent>
                        </w:r>
                        <w:r>
                          <w:rPr>
                            <w:rFonts w:ascii="Georgia" w:eastAsia="Times New Roman" w:hAnsi="Georgia" w:cs="Arial"/>
                            <w:b/>
                            <w:bCs/>
                            <w:lang w:eastAsia="fr-BE"/>
                          </w:rPr>
                          <w:t>Province du Brabant Wallon</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SAFRANS ASBL – Service de santé mentale agréé </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Jules Hans, 43</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1420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BRAINE-L'ALLEUD</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02/384.68.46</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02/384.05.63</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Brabant Wallon</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Institution Publique de la Protection de la Jeunesse à régime ouvert de la Communauté française</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des Boignées, 13</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1440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WAUTHIER-BRAINE</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02/367.85.00</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02/366.00.04</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Brabant Wallon</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Guidance A.S.B.L</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Léon Bernus, 22</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CHARLEROI</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071/31.63.78</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071/32.92.54</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Réadaptation Ouïe et Parole du C.H.U.</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Bld Zoé Drion, 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CHARLEROI</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071/92 29 19</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071/92.29.31</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Grand Hôpital de Chaleroi - Centre de rééducation neurologique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Grand Rue, 3</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CHARLEROI</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071/10.80.22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Service Provincial de Santé Mentale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la Science, 7</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CHARLEROI</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071/20.72.80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071/20.72.88</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A.S.B.L. "La Pioche"</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Royale, 95</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6030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MARCHIENNE-AU-PONT</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071/31.18.92</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071/30.98.57</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I.P.P.J.</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l'Institut, 85</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6040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JUMET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071/34.01.06</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071/34.45.96</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d'Observation et de Guidance, A.S.B.L.</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l'Abbaye d'Aulne, 1 C</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6142</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LEERNES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071/51.03.73</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071/51.09.99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S.S.M. Centre d'Accueil Psycho-Social</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du Collège, 39</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6200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CHATELET</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071/38.46.38</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071/40.57.31</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CHR Mons Hainaut – Service de pédopsychiatrie « Les Haubans »</w:t>
                        </w:r>
                      </w:p>
                    </w:tc>
                    <w:tc>
                      <w:tcPr>
                        <w:tcW w:w="3205"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Avenue Baudoin de Constantinople, 5</w:t>
                        </w:r>
                      </w:p>
                    </w:tc>
                    <w:tc>
                      <w:tcPr>
                        <w:tcW w:w="844"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7000</w:t>
                        </w:r>
                      </w:p>
                    </w:tc>
                    <w:tc>
                      <w:tcPr>
                        <w:tcW w:w="1843"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MONS</w:t>
                        </w:r>
                      </w:p>
                    </w:tc>
                    <w:tc>
                      <w:tcPr>
                        <w:tcW w:w="1600"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1520"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de Référence en Autisme « Jean-Charles Salmon » </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Brisselot, 11</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7000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MONS</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065/37.42.60</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065/37.42.62</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provincial de Guidance psychologique</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d'Hyon, 45</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7000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MONS</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065/35.43.71</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065/31.48.48</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 « Le Padelin »</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des Arbalestriers, 6</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7000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MONS</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065/35.71.78</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065/35.71.76</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de Santé de Jolimont ASBL </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Ferrer, 196-198</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7100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LA LOUVIERE</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064/23.33.48</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064/23.37.95</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Hospitalier Universitaire de TIVOLI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Max Buset, 34</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7100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LA LOUVIERE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064/27.61.11</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064/27.66.99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Provincial de Santé Mentale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Bruxelles, 18</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7130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BINCHE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064/33.63.68</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064/33.93.68</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Guidance psychologique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l'Abbaye, 29/31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7330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SAINT-GHISLAIN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065/46.54.06</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065/46.54.07</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provincial de Guidance psychologique</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Maubeuge, 7</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7340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COLFONTAINE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065/71.10.30</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065/71.10.39</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Service Provincial de Santé Mentale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l'Athénée, 21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7500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TOURNAI</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069/22.72.48</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069/23.58.11</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provincial de Guidance psychologique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la Station, 161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7700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MOUSCRON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056/34.67.89</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056/84.20.67</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 "La Passerelle"</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Square Saint Julien, 21</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7800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ATH</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068/28.55.01</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068/84.11.92</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Service Provincial de Guidance psychologique </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Isidore Hoton, 9</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7800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ATH</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068/26.50.90</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068/26.50.99</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Service de Santé Mentale du Nord et Centre Luxembourg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Grand Rue, 8</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6800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LIBRAMONT-CHEVIGNY</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061/22.38.72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061/22.38.72</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Luxembourg</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Guidance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Rue du Collège,  5 </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6830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BOUILLON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061/46.89.59</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061/46.89.59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Luxembourg</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Guidance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du Mont, 87</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6870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SAINT-HUBERT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061/61.16.20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061/61.15.99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Luxembourg</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Hôpital psychiatrique "La Clairière" - Pavillon 3</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Route des Ardoisières 100</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6880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BERTRIX</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061/22.18.34</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 </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Luxembourg</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 xml:space="preserve">ASBL Rivage Den Zaet  </w:t>
                        </w:r>
                        <w:r>
                          <w:rPr>
                            <w:rFonts w:ascii="Georgia" w:eastAsia="Times New Roman" w:hAnsi="Georgia" w:cs="Arial"/>
                            <w:color w:val="FF0000"/>
                            <w:lang w:eastAsia="fr-BE"/>
                          </w:rPr>
                          <w:t xml:space="preserv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Quai du Commerce, 7</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BRUXELLES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02/550.06.70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02/550.06.99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de guidance U.L.B.  Service de Santé Mentale SSM ULB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Haute, 293</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BRUXELLES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02/503.15.56</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02/289.07.46</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CHU SAINT-PIERRE Service de Pédiatrie – Consultation de neuropédiatrie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Rue Haute, 322 </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BRUXELLES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02/535.47.27</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02/535.43.32</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 « SE.SA.ME.» de la Ville de Bruxelles</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Sainte Catherine, 11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BRUXELLES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02/279.63.42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02/279.63.69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médico-psychologique  CHU SAINT- PIERRE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Haute, 322</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BRUXELLES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02/535.45.26</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02/535.48.86</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de Santé Mentale Champ de la Couronne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du Champ de la Couronne, 73</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1020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LAEKEN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02/410.01.95</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02/479.12.15</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Espace Thérapeutique Enfants-Adolescents-Parents</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Ketels, 24</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1020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LAEKEN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02/425 93 33</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02/427.35.93</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H.U.D.E.R.F. - Clinique de psychiatrie infanto-juvénile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J. J. Crocq, 15</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1020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LAEKEN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02/477.33.11</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02/477.23.99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Hôpital Univ pour enfants Reine Fabiola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J. J. Crocq, 15</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1020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LAEKEN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02/477.31.74</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02/477.23.99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CHIREC - Centre médical Europe Lambermont - Service de Neuropédiatrie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des Pensées, 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1030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SCHAERBEEK</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02/434.24.11</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02/434.24.65</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La Gerbe, A.S.B.L.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Rue Thiéfry, 45</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1030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SCHAERBEEK</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02/216.74.75</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02/215.18.79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C.B.I.M.C., a.s.b.l.</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P. Eudore Devroye, 14</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1040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ETTERBEEK</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02/735.45.03</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02/732.72.15</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tcPr>
                      <w:p>
                        <w:pPr>
                          <w:rPr>
                            <w:rFonts w:ascii="Georgia" w:eastAsia="Times New Roman" w:hAnsi="Georgia" w:cs="Arial"/>
                            <w:lang w:eastAsia="fr-BE"/>
                          </w:rPr>
                        </w:pPr>
                        <w:r>
                          <w:rPr>
                            <w:rFonts w:ascii="Georgia" w:eastAsia="Times New Roman" w:hAnsi="Georgia" w:cs="Arial"/>
                            <w:lang w:eastAsia="fr-BE"/>
                          </w:rPr>
                          <w:t>Centre de Guidance pour Enfants et Adolescents</w:t>
                        </w:r>
                      </w:p>
                    </w:tc>
                    <w:tc>
                      <w:tcPr>
                        <w:tcW w:w="3205"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Rue de Theux, 32</w:t>
                        </w:r>
                      </w:p>
                    </w:tc>
                    <w:tc>
                      <w:tcPr>
                        <w:tcW w:w="844" w:type="dxa"/>
                        <w:tcBorders>
                          <w:top w:val="nil"/>
                          <w:left w:val="nil"/>
                          <w:bottom w:val="single" w:sz="4" w:space="0" w:color="auto"/>
                          <w:right w:val="single" w:sz="4" w:space="0" w:color="auto"/>
                        </w:tcBorders>
                        <w:shd w:val="clear" w:color="000000" w:fill="FFFFFF"/>
                      </w:tcPr>
                      <w:p>
                        <w:pPr>
                          <w:rPr>
                            <w:rFonts w:ascii="Georgia" w:eastAsia="Times New Roman" w:hAnsi="Georgia" w:cs="Arial"/>
                            <w:lang w:eastAsia="fr-BE"/>
                          </w:rPr>
                        </w:pPr>
                        <w:r>
                          <w:rPr>
                            <w:rFonts w:ascii="Georgia" w:eastAsia="Times New Roman" w:hAnsi="Georgia" w:cs="Arial"/>
                            <w:lang w:eastAsia="fr-BE"/>
                          </w:rPr>
                          <w:t>1040</w:t>
                        </w:r>
                      </w:p>
                    </w:tc>
                    <w:tc>
                      <w:tcPr>
                        <w:tcW w:w="1843" w:type="dxa"/>
                        <w:tcBorders>
                          <w:top w:val="nil"/>
                          <w:left w:val="nil"/>
                          <w:bottom w:val="single" w:sz="4" w:space="0" w:color="auto"/>
                          <w:right w:val="single" w:sz="4" w:space="0" w:color="auto"/>
                        </w:tcBorders>
                        <w:shd w:val="clear" w:color="000000" w:fill="FFFFFF"/>
                      </w:tcPr>
                      <w:p>
                        <w:pPr>
                          <w:rPr>
                            <w:rFonts w:ascii="Georgia" w:eastAsia="Times New Roman" w:hAnsi="Georgia" w:cs="Arial"/>
                            <w:lang w:eastAsia="fr-BE"/>
                          </w:rPr>
                        </w:pPr>
                        <w:r>
                          <w:rPr>
                            <w:rFonts w:ascii="Georgia" w:eastAsia="Times New Roman" w:hAnsi="Georgia" w:cs="Arial"/>
                            <w:lang w:eastAsia="fr-BE"/>
                          </w:rPr>
                          <w:t>ETTERBEEK</w:t>
                        </w:r>
                      </w:p>
                    </w:tc>
                    <w:tc>
                      <w:tcPr>
                        <w:tcW w:w="160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152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nil"/>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 xml:space="preserve">Centre d’Etude et de Formation pour l’Education Spécialisée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 Fr. Roosevelt, 50 – 122/1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1050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IXELLES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02/650.32.81</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02/650.35.59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Centre de Guidance d'Ixelles, A.S.B.L.</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Sans Souci, 114</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1050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IXELLES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02/515.79.01</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02/644.28.94</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Médico-Psychologique du Service Social Juif</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Ducpétiaux, 68</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1060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SAINT-GILLES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02/538.81.80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02/538.37.04</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 Sectorisé de St-Gilles</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la Victoire, 26</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1060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SAINT-GILLES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02/542.58.58</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02/538.84.74</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A.S.B.L. L'ETE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d'Aumale, 21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1070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ANDERLECHT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02/526.85.48</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02/526.85.49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CHIREC - Clinique Sainte-Anne Saint-Remi - Service de Neuropédiatrie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Boulevard Jules Graindor, 66</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1070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ANDERLECHT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02/434.38.24</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02/434.38.25</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Service de Neurologie Pédiatrique  Hôpital Erasme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Route de Lennik, 808</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1070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ANDERLECHT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02/555.37.86</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02/555.34.66</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"L'étoile Polaire" Centre de Réadaptation Fonctionnelle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l'Etoile Polaire, 20</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1082</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BERCHEM-SAINTE-AGATHE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02/468.11.00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02/468.13.39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CHIREC - Clinique de la Basilique - Service de Neuropédiatrie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Pangaert, 37</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1083</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GANSHOREN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02/434.21.80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02/434.21.81</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Le Chien Vert</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Eggerickx, 28</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1150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WOLUWE-SAINT-PIERRE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02/762 58 15</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02/772.48.63</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Service de neuropédiatrie de l’Hôpital Delta – CHIREC</w:t>
                        </w:r>
                      </w:p>
                    </w:tc>
                    <w:tc>
                      <w:tcPr>
                        <w:tcW w:w="3205"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Boulevard du Triomphe, 201</w:t>
                        </w:r>
                      </w:p>
                    </w:tc>
                    <w:tc>
                      <w:tcPr>
                        <w:tcW w:w="844" w:type="dxa"/>
                        <w:tcBorders>
                          <w:top w:val="nil"/>
                          <w:left w:val="nil"/>
                          <w:bottom w:val="single" w:sz="4" w:space="0" w:color="auto"/>
                          <w:right w:val="single" w:sz="4" w:space="0" w:color="auto"/>
                        </w:tcBorders>
                        <w:shd w:val="clear" w:color="000000" w:fill="FFFFFF"/>
                      </w:tcPr>
                      <w:p>
                        <w:pPr>
                          <w:rPr>
                            <w:rFonts w:ascii="Georgia" w:eastAsia="Times New Roman" w:hAnsi="Georgia" w:cs="Arial"/>
                            <w:lang w:eastAsia="fr-BE"/>
                          </w:rPr>
                        </w:pPr>
                        <w:r>
                          <w:rPr>
                            <w:rFonts w:ascii="Georgia" w:eastAsia="Times New Roman" w:hAnsi="Georgia" w:cs="Arial"/>
                            <w:lang w:eastAsia="fr-BE"/>
                          </w:rPr>
                          <w:t>1160</w:t>
                        </w:r>
                      </w:p>
                    </w:tc>
                    <w:tc>
                      <w:tcPr>
                        <w:tcW w:w="1843" w:type="dxa"/>
                        <w:tcBorders>
                          <w:top w:val="nil"/>
                          <w:left w:val="nil"/>
                          <w:bottom w:val="single" w:sz="4" w:space="0" w:color="auto"/>
                          <w:right w:val="single" w:sz="4" w:space="0" w:color="auto"/>
                        </w:tcBorders>
                        <w:shd w:val="clear" w:color="000000" w:fill="FFFFFF"/>
                      </w:tcPr>
                      <w:p>
                        <w:pPr>
                          <w:rPr>
                            <w:rFonts w:ascii="Georgia" w:eastAsia="Times New Roman" w:hAnsi="Georgia" w:cs="Arial"/>
                            <w:lang w:eastAsia="fr-BE"/>
                          </w:rPr>
                        </w:pPr>
                        <w:r>
                          <w:rPr>
                            <w:rFonts w:ascii="Georgia" w:eastAsia="Times New Roman" w:hAnsi="Georgia" w:cs="Arial"/>
                            <w:lang w:eastAsia="fr-BE"/>
                          </w:rPr>
                          <w:t>AUDERGHEM</w:t>
                        </w:r>
                      </w:p>
                    </w:tc>
                    <w:tc>
                      <w:tcPr>
                        <w:tcW w:w="160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02/434.81.00</w:t>
                        </w:r>
                      </w:p>
                    </w:tc>
                    <w:tc>
                      <w:tcPr>
                        <w:tcW w:w="152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nil"/>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noProof/>
                            <w:lang w:eastAsia="fr-BE"/>
                          </w:rPr>
                          <mc:AlternateContent>
                            <mc:Choice Requires="wps">
                              <w:drawing>
                                <wp:anchor distT="0" distB="0" distL="114300" distR="114300" simplePos="0" relativeHeight="252094464" behindDoc="0" locked="0" layoutInCell="1" allowOverlap="1">
                                  <wp:simplePos x="0" y="0"/>
                                  <wp:positionH relativeFrom="column">
                                    <wp:posOffset>2111375</wp:posOffset>
                                  </wp:positionH>
                                  <wp:positionV relativeFrom="paragraph">
                                    <wp:posOffset>-2540</wp:posOffset>
                                  </wp:positionV>
                                  <wp:extent cx="0" cy="323850"/>
                                  <wp:effectExtent l="0" t="0" r="19050" b="19050"/>
                                  <wp:wrapNone/>
                                  <wp:docPr id="4952" name="Connecteur droit 4952"/>
                                  <wp:cNvGraphicFramePr/>
                                  <a:graphic xmlns:a="http://schemas.openxmlformats.org/drawingml/2006/main">
                                    <a:graphicData uri="http://schemas.microsoft.com/office/word/2010/wordprocessingShape">
                                      <wps:wsp>
                                        <wps:cNvCnPr/>
                                        <wps:spPr>
                                          <a:xfrm>
                                            <a:off x="0" y="0"/>
                                            <a:ext cx="0" cy="3238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46D2470" id="Connecteur droit 4952" o:spid="_x0000_s1026" style="position:absolute;z-index:252094464;visibility:visible;mso-wrap-style:square;mso-wrap-distance-left:9pt;mso-wrap-distance-top:0;mso-wrap-distance-right:9pt;mso-wrap-distance-bottom:0;mso-position-horizontal:absolute;mso-position-horizontal-relative:text;mso-position-vertical:absolute;mso-position-vertical-relative:text" from="166.25pt,-.2pt" to="166.25pt,2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" strokecolor="black [3040]"/>
                              </w:pict>
                            </mc:Fallback>
                          </mc:AlternateContent>
                        </w: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Santé Mentale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Léopold Wiener,66</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1170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WATERMAEL BOITSFORT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02/672.78.16</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02/673.32.57</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A.S.B.L. Maison pour Jeunes Filles</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Basse, 71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1180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UCCLE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02/374.66.70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02/375.89.12</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Guidance pour Enfants et Adolescents</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Bel Air, 88</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1180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UCCLE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02/343.22.84</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02/346.83.66</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Dr Etienne de Greef</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de Boetendael, 27</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1180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UCCLE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0485/20.19.82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02/431.76.82</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pour handicapés sensoriel A.S.B.L.</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Chaussée de Waterloo, 1510</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1180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UCCLE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02/374.30.72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02/374.73.51</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noProof/>
                            <w:lang w:eastAsia="fr-BE"/>
                          </w:rPr>
                          <mc:AlternateContent>
                            <mc:Choice Requires="wps">
                              <w:drawing>
                                <wp:anchor distT="0" distB="0" distL="114300" distR="114300" simplePos="0" relativeHeight="252105728" behindDoc="0" locked="0" layoutInCell="1" allowOverlap="1">
                                  <wp:simplePos x="0" y="0"/>
                                  <wp:positionH relativeFrom="column">
                                    <wp:posOffset>2111375</wp:posOffset>
                                  </wp:positionH>
                                  <wp:positionV relativeFrom="paragraph">
                                    <wp:posOffset>311785</wp:posOffset>
                                  </wp:positionV>
                                  <wp:extent cx="0" cy="809625"/>
                                  <wp:effectExtent l="0" t="0" r="19050" b="28575"/>
                                  <wp:wrapNone/>
                                  <wp:docPr id="1" name="Connecteur droit 1"/>
                                  <wp:cNvGraphicFramePr/>
                                  <a:graphic xmlns:a="http://schemas.openxmlformats.org/drawingml/2006/main">
                                    <a:graphicData uri="http://schemas.microsoft.com/office/word/2010/wordprocessingShape">
                                      <wps:wsp>
                                        <wps:cNvCnPr/>
                                        <wps:spPr>
                                          <a:xfrm>
                                            <a:off x="0" y="0"/>
                                            <a:ext cx="0" cy="8096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F87917D" id="Connecteur droit 1" o:spid="_x0000_s1026" style="position:absolute;z-index:252105728;visibility:visible;mso-wrap-style:square;mso-wrap-distance-left:9pt;mso-wrap-distance-top:0;mso-wrap-distance-right:9pt;mso-wrap-distance-bottom:0;mso-position-horizontal:absolute;mso-position-horizontal-relative:text;mso-position-vertical:absolute;mso-position-vertical-relative:text" from="166.25pt,24.55pt" to="166.25pt,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" strokecolor="black [3040]"/>
                              </w:pict>
                            </mc:Fallback>
                          </mc:AlternateContent>
                        </w: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Clinique Edith Cavell – Centre paramédical multidisciplinaire du développement de l’enfant et de l’adolescent – CHIREC Site Delta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Boulevard du Triomphe 201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1160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AUDERGHEM</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02/340.42.80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02/340.40.65</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Les études psychologiques Centre pour adolescents et adultes A.S.B.L.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de Boetendael, 27</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1180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UCCLE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0485/20.19.82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02/431.76.82</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Centre de Santé Mentale A.S.B.L « L’Adret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Avenue Albert, 135</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1190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FOREST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02/344.32.93</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02/346.11.93</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Médical d'Audio-Phonie A.S.B.L.</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Lusambo, 35-39</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1190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FOREST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02/332.33.23</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02/332.29.84</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"Chapelle aux Champs"</w:t>
                        </w:r>
                      </w:p>
                    </w:tc>
                    <w:tc>
                      <w:tcPr>
                        <w:tcW w:w="3205" w:type="dxa"/>
                        <w:tcBorders>
                          <w:top w:val="nil"/>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Clos Chapelle-aux-Champs, 30, Bte 3049</w:t>
                        </w:r>
                      </w:p>
                    </w:tc>
                    <w:tc>
                      <w:tcPr>
                        <w:tcW w:w="844" w:type="dxa"/>
                        <w:tcBorders>
                          <w:top w:val="nil"/>
                          <w:left w:val="nil"/>
                          <w:bottom w:val="nil"/>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1200</w:t>
                        </w:r>
                      </w:p>
                    </w:tc>
                    <w:tc>
                      <w:tcPr>
                        <w:tcW w:w="1843" w:type="dxa"/>
                        <w:tcBorders>
                          <w:top w:val="nil"/>
                          <w:left w:val="nil"/>
                          <w:bottom w:val="nil"/>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WOLUWE-SAINT-LAMBERT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02/764.31.20</w:t>
                        </w:r>
                      </w:p>
                    </w:tc>
                    <w:tc>
                      <w:tcPr>
                        <w:tcW w:w="1520" w:type="dxa"/>
                        <w:tcBorders>
                          <w:top w:val="nil"/>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02/764.39.55</w:t>
                        </w:r>
                      </w:p>
                    </w:tc>
                    <w:tc>
                      <w:tcPr>
                        <w:tcW w:w="3217" w:type="dxa"/>
                        <w:tcBorders>
                          <w:top w:val="nil"/>
                          <w:left w:val="nil"/>
                          <w:bottom w:val="nil"/>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"Comprendre et parler » A.S.B.L</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la Rive, 101</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1200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WOLUWE-SAINT-LAMBERT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02/770.04.40</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02/772.62.88</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d'Audiophonologie des Cliniques Universitaires Saint-Luc</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Clos Chapelle aux Champs, 30, Bte 3026</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1200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WOLUWE-SAINT-LAMBERT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02/764.32.40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02/764.32.50</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référence en IMOC</w:t>
                        </w:r>
                      </w:p>
                    </w:tc>
                    <w:tc>
                      <w:tcPr>
                        <w:tcW w:w="3205"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Hippocrate, 10</w:t>
                        </w:r>
                      </w:p>
                    </w:tc>
                    <w:tc>
                      <w:tcPr>
                        <w:tcW w:w="844"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1200</w:t>
                        </w:r>
                      </w:p>
                    </w:tc>
                    <w:tc>
                      <w:tcPr>
                        <w:tcW w:w="1843"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WOLUWE-SAINT-LAMBERT</w:t>
                        </w:r>
                      </w:p>
                      <w:p>
                        <w:pPr>
                          <w:rPr>
                            <w:rFonts w:ascii="Georgia" w:eastAsia="Times New Roman" w:hAnsi="Georgia" w:cs="Arial"/>
                            <w:lang w:eastAsia="fr-BE"/>
                          </w:rPr>
                        </w:pPr>
                      </w:p>
                    </w:tc>
                    <w:tc>
                      <w:tcPr>
                        <w:tcW w:w="1600"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02/764.16.53</w:t>
                        </w:r>
                      </w:p>
                    </w:tc>
                    <w:tc>
                      <w:tcPr>
                        <w:tcW w:w="1520"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02/764.90.63</w:t>
                        </w:r>
                      </w:p>
                    </w:tc>
                    <w:tc>
                      <w:tcPr>
                        <w:tcW w:w="3217"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Revalidation neuropédiatrique, neuropsychologique infantile des Cliniques universitaires de Saint-Luc</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Hippocrate, 10 Bte10/1067</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1200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WOLUWE-SAINT-LAMBERT</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02/764.13.69</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02/764.89.57</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Le WOPS - Centre de santé mentale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Chaussée de Roodebeek, 471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1200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WOLUWE-SAINT-LAMBERT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02/762.97.20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02/772.61.30</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Service de psychiatrie infanto-juvénile Cliniques universitaires St-Luc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Hippocrate, 10 – Bte 2030</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1200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WOLUWE-SAINT-LAMBERT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02/764.20.30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02/764.90.61</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 "Le Méridien"</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du Méridien, 68</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1210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SAINT-JOSSE-TEN-NODE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02/218 56 08</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02/218.58.54</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bl>
                <w:p/>
                <w:p/>
                <w:p/>
                <w:p/>
                <w:p/>
                <w:p>
                  <w:pPr>
                    <w:sectPr>
                      <w:footerReference w:type="default" r:id="rId217"/>
                      <w:type w:val="nextColumn"/>
                      <w:pgSz w:w="16838" w:h="11906" w:orient="landscape"/>
                      <w:pgMar w:top="1134" w:right="1134" w:bottom="1134" w:left="1418" w:header="709" w:footer="142" w:gutter="0"/>
                      <w:cols w:space="720"/>
                      <w:docGrid w:linePitch="299"/>
                    </w:sectPr>
                  </w:pPr>
                </w:p>
                <w:bookmarkStart w:id="3419" w:name="_Annexe_7_:_2"/>
                <w:bookmarkEnd w:id="3419"/>
                <w:p>
                  <w:pPr>
                    <w:pStyle w:val="Titre4"/>
                  </w:pPr>
                  <w:r>
                    <w:rPr>
                      <w:noProof/>
                      <w:lang w:eastAsia="fr-BE"/>
                    </w:rPr>
                    <mc:AlternateContent>
                      <mc:Choice Requires="wps">
                        <w:drawing>
                          <wp:anchor distT="0" distB="0" distL="114300" distR="114300" simplePos="0" relativeHeight="252040192" behindDoc="1" locked="0" layoutInCell="1" allowOverlap="1">
                            <wp:simplePos x="0" y="0"/>
                            <wp:positionH relativeFrom="column">
                              <wp:posOffset>6462067</wp:posOffset>
                            </wp:positionH>
                            <wp:positionV relativeFrom="paragraph">
                              <wp:posOffset>123365</wp:posOffset>
                            </wp:positionV>
                            <wp:extent cx="0" cy="9475076"/>
                            <wp:effectExtent l="0" t="0" r="19050" b="31115"/>
                            <wp:wrapNone/>
                            <wp:docPr id="4929" name="Connecteur droit 4929"/>
                            <wp:cNvGraphicFramePr/>
                            <a:graphic xmlns:a="http://schemas.openxmlformats.org/drawingml/2006/main">
                              <a:graphicData uri="http://schemas.microsoft.com/office/word/2010/wordprocessingShape">
                                <wps:wsp>
                                  <wps:cNvCnPr/>
                                  <wps:spPr>
                                    <a:xfrm>
                                      <a:off x="0" y="0"/>
                                      <a:ext cx="0" cy="947507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C600FF" id="Connecteur droit 4929" o:spid="_x0000_s1026" style="position:absolute;z-index:-25127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8.8pt,9.7pt" to="508.8pt,75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" strokecolor="black [3040]"/>
                        </w:pict>
                      </mc:Fallback>
                    </mc:AlternateContent>
                  </w:r>
                  <w:r>
                    <w:t>Annexe 7 : Circulaire n° 6495</w:t>
                  </w:r>
                </w:p>
                <w:p>
                  <w:pPr>
                    <w:rPr>
                      <w:rFonts w:eastAsiaTheme="minorEastAsia"/>
                      <w:lang w:eastAsia="fr-BE"/>
                    </w:rPr>
                  </w:pPr>
                </w:p>
                <w:tbl>
                  <w:tblPr>
                    <w:tblStyle w:val="TableGrid1"/>
                    <w:tblW w:w="9287" w:type="dxa"/>
                    <w:tblInd w:w="-107" w:type="dxa"/>
                    <w:tblCellMar>
                      <w:top w:w="30" w:type="dxa"/>
                      <w:left w:w="138" w:type="dxa"/>
                      <w:right w:w="115" w:type="dxa"/>
                    </w:tblCellMar>
                    <w:tblLook w:val="04A0" w:firstRow="1" w:lastRow="0" w:firstColumn="1" w:lastColumn="0" w:noHBand="0" w:noVBand="1"/>
                  </w:tblPr>
                  <w:tblGrid>
                    <w:gridCol w:w="9287"/>
                  </w:tblGrid>
                  <w:tr>
                    <w:trPr>
                      <w:trHeight w:val="1626"/>
                    </w:trPr>
                    <w:tc>
                      <w:tcPr>
                        <w:tcW w:w="9287" w:type="dxa"/>
                        <w:tcBorders>
                          <w:top w:val="single" w:sz="24" w:space="0" w:color="000000"/>
                          <w:left w:val="single" w:sz="24" w:space="0" w:color="000000"/>
                          <w:bottom w:val="nil"/>
                          <w:right w:val="single" w:sz="24" w:space="0" w:color="000000"/>
                        </w:tcBorders>
                      </w:tcPr>
                      <w:p>
                        <w:pPr>
                          <w:tabs>
                            <w:tab w:val="center" w:pos="1637"/>
                            <w:tab w:val="center" w:pos="2644"/>
                            <w:tab w:val="center" w:pos="7987"/>
                          </w:tabs>
                          <w:rPr>
                            <w:rFonts w:ascii="Calibri" w:eastAsia="Calibri" w:hAnsi="Calibri" w:cs="Calibri"/>
                            <w:color w:val="000000"/>
                          </w:rPr>
                        </w:pPr>
                        <w:r>
                          <w:rPr>
                            <w:rFonts w:ascii="Calibri" w:eastAsia="Calibri" w:hAnsi="Calibri" w:cs="Calibri"/>
                            <w:noProof/>
                            <w:color w:val="000000"/>
                          </w:rPr>
                          <w:drawing>
                            <wp:anchor distT="0" distB="0" distL="114300" distR="114300" simplePos="0" relativeHeight="252028928" behindDoc="0" locked="0" layoutInCell="1" allowOverlap="0">
                              <wp:simplePos x="0" y="0"/>
                              <wp:positionH relativeFrom="column">
                                <wp:posOffset>87351</wp:posOffset>
                              </wp:positionH>
                              <wp:positionV relativeFrom="paragraph">
                                <wp:posOffset>-18882</wp:posOffset>
                              </wp:positionV>
                              <wp:extent cx="849630" cy="958850"/>
                              <wp:effectExtent l="0" t="0" r="0" b="0"/>
                              <wp:wrapSquare wrapText="bothSides"/>
                              <wp:docPr id="4935"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18"/>
                                      <a:stretch>
                                        <a:fillRect/>
                                      </a:stretch>
                                    </pic:blipFill>
                                    <pic:spPr>
                                      <a:xfrm>
                                        <a:off x="0" y="0"/>
                                        <a:ext cx="849630" cy="958850"/>
                                      </a:xfrm>
                                      <a:prstGeom prst="rect">
                                        <a:avLst/>
                                      </a:prstGeom>
                                    </pic:spPr>
                                  </pic:pic>
                                </a:graphicData>
                              </a:graphic>
                            </wp:anchor>
                          </w:drawing>
                        </w:r>
                        <w:r>
                          <w:rPr>
                            <w:rFonts w:ascii="Calibri" w:eastAsia="Calibri" w:hAnsi="Calibri" w:cs="Calibri"/>
                            <w:color w:val="000000"/>
                          </w:rPr>
                          <w:tab/>
                        </w:r>
                        <w:r>
                          <w:rPr>
                            <w:rFonts w:ascii="Georgia" w:eastAsia="Georgia" w:hAnsi="Georgia" w:cs="Georgia"/>
                            <w:b/>
                            <w:color w:val="000000"/>
                            <w:sz w:val="20"/>
                          </w:rPr>
                          <w:t xml:space="preserve"> </w:t>
                        </w:r>
                        <w:r>
                          <w:rPr>
                            <w:rFonts w:ascii="Georgia" w:eastAsia="Georgia" w:hAnsi="Georgia" w:cs="Georgia"/>
                            <w:b/>
                            <w:color w:val="000000"/>
                            <w:sz w:val="20"/>
                          </w:rPr>
                          <w:tab/>
                        </w:r>
                        <w:r>
                          <w:rPr>
                            <w:rFonts w:ascii="Georgia" w:eastAsia="Georgia" w:hAnsi="Georgia" w:cs="Georgia"/>
                            <w:color w:val="000000"/>
                            <w:sz w:val="20"/>
                          </w:rPr>
                          <w:t xml:space="preserve">Circulaire 6495 </w:t>
                        </w:r>
                        <w:r>
                          <w:rPr>
                            <w:rFonts w:ascii="Georgia" w:eastAsia="Georgia" w:hAnsi="Georgia" w:cs="Georgia"/>
                            <w:color w:val="000000"/>
                            <w:sz w:val="20"/>
                          </w:rPr>
                          <w:tab/>
                          <w:t xml:space="preserve">du 16/01/2018 </w:t>
                        </w:r>
                      </w:p>
                      <w:p>
                        <w:pPr>
                          <w:ind w:left="1637"/>
                          <w:rPr>
                            <w:rFonts w:ascii="Calibri" w:eastAsia="Calibri" w:hAnsi="Calibri" w:cs="Calibri"/>
                            <w:color w:val="000000"/>
                          </w:rPr>
                        </w:pPr>
                        <w:r>
                          <w:rPr>
                            <w:rFonts w:ascii="Georgia" w:eastAsia="Georgia" w:hAnsi="Georgia" w:cs="Georgia"/>
                            <w:b/>
                            <w:color w:val="000000"/>
                            <w:sz w:val="20"/>
                          </w:rPr>
                          <w:t xml:space="preserve"> </w:t>
                        </w:r>
                        <w:r>
                          <w:rPr>
                            <w:rFonts w:ascii="Georgia" w:eastAsia="Georgia" w:hAnsi="Georgia" w:cs="Georgia"/>
                            <w:b/>
                            <w:color w:val="000000"/>
                            <w:sz w:val="20"/>
                          </w:rPr>
                          <w:tab/>
                        </w:r>
                        <w:r>
                          <w:rPr>
                            <w:rFonts w:ascii="Georgia" w:eastAsia="Georgia" w:hAnsi="Georgia" w:cs="Georgia"/>
                            <w:color w:val="000000"/>
                            <w:sz w:val="20"/>
                          </w:rPr>
                          <w:t xml:space="preserve"> </w:t>
                        </w:r>
                      </w:p>
                      <w:p>
                        <w:pPr>
                          <w:ind w:left="1964"/>
                          <w:rPr>
                            <w:rFonts w:ascii="Calibri" w:eastAsia="Calibri" w:hAnsi="Calibri" w:cs="Calibri"/>
                            <w:color w:val="000000"/>
                          </w:rPr>
                        </w:pPr>
                        <w:r>
                          <w:rPr>
                            <w:rFonts w:ascii="Georgia" w:eastAsia="Georgia" w:hAnsi="Georgia" w:cs="Georgia"/>
                            <w:b/>
                            <w:color w:val="000000"/>
                            <w:sz w:val="20"/>
                          </w:rPr>
                          <w:t xml:space="preserve">CIRCULAIRE RELATIVE A L’INSCRIPTION DANS </w:t>
                        </w:r>
                      </w:p>
                      <w:p>
                        <w:pPr>
                          <w:ind w:left="1964"/>
                          <w:rPr>
                            <w:rFonts w:ascii="Calibri" w:eastAsia="Calibri" w:hAnsi="Calibri" w:cs="Calibri"/>
                            <w:color w:val="000000"/>
                          </w:rPr>
                        </w:pPr>
                        <w:r>
                          <w:rPr>
                            <w:rFonts w:ascii="Georgia" w:eastAsia="Georgia" w:hAnsi="Georgia" w:cs="Georgia"/>
                            <w:b/>
                            <w:color w:val="000000"/>
                            <w:sz w:val="20"/>
                          </w:rPr>
                          <w:t xml:space="preserve">L’ENSEIGNEMENT FRANCOPHONE D’ELEVES SCOLARISES EN </w:t>
                        </w:r>
                      </w:p>
                      <w:p>
                        <w:pPr>
                          <w:ind w:left="1964"/>
                          <w:rPr>
                            <w:rFonts w:ascii="Calibri" w:eastAsia="Calibri" w:hAnsi="Calibri" w:cs="Calibri"/>
                            <w:color w:val="000000"/>
                          </w:rPr>
                        </w:pPr>
                        <w:r>
                          <w:rPr>
                            <w:rFonts w:ascii="Georgia" w:eastAsia="Georgia" w:hAnsi="Georgia" w:cs="Georgia"/>
                            <w:b/>
                            <w:color w:val="000000"/>
                            <w:sz w:val="20"/>
                          </w:rPr>
                          <w:t xml:space="preserve">COMMUNAUTE FLAMANDE OU EN COMMUNAUTE </w:t>
                        </w:r>
                      </w:p>
                      <w:p>
                        <w:pPr>
                          <w:ind w:left="1964"/>
                          <w:rPr>
                            <w:rFonts w:ascii="Calibri" w:eastAsia="Calibri" w:hAnsi="Calibri" w:cs="Calibri"/>
                            <w:color w:val="000000"/>
                          </w:rPr>
                        </w:pPr>
                        <w:r>
                          <w:rPr>
                            <w:rFonts w:ascii="Georgia" w:eastAsia="Georgia" w:hAnsi="Georgia" w:cs="Georgia"/>
                            <w:b/>
                            <w:color w:val="000000"/>
                            <w:sz w:val="20"/>
                          </w:rPr>
                          <w:t xml:space="preserve">GERMANOPHONE ET POUR LESQUELS UNE ATTESTATION </w:t>
                        </w:r>
                      </w:p>
                      <w:p>
                        <w:pPr>
                          <w:ind w:left="1964"/>
                          <w:rPr>
                            <w:rFonts w:ascii="Calibri" w:eastAsia="Calibri" w:hAnsi="Calibri" w:cs="Calibri"/>
                            <w:color w:val="000000"/>
                          </w:rPr>
                        </w:pPr>
                        <w:r>
                          <w:rPr>
                            <w:rFonts w:ascii="Georgia" w:eastAsia="Georgia" w:hAnsi="Georgia" w:cs="Georgia"/>
                            <w:b/>
                            <w:color w:val="000000"/>
                            <w:sz w:val="20"/>
                          </w:rPr>
                          <w:t xml:space="preserve">D’ENTREE EN ENSEIGNEMENT SPECIALISE EST REQUISE </w:t>
                        </w:r>
                      </w:p>
                    </w:tc>
                  </w:tr>
                  <w:tr>
                    <w:trPr>
                      <w:trHeight w:val="260"/>
                    </w:trPr>
                    <w:tc>
                      <w:tcPr>
                        <w:tcW w:w="9287" w:type="dxa"/>
                        <w:tcBorders>
                          <w:top w:val="nil"/>
                          <w:left w:val="single" w:sz="24" w:space="0" w:color="000000"/>
                          <w:bottom w:val="single" w:sz="24" w:space="0" w:color="000000"/>
                          <w:right w:val="single" w:sz="24" w:space="0" w:color="000000"/>
                        </w:tcBorders>
                      </w:tcPr>
                      <w:p>
                        <w:pPr>
                          <w:ind w:left="1964"/>
                          <w:rPr>
                            <w:rFonts w:ascii="Calibri" w:eastAsia="Calibri" w:hAnsi="Calibri" w:cs="Calibri"/>
                            <w:color w:val="000000"/>
                          </w:rPr>
                        </w:pPr>
                        <w:r>
                          <w:rPr>
                            <w:rFonts w:ascii="Georgia" w:eastAsia="Georgia" w:hAnsi="Georgia" w:cs="Georgia"/>
                            <w:color w:val="000000"/>
                            <w:sz w:val="20"/>
                          </w:rPr>
                          <w:t xml:space="preserve"> </w:t>
                        </w:r>
                      </w:p>
                    </w:tc>
                  </w:tr>
                </w:tbl>
                <w:p>
                  <w:pPr>
                    <w:spacing w:line="259" w:lineRule="auto"/>
                    <w:ind w:left="2"/>
                    <w:rPr>
                      <w:rFonts w:ascii="Calibri" w:eastAsia="Calibri" w:hAnsi="Calibri" w:cs="Calibri"/>
                      <w:color w:val="000000"/>
                      <w:lang w:eastAsia="fr-BE"/>
                    </w:rPr>
                  </w:pPr>
                  <w:r>
                    <w:rPr>
                      <w:rFonts w:ascii="Georgia" w:eastAsia="Georgia" w:hAnsi="Georgia" w:cs="Georgia"/>
                      <w:color w:val="000000"/>
                      <w:sz w:val="20"/>
                      <w:lang w:eastAsia="fr-BE"/>
                    </w:rPr>
                    <w:t xml:space="preserve"> </w:t>
                  </w:r>
                </w:p>
                <w:p>
                  <w:pPr>
                    <w:spacing w:line="259" w:lineRule="auto"/>
                    <w:ind w:left="1162"/>
                    <w:jc w:val="center"/>
                    <w:rPr>
                      <w:rFonts w:ascii="Calibri" w:eastAsia="Calibri" w:hAnsi="Calibri" w:cs="Calibri"/>
                      <w:color w:val="000000"/>
                      <w:lang w:eastAsia="fr-BE"/>
                    </w:rPr>
                  </w:pPr>
                  <w:r>
                    <w:rPr>
                      <w:rFonts w:ascii="Calibri" w:eastAsia="Calibri" w:hAnsi="Calibri" w:cs="Calibri"/>
                      <w:noProof/>
                      <w:color w:val="000000"/>
                      <w:lang w:eastAsia="fr-BE"/>
                    </w:rPr>
                    <mc:AlternateContent>
                      <mc:Choice Requires="wpg">
                        <w:drawing>
                          <wp:anchor distT="0" distB="0" distL="114300" distR="114300" simplePos="0" relativeHeight="252029952" behindDoc="1" locked="0" layoutInCell="1" allowOverlap="1">
                            <wp:simplePos x="0" y="0"/>
                            <wp:positionH relativeFrom="column">
                              <wp:posOffset>2304618</wp:posOffset>
                            </wp:positionH>
                            <wp:positionV relativeFrom="paragraph">
                              <wp:posOffset>-20306</wp:posOffset>
                            </wp:positionV>
                            <wp:extent cx="3909695" cy="121920"/>
                            <wp:effectExtent l="0" t="0" r="0" b="0"/>
                            <wp:wrapNone/>
                            <wp:docPr id="4944" name="Group 4944"/>
                            <wp:cNvGraphicFramePr/>
                            <a:graphic xmlns:a="http://schemas.openxmlformats.org/drawingml/2006/main">
                              <a:graphicData uri="http://schemas.microsoft.com/office/word/2010/wordprocessingGroup">
                                <wpg:wgp>
                                  <wpg:cNvGrpSpPr/>
                                  <wpg:grpSpPr>
                                    <a:xfrm>
                                      <a:off x="0" y="0"/>
                                      <a:ext cx="3909695" cy="121920"/>
                                      <a:chOff x="0" y="0"/>
                                      <a:chExt cx="3909695" cy="121920"/>
                                    </a:xfrm>
                                  </wpg:grpSpPr>
                                  <wps:wsp>
                                    <wps:cNvPr id="5709" name="Shape 5709"/>
                                    <wps:cNvSpPr/>
                                    <wps:spPr>
                                      <a:xfrm>
                                        <a:off x="227076" y="6350"/>
                                        <a:ext cx="3629279" cy="115570"/>
                                      </a:xfrm>
                                      <a:custGeom>
                                        <a:avLst/>
                                        <a:gdLst/>
                                        <a:ahLst/>
                                        <a:cxnLst/>
                                        <a:rect l="0" t="0" r="0" b="0"/>
                                        <a:pathLst>
                                          <a:path w="3629279" h="115570">
                                            <a:moveTo>
                                              <a:pt x="0" y="0"/>
                                            </a:moveTo>
                                            <a:lnTo>
                                              <a:pt x="3629279" y="0"/>
                                            </a:lnTo>
                                            <a:lnTo>
                                              <a:pt x="3629279" y="115570"/>
                                            </a:lnTo>
                                            <a:lnTo>
                                              <a:pt x="0" y="115570"/>
                                            </a:lnTo>
                                            <a:lnTo>
                                              <a:pt x="0" y="0"/>
                                            </a:lnTo>
                                          </a:path>
                                        </a:pathLst>
                                      </a:custGeom>
                                      <a:solidFill>
                                        <a:srgbClr val="D9D9D9"/>
                                      </a:solidFill>
                                      <a:ln w="0" cap="flat">
                                        <a:noFill/>
                                        <a:miter lim="127000"/>
                                      </a:ln>
                                      <a:effectLst/>
                                    </wps:spPr>
                                    <wps:bodyPr/>
                                  </wps:wsp>
                                  <wps:wsp>
                                    <wps:cNvPr id="5710" name="Shape 5710"/>
                                    <wps:cNvSpPr/>
                                    <wps:spPr>
                                      <a:xfrm>
                                        <a:off x="0" y="0"/>
                                        <a:ext cx="3903599" cy="9144"/>
                                      </a:xfrm>
                                      <a:custGeom>
                                        <a:avLst/>
                                        <a:gdLst/>
                                        <a:ahLst/>
                                        <a:cxnLst/>
                                        <a:rect l="0" t="0" r="0" b="0"/>
                                        <a:pathLst>
                                          <a:path w="3903599" h="9144">
                                            <a:moveTo>
                                              <a:pt x="0" y="0"/>
                                            </a:moveTo>
                                            <a:lnTo>
                                              <a:pt x="3903599" y="0"/>
                                            </a:lnTo>
                                            <a:lnTo>
                                              <a:pt x="3903599" y="9144"/>
                                            </a:lnTo>
                                            <a:lnTo>
                                              <a:pt x="0" y="9144"/>
                                            </a:lnTo>
                                            <a:lnTo>
                                              <a:pt x="0" y="0"/>
                                            </a:lnTo>
                                          </a:path>
                                        </a:pathLst>
                                      </a:custGeom>
                                      <a:solidFill>
                                        <a:srgbClr val="000000"/>
                                      </a:solidFill>
                                      <a:ln w="0" cap="flat">
                                        <a:noFill/>
                                        <a:miter lim="127000"/>
                                      </a:ln>
                                      <a:effectLst/>
                                    </wps:spPr>
                                    <wps:bodyPr/>
                                  </wps:wsp>
                                  <wps:wsp>
                                    <wps:cNvPr id="5711" name="Shape 5711"/>
                                    <wps:cNvSpPr/>
                                    <wps:spPr>
                                      <a:xfrm>
                                        <a:off x="3903599" y="0"/>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g:wgp>
                              </a:graphicData>
                            </a:graphic>
                          </wp:anchor>
                        </w:drawing>
                      </mc:Choice>
                      <mc:Fallback>
                        <w:pict>
                          <v:group w14:anchorId="78AC9DD1" id="Group 4944" o:spid="_x0000_s1026" style="position:absolute;margin-left:181.45pt;margin-top:-1.6pt;width:307.85pt;height:9.6pt;z-index:-251286528" coordsize="39096,1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">
                            <v:shape id="Shape 5709" o:spid="_x0000_s1027" style="position:absolute;left:2270;top:63;width:36293;height:1156;visibility:visible;mso-wrap-style:square;v-text-anchor:top" coordsize="3629279,115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KkqMYA&#10;AADdAAAADwAAAGRycy9kb3ducmV2LnhtbESP0WrCQBRE3wv+w3IF3+rGgK1NXYPWFArti2k/4JK9&#10;JovZuyG71cSv7wpCH4eZOcOs88G24ky9N44VLOYJCOLKacO1gp/v98cVCB+QNbaOScFIHvLN5GGN&#10;mXYXPtC5DLWIEPYZKmhC6DIpfdWQRT93HXH0jq63GKLsa6l7vES4bWWaJE/SouG40GBHbw1Vp/LX&#10;Krgeip0p0w7Nl12Op89wrVbFXqnZdNi+ggg0hP/wvf2hFSyfkxe4vYlP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KkqMYAAADdAAAADwAAAAAAAAAAAAAAAACYAgAAZHJz&#10;L2Rvd25yZXYueG1sUEsFBgAAAAAEAAQA9QAAAIsDAAAAAA==&#10;" path="m,l3629279,r,115570l,115570,,e" fillcolor="#d9d9d9" stroked="f" strokeweight="0">
                              <v:stroke miterlimit="83231f" joinstyle="miter"/>
                              <v:path arrowok="t" textboxrect="0,0,3629279,115570"/>
                            </v:shape>
                            <v:shape id="Shape 5710" o:spid="_x0000_s1028" style="position:absolute;width:39035;height:91;visibility:visible;mso-wrap-style:square;v-text-anchor:top" coordsize="3903599,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6OnsEA&#10;AADdAAAADwAAAGRycy9kb3ducmV2LnhtbERPy4rCMBTdC/5DuII7TVV8UI0ioiA4C18L3V2aa1ts&#10;bkITtf79ZDEwy8N5L1aNqcSbal9aVjDoJyCIM6tLzhVcL7veDIQPyBory6TgSx5Wy3Zrgam2Hz7R&#10;+xxyEUPYp6igCMGlUvqsIIO+bx1x5B62NhgirHOpa/zEcFPJYZJMpMGSY0OBjjYFZc/zyyhwblSe&#10;xvvR7Yd306O+N9thdUiU6naa9RxEoCb8i//ce61gPB3E/fFNfAJ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2ejp7BAAAA3QAAAA8AAAAAAAAAAAAAAAAAmAIAAGRycy9kb3du&#10;cmV2LnhtbFBLBQYAAAAABAAEAPUAAACGAwAAAAA=&#10;" path="m,l3903599,r,9144l,9144,,e" fillcolor="black" stroked="f" strokeweight="0">
                              <v:stroke miterlimit="83231f" joinstyle="miter"/>
                              <v:path arrowok="t" textboxrect="0,0,3903599,9144"/>
                            </v:shape>
                            <v:shape id="Shape 5711" o:spid="_x0000_s1029" style="position:absolute;left:39035;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5LFsYA&#10;AADdAAAADwAAAGRycy9kb3ducmV2LnhtbESPT2vCQBTE7wW/w/IEb3WT4p8S3YgWBBEKre2hx2f2&#10;mQSzb+PuRuO37xaEHoeZ+Q2zXPWmEVdyvrasIB0nIIgLq2suFXx/bZ9fQfiArLGxTAru5GGVD56W&#10;mGl740+6HkIpIoR9hgqqENpMSl9UZNCPbUscvZN1BkOUrpTa4S3CTSNfkmQmDdYcFyps6a2i4nzo&#10;jIL2Urqfi9cbPnYf+zknO+rfJ0qNhv16ASJQH/7Dj/ZOK5jO0xT+3sQn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5LFsYAAADdAAAADwAAAAAAAAAAAAAAAACYAgAAZHJz&#10;L2Rvd25yZXYueG1sUEsFBgAAAAAEAAQA9QAAAIsDAAAAAA==&#10;" path="m,l9144,r,9144l,9144,,e" fillcolor="black" stroked="f" strokeweight="0">
                              <v:stroke miterlimit="83231f" joinstyle="miter"/>
                              <v:path arrowok="t" textboxrect="0,0,9144,9144"/>
                            </v:shape>
                          </v:group>
                        </w:pict>
                      </mc:Fallback>
                    </mc:AlternateContent>
                  </w:r>
                  <w:r>
                    <w:rPr>
                      <w:rFonts w:ascii="Georgia" w:eastAsia="Georgia" w:hAnsi="Georgia" w:cs="Georgia"/>
                      <w:b/>
                      <w:color w:val="000000"/>
                      <w:sz w:val="16"/>
                      <w:lang w:eastAsia="fr-BE"/>
                    </w:rPr>
                    <w:t>Destinataires de la circulaire</w:t>
                  </w:r>
                  <w:r>
                    <w:rPr>
                      <w:rFonts w:ascii="Georgia" w:eastAsia="Georgia" w:hAnsi="Georgia" w:cs="Georgia"/>
                      <w:color w:val="000000"/>
                      <w:sz w:val="16"/>
                      <w:lang w:eastAsia="fr-BE"/>
                    </w:rPr>
                    <w:t xml:space="preserve"> </w:t>
                  </w:r>
                </w:p>
                <w:p>
                  <w:pPr>
                    <w:spacing w:line="259" w:lineRule="auto"/>
                    <w:ind w:left="3733"/>
                    <w:rPr>
                      <w:rFonts w:ascii="Calibri" w:eastAsia="Calibri" w:hAnsi="Calibri" w:cs="Calibri"/>
                      <w:color w:val="000000"/>
                      <w:lang w:eastAsia="fr-BE"/>
                    </w:rPr>
                  </w:pPr>
                  <w:r>
                    <w:rPr>
                      <w:rFonts w:ascii="Georgia" w:eastAsia="Georgia" w:hAnsi="Georgia" w:cs="Georgia"/>
                      <w:color w:val="000000"/>
                      <w:sz w:val="16"/>
                      <w:lang w:eastAsia="fr-BE"/>
                    </w:rPr>
                    <w:t xml:space="preserve"> </w:t>
                  </w:r>
                </w:p>
                <w:p>
                  <w:pPr>
                    <w:tabs>
                      <w:tab w:val="center" w:pos="3786"/>
                      <w:tab w:val="center" w:pos="6080"/>
                    </w:tabs>
                    <w:spacing w:after="4" w:line="248" w:lineRule="auto"/>
                    <w:rPr>
                      <w:rFonts w:ascii="Calibri" w:eastAsia="Calibri" w:hAnsi="Calibri" w:cs="Calibri"/>
                      <w:color w:val="000000"/>
                      <w:lang w:eastAsia="fr-BE"/>
                    </w:rPr>
                  </w:pPr>
                  <w:r>
                    <w:rPr>
                      <w:rFonts w:ascii="Calibri" w:eastAsia="Calibri" w:hAnsi="Calibri" w:cs="Calibri"/>
                      <w:color w:val="000000"/>
                      <w:lang w:eastAsia="fr-BE"/>
                    </w:rPr>
                    <w:tab/>
                  </w:r>
                  <w:r>
                    <w:rPr>
                      <w:rFonts w:ascii="Georgia" w:eastAsia="Georgia" w:hAnsi="Georgia" w:cs="Georgia"/>
                      <w:color w:val="000000"/>
                      <w:sz w:val="16"/>
                      <w:lang w:eastAsia="fr-BE"/>
                    </w:rPr>
                    <w:t xml:space="preserve">A </w:t>
                  </w:r>
                  <w:r>
                    <w:rPr>
                      <w:rFonts w:ascii="Georgia" w:eastAsia="Georgia" w:hAnsi="Georgia" w:cs="Georgia"/>
                      <w:color w:val="000000"/>
                      <w:sz w:val="16"/>
                      <w:lang w:eastAsia="fr-BE"/>
                    </w:rPr>
                    <w:tab/>
                    <w:t xml:space="preserve">Madame la Ministre chargée de l’Education, </w:t>
                  </w:r>
                </w:p>
                <w:p>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 Madame la Ministre-Présidente, Membre du Collège de la Commission communautaire française, chargée de l’Enseignement, </w:t>
                  </w:r>
                </w:p>
                <w:p>
                  <w:pPr>
                    <w:tabs>
                      <w:tab w:val="center" w:pos="3833"/>
                      <w:tab w:val="center" w:pos="5180"/>
                    </w:tabs>
                    <w:spacing w:line="259" w:lineRule="auto"/>
                    <w:rPr>
                      <w:rFonts w:ascii="Calibri" w:eastAsia="Calibri" w:hAnsi="Calibri" w:cs="Calibri"/>
                      <w:color w:val="000000"/>
                      <w:lang w:eastAsia="fr-BE"/>
                    </w:rPr>
                  </w:pPr>
                  <w:r>
                    <w:rPr>
                      <w:rFonts w:ascii="Calibri" w:eastAsia="Calibri" w:hAnsi="Calibri" w:cs="Calibri"/>
                      <w:color w:val="000000"/>
                      <w:lang w:eastAsia="fr-BE"/>
                    </w:rPr>
                    <w:tab/>
                  </w:r>
                  <w:r>
                    <w:rPr>
                      <w:rFonts w:ascii="Georgia" w:eastAsia="Georgia" w:hAnsi="Georgia" w:cs="Georgia"/>
                      <w:color w:val="000000"/>
                      <w:sz w:val="16"/>
                      <w:lang w:eastAsia="fr-BE"/>
                    </w:rPr>
                    <w:t xml:space="preserve">Au </w:t>
                  </w:r>
                  <w:r>
                    <w:rPr>
                      <w:rFonts w:ascii="Georgia" w:eastAsia="Georgia" w:hAnsi="Georgia" w:cs="Georgia"/>
                      <w:color w:val="000000"/>
                      <w:sz w:val="16"/>
                      <w:lang w:eastAsia="fr-BE"/>
                    </w:rPr>
                    <w:tab/>
                    <w:t xml:space="preserve">Collège provincial, </w:t>
                  </w:r>
                </w:p>
                <w:p>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 Mesdames et Messieurs les Bourgmestres et Echevin-e-s de l’Instruction publique, </w:t>
                  </w:r>
                </w:p>
                <w:p>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Aux Chefs d’établissement des écoles organisées ou subventionnées par la Fédération Wallonie-Bruxelles, d’enseignement spécialisé, maternel, primaire, fondamental, secondaire, de plein exercice ou en alternance, </w:t>
                  </w:r>
                </w:p>
                <w:p>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Aux Pouvoirs organisateurs des écoles subventionnées par la Fédération Wallonie-Bruxelles, d’enseignement spécialisé maternel, primaire, fondamental, secondaire, de plein exercice ou en alternance, </w:t>
                  </w:r>
                </w:p>
                <w:p>
                  <w:pPr>
                    <w:tabs>
                      <w:tab w:val="center" w:pos="3874"/>
                      <w:tab w:val="center" w:pos="4838"/>
                      <w:tab w:val="center" w:pos="5832"/>
                      <w:tab w:val="center" w:pos="6632"/>
                      <w:tab w:val="right" w:pos="9245"/>
                    </w:tabs>
                    <w:spacing w:after="4" w:line="248" w:lineRule="auto"/>
                    <w:rPr>
                      <w:rFonts w:ascii="Calibri" w:eastAsia="Calibri" w:hAnsi="Calibri" w:cs="Calibri"/>
                      <w:color w:val="000000"/>
                      <w:lang w:eastAsia="fr-BE"/>
                    </w:rPr>
                  </w:pPr>
                  <w:r>
                    <w:rPr>
                      <w:rFonts w:ascii="Calibri" w:eastAsia="Calibri" w:hAnsi="Calibri" w:cs="Calibri"/>
                      <w:color w:val="000000"/>
                      <w:lang w:eastAsia="fr-BE"/>
                    </w:rPr>
                    <w:tab/>
                  </w:r>
                  <w:r>
                    <w:rPr>
                      <w:rFonts w:ascii="Georgia" w:eastAsia="Georgia" w:hAnsi="Georgia" w:cs="Georgia"/>
                      <w:color w:val="000000"/>
                      <w:sz w:val="16"/>
                      <w:lang w:eastAsia="fr-BE"/>
                    </w:rPr>
                    <w:t xml:space="preserve">Aux  </w:t>
                  </w:r>
                  <w:r>
                    <w:rPr>
                      <w:rFonts w:ascii="Georgia" w:eastAsia="Georgia" w:hAnsi="Georgia" w:cs="Georgia"/>
                      <w:color w:val="000000"/>
                      <w:sz w:val="16"/>
                      <w:lang w:eastAsia="fr-BE"/>
                    </w:rPr>
                    <w:tab/>
                    <w:t xml:space="preserve">Pouvoirs </w:t>
                  </w:r>
                  <w:r>
                    <w:rPr>
                      <w:rFonts w:ascii="Georgia" w:eastAsia="Georgia" w:hAnsi="Georgia" w:cs="Georgia"/>
                      <w:color w:val="000000"/>
                      <w:sz w:val="16"/>
                      <w:lang w:eastAsia="fr-BE"/>
                    </w:rPr>
                    <w:tab/>
                    <w:t xml:space="preserve">organisateurs </w:t>
                  </w:r>
                  <w:r>
                    <w:rPr>
                      <w:rFonts w:ascii="Georgia" w:eastAsia="Georgia" w:hAnsi="Georgia" w:cs="Georgia"/>
                      <w:color w:val="000000"/>
                      <w:sz w:val="16"/>
                      <w:lang w:eastAsia="fr-BE"/>
                    </w:rPr>
                    <w:tab/>
                    <w:t xml:space="preserve">des </w:t>
                  </w:r>
                  <w:r>
                    <w:rPr>
                      <w:rFonts w:ascii="Georgia" w:eastAsia="Georgia" w:hAnsi="Georgia" w:cs="Georgia"/>
                      <w:color w:val="000000"/>
                      <w:sz w:val="16"/>
                      <w:lang w:eastAsia="fr-BE"/>
                    </w:rPr>
                    <w:tab/>
                    <w:t xml:space="preserve">Centres-Psycho-Médico-Sociaux </w:t>
                  </w:r>
                </w:p>
                <w:p>
                  <w:pPr>
                    <w:spacing w:after="4" w:line="248" w:lineRule="auto"/>
                    <w:ind w:left="4525"/>
                    <w:rPr>
                      <w:rFonts w:ascii="Calibri" w:eastAsia="Calibri" w:hAnsi="Calibri" w:cs="Calibri"/>
                      <w:color w:val="000000"/>
                      <w:lang w:eastAsia="fr-BE"/>
                    </w:rPr>
                  </w:pPr>
                  <w:r>
                    <w:rPr>
                      <w:rFonts w:ascii="Georgia" w:eastAsia="Georgia" w:hAnsi="Georgia" w:cs="Georgia"/>
                      <w:color w:val="000000"/>
                      <w:sz w:val="16"/>
                      <w:lang w:eastAsia="fr-BE"/>
                    </w:rPr>
                    <w:t xml:space="preserve">ordinaires </w:t>
                  </w:r>
                  <w:r>
                    <w:rPr>
                      <w:rFonts w:ascii="Georgia" w:eastAsia="Georgia" w:hAnsi="Georgia" w:cs="Georgia"/>
                      <w:color w:val="000000"/>
                      <w:sz w:val="16"/>
                      <w:lang w:eastAsia="fr-BE"/>
                    </w:rPr>
                    <w:tab/>
                    <w:t xml:space="preserve">et </w:t>
                  </w:r>
                  <w:r>
                    <w:rPr>
                      <w:rFonts w:ascii="Georgia" w:eastAsia="Georgia" w:hAnsi="Georgia" w:cs="Georgia"/>
                      <w:color w:val="000000"/>
                      <w:sz w:val="16"/>
                      <w:lang w:eastAsia="fr-BE"/>
                    </w:rPr>
                    <w:tab/>
                    <w:t xml:space="preserve">spécialisés </w:t>
                  </w:r>
                  <w:r>
                    <w:rPr>
                      <w:rFonts w:ascii="Georgia" w:eastAsia="Georgia" w:hAnsi="Georgia" w:cs="Georgia"/>
                      <w:color w:val="000000"/>
                      <w:sz w:val="16"/>
                      <w:lang w:eastAsia="fr-BE"/>
                    </w:rPr>
                    <w:tab/>
                    <w:t xml:space="preserve">subventionnés </w:t>
                  </w:r>
                  <w:r>
                    <w:rPr>
                      <w:rFonts w:ascii="Georgia" w:eastAsia="Georgia" w:hAnsi="Georgia" w:cs="Georgia"/>
                      <w:color w:val="000000"/>
                      <w:sz w:val="16"/>
                      <w:lang w:eastAsia="fr-BE"/>
                    </w:rPr>
                    <w:tab/>
                    <w:t xml:space="preserve">par </w:t>
                  </w:r>
                  <w:r>
                    <w:rPr>
                      <w:rFonts w:ascii="Georgia" w:eastAsia="Georgia" w:hAnsi="Georgia" w:cs="Georgia"/>
                      <w:color w:val="000000"/>
                      <w:sz w:val="16"/>
                      <w:lang w:eastAsia="fr-BE"/>
                    </w:rPr>
                    <w:tab/>
                    <w:t xml:space="preserve">la </w:t>
                  </w:r>
                  <w:r>
                    <w:rPr>
                      <w:rFonts w:ascii="Georgia" w:eastAsia="Georgia" w:hAnsi="Georgia" w:cs="Georgia"/>
                      <w:color w:val="000000"/>
                      <w:sz w:val="16"/>
                      <w:lang w:eastAsia="fr-BE"/>
                    </w:rPr>
                    <w:tab/>
                    <w:t xml:space="preserve">Fédération Wallonie-Bruxelles, </w:t>
                  </w:r>
                </w:p>
                <w:p>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Aux    Directions des Centres-Psycho-Médico-Sociaux ordinaires et spécialisés, organisés par la Fédération Wallonie-Bruxelles ainsi qu’aux organismes agréés, </w:t>
                  </w:r>
                </w:p>
                <w:p>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Aux Aux Présidents et Secrétaires des Commissions consultatives de l’Enseignement spécialisé. </w:t>
                  </w:r>
                </w:p>
                <w:p>
                  <w:pPr>
                    <w:spacing w:line="259" w:lineRule="auto"/>
                    <w:ind w:left="3733"/>
                    <w:rPr>
                      <w:rFonts w:ascii="Calibri" w:eastAsia="Calibri" w:hAnsi="Calibri" w:cs="Calibri"/>
                      <w:color w:val="000000"/>
                      <w:lang w:eastAsia="fr-BE"/>
                    </w:rPr>
                  </w:pPr>
                  <w:r>
                    <w:rPr>
                      <w:rFonts w:ascii="Georgia" w:eastAsia="Georgia" w:hAnsi="Georgia" w:cs="Georgia"/>
                      <w:color w:val="000000"/>
                      <w:sz w:val="16"/>
                      <w:lang w:eastAsia="fr-BE"/>
                    </w:rPr>
                    <w:t xml:space="preserve"> </w:t>
                  </w:r>
                </w:p>
                <w:p>
                  <w:pPr>
                    <w:spacing w:line="259" w:lineRule="auto"/>
                    <w:ind w:right="228"/>
                    <w:jc w:val="center"/>
                    <w:rPr>
                      <w:rFonts w:ascii="Calibri" w:eastAsia="Calibri" w:hAnsi="Calibri" w:cs="Calibri"/>
                      <w:color w:val="000000"/>
                      <w:lang w:eastAsia="fr-BE"/>
                    </w:rPr>
                  </w:pPr>
                  <w:r>
                    <w:rPr>
                      <w:rFonts w:ascii="Georgia" w:eastAsia="Georgia" w:hAnsi="Georgia" w:cs="Georgia"/>
                      <w:b/>
                      <w:color w:val="000000"/>
                      <w:sz w:val="16"/>
                      <w:u w:val="single" w:color="000000"/>
                      <w:lang w:eastAsia="fr-BE"/>
                    </w:rPr>
                    <w:t>Pour information</w:t>
                  </w:r>
                  <w:r>
                    <w:rPr>
                      <w:rFonts w:ascii="Georgia" w:eastAsia="Georgia" w:hAnsi="Georgia" w:cs="Georgia"/>
                      <w:b/>
                      <w:color w:val="000000"/>
                      <w:sz w:val="16"/>
                      <w:lang w:eastAsia="fr-BE"/>
                    </w:rPr>
                    <w:t xml:space="preserve"> : </w:t>
                  </w:r>
                </w:p>
                <w:p>
                  <w:pPr>
                    <w:spacing w:line="259" w:lineRule="auto"/>
                    <w:ind w:left="3733"/>
                    <w:rPr>
                      <w:rFonts w:ascii="Calibri" w:eastAsia="Calibri" w:hAnsi="Calibri" w:cs="Calibri"/>
                      <w:color w:val="000000"/>
                      <w:lang w:eastAsia="fr-BE"/>
                    </w:rPr>
                  </w:pPr>
                  <w:r>
                    <w:rPr>
                      <w:rFonts w:ascii="Georgia" w:eastAsia="Georgia" w:hAnsi="Georgia" w:cs="Georgia"/>
                      <w:b/>
                      <w:color w:val="000000"/>
                      <w:sz w:val="16"/>
                      <w:lang w:eastAsia="fr-BE"/>
                    </w:rPr>
                    <w:t xml:space="preserve"> </w:t>
                  </w:r>
                </w:p>
                <w:p>
                  <w:pPr>
                    <w:spacing w:after="4" w:line="248" w:lineRule="auto"/>
                    <w:ind w:left="4520" w:hanging="802"/>
                    <w:rPr>
                      <w:rFonts w:ascii="Calibri" w:eastAsia="Calibri" w:hAnsi="Calibri" w:cs="Calibri"/>
                      <w:color w:val="000000"/>
                      <w:lang w:eastAsia="fr-BE"/>
                    </w:rPr>
                  </w:pPr>
                  <w:r>
                    <w:rPr>
                      <w:rFonts w:ascii="Calibri" w:eastAsia="Calibri" w:hAnsi="Calibri" w:cs="Calibri"/>
                      <w:noProof/>
                      <w:color w:val="000000"/>
                      <w:lang w:eastAsia="fr-BE"/>
                    </w:rPr>
                    <w:drawing>
                      <wp:anchor distT="0" distB="0" distL="114300" distR="114300" simplePos="0" relativeHeight="252030976" behindDoc="1" locked="0" layoutInCell="1" allowOverlap="0">
                        <wp:simplePos x="0" y="0"/>
                        <wp:positionH relativeFrom="column">
                          <wp:posOffset>-78536</wp:posOffset>
                        </wp:positionH>
                        <wp:positionV relativeFrom="paragraph">
                          <wp:posOffset>-3259949</wp:posOffset>
                        </wp:positionV>
                        <wp:extent cx="6708648" cy="6053328"/>
                        <wp:effectExtent l="0" t="0" r="0" b="0"/>
                        <wp:wrapNone/>
                        <wp:docPr id="5556" name="Picture 5556"/>
                        <wp:cNvGraphicFramePr/>
                        <a:graphic xmlns:a="http://schemas.openxmlformats.org/drawingml/2006/main">
                          <a:graphicData uri="http://schemas.openxmlformats.org/drawingml/2006/picture">
                            <pic:pic xmlns:pic="http://schemas.openxmlformats.org/drawingml/2006/picture">
                              <pic:nvPicPr>
                                <pic:cNvPr id="5556" name="Picture 5556"/>
                                <pic:cNvPicPr/>
                              </pic:nvPicPr>
                              <pic:blipFill>
                                <a:blip r:embed="rId219"/>
                                <a:stretch>
                                  <a:fillRect/>
                                </a:stretch>
                              </pic:blipFill>
                              <pic:spPr>
                                <a:xfrm>
                                  <a:off x="0" y="0"/>
                                  <a:ext cx="6708648" cy="6053328"/>
                                </a:xfrm>
                                <a:prstGeom prst="rect">
                                  <a:avLst/>
                                </a:prstGeom>
                              </pic:spPr>
                            </pic:pic>
                          </a:graphicData>
                        </a:graphic>
                      </wp:anchor>
                    </w:drawing>
                  </w:r>
                  <w:r>
                    <w:rPr>
                      <w:rFonts w:ascii="Georgia" w:eastAsia="Georgia" w:hAnsi="Georgia" w:cs="Georgia"/>
                      <w:color w:val="000000"/>
                      <w:sz w:val="16"/>
                      <w:lang w:eastAsia="fr-BE"/>
                    </w:rPr>
                    <w:t xml:space="preserve">Aux Chefs d’établissement des écoles organisées ou subventionnées par la Fédération Wallonie-Bruxelles, d’enseignement ordinaire, maternel, primaire, fondamental, secondaire, de plein exercice ou en alternance, </w:t>
                  </w:r>
                </w:p>
                <w:p>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Aux Pouvoirs organisateurs des écoles subventionnées par la Fédération Wallonie-Bruxelles, d’enseignement ordinaire maternel, primaire, fondamental, secondaire, de plein exercice ou en alternance, </w:t>
                  </w:r>
                </w:p>
                <w:p>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Aux     Membres du Service général de l'Inspection de l’enseignement    spécialisé, maternel, primaire, fondamental, secondaire, de plein exercice ou en alternance, </w:t>
                  </w:r>
                </w:p>
                <w:p>
                  <w:pPr>
                    <w:spacing w:line="259" w:lineRule="auto"/>
                    <w:ind w:left="1955" w:hanging="10"/>
                    <w:jc w:val="center"/>
                    <w:rPr>
                      <w:rFonts w:ascii="Calibri" w:eastAsia="Calibri" w:hAnsi="Calibri" w:cs="Calibri"/>
                      <w:color w:val="000000"/>
                      <w:lang w:eastAsia="fr-BE"/>
                    </w:rPr>
                  </w:pPr>
                  <w:r>
                    <w:rPr>
                      <w:rFonts w:ascii="Georgia" w:eastAsia="Georgia" w:hAnsi="Georgia" w:cs="Georgia"/>
                      <w:color w:val="000000"/>
                      <w:sz w:val="16"/>
                      <w:lang w:eastAsia="fr-BE"/>
                    </w:rPr>
                    <w:t xml:space="preserve">Aux            Vérificateurs de l'enseignement spécialisé, </w:t>
                  </w:r>
                </w:p>
                <w:p>
                  <w:pPr>
                    <w:spacing w:line="259" w:lineRule="auto"/>
                    <w:ind w:left="1955" w:right="291" w:hanging="10"/>
                    <w:jc w:val="center"/>
                    <w:rPr>
                      <w:rFonts w:ascii="Calibri" w:eastAsia="Calibri" w:hAnsi="Calibri" w:cs="Calibri"/>
                      <w:color w:val="000000"/>
                      <w:lang w:eastAsia="fr-BE"/>
                    </w:rPr>
                  </w:pPr>
                  <w:r>
                    <w:rPr>
                      <w:rFonts w:ascii="Georgia" w:eastAsia="Georgia" w:hAnsi="Georgia" w:cs="Georgia"/>
                      <w:color w:val="000000"/>
                      <w:sz w:val="16"/>
                      <w:lang w:eastAsia="fr-BE"/>
                    </w:rPr>
                    <w:t xml:space="preserve">Aux            Fédérations d’associations de parents, </w:t>
                  </w:r>
                </w:p>
                <w:p>
                  <w:pPr>
                    <w:spacing w:after="4" w:line="248" w:lineRule="auto"/>
                    <w:ind w:left="3718"/>
                    <w:rPr>
                      <w:rFonts w:ascii="Calibri" w:eastAsia="Calibri" w:hAnsi="Calibri" w:cs="Calibri"/>
                      <w:color w:val="000000"/>
                      <w:lang w:eastAsia="fr-BE"/>
                    </w:rPr>
                  </w:pPr>
                  <w:r>
                    <w:rPr>
                      <w:rFonts w:ascii="Georgia" w:eastAsia="Georgia" w:hAnsi="Georgia" w:cs="Georgia"/>
                      <w:color w:val="000000"/>
                      <w:sz w:val="16"/>
                      <w:lang w:eastAsia="fr-BE"/>
                    </w:rPr>
                    <w:t xml:space="preserve">Aux            Organes de représentation et de coordination des Pouvoirs  </w:t>
                  </w:r>
                </w:p>
                <w:p>
                  <w:pPr>
                    <w:spacing w:line="259" w:lineRule="auto"/>
                    <w:ind w:left="1955" w:right="1910" w:hanging="10"/>
                    <w:jc w:val="center"/>
                    <w:rPr>
                      <w:rFonts w:ascii="Calibri" w:eastAsia="Calibri" w:hAnsi="Calibri" w:cs="Calibri"/>
                      <w:color w:val="000000"/>
                      <w:lang w:eastAsia="fr-BE"/>
                    </w:rPr>
                  </w:pPr>
                  <w:r>
                    <w:rPr>
                      <w:rFonts w:ascii="Georgia" w:eastAsia="Georgia" w:hAnsi="Georgia" w:cs="Georgia"/>
                      <w:color w:val="000000"/>
                      <w:sz w:val="16"/>
                      <w:lang w:eastAsia="fr-BE"/>
                    </w:rPr>
                    <w:t xml:space="preserve">                    Organisateurs, </w:t>
                  </w:r>
                </w:p>
                <w:p>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Au </w:t>
                  </w:r>
                  <w:r>
                    <w:rPr>
                      <w:rFonts w:ascii="Georgia" w:eastAsia="Georgia" w:hAnsi="Georgia" w:cs="Georgia"/>
                      <w:color w:val="000000"/>
                      <w:sz w:val="16"/>
                      <w:lang w:eastAsia="fr-BE"/>
                    </w:rPr>
                    <w:tab/>
                    <w:t xml:space="preserve">Service général de l’Enseignement organisé par la Fédération Wallonie-Bruxelles, </w:t>
                  </w:r>
                </w:p>
                <w:p>
                  <w:pPr>
                    <w:spacing w:line="237" w:lineRule="auto"/>
                    <w:ind w:left="3733" w:right="99"/>
                    <w:rPr>
                      <w:rFonts w:ascii="Calibri" w:eastAsia="Calibri" w:hAnsi="Calibri" w:cs="Calibri"/>
                      <w:color w:val="000000"/>
                      <w:lang w:eastAsia="fr-BE"/>
                    </w:rPr>
                  </w:pPr>
                  <w:r>
                    <w:rPr>
                      <w:rFonts w:ascii="Georgia" w:eastAsia="Georgia" w:hAnsi="Georgia" w:cs="Georgia"/>
                      <w:color w:val="000000"/>
                      <w:sz w:val="16"/>
                      <w:lang w:eastAsia="fr-BE"/>
                    </w:rPr>
                    <w:t xml:space="preserve">Aux            Membres du Conseil supérieur de l'enseignement spécialisé, Aux            Membres du Conseil général de concertation pour  l'enseignement                     spécialisé. </w:t>
                  </w:r>
                </w:p>
                <w:p>
                  <w:pPr>
                    <w:spacing w:line="259" w:lineRule="auto"/>
                    <w:ind w:left="1955" w:right="1184" w:hanging="10"/>
                    <w:jc w:val="center"/>
                    <w:rPr>
                      <w:rFonts w:ascii="Calibri" w:eastAsia="Calibri" w:hAnsi="Calibri" w:cs="Calibri"/>
                      <w:color w:val="000000"/>
                      <w:lang w:eastAsia="fr-BE"/>
                    </w:rPr>
                  </w:pPr>
                  <w:r>
                    <w:rPr>
                      <w:rFonts w:ascii="Georgia" w:eastAsia="Georgia" w:hAnsi="Georgia" w:cs="Georgia"/>
                      <w:color w:val="000000"/>
                      <w:sz w:val="16"/>
                      <w:lang w:eastAsia="fr-BE"/>
                    </w:rPr>
                    <w:t xml:space="preserve">Aux            Organisations syndicales, </w:t>
                  </w:r>
                </w:p>
                <w:tbl>
                  <w:tblPr>
                    <w:tblStyle w:val="TableGrid1"/>
                    <w:tblpPr w:leftFromText="141" w:rightFromText="141" w:vertAnchor="text" w:horzAnchor="margin" w:tblpY="751"/>
                    <w:tblOverlap w:val="never"/>
                    <w:tblW w:w="6402" w:type="dxa"/>
                    <w:tblInd w:w="0" w:type="dxa"/>
                    <w:tblLook w:val="04A0" w:firstRow="1" w:lastRow="0" w:firstColumn="1" w:lastColumn="0" w:noHBand="0" w:noVBand="1"/>
                  </w:tblPr>
                  <w:tblGrid>
                    <w:gridCol w:w="2079"/>
                    <w:gridCol w:w="4323"/>
                  </w:tblGrid>
                  <w:tr>
                    <w:trPr>
                      <w:trHeight w:val="1118"/>
                    </w:trPr>
                    <w:tc>
                      <w:tcPr>
                        <w:tcW w:w="2079" w:type="dxa"/>
                      </w:tcPr>
                      <w:p>
                        <w:pPr>
                          <w:rPr>
                            <w:rFonts w:ascii="Calibri" w:eastAsia="Calibri" w:hAnsi="Calibri" w:cs="Calibri"/>
                            <w:color w:val="000000"/>
                          </w:rPr>
                        </w:pPr>
                        <w:r>
                          <w:rPr>
                            <w:rFonts w:ascii="Georgia" w:eastAsia="Georgia" w:hAnsi="Georgia" w:cs="Georgia"/>
                            <w:color w:val="000000"/>
                            <w:sz w:val="20"/>
                          </w:rPr>
                          <w:t xml:space="preserve">Ministre / </w:t>
                        </w:r>
                      </w:p>
                      <w:p>
                        <w:pPr>
                          <w:rPr>
                            <w:rFonts w:ascii="Calibri" w:eastAsia="Calibri" w:hAnsi="Calibri" w:cs="Calibri"/>
                            <w:color w:val="000000"/>
                          </w:rPr>
                        </w:pPr>
                        <w:r>
                          <w:rPr>
                            <w:rFonts w:ascii="Georgia" w:eastAsia="Georgia" w:hAnsi="Georgia" w:cs="Georgia"/>
                            <w:color w:val="000000"/>
                            <w:sz w:val="20"/>
                          </w:rPr>
                          <w:t xml:space="preserve">Administration : </w:t>
                        </w:r>
                      </w:p>
                    </w:tc>
                    <w:tc>
                      <w:tcPr>
                        <w:tcW w:w="4323" w:type="dxa"/>
                      </w:tcPr>
                      <w:p>
                        <w:pPr>
                          <w:rPr>
                            <w:rFonts w:ascii="Calibri" w:eastAsia="Calibri" w:hAnsi="Calibri" w:cs="Calibri"/>
                            <w:color w:val="000000"/>
                          </w:rPr>
                        </w:pPr>
                        <w:r>
                          <w:rPr>
                            <w:rFonts w:ascii="Georgia" w:eastAsia="Georgia" w:hAnsi="Georgia" w:cs="Georgia"/>
                            <w:color w:val="000000"/>
                            <w:sz w:val="20"/>
                          </w:rPr>
                          <w:t xml:space="preserve">Administration générale de l’Enseignement  </w:t>
                        </w:r>
                      </w:p>
                      <w:p>
                        <w:pPr>
                          <w:rPr>
                            <w:rFonts w:ascii="Calibri" w:eastAsia="Calibri" w:hAnsi="Calibri" w:cs="Calibri"/>
                            <w:color w:val="000000"/>
                          </w:rPr>
                        </w:pPr>
                        <w:r>
                          <w:rPr>
                            <w:rFonts w:ascii="Georgia" w:eastAsia="Georgia" w:hAnsi="Georgia" w:cs="Georgia"/>
                            <w:noProof/>
                            <w:color w:val="000000"/>
                            <w:sz w:val="16"/>
                          </w:rPr>
                          <mc:AlternateContent>
                            <mc:Choice Requires="wps">
                              <w:drawing>
                                <wp:anchor distT="0" distB="0" distL="114300" distR="114300" simplePos="0" relativeHeight="252032000" behindDoc="1" locked="0" layoutInCell="1" allowOverlap="1">
                                  <wp:simplePos x="0" y="0"/>
                                  <wp:positionH relativeFrom="column">
                                    <wp:posOffset>-1565502</wp:posOffset>
                                  </wp:positionH>
                                  <wp:positionV relativeFrom="paragraph">
                                    <wp:posOffset>237754</wp:posOffset>
                                  </wp:positionV>
                                  <wp:extent cx="6237605" cy="1026871"/>
                                  <wp:effectExtent l="0" t="0" r="0" b="1905"/>
                                  <wp:wrapNone/>
                                  <wp:docPr id="4934" name="Zone de texte 4934"/>
                                  <wp:cNvGraphicFramePr/>
                                  <a:graphic xmlns:a="http://schemas.openxmlformats.org/drawingml/2006/main">
                                    <a:graphicData uri="http://schemas.microsoft.com/office/word/2010/wordprocessingShape">
                                      <wps:wsp>
                                        <wps:cNvSpPr txBox="1"/>
                                        <wps:spPr>
                                          <a:xfrm>
                                            <a:off x="0" y="0"/>
                                            <a:ext cx="6237605" cy="1026871"/>
                                          </a:xfrm>
                                          <a:prstGeom prst="rect">
                                            <a:avLst/>
                                          </a:prstGeom>
                                          <a:solidFill>
                                            <a:sysClr val="window" lastClr="FFFFFF"/>
                                          </a:solidFill>
                                          <a:ln w="6350">
                                            <a:noFill/>
                                          </a:ln>
                                          <a:effectLst/>
                                        </wps:spPr>
                                        <wps:txbx>
                                          <w:txbxContent>
                                            <w:p>
                                              <w:pPr>
                                                <w:rPr>
                                                  <w:b/>
                                                  <w:lang w:eastAsia="fr-BE"/>
                                                </w:rPr>
                                              </w:pPr>
                                              <w:bookmarkStart w:id="3420" w:name="_Toc11422977"/>
                                              <w:bookmarkStart w:id="3421" w:name="_Toc11679700"/>
                                              <w:r>
                                                <w:rPr>
                                                  <w:b/>
                                                  <w:lang w:eastAsia="fr-BE"/>
                                                </w:rPr>
                                                <w:t>Personnes de contact</w:t>
                                              </w:r>
                                              <w:bookmarkEnd w:id="3420"/>
                                              <w:bookmarkEnd w:id="3421"/>
                                              <w:r>
                                                <w:rPr>
                                                  <w:b/>
                                                  <w:lang w:eastAsia="fr-BE"/>
                                                </w:rPr>
                                                <w:t xml:space="preserve"> </w:t>
                                              </w:r>
                                            </w:p>
                                            <w:p>
                                              <w:pPr>
                                                <w:spacing w:line="259" w:lineRule="auto"/>
                                                <w:ind w:left="542"/>
                                                <w:rPr>
                                                  <w:rFonts w:ascii="Calibri" w:eastAsia="Calibri" w:hAnsi="Calibri" w:cs="Calibri"/>
                                                  <w:color w:val="000000"/>
                                                  <w:lang w:eastAsia="fr-BE"/>
                                                </w:rPr>
                                              </w:pPr>
                                              <w:r>
                                                <w:rPr>
                                                  <w:rFonts w:ascii="Georgia" w:eastAsia="Georgia" w:hAnsi="Georgia" w:cs="Georgia"/>
                                                  <w:color w:val="000000"/>
                                                  <w:sz w:val="20"/>
                                                  <w:lang w:eastAsia="fr-BE"/>
                                                </w:rPr>
                                                <w:t xml:space="preserve">Service  ou Association : Service de l’Enseignement spécialisé   </w:t>
                                              </w:r>
                                            </w:p>
                                            <w:tbl>
                                              <w:tblPr>
                                                <w:tblStyle w:val="TableGrid1"/>
                                                <w:tblW w:w="8757" w:type="dxa"/>
                                                <w:tblInd w:w="661" w:type="dxa"/>
                                                <w:tblCellMar>
                                                  <w:top w:w="34" w:type="dxa"/>
                                                  <w:left w:w="107" w:type="dxa"/>
                                                  <w:right w:w="115" w:type="dxa"/>
                                                </w:tblCellMar>
                                                <w:tblLook w:val="04A0" w:firstRow="1" w:lastRow="0" w:firstColumn="1" w:lastColumn="0" w:noHBand="0" w:noVBand="1"/>
                                              </w:tblPr>
                                              <w:tblGrid>
                                                <w:gridCol w:w="3072"/>
                                                <w:gridCol w:w="1961"/>
                                                <w:gridCol w:w="3724"/>
                                              </w:tblGrid>
                                              <w:tr>
                                                <w:trPr>
                                                  <w:trHeight w:val="234"/>
                                                </w:trPr>
                                                <w:tc>
                                                  <w:tcPr>
                                                    <w:tcW w:w="3071" w:type="dxa"/>
                                                    <w:tcBorders>
                                                      <w:top w:val="dashed" w:sz="4" w:space="0" w:color="000000"/>
                                                      <w:left w:val="dashed" w:sz="4" w:space="0" w:color="000000"/>
                                                      <w:bottom w:val="dashed" w:sz="4" w:space="0" w:color="000000"/>
                                                      <w:right w:val="dashed" w:sz="4" w:space="0" w:color="000000"/>
                                                    </w:tcBorders>
                                                    <w:shd w:val="clear" w:color="auto" w:fill="E0E0E0"/>
                                                  </w:tcPr>
                                                  <w:p>
                                                    <w:pPr>
                                                      <w:rPr>
                                                        <w:rFonts w:ascii="Calibri" w:eastAsia="Calibri" w:hAnsi="Calibri" w:cs="Calibri"/>
                                                        <w:color w:val="000000"/>
                                                      </w:rPr>
                                                    </w:pPr>
                                                    <w:r>
                                                      <w:rPr>
                                                        <w:rFonts w:ascii="Georgia" w:eastAsia="Georgia" w:hAnsi="Georgia" w:cs="Georgia"/>
                                                        <w:color w:val="000000"/>
                                                        <w:sz w:val="20"/>
                                                      </w:rPr>
                                                      <w:t xml:space="preserve">Nom et prénom  </w:t>
                                                    </w:r>
                                                  </w:p>
                                                </w:tc>
                                                <w:tc>
                                                  <w:tcPr>
                                                    <w:tcW w:w="1961" w:type="dxa"/>
                                                    <w:tcBorders>
                                                      <w:top w:val="dashed" w:sz="4" w:space="0" w:color="000000"/>
                                                      <w:left w:val="dashed" w:sz="4" w:space="0" w:color="000000"/>
                                                      <w:bottom w:val="dashed" w:sz="4" w:space="0" w:color="000000"/>
                                                      <w:right w:val="dashed" w:sz="4" w:space="0" w:color="000000"/>
                                                    </w:tcBorders>
                                                    <w:shd w:val="clear" w:color="auto" w:fill="E0E0E0"/>
                                                  </w:tcPr>
                                                  <w:p>
                                                    <w:pPr>
                                                      <w:ind w:left="1"/>
                                                      <w:rPr>
                                                        <w:rFonts w:ascii="Calibri" w:eastAsia="Calibri" w:hAnsi="Calibri" w:cs="Calibri"/>
                                                        <w:color w:val="000000"/>
                                                      </w:rPr>
                                                    </w:pPr>
                                                    <w:r>
                                                      <w:rPr>
                                                        <w:rFonts w:ascii="Georgia" w:eastAsia="Georgia" w:hAnsi="Georgia" w:cs="Georgia"/>
                                                        <w:color w:val="000000"/>
                                                        <w:sz w:val="20"/>
                                                      </w:rPr>
                                                      <w:t xml:space="preserve">Téléphone </w:t>
                                                    </w:r>
                                                  </w:p>
                                                </w:tc>
                                                <w:tc>
                                                  <w:tcPr>
                                                    <w:tcW w:w="3724" w:type="dxa"/>
                                                    <w:tcBorders>
                                                      <w:top w:val="dashed" w:sz="4" w:space="0" w:color="000000"/>
                                                      <w:left w:val="dashed" w:sz="4" w:space="0" w:color="000000"/>
                                                      <w:bottom w:val="dashed" w:sz="4" w:space="0" w:color="000000"/>
                                                      <w:right w:val="dashed" w:sz="4" w:space="0" w:color="000000"/>
                                                    </w:tcBorders>
                                                    <w:shd w:val="clear" w:color="auto" w:fill="E0E0E0"/>
                                                  </w:tcPr>
                                                  <w:p>
                                                    <w:pPr>
                                                      <w:ind w:left="1"/>
                                                      <w:rPr>
                                                        <w:rFonts w:ascii="Calibri" w:eastAsia="Calibri" w:hAnsi="Calibri" w:cs="Calibri"/>
                                                        <w:color w:val="000000"/>
                                                      </w:rPr>
                                                    </w:pPr>
                                                    <w:r>
                                                      <w:rPr>
                                                        <w:rFonts w:ascii="Georgia" w:eastAsia="Georgia" w:hAnsi="Georgia" w:cs="Georgia"/>
                                                        <w:color w:val="000000"/>
                                                        <w:sz w:val="20"/>
                                                      </w:rPr>
                                                      <w:t xml:space="preserve">Email </w:t>
                                                    </w:r>
                                                  </w:p>
                                                </w:tc>
                                              </w:tr>
                                              <w:tr>
                                                <w:trPr>
                                                  <w:trHeight w:val="239"/>
                                                </w:trPr>
                                                <w:tc>
                                                  <w:tcPr>
                                                    <w:tcW w:w="3071" w:type="dxa"/>
                                                    <w:tcBorders>
                                                      <w:top w:val="dashed" w:sz="4" w:space="0" w:color="000000"/>
                                                      <w:left w:val="dashed" w:sz="4" w:space="0" w:color="000000"/>
                                                      <w:bottom w:val="dashed" w:sz="4" w:space="0" w:color="000000"/>
                                                      <w:right w:val="dashed" w:sz="4" w:space="0" w:color="000000"/>
                                                    </w:tcBorders>
                                                  </w:tcPr>
                                                  <w:p>
                                                    <w:pPr>
                                                      <w:rPr>
                                                        <w:rFonts w:ascii="Calibri" w:eastAsia="Calibri" w:hAnsi="Calibri" w:cs="Calibri"/>
                                                        <w:color w:val="000000"/>
                                                      </w:rPr>
                                                    </w:pPr>
                                                    <w:r>
                                                      <w:rPr>
                                                        <w:rFonts w:ascii="Georgia" w:eastAsia="Georgia" w:hAnsi="Georgia" w:cs="Georgia"/>
                                                        <w:color w:val="000000"/>
                                                        <w:sz w:val="20"/>
                                                      </w:rPr>
                                                      <w:t xml:space="preserve">FUCHS William </w:t>
                                                    </w:r>
                                                  </w:p>
                                                </w:tc>
                                                <w:tc>
                                                  <w:tcPr>
                                                    <w:tcW w:w="1961"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rPr>
                                                      <w:t xml:space="preserve">02/690.83.94 </w:t>
                                                    </w:r>
                                                  </w:p>
                                                </w:tc>
                                                <w:tc>
                                                  <w:tcPr>
                                                    <w:tcW w:w="3724"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u w:val="single" w:color="000000"/>
                                                      </w:rPr>
                                                      <w:t>william.fuchs@cfwb.be</w:t>
                                                    </w:r>
                                                    <w:r>
                                                      <w:rPr>
                                                        <w:rFonts w:ascii="Georgia" w:eastAsia="Georgia" w:hAnsi="Georgia" w:cs="Georgia"/>
                                                        <w:color w:val="000000"/>
                                                        <w:sz w:val="20"/>
                                                      </w:rPr>
                                                      <w:t xml:space="preserve"> </w:t>
                                                    </w:r>
                                                  </w:p>
                                                </w:tc>
                                              </w:tr>
                                              <w:tr>
                                                <w:trPr>
                                                  <w:trHeight w:val="238"/>
                                                </w:trPr>
                                                <w:tc>
                                                  <w:tcPr>
                                                    <w:tcW w:w="3071" w:type="dxa"/>
                                                    <w:tcBorders>
                                                      <w:top w:val="dashed" w:sz="4" w:space="0" w:color="000000"/>
                                                      <w:left w:val="dashed" w:sz="4" w:space="0" w:color="000000"/>
                                                      <w:bottom w:val="dashed" w:sz="4" w:space="0" w:color="000000"/>
                                                      <w:right w:val="dashed" w:sz="4" w:space="0" w:color="000000"/>
                                                    </w:tcBorders>
                                                  </w:tcPr>
                                                  <w:p>
                                                    <w:pPr>
                                                      <w:rPr>
                                                        <w:rFonts w:ascii="Calibri" w:eastAsia="Calibri" w:hAnsi="Calibri" w:cs="Calibri"/>
                                                        <w:color w:val="000000"/>
                                                      </w:rPr>
                                                    </w:pPr>
                                                    <w:r>
                                                      <w:rPr>
                                                        <w:rFonts w:ascii="Georgia" w:eastAsia="Georgia" w:hAnsi="Georgia" w:cs="Georgia"/>
                                                        <w:color w:val="000000"/>
                                                        <w:sz w:val="20"/>
                                                      </w:rPr>
                                                      <w:t xml:space="preserve">ROMBAUT Véronique  </w:t>
                                                    </w:r>
                                                  </w:p>
                                                </w:tc>
                                                <w:tc>
                                                  <w:tcPr>
                                                    <w:tcW w:w="1961"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rPr>
                                                      <w:t xml:space="preserve">02/690.83.99 </w:t>
                                                    </w:r>
                                                  </w:p>
                                                </w:tc>
                                                <w:tc>
                                                  <w:tcPr>
                                                    <w:tcW w:w="3724"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u w:val="single" w:color="000000"/>
                                                      </w:rPr>
                                                      <w:t>veronique.rombaut@cfwb.be</w:t>
                                                    </w:r>
                                                    <w:r>
                                                      <w:rPr>
                                                        <w:rFonts w:ascii="Georgia" w:eastAsia="Georgia" w:hAnsi="Georgia" w:cs="Georgia"/>
                                                        <w:color w:val="000000"/>
                                                        <w:sz w:val="20"/>
                                                      </w:rPr>
                                                      <w:t xml:space="preserve">  </w:t>
                                                    </w:r>
                                                  </w:p>
                                                </w:tc>
                                              </w:tr>
                                            </w:tbl>
                                            <w:p>
                                              <w:pPr>
                                                <w:spacing w:line="259" w:lineRule="auto"/>
                                                <w:ind w:left="2"/>
                                                <w:rPr>
                                                  <w:rFonts w:ascii="Calibri" w:eastAsia="Calibri" w:hAnsi="Calibri" w:cs="Calibri"/>
                                                  <w:color w:val="000000"/>
                                                  <w:lang w:eastAsia="fr-BE"/>
                                                </w:rPr>
                                              </w:pPr>
                                              <w:r>
                                                <w:rPr>
                                                  <w:rFonts w:ascii="Goudy Old Style" w:eastAsia="Goudy Old Style" w:hAnsi="Goudy Old Style" w:cs="Goudy Old Style"/>
                                                  <w:color w:val="000000"/>
                                                  <w:sz w:val="2"/>
                                                  <w:lang w:eastAsia="fr-BE"/>
                                                </w:rPr>
                                                <w:t xml:space="preserve"> </w:t>
                                              </w:r>
                                              <w:r>
                                                <w:rPr>
                                                  <w:rFonts w:ascii="Goudy Old Style" w:eastAsia="Goudy Old Style" w:hAnsi="Goudy Old Style" w:cs="Goudy Old Style"/>
                                                  <w:color w:val="000000"/>
                                                  <w:sz w:val="2"/>
                                                  <w:lang w:eastAsia="fr-BE"/>
                                                </w:rPr>
                                                <w:tab/>
                                              </w:r>
                                              <w:r>
                                                <w:rPr>
                                                  <w:rFonts w:ascii="Georgia" w:eastAsia="Georgia" w:hAnsi="Georgia" w:cs="Georgia"/>
                                                  <w:b/>
                                                  <w:color w:val="000000"/>
                                                  <w:sz w:val="1"/>
                                                  <w:lang w:eastAsia="fr-BE"/>
                                                </w:rPr>
                                                <w:t xml:space="preserve"> </w:t>
                                              </w:r>
                                            </w:p>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4934" o:spid="_x0000_s1070" type="#_x0000_t202" style="position:absolute;margin-left:-123.25pt;margin-top:18.7pt;width:491.15pt;height:80.85pt;z-index:-25128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" fillcolor="window" stroked="f" strokeweight=".5pt">
                                  <v:textbox>
                                    <w:txbxContent>
                                      <w:p>
                                        <w:pPr>
                                          <w:rPr>
                                            <w:b/>
                                            <w:lang w:eastAsia="fr-BE"/>
                                          </w:rPr>
                                        </w:pPr>
                                        <w:bookmarkStart w:id="3436" w:name="_Toc11422977"/>
                                        <w:bookmarkStart w:id="3437" w:name="_Toc11679700"/>
                                        <w:r>
                                          <w:rPr>
                                            <w:b/>
                                            <w:lang w:eastAsia="fr-BE"/>
                                          </w:rPr>
                                          <w:t>Personnes de contact</w:t>
                                        </w:r>
                                        <w:bookmarkEnd w:id="3436"/>
                                        <w:bookmarkEnd w:id="3437"/>
                                        <w:r>
                                          <w:rPr>
                                            <w:b/>
                                            <w:lang w:eastAsia="fr-BE"/>
                                          </w:rPr>
                                          <w:t xml:space="preserve"> </w:t>
                                        </w:r>
                                      </w:p>
                                      <w:p>
                                        <w:pPr>
                                          <w:spacing w:line="259" w:lineRule="auto"/>
                                          <w:ind w:left="542"/>
                                          <w:rPr>
                                            <w:rFonts w:ascii="Calibri" w:eastAsia="Calibri" w:hAnsi="Calibri" w:cs="Calibri"/>
                                            <w:color w:val="000000"/>
                                            <w:lang w:eastAsia="fr-BE"/>
                                          </w:rPr>
                                        </w:pPr>
                                        <w:r>
                                          <w:rPr>
                                            <w:rFonts w:ascii="Georgia" w:eastAsia="Georgia" w:hAnsi="Georgia" w:cs="Georgia"/>
                                            <w:color w:val="000000"/>
                                            <w:sz w:val="20"/>
                                            <w:lang w:eastAsia="fr-BE"/>
                                          </w:rPr>
                                          <w:t xml:space="preserve">Service  ou Association : Service de l’Enseignement spécialisé   </w:t>
                                        </w:r>
                                      </w:p>
                                      <w:tbl>
                                        <w:tblPr>
                                          <w:tblStyle w:val="TableGrid1"/>
                                          <w:tblW w:w="8757" w:type="dxa"/>
                                          <w:tblInd w:w="661" w:type="dxa"/>
                                          <w:tblCellMar>
                                            <w:top w:w="34" w:type="dxa"/>
                                            <w:left w:w="107" w:type="dxa"/>
                                            <w:right w:w="115" w:type="dxa"/>
                                          </w:tblCellMar>
                                          <w:tblLook w:val="04A0" w:firstRow="1" w:lastRow="0" w:firstColumn="1" w:lastColumn="0" w:noHBand="0" w:noVBand="1"/>
                                        </w:tblPr>
                                        <w:tblGrid>
                                          <w:gridCol w:w="3072"/>
                                          <w:gridCol w:w="1961"/>
                                          <w:gridCol w:w="3724"/>
                                        </w:tblGrid>
                                        <w:tr>
                                          <w:trPr>
                                            <w:trHeight w:val="234"/>
                                          </w:trPr>
                                          <w:tc>
                                            <w:tcPr>
                                              <w:tcW w:w="3071" w:type="dxa"/>
                                              <w:tcBorders>
                                                <w:top w:val="dashed" w:sz="4" w:space="0" w:color="000000"/>
                                                <w:left w:val="dashed" w:sz="4" w:space="0" w:color="000000"/>
                                                <w:bottom w:val="dashed" w:sz="4" w:space="0" w:color="000000"/>
                                                <w:right w:val="dashed" w:sz="4" w:space="0" w:color="000000"/>
                                              </w:tcBorders>
                                              <w:shd w:val="clear" w:color="auto" w:fill="E0E0E0"/>
                                            </w:tcPr>
                                            <w:p>
                                              <w:pPr>
                                                <w:rPr>
                                                  <w:rFonts w:ascii="Calibri" w:eastAsia="Calibri" w:hAnsi="Calibri" w:cs="Calibri"/>
                                                  <w:color w:val="000000"/>
                                                </w:rPr>
                                              </w:pPr>
                                              <w:r>
                                                <w:rPr>
                                                  <w:rFonts w:ascii="Georgia" w:eastAsia="Georgia" w:hAnsi="Georgia" w:cs="Georgia"/>
                                                  <w:color w:val="000000"/>
                                                  <w:sz w:val="20"/>
                                                </w:rPr>
                                                <w:t xml:space="preserve">Nom et prénom  </w:t>
                                              </w:r>
                                            </w:p>
                                          </w:tc>
                                          <w:tc>
                                            <w:tcPr>
                                              <w:tcW w:w="1961" w:type="dxa"/>
                                              <w:tcBorders>
                                                <w:top w:val="dashed" w:sz="4" w:space="0" w:color="000000"/>
                                                <w:left w:val="dashed" w:sz="4" w:space="0" w:color="000000"/>
                                                <w:bottom w:val="dashed" w:sz="4" w:space="0" w:color="000000"/>
                                                <w:right w:val="dashed" w:sz="4" w:space="0" w:color="000000"/>
                                              </w:tcBorders>
                                              <w:shd w:val="clear" w:color="auto" w:fill="E0E0E0"/>
                                            </w:tcPr>
                                            <w:p>
                                              <w:pPr>
                                                <w:ind w:left="1"/>
                                                <w:rPr>
                                                  <w:rFonts w:ascii="Calibri" w:eastAsia="Calibri" w:hAnsi="Calibri" w:cs="Calibri"/>
                                                  <w:color w:val="000000"/>
                                                </w:rPr>
                                              </w:pPr>
                                              <w:r>
                                                <w:rPr>
                                                  <w:rFonts w:ascii="Georgia" w:eastAsia="Georgia" w:hAnsi="Georgia" w:cs="Georgia"/>
                                                  <w:color w:val="000000"/>
                                                  <w:sz w:val="20"/>
                                                </w:rPr>
                                                <w:t xml:space="preserve">Téléphone </w:t>
                                              </w:r>
                                            </w:p>
                                          </w:tc>
                                          <w:tc>
                                            <w:tcPr>
                                              <w:tcW w:w="3724" w:type="dxa"/>
                                              <w:tcBorders>
                                                <w:top w:val="dashed" w:sz="4" w:space="0" w:color="000000"/>
                                                <w:left w:val="dashed" w:sz="4" w:space="0" w:color="000000"/>
                                                <w:bottom w:val="dashed" w:sz="4" w:space="0" w:color="000000"/>
                                                <w:right w:val="dashed" w:sz="4" w:space="0" w:color="000000"/>
                                              </w:tcBorders>
                                              <w:shd w:val="clear" w:color="auto" w:fill="E0E0E0"/>
                                            </w:tcPr>
                                            <w:p>
                                              <w:pPr>
                                                <w:ind w:left="1"/>
                                                <w:rPr>
                                                  <w:rFonts w:ascii="Calibri" w:eastAsia="Calibri" w:hAnsi="Calibri" w:cs="Calibri"/>
                                                  <w:color w:val="000000"/>
                                                </w:rPr>
                                              </w:pPr>
                                              <w:r>
                                                <w:rPr>
                                                  <w:rFonts w:ascii="Georgia" w:eastAsia="Georgia" w:hAnsi="Georgia" w:cs="Georgia"/>
                                                  <w:color w:val="000000"/>
                                                  <w:sz w:val="20"/>
                                                </w:rPr>
                                                <w:t xml:space="preserve">Email </w:t>
                                              </w:r>
                                            </w:p>
                                          </w:tc>
                                        </w:tr>
                                        <w:tr>
                                          <w:trPr>
                                            <w:trHeight w:val="239"/>
                                          </w:trPr>
                                          <w:tc>
                                            <w:tcPr>
                                              <w:tcW w:w="3071" w:type="dxa"/>
                                              <w:tcBorders>
                                                <w:top w:val="dashed" w:sz="4" w:space="0" w:color="000000"/>
                                                <w:left w:val="dashed" w:sz="4" w:space="0" w:color="000000"/>
                                                <w:bottom w:val="dashed" w:sz="4" w:space="0" w:color="000000"/>
                                                <w:right w:val="dashed" w:sz="4" w:space="0" w:color="000000"/>
                                              </w:tcBorders>
                                            </w:tcPr>
                                            <w:p>
                                              <w:pPr>
                                                <w:rPr>
                                                  <w:rFonts w:ascii="Calibri" w:eastAsia="Calibri" w:hAnsi="Calibri" w:cs="Calibri"/>
                                                  <w:color w:val="000000"/>
                                                </w:rPr>
                                              </w:pPr>
                                              <w:r>
                                                <w:rPr>
                                                  <w:rFonts w:ascii="Georgia" w:eastAsia="Georgia" w:hAnsi="Georgia" w:cs="Georgia"/>
                                                  <w:color w:val="000000"/>
                                                  <w:sz w:val="20"/>
                                                </w:rPr>
                                                <w:t xml:space="preserve">FUCHS William </w:t>
                                              </w:r>
                                            </w:p>
                                          </w:tc>
                                          <w:tc>
                                            <w:tcPr>
                                              <w:tcW w:w="1961"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rPr>
                                                <w:t xml:space="preserve">02/690.83.94 </w:t>
                                              </w:r>
                                            </w:p>
                                          </w:tc>
                                          <w:tc>
                                            <w:tcPr>
                                              <w:tcW w:w="3724"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u w:val="single" w:color="000000"/>
                                                </w:rPr>
                                                <w:t>william.fuchs@cfwb.be</w:t>
                                              </w:r>
                                              <w:r>
                                                <w:rPr>
                                                  <w:rFonts w:ascii="Georgia" w:eastAsia="Georgia" w:hAnsi="Georgia" w:cs="Georgia"/>
                                                  <w:color w:val="000000"/>
                                                  <w:sz w:val="20"/>
                                                </w:rPr>
                                                <w:t xml:space="preserve"> </w:t>
                                              </w:r>
                                            </w:p>
                                          </w:tc>
                                        </w:tr>
                                        <w:tr>
                                          <w:trPr>
                                            <w:trHeight w:val="238"/>
                                          </w:trPr>
                                          <w:tc>
                                            <w:tcPr>
                                              <w:tcW w:w="3071" w:type="dxa"/>
                                              <w:tcBorders>
                                                <w:top w:val="dashed" w:sz="4" w:space="0" w:color="000000"/>
                                                <w:left w:val="dashed" w:sz="4" w:space="0" w:color="000000"/>
                                                <w:bottom w:val="dashed" w:sz="4" w:space="0" w:color="000000"/>
                                                <w:right w:val="dashed" w:sz="4" w:space="0" w:color="000000"/>
                                              </w:tcBorders>
                                            </w:tcPr>
                                            <w:p>
                                              <w:pPr>
                                                <w:rPr>
                                                  <w:rFonts w:ascii="Calibri" w:eastAsia="Calibri" w:hAnsi="Calibri" w:cs="Calibri"/>
                                                  <w:color w:val="000000"/>
                                                </w:rPr>
                                              </w:pPr>
                                              <w:r>
                                                <w:rPr>
                                                  <w:rFonts w:ascii="Georgia" w:eastAsia="Georgia" w:hAnsi="Georgia" w:cs="Georgia"/>
                                                  <w:color w:val="000000"/>
                                                  <w:sz w:val="20"/>
                                                </w:rPr>
                                                <w:t xml:space="preserve">ROMBAUT Véronique  </w:t>
                                              </w:r>
                                            </w:p>
                                          </w:tc>
                                          <w:tc>
                                            <w:tcPr>
                                              <w:tcW w:w="1961"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rPr>
                                                <w:t xml:space="preserve">02/690.83.99 </w:t>
                                              </w:r>
                                            </w:p>
                                          </w:tc>
                                          <w:tc>
                                            <w:tcPr>
                                              <w:tcW w:w="3724"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u w:val="single" w:color="000000"/>
                                                </w:rPr>
                                                <w:t>veronique.rombaut@cfwb.be</w:t>
                                              </w:r>
                                              <w:r>
                                                <w:rPr>
                                                  <w:rFonts w:ascii="Georgia" w:eastAsia="Georgia" w:hAnsi="Georgia" w:cs="Georgia"/>
                                                  <w:color w:val="000000"/>
                                                  <w:sz w:val="20"/>
                                                </w:rPr>
                                                <w:t xml:space="preserve">  </w:t>
                                              </w:r>
                                            </w:p>
                                          </w:tc>
                                        </w:tr>
                                      </w:tbl>
                                      <w:p>
                                        <w:pPr>
                                          <w:spacing w:line="259" w:lineRule="auto"/>
                                          <w:ind w:left="2"/>
                                          <w:rPr>
                                            <w:rFonts w:ascii="Calibri" w:eastAsia="Calibri" w:hAnsi="Calibri" w:cs="Calibri"/>
                                            <w:color w:val="000000"/>
                                            <w:lang w:eastAsia="fr-BE"/>
                                          </w:rPr>
                                        </w:pPr>
                                        <w:r>
                                          <w:rPr>
                                            <w:rFonts w:ascii="Goudy Old Style" w:eastAsia="Goudy Old Style" w:hAnsi="Goudy Old Style" w:cs="Goudy Old Style"/>
                                            <w:color w:val="000000"/>
                                            <w:sz w:val="2"/>
                                            <w:lang w:eastAsia="fr-BE"/>
                                          </w:rPr>
                                          <w:t xml:space="preserve"> </w:t>
                                        </w:r>
                                        <w:r>
                                          <w:rPr>
                                            <w:rFonts w:ascii="Goudy Old Style" w:eastAsia="Goudy Old Style" w:hAnsi="Goudy Old Style" w:cs="Goudy Old Style"/>
                                            <w:color w:val="000000"/>
                                            <w:sz w:val="2"/>
                                            <w:lang w:eastAsia="fr-BE"/>
                                          </w:rPr>
                                          <w:tab/>
                                        </w:r>
                                        <w:r>
                                          <w:rPr>
                                            <w:rFonts w:ascii="Georgia" w:eastAsia="Georgia" w:hAnsi="Georgia" w:cs="Georgia"/>
                                            <w:b/>
                                            <w:color w:val="000000"/>
                                            <w:sz w:val="1"/>
                                            <w:lang w:eastAsia="fr-BE"/>
                                          </w:rPr>
                                          <w:t xml:space="preserve"> </w:t>
                                        </w:r>
                                      </w:p>
                                      <w:p/>
                                    </w:txbxContent>
                                  </v:textbox>
                                </v:shape>
                              </w:pict>
                            </mc:Fallback>
                          </mc:AlternateContent>
                        </w:r>
                        <w:r>
                          <w:rPr>
                            <w:rFonts w:ascii="Georgia" w:eastAsia="Georgia" w:hAnsi="Georgia" w:cs="Georgia"/>
                            <w:color w:val="000000"/>
                            <w:sz w:val="20"/>
                          </w:rPr>
                          <w:t xml:space="preserve">Direction générale de l’enseignement obligatoire Mme Lise-Anne Hanse, Directrice générale </w:t>
                        </w:r>
                      </w:p>
                    </w:tc>
                  </w:tr>
                </w:tbl>
                <w:p>
                  <w:pPr>
                    <w:spacing w:after="252" w:line="259" w:lineRule="auto"/>
                    <w:ind w:left="3733"/>
                    <w:rPr>
                      <w:rFonts w:ascii="Calibri" w:eastAsia="Calibri" w:hAnsi="Calibri" w:cs="Calibri"/>
                      <w:color w:val="000000"/>
                      <w:lang w:eastAsia="fr-BE"/>
                    </w:rPr>
                  </w:pPr>
                  <w:r>
                    <w:rPr>
                      <w:rFonts w:ascii="Georgia" w:eastAsia="Georgia" w:hAnsi="Georgia" w:cs="Georgia"/>
                      <w:color w:val="000000"/>
                      <w:sz w:val="16"/>
                      <w:lang w:eastAsia="fr-BE"/>
                    </w:rPr>
                    <w:t xml:space="preserve"> </w:t>
                  </w:r>
                </w:p>
                <w:tbl>
                  <w:tblPr>
                    <w:tblStyle w:val="TableGrid1"/>
                    <w:tblW w:w="6402" w:type="dxa"/>
                    <w:tblInd w:w="761" w:type="dxa"/>
                    <w:tblLook w:val="04A0" w:firstRow="1" w:lastRow="0" w:firstColumn="1" w:lastColumn="0" w:noHBand="0" w:noVBand="1"/>
                  </w:tblPr>
                  <w:tblGrid>
                    <w:gridCol w:w="2079"/>
                    <w:gridCol w:w="4323"/>
                  </w:tblGrid>
                  <w:tr>
                    <w:trPr>
                      <w:trHeight w:val="1118"/>
                    </w:trPr>
                    <w:tc>
                      <w:tcPr>
                        <w:tcW w:w="2079" w:type="dxa"/>
                        <w:tcBorders>
                          <w:top w:val="nil"/>
                          <w:left w:val="nil"/>
                          <w:bottom w:val="nil"/>
                          <w:right w:val="nil"/>
                        </w:tcBorders>
                      </w:tcPr>
                      <w:p>
                        <w:pPr>
                          <w:rPr>
                            <w:rFonts w:ascii="Calibri" w:eastAsia="Calibri" w:hAnsi="Calibri" w:cs="Calibri"/>
                            <w:color w:val="000000"/>
                          </w:rPr>
                        </w:pPr>
                      </w:p>
                    </w:tc>
                    <w:tc>
                      <w:tcPr>
                        <w:tcW w:w="4323" w:type="dxa"/>
                        <w:tcBorders>
                          <w:top w:val="nil"/>
                          <w:left w:val="nil"/>
                          <w:bottom w:val="nil"/>
                          <w:right w:val="nil"/>
                        </w:tcBorders>
                      </w:tcPr>
                      <w:p>
                        <w:pPr>
                          <w:rPr>
                            <w:rFonts w:ascii="Calibri" w:eastAsia="Calibri" w:hAnsi="Calibri" w:cs="Calibri"/>
                            <w:color w:val="000000"/>
                          </w:rPr>
                        </w:pPr>
                        <w:r>
                          <w:rPr>
                            <w:rFonts w:ascii="Georgia" w:eastAsia="Georgia" w:hAnsi="Georgia" w:cs="Georgia"/>
                            <w:color w:val="000000"/>
                            <w:sz w:val="20"/>
                          </w:rPr>
                          <w:t xml:space="preserve"> </w:t>
                        </w:r>
                      </w:p>
                    </w:tc>
                  </w:tr>
                </w:tbl>
                <w:p>
                  <w:pPr>
                    <w:rPr>
                      <w:rFonts w:ascii="Calibri" w:eastAsia="Calibri" w:hAnsi="Calibri" w:cs="Calibri"/>
                      <w:color w:val="000000"/>
                      <w:lang w:eastAsia="fr-BE"/>
                    </w:rPr>
                  </w:pPr>
                  <w:r>
                    <w:rPr>
                      <w:rFonts w:ascii="Calibri" w:eastAsia="Calibri" w:hAnsi="Calibri" w:cs="Calibri"/>
                      <w:noProof/>
                      <w:lang w:eastAsia="fr-BE"/>
                    </w:rPr>
                    <mc:AlternateContent>
                      <mc:Choice Requires="wps">
                        <w:drawing>
                          <wp:anchor distT="0" distB="0" distL="114300" distR="114300" simplePos="0" relativeHeight="252041216" behindDoc="1" locked="0" layoutInCell="1" allowOverlap="1">
                            <wp:simplePos x="0" y="0"/>
                            <wp:positionH relativeFrom="column">
                              <wp:posOffset>6461848</wp:posOffset>
                            </wp:positionH>
                            <wp:positionV relativeFrom="paragraph">
                              <wp:posOffset>-191770</wp:posOffset>
                            </wp:positionV>
                            <wp:extent cx="0" cy="8939048"/>
                            <wp:effectExtent l="0" t="0" r="19050" b="33655"/>
                            <wp:wrapNone/>
                            <wp:docPr id="4930" name="Connecteur droit 4930"/>
                            <wp:cNvGraphicFramePr/>
                            <a:graphic xmlns:a="http://schemas.openxmlformats.org/drawingml/2006/main">
                              <a:graphicData uri="http://schemas.microsoft.com/office/word/2010/wordprocessingShape">
                                <wps:wsp>
                                  <wps:cNvCnPr/>
                                  <wps:spPr>
                                    <a:xfrm flipH="1">
                                      <a:off x="0" y="0"/>
                                      <a:ext cx="0" cy="89390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4D767BD8" id="Connecteur droit 4930" o:spid="_x0000_s1026" style="position:absolute;flip:x;z-index:-251275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08.8pt,-15.1pt" to="508.8pt,68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" strokecolor="black [3040]"/>
                        </w:pict>
                      </mc:Fallback>
                    </mc:AlternateConten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Madame, Monsieur,</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 </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Dans le cadre de l’inscription d’un élève dans un  établissement d’enseignement spécialisé en Fédération Wallonie-Bruxelles, il se peut que vous soyez confrontés à des attestations d’orientation émanant de la Communauté flamande ou de la Communauté germanophone car l’élève était scolarisé dans une de ces deux Communautés. </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Or, en Communauté flamande, suite aux modifications décrétales intervenues, certains types d’enseignement spécialisé ne coïncident plus avec la typologie en vigueur en Fédération WallonieBruxelles. Les types 1 et 8 sont supprimés au bénéfice d’une approche commune à ces deux types alors qu’un type 9 autisme a été créé. </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En Communauté germanophone, les besoins spécifiques ne sont plus classés par type d’enseignement mais sont classés dans 4 domaines (perception - langage – moteur/psychomoteur – fonctions mentales). Lors d’une « conférence de développement », les différents partenaires et les parents déterminent si les besoins spécifiques de l’élève peuvent être pris en charge par l’enseignement ordinaire (intégration) ou s’ils nécessitent une orientation en enseignement spécialisé. C’est lors de cette rencontre que s’établit le plan d’accompagnement (objectifs, matières à soutenir,…). </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La Communauté française, la Communauté flamande et la Communauté germanophone sont trois ordres juridiques différents et par conséquent, faute d’accord de coopération dans ce domaine, il y a lieu de considérer d’une part, que les types d’enseignement spécialisé reconnus par la Communauté flamande et d’autre part, que le fait qu’il n’y aurait aucun type  organisé dans la Communauté germanophone, ne peuvent engendrer des effets juridiques sur le territoire de la Communauté française. </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Dès lors, la seule solution qui se dégage pour ces élèves est qu’ils se rendent soit dans un Centre PMS ordinaire, soit dans un Centre PMS mixte, soit dans un organisme habilité et ce en vue d’obtenir une attestation d’orientation vers un type d’enseignement spécialisé correspondant à la typologie en vigueur en Communauté française. </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En outre, le travail du CPMS chargé de rédiger l’attestation d’orientation en enseignement spécialisé sera sensiblement facilité si les parents marquent leur accord pour que le Centre PMS puisse prendre contact avec le Centre PMS de l’autre Communauté afin d’obtenir les éléments contenus dans le dossier de l’élève. </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Je vous remercie de l’attention que vous porterez à la présente circulaire et vous en souhaite bonne lecture. </w:t>
                  </w:r>
                </w:p>
                <w:p>
                  <w:pPr>
                    <w:spacing w:after="177" w:line="259" w:lineRule="auto"/>
                    <w:rPr>
                      <w:rFonts w:ascii="Calibri" w:eastAsia="Calibri" w:hAnsi="Calibri" w:cs="Calibri"/>
                      <w:color w:val="000000"/>
                      <w:lang w:eastAsia="fr-BE"/>
                    </w:rPr>
                  </w:pPr>
                </w:p>
                <w:p>
                  <w:pPr>
                    <w:spacing w:after="177" w:line="259" w:lineRule="auto"/>
                    <w:rPr>
                      <w:rFonts w:ascii="Calibri" w:eastAsia="Calibri" w:hAnsi="Calibri" w:cs="Calibri"/>
                      <w:color w:val="000000"/>
                      <w:lang w:eastAsia="fr-BE"/>
                    </w:rPr>
                  </w:pPr>
                </w:p>
                <w:p>
                  <w:pPr>
                    <w:spacing w:after="177" w:line="259" w:lineRule="auto"/>
                    <w:ind w:right="1274"/>
                    <w:jc w:val="right"/>
                    <w:rPr>
                      <w:rFonts w:ascii="Calibri" w:eastAsia="Calibri" w:hAnsi="Calibri" w:cs="Calibri"/>
                      <w:b/>
                      <w:color w:val="000000"/>
                      <w:lang w:eastAsia="fr-BE"/>
                    </w:rPr>
                  </w:pPr>
                  <w:r>
                    <w:rPr>
                      <w:rFonts w:ascii="Calibri" w:eastAsia="Calibri" w:hAnsi="Calibri" w:cs="Calibri"/>
                      <w:b/>
                      <w:color w:val="000000"/>
                      <w:lang w:eastAsia="fr-BE"/>
                    </w:rPr>
                    <w:t xml:space="preserve">La Ministre de l’Education,  </w:t>
                  </w:r>
                </w:p>
                <w:p>
                  <w:pPr>
                    <w:spacing w:after="177" w:line="259" w:lineRule="auto"/>
                    <w:ind w:right="1143"/>
                    <w:jc w:val="right"/>
                    <w:rPr>
                      <w:rFonts w:ascii="Calibri" w:eastAsia="Calibri" w:hAnsi="Calibri" w:cs="Calibri"/>
                      <w:color w:val="000000"/>
                      <w:lang w:eastAsia="fr-BE"/>
                    </w:rPr>
                  </w:pPr>
                </w:p>
                <w:p>
                  <w:pPr>
                    <w:spacing w:after="177" w:line="259" w:lineRule="auto"/>
                    <w:ind w:left="5672"/>
                    <w:rPr>
                      <w:rFonts w:eastAsiaTheme="minorEastAsia"/>
                      <w:lang w:eastAsia="fr-BE"/>
                    </w:rPr>
                  </w:pPr>
                  <w:r>
                    <w:rPr>
                      <w:rFonts w:ascii="Calibri" w:eastAsia="Calibri" w:hAnsi="Calibri" w:cs="Calibri"/>
                      <w:b/>
                      <w:color w:val="000000"/>
                      <w:lang w:eastAsia="fr-BE"/>
                    </w:rPr>
                    <w:t xml:space="preserve">Marie-Martine SCHYNS </w:t>
                  </w:r>
                  <w:r>
                    <w:rPr>
                      <w:rFonts w:cs="Arial"/>
                    </w:rPr>
                    <w:br w:type="page"/>
                  </w:r>
                </w:p>
                <w:p>
                  <w:pPr>
                    <w:rPr>
                      <w:rFonts w:cs="Arial"/>
                    </w:rPr>
                  </w:pPr>
                </w:p>
                <w:sdt>
                  <w:sdtPr>
                    <w:rPr>
                      <w:rFonts w:asciiTheme="majorHAnsi" w:eastAsiaTheme="minorHAnsi" w:hAnsiTheme="majorHAnsi"/>
                      <w:sz w:val="24"/>
                      <w:lang w:eastAsia="en-US"/>
                    </w:rPr>
                    <w:id w:val="-528724743"/>
                    <w:docPartObj>
                      <w:docPartGallery w:val="Cover Pages"/>
                      <w:docPartUnique/>
                    </w:docPartObj>
                  </w:sdtPr>
                  <w:sdtEndPr>
                    <w:rPr>
                      <w:sz w:val="22"/>
                    </w:rPr>
                  </w:sdtEndPr>
                  <w:sdtContent>
                    <w:p>
                      <w:pPr>
                        <w:pStyle w:val="Sansinterligne"/>
                        <w:rPr>
                          <w:rFonts w:asciiTheme="majorHAnsi" w:hAnsiTheme="majorHAnsi"/>
                        </w:rPr>
                      </w:pPr>
                    </w:p>
                    <w:p>
                      <w:pPr>
                        <w:pStyle w:val="Titre2"/>
                      </w:pPr>
                      <w:bookmarkStart w:id="3422" w:name="_Chapitre_21_:"/>
                      <w:bookmarkStart w:id="3423" w:name="_Chapitre_20_:"/>
                      <w:bookmarkStart w:id="3424" w:name="_Toc477623872"/>
                      <w:bookmarkStart w:id="3425" w:name="_Toc477767743"/>
                      <w:bookmarkStart w:id="3426" w:name="_Ref11411201"/>
                      <w:bookmarkStart w:id="3427" w:name="_Toc18914518"/>
                      <w:bookmarkEnd w:id="3422"/>
                      <w:bookmarkEnd w:id="3423"/>
                      <w:r>
                        <w:t>Chapitre</w:t>
                      </w:r>
                      <w:bookmarkEnd w:id="3424"/>
                      <w:bookmarkEnd w:id="3425"/>
                      <w:r>
                        <w:t xml:space="preserve"> 20 : </w:t>
                      </w:r>
                      <w:bookmarkStart w:id="3428" w:name="_Toc477623873"/>
                      <w:bookmarkStart w:id="3429" w:name="_Toc477767744"/>
                      <w:r>
                        <w:t>Les Commissions consultatives</w:t>
                      </w:r>
                      <w:bookmarkEnd w:id="3426"/>
                      <w:bookmarkEnd w:id="3428"/>
                      <w:bookmarkEnd w:id="3429"/>
                      <w:bookmarkEnd w:id="3427"/>
                    </w:p>
                    <w:p>
                      <w:pPr>
                        <w:jc w:val="both"/>
                        <w:rPr>
                          <w:rFonts w:eastAsiaTheme="minorEastAsia"/>
                          <w:lang w:eastAsia="fr-BE"/>
                        </w:rPr>
                      </w:pPr>
                    </w:p>
                    <w:p>
                      <w:pPr>
                        <w:jc w:val="both"/>
                        <w:rPr>
                          <w:rFonts w:eastAsiaTheme="minorEastAsia"/>
                          <w:lang w:eastAsia="fr-BE"/>
                        </w:rPr>
                      </w:pPr>
                    </w:p>
                    <w:p>
                      <w:pPr>
                        <w:jc w:val="both"/>
                        <w:rPr>
                          <w:rFonts w:eastAsiaTheme="minorEastAsia"/>
                          <w:lang w:eastAsia="fr-BE"/>
                        </w:rPr>
                      </w:pPr>
                    </w:p>
                    <w:p>
                      <w:pPr>
                        <w:jc w:val="both"/>
                        <w:rPr>
                          <w:rFonts w:eastAsiaTheme="minorEastAsia"/>
                          <w:lang w:eastAsia="fr-BE"/>
                        </w:rPr>
                      </w:pPr>
                    </w:p>
                    <w:p>
                      <w:pPr>
                        <w:jc w:val="both"/>
                        <w:rPr>
                          <w:rFonts w:eastAsiaTheme="minorEastAsia"/>
                          <w:lang w:eastAsia="fr-BE"/>
                        </w:rPr>
                      </w:pPr>
                    </w:p>
                  </w:sdtContent>
                </w:sdt>
                <w:p>
                  <w:pPr>
                    <w:jc w:val="both"/>
                    <w:rPr>
                      <w:b/>
                      <w:u w:val="single"/>
                    </w:rPr>
                  </w:pPr>
                  <w:r>
                    <w:rPr>
                      <w:b/>
                      <w:u w:val="single"/>
                    </w:rPr>
                    <w:t>Bases légales :</w:t>
                  </w:r>
                </w:p>
                <w:p>
                  <w:pPr>
                    <w:jc w:val="both"/>
                    <w:rPr>
                      <w:b/>
                      <w:u w:val="single"/>
                    </w:rPr>
                  </w:pPr>
                </w:p>
                <w:p>
                  <w:pPr>
                    <w:numPr>
                      <w:ilvl w:val="0"/>
                      <w:numId w:val="119"/>
                    </w:numPr>
                    <w:tabs>
                      <w:tab w:val="clear" w:pos="720"/>
                    </w:tabs>
                    <w:ind w:left="360"/>
                    <w:jc w:val="both"/>
                  </w:pPr>
                  <w:hyperlink r:id="rId220" w:history="1">
                    <w:r>
                      <w:rPr>
                        <w:rStyle w:val="Lienhypertexte"/>
                        <w:rFonts w:cstheme="minorBidi"/>
                      </w:rPr>
                      <w:t>Décret du 3 mars 2004 organisant l’enseignement spécialisé </w:t>
                    </w:r>
                  </w:hyperlink>
                  <w:r>
                    <w:t>;</w:t>
                  </w:r>
                </w:p>
                <w:p>
                  <w:pPr>
                    <w:numPr>
                      <w:ilvl w:val="0"/>
                      <w:numId w:val="119"/>
                    </w:numPr>
                    <w:tabs>
                      <w:tab w:val="clear" w:pos="720"/>
                    </w:tabs>
                    <w:ind w:left="360"/>
                    <w:jc w:val="both"/>
                  </w:pPr>
                  <w:hyperlink r:id="rId221" w:history="1">
                    <w:r>
                      <w:rPr>
                        <w:rStyle w:val="Lienhypertexte"/>
                        <w:rFonts w:cstheme="minorBidi"/>
                      </w:rPr>
                      <w:t>Arrêté du gouvernement du 2 juin 2004 définissant les modalités de fonctionnement des commissions consultatives de l’enseignement spécialisé </w:t>
                    </w:r>
                  </w:hyperlink>
                  <w:r>
                    <w:t>;</w:t>
                  </w:r>
                </w:p>
                <w:p>
                  <w:pPr>
                    <w:numPr>
                      <w:ilvl w:val="0"/>
                      <w:numId w:val="119"/>
                    </w:numPr>
                    <w:tabs>
                      <w:tab w:val="clear" w:pos="720"/>
                    </w:tabs>
                    <w:ind w:left="360"/>
                    <w:jc w:val="both"/>
                  </w:pPr>
                  <w:hyperlink r:id="rId222" w:history="1">
                    <w:r>
                      <w:rPr>
                        <w:rStyle w:val="Lienhypertexte"/>
                        <w:rFonts w:cstheme="minorBidi"/>
                      </w:rPr>
                      <w:t>Arrêtés du gouvernement du 8 octobre 2009 et  du 23 décembre 2010 définissant la composition des commissions consultatives de l’enseignement spécialisé </w:t>
                    </w:r>
                  </w:hyperlink>
                  <w:r>
                    <w:t>;</w:t>
                  </w:r>
                </w:p>
                <w:p>
                  <w:pPr>
                    <w:numPr>
                      <w:ilvl w:val="0"/>
                      <w:numId w:val="119"/>
                    </w:numPr>
                    <w:tabs>
                      <w:tab w:val="clear" w:pos="720"/>
                    </w:tabs>
                    <w:ind w:left="360"/>
                    <w:jc w:val="both"/>
                  </w:pPr>
                  <w:hyperlink r:id="rId223" w:history="1">
                    <w:r>
                      <w:rPr>
                        <w:rStyle w:val="Lienhypertexte"/>
                        <w:rFonts w:cstheme="minorBidi"/>
                      </w:rPr>
                      <w:t>Décret du 26 mars 2009 portant diverses dispositions en matière d’enseignement en alternance, d’enseignement spécialisé et d’enseignement de promotion sociale.</w:t>
                    </w:r>
                  </w:hyperlink>
                </w:p>
                <w:p>
                  <w:pPr>
                    <w:tabs>
                      <w:tab w:val="left" w:pos="1753"/>
                    </w:tabs>
                    <w:jc w:val="both"/>
                  </w:pPr>
                </w:p>
                <w:p>
                  <w:pPr>
                    <w:pStyle w:val="Titre3"/>
                  </w:pPr>
                  <w:bookmarkStart w:id="3430" w:name="_Toc324767319"/>
                  <w:bookmarkStart w:id="3431" w:name="_Toc412204236"/>
                  <w:bookmarkStart w:id="3432" w:name="_Toc453837061"/>
                  <w:bookmarkStart w:id="3433" w:name="_Toc18914519"/>
                  <w:r>
                    <w:t>1. Commissions consultatives</w:t>
                  </w:r>
                  <w:bookmarkEnd w:id="3430"/>
                  <w:bookmarkEnd w:id="3431"/>
                  <w:bookmarkEnd w:id="3432"/>
                  <w:bookmarkEnd w:id="3433"/>
                </w:p>
                <w:p>
                  <w:pPr>
                    <w:jc w:val="both"/>
                    <w:rPr>
                      <w:b/>
                    </w:rPr>
                  </w:pPr>
                </w:p>
                <w:p>
                  <w:pPr>
                    <w:jc w:val="both"/>
                  </w:pPr>
                  <w:r>
                    <w:t>Dix commissions consultatives ont été créées par le Gouvernement (une par zone).</w:t>
                  </w:r>
                </w:p>
                <w:p>
                  <w:pPr>
                    <w:jc w:val="both"/>
                  </w:pPr>
                  <w:r>
                    <w:t>Chaque commission est présidée par un(e) inspecteur (trice) du service d’inspection de l’enseignement spécialisé.</w:t>
                  </w:r>
                </w:p>
                <w:p>
                  <w:pPr>
                    <w:jc w:val="both"/>
                  </w:pPr>
                  <w:r>
                    <w:t>Chaque commission comprend neuf membres effectifs dont un membre du service d’inspection de l’enseignement fondamental</w:t>
                  </w:r>
                  <w:r>
                    <w:rPr>
                      <w:color w:val="FF0000"/>
                    </w:rPr>
                    <w:t xml:space="preserve"> </w:t>
                  </w:r>
                  <w:r>
                    <w:t>ordinaire.</w:t>
                  </w:r>
                </w:p>
                <w:p>
                  <w:pPr>
                    <w:jc w:val="both"/>
                  </w:pPr>
                  <w:r>
                    <w:t>Le secrétariat des commissions est assuré par un(e) chargé(e) de mission, désigné(e) par le Gouvernement.</w:t>
                  </w:r>
                </w:p>
                <w:p>
                  <w:pPr>
                    <w:jc w:val="both"/>
                  </w:pPr>
                  <w:r>
                    <w:t>La liste des différentes commissions consultatives et de leur présidence se trouve au point 6 de la présente circulaire.</w:t>
                  </w:r>
                </w:p>
                <w:p>
                  <w:pPr>
                    <w:jc w:val="both"/>
                  </w:pPr>
                </w:p>
                <w:p>
                  <w:pPr>
                    <w:pStyle w:val="Titre3"/>
                  </w:pPr>
                  <w:bookmarkStart w:id="3434" w:name="_Toc324767320"/>
                  <w:bookmarkStart w:id="3435" w:name="_Toc412204237"/>
                  <w:bookmarkStart w:id="3436" w:name="_Toc453837062"/>
                  <w:bookmarkStart w:id="3437" w:name="_Toc18914520"/>
                  <w:r>
                    <w:t>2. Missions des commissions consultatives</w:t>
                  </w:r>
                  <w:bookmarkEnd w:id="3434"/>
                  <w:bookmarkEnd w:id="3435"/>
                  <w:bookmarkEnd w:id="3436"/>
                  <w:bookmarkEnd w:id="3437"/>
                </w:p>
                <w:p>
                  <w:pPr>
                    <w:pStyle w:val="Retraitcorpsdetexte"/>
                    <w:ind w:left="0"/>
                    <w:jc w:val="both"/>
                    <w:rPr>
                      <w:rFonts w:asciiTheme="majorHAnsi" w:hAnsiTheme="majorHAnsi"/>
                      <w:b/>
                      <w:szCs w:val="22"/>
                    </w:rPr>
                  </w:pPr>
                </w:p>
                <w:p>
                  <w:pPr>
                    <w:pStyle w:val="Retraitcorpsdetexte"/>
                    <w:ind w:left="0" w:firstLine="0"/>
                    <w:jc w:val="both"/>
                    <w:rPr>
                      <w:rFonts w:asciiTheme="majorHAnsi" w:hAnsiTheme="majorHAnsi"/>
                      <w:szCs w:val="22"/>
                    </w:rPr>
                  </w:pPr>
                  <w:r>
                    <w:rPr>
                      <w:rFonts w:asciiTheme="majorHAnsi" w:hAnsiTheme="majorHAnsi"/>
                      <w:szCs w:val="22"/>
                    </w:rPr>
                    <w:t xml:space="preserve">Fixées par le décret organisant l'Enseignement spécialisé du 3 mars 2004, chapitre IX, article 125, complété par l’article 22 du décret du 26 mars 2009. </w:t>
                  </w:r>
                </w:p>
                <w:p>
                  <w:pPr>
                    <w:jc w:val="both"/>
                  </w:pPr>
                </w:p>
                <w:p>
                  <w:pPr>
                    <w:tabs>
                      <w:tab w:val="num" w:pos="540"/>
                      <w:tab w:val="left" w:pos="1383"/>
                    </w:tabs>
                    <w:jc w:val="both"/>
                  </w:pPr>
                  <w:r>
                    <w:t>Les commissions consultatives ont pour mission de donner un avis motivé dans les cas repris dans le tableau ci-dessous :</w:t>
                  </w:r>
                </w:p>
                <w:p>
                  <w:r>
                    <w:br w:type="page"/>
                  </w:r>
                </w:p>
                <w:p>
                  <w:pPr>
                    <w:tabs>
                      <w:tab w:val="num" w:pos="540"/>
                      <w:tab w:val="left" w:pos="1383"/>
                    </w:tabs>
                  </w:pPr>
                </w:p>
                <w:tbl>
                  <w:tblPr>
                    <w:tblW w:w="9950" w:type="dxa"/>
                    <w:jc w:val="center"/>
                    <w:tblBorders>
                      <w:top w:val="double" w:sz="6" w:space="0" w:color="auto"/>
                      <w:left w:val="double" w:sz="6" w:space="0" w:color="auto"/>
                      <w:bottom w:val="double" w:sz="6" w:space="0" w:color="auto"/>
                      <w:right w:val="double" w:sz="6" w:space="0" w:color="auto"/>
                    </w:tblBorders>
                    <w:tblLayout w:type="fixed"/>
                    <w:tblCellMar>
                      <w:left w:w="62" w:type="dxa"/>
                      <w:right w:w="62" w:type="dxa"/>
                    </w:tblCellMar>
                    <w:tblLook w:val="0000" w:firstRow="0" w:lastRow="0" w:firstColumn="0" w:lastColumn="0" w:noHBand="0" w:noVBand="0"/>
                  </w:tblPr>
                  <w:tblGrid>
                    <w:gridCol w:w="5270"/>
                    <w:gridCol w:w="4680"/>
                  </w:tblGrid>
                  <w:tr>
                    <w:trPr>
                      <w:trHeight w:val="488"/>
                      <w:jc w:val="center"/>
                    </w:trPr>
                    <w:tc>
                      <w:tcPr>
                        <w:tcW w:w="5270" w:type="dxa"/>
                        <w:tcBorders>
                          <w:top w:val="double" w:sz="6" w:space="0" w:color="auto"/>
                          <w:bottom w:val="single" w:sz="6" w:space="0" w:color="auto"/>
                          <w:right w:val="single" w:sz="6" w:space="0" w:color="auto"/>
                        </w:tcBorders>
                        <w:shd w:val="clear" w:color="auto" w:fill="F3F3F3"/>
                      </w:tcPr>
                      <w:p>
                        <w:pPr>
                          <w:ind w:right="117"/>
                          <w:jc w:val="center"/>
                          <w:rPr>
                            <w:b/>
                          </w:rPr>
                        </w:pPr>
                        <w:r>
                          <w:rPr>
                            <w:b/>
                          </w:rPr>
                          <w:br w:type="page"/>
                          <w:t>Personnes pouvant introduire une demande d’avis</w:t>
                        </w:r>
                      </w:p>
                    </w:tc>
                    <w:tc>
                      <w:tcPr>
                        <w:tcW w:w="4680" w:type="dxa"/>
                        <w:tcBorders>
                          <w:top w:val="double" w:sz="6" w:space="0" w:color="auto"/>
                          <w:left w:val="single" w:sz="6" w:space="0" w:color="auto"/>
                          <w:bottom w:val="single" w:sz="6" w:space="0" w:color="auto"/>
                        </w:tcBorders>
                        <w:shd w:val="clear" w:color="auto" w:fill="F3F3F3"/>
                      </w:tcPr>
                      <w:p>
                        <w:pPr>
                          <w:ind w:right="117"/>
                          <w:jc w:val="center"/>
                        </w:pPr>
                        <w:r>
                          <w:rPr>
                            <w:b/>
                          </w:rPr>
                          <w:t>Concernant</w:t>
                        </w:r>
                      </w:p>
                    </w:tc>
                  </w:tr>
                  <w:tr>
                    <w:trPr>
                      <w:trHeight w:val="403"/>
                      <w:jc w:val="center"/>
                    </w:trPr>
                    <w:tc>
                      <w:tcPr>
                        <w:tcW w:w="5270" w:type="dxa"/>
                        <w:tcBorders>
                          <w:top w:val="nil"/>
                          <w:bottom w:val="single" w:sz="6" w:space="0" w:color="auto"/>
                          <w:right w:val="single" w:sz="6" w:space="0" w:color="auto"/>
                        </w:tcBorders>
                      </w:tcPr>
                      <w:p>
                        <w:pPr>
                          <w:numPr>
                            <w:ilvl w:val="0"/>
                            <w:numId w:val="120"/>
                          </w:numPr>
                          <w:tabs>
                            <w:tab w:val="clear" w:pos="720"/>
                          </w:tabs>
                          <w:ind w:left="0" w:right="117"/>
                          <w:jc w:val="both"/>
                        </w:pPr>
                        <w:r>
                          <w:t>Chef de famille ou membre de l’inspection scolaire de la CF</w:t>
                        </w:r>
                      </w:p>
                      <w:p>
                        <w:pPr>
                          <w:tabs>
                            <w:tab w:val="left" w:pos="222"/>
                          </w:tabs>
                          <w:ind w:right="117" w:hanging="360"/>
                          <w:jc w:val="both"/>
                        </w:pPr>
                      </w:p>
                    </w:tc>
                    <w:tc>
                      <w:tcPr>
                        <w:tcW w:w="4680" w:type="dxa"/>
                        <w:tcBorders>
                          <w:top w:val="nil"/>
                          <w:left w:val="single" w:sz="6" w:space="0" w:color="auto"/>
                          <w:bottom w:val="single" w:sz="6" w:space="0" w:color="auto"/>
                        </w:tcBorders>
                      </w:tcPr>
                      <w:p>
                        <w:pPr>
                          <w:ind w:right="117"/>
                          <w:jc w:val="both"/>
                        </w:pPr>
                        <w:r>
                          <w:t>l’aptitude qu’a un élève à besoins spécifiques à recevoir l’enseignement spécialisé lorsqu’il ne fréquente aucune école</w:t>
                        </w:r>
                      </w:p>
                    </w:tc>
                  </w:tr>
                  <w:tr>
                    <w:trPr>
                      <w:trHeight w:val="403"/>
                      <w:jc w:val="center"/>
                    </w:trPr>
                    <w:tc>
                      <w:tcPr>
                        <w:tcW w:w="5270" w:type="dxa"/>
                        <w:tcBorders>
                          <w:top w:val="single" w:sz="6" w:space="0" w:color="auto"/>
                          <w:bottom w:val="single" w:sz="4" w:space="0" w:color="auto"/>
                          <w:right w:val="single" w:sz="6" w:space="0" w:color="auto"/>
                        </w:tcBorders>
                      </w:tcPr>
                      <w:p>
                        <w:pPr>
                          <w:numPr>
                            <w:ilvl w:val="0"/>
                            <w:numId w:val="120"/>
                          </w:numPr>
                          <w:tabs>
                            <w:tab w:val="clear" w:pos="720"/>
                          </w:tabs>
                          <w:ind w:left="0" w:right="117"/>
                          <w:jc w:val="both"/>
                        </w:pPr>
                        <w:r>
                          <w:t>Chef de famille ou  membre de l’inspection scolaire de la CF</w:t>
                        </w:r>
                      </w:p>
                    </w:tc>
                    <w:tc>
                      <w:tcPr>
                        <w:tcW w:w="4680" w:type="dxa"/>
                        <w:tcBorders>
                          <w:top w:val="single" w:sz="6" w:space="0" w:color="auto"/>
                          <w:left w:val="single" w:sz="6" w:space="0" w:color="auto"/>
                          <w:bottom w:val="single" w:sz="4" w:space="0" w:color="auto"/>
                        </w:tcBorders>
                      </w:tcPr>
                      <w:p>
                        <w:pPr>
                          <w:ind w:right="117"/>
                          <w:jc w:val="both"/>
                        </w:pPr>
                        <w:r>
                          <w:t>l’opportunité de faire dispenser l’enseignement à domicile à un élève à besoins spécifiques qui ne peut se déplacer ou être transporté en raison de la nature ou de la gravité de son handicap (¹)</w:t>
                        </w:r>
                      </w:p>
                    </w:tc>
                  </w:tr>
                  <w:tr>
                    <w:trPr>
                      <w:trHeight w:val="1223"/>
                      <w:jc w:val="center"/>
                    </w:trPr>
                    <w:tc>
                      <w:tcPr>
                        <w:tcW w:w="5270" w:type="dxa"/>
                        <w:tcBorders>
                          <w:top w:val="single" w:sz="4" w:space="0" w:color="auto"/>
                          <w:bottom w:val="single" w:sz="4" w:space="0" w:color="auto"/>
                          <w:right w:val="single" w:sz="6" w:space="0" w:color="auto"/>
                        </w:tcBorders>
                      </w:tcPr>
                      <w:p>
                        <w:pPr>
                          <w:numPr>
                            <w:ilvl w:val="0"/>
                            <w:numId w:val="120"/>
                          </w:numPr>
                          <w:tabs>
                            <w:tab w:val="clear" w:pos="720"/>
                          </w:tabs>
                          <w:ind w:left="0" w:right="117"/>
                          <w:jc w:val="both"/>
                        </w:pPr>
                        <w:r>
                          <w:t>Chef de famille, membre de l’inspection scolaire de la CF, chef d’établissement d’enseignement ordinaire ou médecin responsable d’une équipe chargée de l’inspection médicale scolaire</w:t>
                        </w:r>
                      </w:p>
                    </w:tc>
                    <w:tc>
                      <w:tcPr>
                        <w:tcW w:w="4680" w:type="dxa"/>
                        <w:tcBorders>
                          <w:top w:val="single" w:sz="4" w:space="0" w:color="auto"/>
                          <w:left w:val="single" w:sz="6" w:space="0" w:color="auto"/>
                          <w:bottom w:val="single" w:sz="4" w:space="0" w:color="auto"/>
                        </w:tcBorders>
                      </w:tcPr>
                      <w:p>
                        <w:pPr>
                          <w:ind w:right="117"/>
                          <w:jc w:val="both"/>
                        </w:pPr>
                        <w:r>
                          <w:t>l’opportunité de transférer dans un établissement d’enseignement spécialisé un élève inscrit dans un établissement d’enseignement ordinaire.</w:t>
                        </w:r>
                      </w:p>
                    </w:tc>
                  </w:tr>
                  <w:tr>
                    <w:trPr>
                      <w:trHeight w:val="881"/>
                      <w:jc w:val="center"/>
                    </w:trPr>
                    <w:tc>
                      <w:tcPr>
                        <w:tcW w:w="5270" w:type="dxa"/>
                        <w:tcBorders>
                          <w:top w:val="single" w:sz="4" w:space="0" w:color="auto"/>
                          <w:bottom w:val="single" w:sz="6" w:space="0" w:color="auto"/>
                          <w:right w:val="single" w:sz="6" w:space="0" w:color="auto"/>
                        </w:tcBorders>
                      </w:tcPr>
                      <w:p>
                        <w:pPr>
                          <w:tabs>
                            <w:tab w:val="left" w:pos="222"/>
                          </w:tabs>
                          <w:ind w:right="117"/>
                          <w:jc w:val="both"/>
                        </w:pPr>
                        <w:r>
                          <w:t>Chef de famille, membre de l’inspection scolaire de la CF ou chef d’établissement d’enseignement spécialisé</w:t>
                        </w:r>
                      </w:p>
                    </w:tc>
                    <w:tc>
                      <w:tcPr>
                        <w:tcW w:w="4680" w:type="dxa"/>
                        <w:tcBorders>
                          <w:top w:val="single" w:sz="4" w:space="0" w:color="auto"/>
                          <w:left w:val="single" w:sz="6" w:space="0" w:color="auto"/>
                          <w:bottom w:val="single" w:sz="6" w:space="0" w:color="auto"/>
                        </w:tcBorders>
                      </w:tcPr>
                      <w:p>
                        <w:pPr>
                          <w:ind w:right="117"/>
                          <w:jc w:val="both"/>
                        </w:pPr>
                        <w:r>
                          <w:t>l’opportunité de transférer dans un établissement d’enseignement ordinaire un élève inscrit dans un établissement d’enseignement spécialisé.</w:t>
                        </w:r>
                      </w:p>
                    </w:tc>
                  </w:tr>
                  <w:tr>
                    <w:trPr>
                      <w:trHeight w:val="1374"/>
                      <w:jc w:val="center"/>
                    </w:trPr>
                    <w:tc>
                      <w:tcPr>
                        <w:tcW w:w="5270" w:type="dxa"/>
                        <w:tcBorders>
                          <w:top w:val="single" w:sz="6" w:space="0" w:color="auto"/>
                          <w:bottom w:val="single" w:sz="6" w:space="0" w:color="auto"/>
                          <w:right w:val="single" w:sz="6" w:space="0" w:color="auto"/>
                        </w:tcBorders>
                      </w:tcPr>
                      <w:p>
                        <w:pPr>
                          <w:numPr>
                            <w:ilvl w:val="0"/>
                            <w:numId w:val="120"/>
                          </w:numPr>
                          <w:tabs>
                            <w:tab w:val="clear" w:pos="720"/>
                          </w:tabs>
                          <w:ind w:left="0" w:right="117"/>
                          <w:jc w:val="both"/>
                        </w:pPr>
                        <w:r>
                          <w:t>Chef de famille, membre de l’inspection scolaire de la CF, chef d’établissement d’enseignement spécialisé ou médecin responsable d’une équipe chargée de l’inspection médicale scolaire</w:t>
                        </w:r>
                      </w:p>
                    </w:tc>
                    <w:tc>
                      <w:tcPr>
                        <w:tcW w:w="4680" w:type="dxa"/>
                        <w:tcBorders>
                          <w:top w:val="single" w:sz="6" w:space="0" w:color="auto"/>
                          <w:left w:val="single" w:sz="6" w:space="0" w:color="auto"/>
                          <w:bottom w:val="single" w:sz="6" w:space="0" w:color="auto"/>
                        </w:tcBorders>
                      </w:tcPr>
                      <w:p>
                        <w:pPr>
                          <w:ind w:right="117"/>
                          <w:jc w:val="both"/>
                        </w:pPr>
                        <w:r>
                          <w:t>l’opportunité de transférer un élève à besoins spécifiques d’un établissement d’enseignement spécialisé dans un autre type d’enseignement spécialisé mieux approprié.</w:t>
                        </w:r>
                      </w:p>
                    </w:tc>
                  </w:tr>
                  <w:tr>
                    <w:trPr>
                      <w:trHeight w:val="1428"/>
                      <w:jc w:val="center"/>
                    </w:trPr>
                    <w:tc>
                      <w:tcPr>
                        <w:tcW w:w="5270" w:type="dxa"/>
                        <w:tcBorders>
                          <w:top w:val="single" w:sz="6" w:space="0" w:color="auto"/>
                          <w:bottom w:val="single" w:sz="6" w:space="0" w:color="auto"/>
                          <w:right w:val="single" w:sz="6" w:space="0" w:color="auto"/>
                        </w:tcBorders>
                      </w:tcPr>
                      <w:p>
                        <w:pPr>
                          <w:numPr>
                            <w:ilvl w:val="0"/>
                            <w:numId w:val="120"/>
                          </w:numPr>
                          <w:tabs>
                            <w:tab w:val="clear" w:pos="720"/>
                          </w:tabs>
                          <w:ind w:left="0" w:right="117"/>
                          <w:jc w:val="both"/>
                        </w:pPr>
                        <w:r>
                          <w:t>Chef de famille ou chef d’un établissement d’enseignement spécialisé</w:t>
                        </w:r>
                      </w:p>
                    </w:tc>
                    <w:tc>
                      <w:tcPr>
                        <w:tcW w:w="4680" w:type="dxa"/>
                        <w:tcBorders>
                          <w:top w:val="single" w:sz="6" w:space="0" w:color="auto"/>
                          <w:left w:val="single" w:sz="6" w:space="0" w:color="auto"/>
                          <w:bottom w:val="single" w:sz="6" w:space="0" w:color="auto"/>
                        </w:tcBorders>
                      </w:tcPr>
                      <w:p>
                        <w:pPr>
                          <w:ind w:right="117"/>
                          <w:jc w:val="both"/>
                        </w:pPr>
                        <w:r>
                          <w:t>l’opportunité de dispenser un enfant ou un adolescent à besoins spécifiques de toute obligation scolaire</w:t>
                        </w:r>
                      </w:p>
                      <w:p>
                        <w:pPr>
                          <w:ind w:right="117"/>
                          <w:jc w:val="both"/>
                        </w:pPr>
                        <w:r>
                          <w:t>(Dans ce cas, l’avis est communiqué au Gouvernement qui peut en accorder la dispense)</w:t>
                        </w:r>
                      </w:p>
                    </w:tc>
                  </w:tr>
                  <w:tr>
                    <w:trPr>
                      <w:trHeight w:val="1677"/>
                      <w:jc w:val="center"/>
                    </w:trPr>
                    <w:tc>
                      <w:tcPr>
                        <w:tcW w:w="5270" w:type="dxa"/>
                        <w:tcBorders>
                          <w:top w:val="single" w:sz="6" w:space="0" w:color="auto"/>
                          <w:bottom w:val="double" w:sz="6" w:space="0" w:color="auto"/>
                          <w:right w:val="single" w:sz="6" w:space="0" w:color="auto"/>
                        </w:tcBorders>
                      </w:tcPr>
                      <w:p>
                        <w:pPr>
                          <w:numPr>
                            <w:ilvl w:val="0"/>
                            <w:numId w:val="120"/>
                          </w:numPr>
                          <w:tabs>
                            <w:tab w:val="clear" w:pos="720"/>
                          </w:tabs>
                          <w:ind w:left="0" w:right="117"/>
                          <w:jc w:val="both"/>
                          <w:rPr>
                            <w:b/>
                          </w:rPr>
                        </w:pPr>
                        <w:r>
                          <w:t xml:space="preserve">Chef de la Cellule des accidents du travail de l’enseignement </w:t>
                        </w:r>
                        <w:r>
                          <w:rPr>
                            <w:b/>
                          </w:rPr>
                          <w:t>(²)</w:t>
                        </w:r>
                      </w:p>
                      <w:p>
                        <w:pPr>
                          <w:ind w:right="117"/>
                          <w:jc w:val="both"/>
                        </w:pPr>
                      </w:p>
                      <w:p>
                        <w:pPr>
                          <w:ind w:right="117"/>
                          <w:jc w:val="both"/>
                        </w:pPr>
                      </w:p>
                    </w:tc>
                    <w:tc>
                      <w:tcPr>
                        <w:tcW w:w="4680" w:type="dxa"/>
                        <w:tcBorders>
                          <w:top w:val="single" w:sz="6" w:space="0" w:color="auto"/>
                          <w:left w:val="single" w:sz="6" w:space="0" w:color="auto"/>
                          <w:bottom w:val="double" w:sz="6" w:space="0" w:color="auto"/>
                        </w:tcBorders>
                      </w:tcPr>
                      <w:p>
                        <w:pPr>
                          <w:ind w:right="117"/>
                          <w:jc w:val="both"/>
                        </w:pPr>
                        <w:r>
                          <w:t>La capacité de discernement d’un élève de l’enseignement spécialisé qui a commis un acte de violence ou qui est suspecté d’en avoir commis. L’avis précise si l’élève avait une capacité de discernement normale au moment des faits ou s’il n’en avait pas.</w:t>
                        </w:r>
                      </w:p>
                      <w:p>
                        <w:pPr>
                          <w:ind w:right="117"/>
                          <w:jc w:val="both"/>
                        </w:pPr>
                        <w:r>
                          <w:t xml:space="preserve">Cet avis peut être demandé </w:t>
                        </w:r>
                        <w:r>
                          <w:rPr>
                            <w:b/>
                            <w:bCs/>
                          </w:rPr>
                          <w:t xml:space="preserve">uniquement </w:t>
                        </w:r>
                        <w:r>
                          <w:t>en vue de l’application de l’article 14 de la loi du 3 juillet 1967 sur la prévention ou la réparation des dommages résultant des accidents du travail et des maladies professionnelles dans le secteur public.</w:t>
                        </w:r>
                      </w:p>
                    </w:tc>
                  </w:tr>
                </w:tbl>
                <w:p>
                  <w:pPr>
                    <w:ind w:hanging="360"/>
                  </w:pPr>
                </w:p>
                <w:p>
                  <w:pPr>
                    <w:tabs>
                      <w:tab w:val="left" w:pos="540"/>
                    </w:tabs>
                    <w:ind w:hanging="540"/>
                    <w:jc w:val="both"/>
                  </w:pPr>
                  <w:r>
                    <w:t>(¹)</w:t>
                  </w:r>
                  <w:r>
                    <w:tab/>
                    <w:t>Il s’agit ici d’un enseignement spécialisé dispensé à domicile et non de l’enseignement à domicile tel que prévu par le décret du 25.04.2008 fixant les conditions pour pouvoir satisfaire à l’obligation scolaire en dehors de l’enseignement organisé ou subventionné par la Communauté française.</w:t>
                  </w:r>
                </w:p>
                <w:p>
                  <w:pPr>
                    <w:jc w:val="both"/>
                  </w:pPr>
                </w:p>
                <w:p>
                  <w:pPr>
                    <w:tabs>
                      <w:tab w:val="left" w:pos="540"/>
                    </w:tabs>
                    <w:ind w:hanging="540"/>
                    <w:jc w:val="both"/>
                  </w:pPr>
                  <w:r>
                    <w:t>(²)</w:t>
                  </w:r>
                  <w:r>
                    <w:tab/>
                    <w:t>Dans cette situation, les documents nécessaires au traitement de la demande seront fournis par l’établissement scolaire</w:t>
                  </w:r>
                </w:p>
                <w:p>
                  <w:pPr>
                    <w:ind w:firstLine="540"/>
                    <w:jc w:val="both"/>
                    <w:rPr>
                      <w:b/>
                    </w:rPr>
                  </w:pPr>
                  <w:r>
                    <w:rPr>
                      <w:rFonts w:ascii="Times New Roman" w:hAnsi="Times New Roman" w:cs="Times New Roman"/>
                      <w:b/>
                    </w:rPr>
                    <w:t>□</w:t>
                  </w:r>
                  <w:r>
                    <w:rPr>
                      <w:rFonts w:cs="Cambria"/>
                      <w:b/>
                    </w:rPr>
                    <w:t> </w:t>
                  </w:r>
                  <w:r>
                    <w:rPr>
                      <w:b/>
                    </w:rPr>
                    <w:t>: avis du conseil de classe</w:t>
                  </w:r>
                </w:p>
                <w:p>
                  <w:pPr>
                    <w:ind w:firstLine="540"/>
                    <w:jc w:val="both"/>
                    <w:rPr>
                      <w:b/>
                    </w:rPr>
                  </w:pPr>
                  <w:r>
                    <w:rPr>
                      <w:rFonts w:ascii="Times New Roman" w:hAnsi="Times New Roman" w:cs="Times New Roman"/>
                      <w:b/>
                    </w:rPr>
                    <w:t>□</w:t>
                  </w:r>
                  <w:r>
                    <w:rPr>
                      <w:rFonts w:cs="Cambria"/>
                      <w:b/>
                    </w:rPr>
                    <w:t> </w:t>
                  </w:r>
                  <w:r>
                    <w:rPr>
                      <w:b/>
                    </w:rPr>
                    <w:t xml:space="preserve">: dossier disciplinaire </w:t>
                  </w:r>
                  <w:r>
                    <w:rPr>
                      <w:rFonts w:cs="Cambria"/>
                      <w:b/>
                    </w:rPr>
                    <w:t>é</w:t>
                  </w:r>
                  <w:r>
                    <w:rPr>
                      <w:b/>
                    </w:rPr>
                    <w:t>ventuel</w:t>
                  </w:r>
                </w:p>
                <w:p>
                  <w:pPr>
                    <w:ind w:firstLine="540"/>
                    <w:jc w:val="both"/>
                    <w:rPr>
                      <w:b/>
                    </w:rPr>
                  </w:pPr>
                  <w:r>
                    <w:rPr>
                      <w:rFonts w:ascii="Times New Roman" w:hAnsi="Times New Roman" w:cs="Times New Roman"/>
                      <w:b/>
                    </w:rPr>
                    <w:t>□</w:t>
                  </w:r>
                  <w:r>
                    <w:rPr>
                      <w:rFonts w:cs="Cambria"/>
                      <w:b/>
                    </w:rPr>
                    <w:t> </w:t>
                  </w:r>
                  <w:r>
                    <w:rPr>
                      <w:b/>
                    </w:rPr>
                    <w:t>: documents d</w:t>
                  </w:r>
                  <w:r>
                    <w:rPr>
                      <w:rFonts w:cs="Cambria"/>
                      <w:b/>
                    </w:rPr>
                    <w:t>’</w:t>
                  </w:r>
                  <w:r>
                    <w:rPr>
                      <w:b/>
                    </w:rPr>
                    <w:t>orientation vers l</w:t>
                  </w:r>
                  <w:r>
                    <w:rPr>
                      <w:rFonts w:cs="Cambria"/>
                      <w:b/>
                    </w:rPr>
                    <w:t>’</w:t>
                  </w:r>
                  <w:r>
                    <w:rPr>
                      <w:b/>
                    </w:rPr>
                    <w:t>enseignement sp</w:t>
                  </w:r>
                  <w:r>
                    <w:rPr>
                      <w:rFonts w:cs="Cambria"/>
                      <w:b/>
                    </w:rPr>
                    <w:t>é</w:t>
                  </w:r>
                  <w:r>
                    <w:rPr>
                      <w:b/>
                    </w:rPr>
                    <w:t>cialis</w:t>
                  </w:r>
                  <w:r>
                    <w:rPr>
                      <w:rFonts w:cs="Cambria"/>
                      <w:b/>
                    </w:rPr>
                    <w:t>é</w:t>
                  </w:r>
                </w:p>
                <w:p>
                  <w:pPr>
                    <w:ind w:firstLine="540"/>
                    <w:jc w:val="both"/>
                    <w:rPr>
                      <w:b/>
                    </w:rPr>
                  </w:pPr>
                  <w:r>
                    <w:rPr>
                      <w:rFonts w:ascii="Times New Roman" w:hAnsi="Times New Roman" w:cs="Times New Roman"/>
                      <w:b/>
                    </w:rPr>
                    <w:t>□</w:t>
                  </w:r>
                  <w:r>
                    <w:rPr>
                      <w:rFonts w:cs="Cambria"/>
                      <w:b/>
                    </w:rPr>
                    <w:t> </w:t>
                  </w:r>
                  <w:r>
                    <w:rPr>
                      <w:b/>
                    </w:rPr>
                    <w:t>: PIA</w:t>
                  </w:r>
                </w:p>
                <w:p/>
                <w:p/>
                <w:p>
                  <w:pPr>
                    <w:pStyle w:val="Titre4"/>
                  </w:pPr>
                  <w:bookmarkStart w:id="3438" w:name="_Toc324767321"/>
                  <w:bookmarkStart w:id="3439" w:name="_Toc324768179"/>
                  <w:bookmarkStart w:id="3440" w:name="_Toc412204238"/>
                  <w:bookmarkStart w:id="3441" w:name="_Toc453837063"/>
                  <w:r>
                    <w:t>2.1. Rapport d’activité</w:t>
                  </w:r>
                  <w:bookmarkEnd w:id="3438"/>
                  <w:bookmarkEnd w:id="3439"/>
                  <w:bookmarkEnd w:id="3440"/>
                  <w:bookmarkEnd w:id="3441"/>
                </w:p>
                <w:p>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r>
                    <w:t xml:space="preserve">Chaque année, pour le 30 juin, les présidents des commissions consultatives de l’enseignement spécialisé adressent un rapport d’activité au Gouvernement et une copie au Conseil Général de l’Enseignement Fondamental.  </w:t>
                  </w:r>
                </w:p>
                <w:p>
                  <w:pPr>
                    <w:jc w:val="both"/>
                  </w:pPr>
                </w:p>
                <w:p>
                  <w:pPr>
                    <w:pStyle w:val="Titre3"/>
                  </w:pPr>
                  <w:bookmarkStart w:id="3442" w:name="_3._Introduction_des"/>
                  <w:bookmarkStart w:id="3443" w:name="_Toc324767322"/>
                  <w:bookmarkStart w:id="3444" w:name="_Toc412204239"/>
                  <w:bookmarkStart w:id="3445" w:name="_Toc453837064"/>
                  <w:bookmarkStart w:id="3446" w:name="_Toc18914521"/>
                  <w:bookmarkEnd w:id="3442"/>
                  <w:r>
                    <w:t>3. Introduction des demandes</w:t>
                  </w:r>
                  <w:bookmarkEnd w:id="3443"/>
                  <w:bookmarkEnd w:id="3444"/>
                  <w:bookmarkEnd w:id="3445"/>
                  <w:bookmarkEnd w:id="3446"/>
                </w:p>
                <w:p>
                  <w:pPr>
                    <w:jc w:val="both"/>
                  </w:pPr>
                </w:p>
                <w:p>
                  <w:pPr>
                    <w:jc w:val="both"/>
                  </w:pPr>
                  <w:r>
                    <w:t>Les dossiers complets dûment motivés doivent être introduits par l’intermédiaire du formulaire de demande adéquat repris</w:t>
                  </w:r>
                  <w:r>
                    <w:rPr>
                      <w:color w:val="FF0000"/>
                    </w:rPr>
                    <w:t xml:space="preserve"> </w:t>
                  </w:r>
                  <w:r>
                    <w:t>en annexe auprès de :</w:t>
                  </w:r>
                </w:p>
                <w:p>
                  <w:pPr>
                    <w:autoSpaceDE w:val="0"/>
                  </w:pPr>
                </w:p>
                <w:p>
                  <w:pPr>
                    <w:pBdr>
                      <w:top w:val="single" w:sz="4" w:space="1" w:color="auto"/>
                      <w:left w:val="single" w:sz="4" w:space="4" w:color="auto"/>
                      <w:bottom w:val="single" w:sz="4" w:space="1" w:color="auto"/>
                      <w:right w:val="single" w:sz="4" w:space="4" w:color="auto"/>
                    </w:pBdr>
                    <w:jc w:val="center"/>
                  </w:pPr>
                  <w:r>
                    <w:t>Direction générale de l’enseignement obligatoire</w:t>
                  </w:r>
                </w:p>
                <w:p>
                  <w:pPr>
                    <w:pBdr>
                      <w:top w:val="single" w:sz="4" w:space="1" w:color="auto"/>
                      <w:left w:val="single" w:sz="4" w:space="4" w:color="auto"/>
                      <w:bottom w:val="single" w:sz="4" w:space="1" w:color="auto"/>
                      <w:right w:val="single" w:sz="4" w:space="4" w:color="auto"/>
                    </w:pBdr>
                    <w:jc w:val="center"/>
                  </w:pPr>
                  <w:r>
                    <w:t>Service de l’enseignement spécialisé</w:t>
                  </w:r>
                </w:p>
                <w:p>
                  <w:pPr>
                    <w:pBdr>
                      <w:top w:val="single" w:sz="4" w:space="1" w:color="auto"/>
                      <w:left w:val="single" w:sz="4" w:space="4" w:color="auto"/>
                      <w:bottom w:val="single" w:sz="4" w:space="1" w:color="auto"/>
                      <w:right w:val="single" w:sz="4" w:space="4" w:color="auto"/>
                    </w:pBdr>
                    <w:jc w:val="center"/>
                    <w:rPr>
                      <w:color w:val="000000"/>
                    </w:rPr>
                  </w:pPr>
                  <w:r>
                    <w:rPr>
                      <w:color w:val="000000"/>
                    </w:rPr>
                    <w:t>Madame Nathalie DUJARDIN</w:t>
                  </w:r>
                </w:p>
                <w:p>
                  <w:pPr>
                    <w:pBdr>
                      <w:top w:val="single" w:sz="4" w:space="1" w:color="auto"/>
                      <w:left w:val="single" w:sz="4" w:space="4" w:color="auto"/>
                      <w:bottom w:val="single" w:sz="4" w:space="1" w:color="auto"/>
                      <w:right w:val="single" w:sz="4" w:space="4" w:color="auto"/>
                    </w:pBdr>
                    <w:jc w:val="center"/>
                  </w:pPr>
                  <w:r>
                    <w:t>Bureau 2F246</w:t>
                  </w:r>
                </w:p>
                <w:p>
                  <w:pPr>
                    <w:pBdr>
                      <w:top w:val="single" w:sz="4" w:space="1" w:color="auto"/>
                      <w:left w:val="single" w:sz="4" w:space="4" w:color="auto"/>
                      <w:bottom w:val="single" w:sz="4" w:space="1" w:color="auto"/>
                      <w:right w:val="single" w:sz="4" w:space="4" w:color="auto"/>
                    </w:pBdr>
                    <w:jc w:val="center"/>
                  </w:pPr>
                  <w:r>
                    <w:t>Rue Adolphe Lavallée, 1</w:t>
                  </w:r>
                </w:p>
                <w:p>
                  <w:pPr>
                    <w:pBdr>
                      <w:top w:val="single" w:sz="4" w:space="1" w:color="auto"/>
                      <w:left w:val="single" w:sz="4" w:space="4" w:color="auto"/>
                      <w:bottom w:val="single" w:sz="4" w:space="1" w:color="auto"/>
                      <w:right w:val="single" w:sz="4" w:space="4" w:color="auto"/>
                    </w:pBdr>
                    <w:jc w:val="center"/>
                  </w:pPr>
                  <w:r>
                    <w:t>1080   BRUXELLES</w:t>
                  </w:r>
                </w:p>
                <w:p>
                  <w:pPr>
                    <w:pBdr>
                      <w:top w:val="single" w:sz="4" w:space="1" w:color="auto"/>
                      <w:left w:val="single" w:sz="4" w:space="4" w:color="auto"/>
                      <w:bottom w:val="single" w:sz="4" w:space="1" w:color="auto"/>
                      <w:right w:val="single" w:sz="4" w:space="4" w:color="auto"/>
                    </w:pBdr>
                    <w:jc w:val="center"/>
                    <w:rPr>
                      <w:lang w:val="fr-FR"/>
                    </w:rPr>
                  </w:pPr>
                  <w:r>
                    <w:sym w:font="Wingdings" w:char="F028"/>
                  </w:r>
                  <w:r>
                    <w:rPr>
                      <w:lang w:val="fr-FR"/>
                    </w:rPr>
                    <w:t> : 02/690.88.59 – GSM : 0472/94.31.95</w:t>
                  </w:r>
                </w:p>
                <w:p>
                  <w:pPr>
                    <w:pBdr>
                      <w:top w:val="single" w:sz="4" w:space="1" w:color="auto"/>
                      <w:left w:val="single" w:sz="4" w:space="4" w:color="auto"/>
                      <w:bottom w:val="single" w:sz="4" w:space="1" w:color="auto"/>
                      <w:right w:val="single" w:sz="4" w:space="4" w:color="auto"/>
                    </w:pBdr>
                    <w:jc w:val="center"/>
                    <w:rPr>
                      <w:lang w:val="fr-FR"/>
                    </w:rPr>
                  </w:pPr>
                  <w:r>
                    <w:rPr>
                      <w:lang w:val="fr-FR"/>
                    </w:rPr>
                    <w:t xml:space="preserve">Fax : 02/690.85.90 - </w:t>
                  </w:r>
                  <w:r>
                    <w:rPr>
                      <w:bCs/>
                    </w:rPr>
                    <w:sym w:font="Wingdings" w:char="F03A"/>
                  </w:r>
                  <w:r>
                    <w:rPr>
                      <w:bCs/>
                      <w:lang w:val="fr-FR"/>
                    </w:rPr>
                    <w:t> </w:t>
                  </w:r>
                  <w:r>
                    <w:rPr>
                      <w:lang w:val="fr-FR"/>
                    </w:rPr>
                    <w:t xml:space="preserve"> </w:t>
                  </w:r>
                  <w:hyperlink r:id="rId224" w:history="1">
                    <w:r>
                      <w:rPr>
                        <w:rStyle w:val="Lienhypertexte"/>
                        <w:rFonts w:cs="Arial"/>
                        <w:lang w:val="fr-FR"/>
                      </w:rPr>
                      <w:t>nathalie.dujardin@cfwb.be</w:t>
                    </w:r>
                  </w:hyperlink>
                  <w:r>
                    <w:rPr>
                      <w:b/>
                      <w:lang w:val="fr-FR"/>
                    </w:rPr>
                    <w:t xml:space="preserve"> </w:t>
                  </w:r>
                </w:p>
                <w:p>
                  <w:pPr>
                    <w:tabs>
                      <w:tab w:val="left" w:pos="-420"/>
                    </w:tabs>
                    <w:rPr>
                      <w:lang w:val="fr-FR"/>
                    </w:rPr>
                  </w:pPr>
                </w:p>
                <w:p>
                  <w:pPr>
                    <w:tabs>
                      <w:tab w:val="left" w:pos="-420"/>
                    </w:tabs>
                    <w:jc w:val="both"/>
                    <w:rPr>
                      <w:b/>
                    </w:rPr>
                  </w:pPr>
                  <w:r>
                    <w:t>Dès la réception d’un dossier, le secrétaire des commissions consultatives, en collaboration avec l’inspecteur coordonnateur de l’enseignement spécialisé, s’assure que celui-ci comprend toutes les informations permettant à la Commission consultative concernée de rendre un avis en parfaite connaissance de cause.</w:t>
                  </w:r>
                  <w:r>
                    <w:rPr>
                      <w:b/>
                    </w:rPr>
                    <w:t xml:space="preserve"> </w:t>
                  </w:r>
                  <w:r>
                    <w:t xml:space="preserve">Les informations à caractère confidentiel sont jointes </w:t>
                  </w:r>
                  <w:r>
                    <w:rPr>
                      <w:b/>
                      <w:u w:val="single"/>
                    </w:rPr>
                    <w:t>sous enveloppe fermée marquée de la mention «confidentiel »</w:t>
                  </w:r>
                  <w:r>
                    <w:rPr>
                      <w:b/>
                    </w:rPr>
                    <w:t>.</w:t>
                  </w:r>
                </w:p>
                <w:p>
                  <w:pPr>
                    <w:tabs>
                      <w:tab w:val="left" w:pos="-420"/>
                    </w:tabs>
                    <w:jc w:val="both"/>
                    <w:rPr>
                      <w:b/>
                    </w:rPr>
                  </w:pPr>
                </w:p>
                <w:p>
                  <w:pPr>
                    <w:tabs>
                      <w:tab w:val="left" w:pos="-420"/>
                    </w:tabs>
                    <w:jc w:val="both"/>
                    <w:rPr>
                      <w:b/>
                    </w:rPr>
                  </w:pPr>
                  <w:r>
                    <w:t>L’Inspecteur coordonnateur de l’enseignement spécialisé donne  mission et transmet le dossier au président de la Commission consultative du ressort dont dépend la demande d’avis.</w:t>
                  </w:r>
                </w:p>
                <w:p/>
                <w:p>
                  <w:pPr>
                    <w:pStyle w:val="Titre3"/>
                  </w:pPr>
                  <w:bookmarkStart w:id="3447" w:name="_Toc324767323"/>
                  <w:bookmarkStart w:id="3448" w:name="_Toc412204240"/>
                  <w:bookmarkStart w:id="3449" w:name="_Toc453837065"/>
                  <w:bookmarkStart w:id="3450" w:name="_Toc18914522"/>
                  <w:r>
                    <w:t>4. Modalités d’organisation des commissions consultatives</w:t>
                  </w:r>
                  <w:bookmarkEnd w:id="3447"/>
                  <w:bookmarkEnd w:id="3448"/>
                  <w:bookmarkEnd w:id="3449"/>
                  <w:bookmarkEnd w:id="3450"/>
                </w:p>
                <w:p>
                  <w:pPr>
                    <w:jc w:val="both"/>
                  </w:pPr>
                </w:p>
                <w:p>
                  <w:pPr>
                    <w:jc w:val="both"/>
                  </w:pPr>
                  <w:r>
                    <w:t>Lieu de réunion : déterminé dans un endroit désigné de commun accord avec les membres ;</w:t>
                  </w:r>
                </w:p>
                <w:p>
                  <w:pPr>
                    <w:jc w:val="both"/>
                  </w:pPr>
                  <w:r>
                    <w:t>Date de réunion et ordre du jour : fixés par le président ;</w:t>
                  </w:r>
                </w:p>
                <w:p>
                  <w:pPr>
                    <w:jc w:val="both"/>
                  </w:pPr>
                  <w:r>
                    <w:t xml:space="preserve">Convocations : </w:t>
                  </w:r>
                  <w:r>
                    <w:tab/>
                    <w:t>envoyées par le secrétaire de la commission, au moins huit jours calendrier avant la date de la séance prévue ;</w:t>
                  </w:r>
                </w:p>
                <w:p>
                  <w:pPr>
                    <w:jc w:val="both"/>
                  </w:pPr>
                  <w:r>
                    <w:t>Absence : le membre effectif empêché avertit le président et invite lui-même son suppléant à le remplacer.</w:t>
                  </w:r>
                </w:p>
                <w:p>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pPr>
                </w:p>
                <w:p>
                  <w:pPr>
                    <w:pStyle w:val="Titre3"/>
                  </w:pPr>
                  <w:bookmarkStart w:id="3451" w:name="_Toc324767324"/>
                  <w:bookmarkStart w:id="3452" w:name="_Toc412204241"/>
                  <w:bookmarkStart w:id="3453" w:name="_Toc453837066"/>
                  <w:bookmarkStart w:id="3454" w:name="_Toc18914523"/>
                  <w:r>
                    <w:t>5. Fonctionnement des commissions consultatives</w:t>
                  </w:r>
                  <w:bookmarkEnd w:id="3451"/>
                  <w:bookmarkEnd w:id="3452"/>
                  <w:bookmarkEnd w:id="3453"/>
                  <w:bookmarkEnd w:id="3454"/>
                  <w:r>
                    <w:t xml:space="preserve"> </w:t>
                  </w:r>
                </w:p>
                <w:p>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b/>
                      <w:color w:val="800000"/>
                    </w:rPr>
                  </w:pPr>
                </w:p>
                <w:p>
                  <w:pPr>
                    <w:tabs>
                      <w:tab w:val="left" w:pos="-420"/>
                      <w:tab w:val="left" w:pos="360"/>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pPr>
                  <w:r>
                    <w:rPr>
                      <w:u w:val="single"/>
                    </w:rPr>
                    <w:t>Avant de donner son avis</w:t>
                  </w:r>
                  <w:r>
                    <w:t>, la commission consultative de l’Enseignement spécialisé est tenue:</w:t>
                  </w:r>
                </w:p>
                <w:p>
                  <w:pPr>
                    <w:tabs>
                      <w:tab w:val="left" w:pos="-420"/>
                      <w:tab w:val="left" w:pos="360"/>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pPr>
                </w:p>
                <w:p>
                  <w:pPr>
                    <w:numPr>
                      <w:ilvl w:val="0"/>
                      <w:numId w:val="119"/>
                    </w:numPr>
                    <w:tabs>
                      <w:tab w:val="clear" w:pos="720"/>
                    </w:tabs>
                    <w:ind w:left="360"/>
                    <w:jc w:val="both"/>
                  </w:pPr>
                  <w:r>
                    <w:t>d’inviter le chef de famille ou le responsable légal à se présenter devant ladite commission afin de faire entendre son point de vue ; celui-ci peut se faire assister par le conseil de son choix ;</w:t>
                  </w:r>
                </w:p>
                <w:p>
                  <w:pPr>
                    <w:numPr>
                      <w:ilvl w:val="0"/>
                      <w:numId w:val="119"/>
                    </w:numPr>
                    <w:tabs>
                      <w:tab w:val="clear" w:pos="720"/>
                    </w:tabs>
                    <w:ind w:left="360"/>
                  </w:pPr>
                  <w:r>
                    <w:t>de faire établir, le cas échéant, le rapport établi par l’organisme tel que déterminé par l’article 12 du décret du 3 mars 2004.</w:t>
                  </w:r>
                  <w:r>
                    <w:br/>
                  </w:r>
                </w:p>
                <w:p>
                  <w:pPr>
                    <w:jc w:val="both"/>
                  </w:pPr>
                  <w:r>
                    <w:t>Le chef de famille choisit l’organisme ou le médecin qui établira le rapport.</w:t>
                  </w:r>
                </w:p>
                <w:p>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pPr>
                    <w:tabs>
                      <w:tab w:val="left" w:pos="-420"/>
                      <w:tab w:val="left" w:pos="522"/>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r>
                    <w:t>Si Le chef de famille ne veut pas être entendu ou refuse de faire examiner son enfant en vue de la rédaction du rapport prévu, la commission se prononcera alors sans que l’enfant ait été examiné.</w:t>
                  </w:r>
                </w:p>
                <w:p>
                  <w:r>
                    <w:br w:type="page"/>
                  </w:r>
                </w:p>
                <w:p>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b/>
                    </w:rPr>
                  </w:pPr>
                  <w:r>
                    <w:rPr>
                      <w:b/>
                    </w:rPr>
                    <w:t>La commission consultative de l’enseignement spécialisé communique son avis au chef de famille ou la personne responsable de l'élève par pli recommandé à la poste sauf en ce qui concerne la mission relative à la capacité de discernement d’un élève qui a commis un acte de violence (décret du 26 mars 2009, article 22 et 23).</w:t>
                  </w:r>
                </w:p>
                <w:p>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pPr>
                    <w:tabs>
                      <w:tab w:val="left" w:pos="-420"/>
                    </w:tabs>
                    <w:jc w:val="both"/>
                  </w:pPr>
                  <w:r>
                    <w:t xml:space="preserve">Si l’enfant semble relever de l’enseignement spécialisé selon les dispositions du Décret du 3 mars 2004 organisant l'Enseignement spécialisé, la commission, </w:t>
                  </w:r>
                  <w:r>
                    <w:rPr>
                      <w:b/>
                      <w:i/>
                    </w:rPr>
                    <w:t>en collaboration avec le PMS de tutelle</w:t>
                  </w:r>
                  <w:r>
                    <w:t>,  indique le type d’enseignement spécialisé qui convient à l’intéressé. Elle fournit la liste complète des établissements des divers réseaux qui dispensent cet enseignement.</w:t>
                  </w:r>
                </w:p>
                <w:p>
                  <w:pPr>
                    <w:tabs>
                      <w:tab w:val="left" w:pos="-420"/>
                    </w:tabs>
                    <w:jc w:val="both"/>
                  </w:pPr>
                </w:p>
                <w:p>
                  <w:pPr>
                    <w:tabs>
                      <w:tab w:val="left" w:pos="-420"/>
                    </w:tabs>
                    <w:jc w:val="both"/>
                    <w:rPr>
                      <w:i/>
                    </w:rPr>
                  </w:pPr>
                  <w:r>
                    <w:t>Le chef de famille dispose d’un délai de 30 jours pour communiquer sa décision, par pli recommandé à la poste, au président de la commission consultative</w:t>
                  </w:r>
                  <w:r>
                    <w:rPr>
                      <w:i/>
                    </w:rPr>
                    <w:t>. L’absence de courrier est synonyme d’acquiescement.</w:t>
                  </w:r>
                </w:p>
                <w:p>
                  <w:pPr>
                    <w:tabs>
                      <w:tab w:val="left" w:pos="-420"/>
                    </w:tabs>
                    <w:jc w:val="both"/>
                  </w:pPr>
                </w:p>
                <w:p>
                  <w:pPr>
                    <w:tabs>
                      <w:tab w:val="left" w:pos="-420"/>
                    </w:tabs>
                    <w:jc w:val="both"/>
                  </w:pPr>
                  <w:r>
                    <w:t>Si Le chef de famille oppose une fin de non recevoir à la suggestion de la commission consultative ou s’il n’a pas fait choix d’un établissement, la commission consultative réexamine le cas et communique son avis définitif au chef de famille par lettre recommandée à la poste.</w:t>
                  </w:r>
                </w:p>
                <w:p>
                  <w:pPr>
                    <w:tabs>
                      <w:tab w:val="left" w:pos="-420"/>
                    </w:tabs>
                    <w:jc w:val="both"/>
                  </w:pPr>
                </w:p>
                <w:p>
                  <w:pPr>
                    <w:tabs>
                      <w:tab w:val="left" w:pos="-420"/>
                    </w:tabs>
                    <w:jc w:val="both"/>
                  </w:pPr>
                  <w:r>
                    <w:t>Si, dans la quinzaine, Le chef de famille n’a pas pris de dispositions conformes ou n’en a pas avisé la commission consultative, celle-ci communique le dossier au Gouvernement qui prend les mesures nécessaires afin de garantir la scolarisation de l’enfant.</w:t>
                  </w:r>
                </w:p>
                <w:p/>
                <w:p>
                  <w:pPr>
                    <w:pStyle w:val="Titre3"/>
                  </w:pPr>
                  <w:bookmarkStart w:id="3455" w:name="_6._Présidences_des"/>
                  <w:bookmarkStart w:id="3456" w:name="_Toc324767325"/>
                  <w:bookmarkStart w:id="3457" w:name="_Toc412204242"/>
                  <w:bookmarkStart w:id="3458" w:name="_Toc453837067"/>
                  <w:bookmarkStart w:id="3459" w:name="_Toc18914524"/>
                  <w:bookmarkEnd w:id="3455"/>
                  <w:r>
                    <w:t>6. Présidences des Commissions consultatives</w:t>
                  </w:r>
                  <w:bookmarkEnd w:id="3456"/>
                  <w:bookmarkEnd w:id="3457"/>
                  <w:bookmarkEnd w:id="3458"/>
                  <w:bookmarkEnd w:id="3459"/>
                </w:p>
                <w:p>
                  <w:r>
                    <w:rPr>
                      <w:noProof/>
                      <w:lang w:eastAsia="fr-BE"/>
                    </w:rPr>
                    <mc:AlternateContent>
                      <mc:Choice Requires="wps">
                        <w:drawing>
                          <wp:anchor distT="0" distB="0" distL="114300" distR="114300" simplePos="0" relativeHeight="252104704" behindDoc="0" locked="0" layoutInCell="1" allowOverlap="1">
                            <wp:simplePos x="0" y="0"/>
                            <wp:positionH relativeFrom="column">
                              <wp:posOffset>6053263</wp:posOffset>
                            </wp:positionH>
                            <wp:positionV relativeFrom="paragraph">
                              <wp:posOffset>351244</wp:posOffset>
                            </wp:positionV>
                            <wp:extent cx="0" cy="170121"/>
                            <wp:effectExtent l="0" t="0" r="19050" b="20955"/>
                            <wp:wrapNone/>
                            <wp:docPr id="44" name="Connecteur droit 44"/>
                            <wp:cNvGraphicFramePr/>
                            <a:graphic xmlns:a="http://schemas.openxmlformats.org/drawingml/2006/main">
                              <a:graphicData uri="http://schemas.microsoft.com/office/word/2010/wordprocessingShape">
                                <wps:wsp>
                                  <wps:cNvCnPr/>
                                  <wps:spPr>
                                    <a:xfrm>
                                      <a:off x="0" y="0"/>
                                      <a:ext cx="0" cy="170121"/>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06EB654" id="Connecteur droit 44" o:spid="_x0000_s1026" style="position:absolute;z-index:252104704;visibility:visible;mso-wrap-style:square;mso-wrap-distance-left:9pt;mso-wrap-distance-top:0;mso-wrap-distance-right:9pt;mso-wrap-distance-bottom:0;mso-position-horizontal:absolute;mso-position-horizontal-relative:text;mso-position-vertical:absolute;mso-position-vertical-relative:text" from="476.65pt,27.65pt" to="476.65pt,4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" strokecolor="black [3040]"/>
                        </w:pict>
                      </mc:Fallback>
                    </mc:AlternateContent>
                  </w:r>
                  <w:r>
                    <w:rPr>
                      <w:noProof/>
                      <w:lang w:eastAsia="fr-BE"/>
                    </w:rPr>
                    <mc:AlternateContent>
                      <mc:Choice Requires="wps">
                        <w:drawing>
                          <wp:anchor distT="0" distB="0" distL="114300" distR="114300" simplePos="0" relativeHeight="252103680" behindDoc="0" locked="0" layoutInCell="1" allowOverlap="1">
                            <wp:simplePos x="0" y="0"/>
                            <wp:positionH relativeFrom="column">
                              <wp:posOffset>6053263</wp:posOffset>
                            </wp:positionH>
                            <wp:positionV relativeFrom="paragraph">
                              <wp:posOffset>893504</wp:posOffset>
                            </wp:positionV>
                            <wp:extent cx="0" cy="170121"/>
                            <wp:effectExtent l="0" t="0" r="19050" b="20955"/>
                            <wp:wrapNone/>
                            <wp:docPr id="41" name="Connecteur droit 41"/>
                            <wp:cNvGraphicFramePr/>
                            <a:graphic xmlns:a="http://schemas.openxmlformats.org/drawingml/2006/main">
                              <a:graphicData uri="http://schemas.microsoft.com/office/word/2010/wordprocessingShape">
                                <wps:wsp>
                                  <wps:cNvCnPr/>
                                  <wps:spPr>
                                    <a:xfrm>
                                      <a:off x="0" y="0"/>
                                      <a:ext cx="0" cy="170121"/>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122B30F" id="Connecteur droit 41" o:spid="_x0000_s1026" style="position:absolute;z-index:252103680;visibility:visible;mso-wrap-style:square;mso-wrap-distance-left:9pt;mso-wrap-distance-top:0;mso-wrap-distance-right:9pt;mso-wrap-distance-bottom:0;mso-position-horizontal:absolute;mso-position-horizontal-relative:text;mso-position-vertical:absolute;mso-position-vertical-relative:text" from="476.65pt,70.35pt" to="476.65pt,8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" strokecolor="black [3040]"/>
                        </w:pict>
                      </mc:Fallback>
                    </mc:AlternateContent>
                  </w:r>
                </w:p>
                <w:tbl>
                  <w:tblPr>
                    <w:tblW w:w="0" w:type="auto"/>
                    <w:tblCellMar>
                      <w:left w:w="0" w:type="dxa"/>
                      <w:right w:w="0" w:type="dxa"/>
                    </w:tblCellMar>
                    <w:tblLook w:val="04A0" w:firstRow="1" w:lastRow="0" w:firstColumn="1" w:lastColumn="0" w:noHBand="0" w:noVBand="1"/>
                  </w:tblPr>
                  <w:tblGrid>
                    <w:gridCol w:w="3106"/>
                    <w:gridCol w:w="3114"/>
                    <w:gridCol w:w="3114"/>
                  </w:tblGrid>
                  <w:tr>
                    <w:tc>
                      <w:tcPr>
                        <w:tcW w:w="31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
                          <w:t>Zone</w:t>
                        </w:r>
                      </w:p>
                    </w:tc>
                    <w:tc>
                      <w:tcPr>
                        <w:tcW w:w="313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
                          <w:t>effectif</w:t>
                        </w:r>
                      </w:p>
                    </w:tc>
                    <w:tc>
                      <w:tcPr>
                        <w:tcW w:w="313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
                          <w:t>Suppléant</w:t>
                        </w:r>
                      </w:p>
                    </w:tc>
                  </w:tr>
                  <w:tr>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1 : Luxembourg</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Yasmine LORENT</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Régine GENDARME</w:t>
                        </w:r>
                      </w:p>
                    </w:tc>
                  </w:tr>
                  <w:tr>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2 : Bxl.</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Françoise REUBRECHT</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Geneviève VANDECASTEELE</w:t>
                        </w:r>
                      </w:p>
                    </w:tc>
                  </w:tr>
                  <w:tr>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3 : Charleroi</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Olivier HONNORE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Yasmine LORENT</w:t>
                        </w:r>
                      </w:p>
                    </w:tc>
                  </w:tr>
                  <w:tr>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4 : Namur</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Maurice MERKELBACH</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Françoise REUBRECHT</w:t>
                        </w:r>
                      </w:p>
                    </w:tc>
                  </w:tr>
                  <w:tr>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5 : Huy</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Maurice MERKELBACH</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Yasmine LORENT</w:t>
                        </w:r>
                      </w:p>
                    </w:tc>
                  </w:tr>
                  <w:tr>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6 : Liège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Thierry HARIGA</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J-P DEGHAYE</w:t>
                        </w:r>
                      </w:p>
                    </w:tc>
                  </w:tr>
                  <w:tr>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7 :Mons</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Geneviève VANDECASTEELE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Régine GENDARME</w:t>
                        </w:r>
                      </w:p>
                    </w:tc>
                  </w:tr>
                  <w:tr>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8 : BW</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Paul GERARD</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Olivier HONNORE</w:t>
                        </w:r>
                      </w:p>
                    </w:tc>
                  </w:tr>
                  <w:tr>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9 :Ht.Occid.</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pPr>
                          <w:rPr>
                            <w:strike/>
                          </w:rPr>
                        </w:pPr>
                        <w:r>
                          <w:t>Régine GENDARME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Paul GERARD</w:t>
                        </w:r>
                      </w:p>
                    </w:tc>
                  </w:tr>
                  <w:tr>
                    <w:trPr>
                      <w:trHeight w:val="327"/>
                    </w:trPr>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10 :Verviers</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J-P DEGHAYE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
                          <w:t>Thierry HARIGA</w:t>
                        </w:r>
                      </w:p>
                    </w:tc>
                  </w:tr>
                </w:tbl>
                <w:p>
                  <w:pPr>
                    <w:rPr>
                      <w:rFonts w:ascii="Calibri" w:hAnsi="Calibri" w:cs="Calibri"/>
                    </w:rPr>
                  </w:pPr>
                </w:p>
                <w:p>
                  <w:pPr>
                    <w:pStyle w:val="Titre3"/>
                    <w:rPr>
                      <w:lang w:val="fr-FR"/>
                    </w:rPr>
                  </w:pPr>
                  <w:bookmarkStart w:id="3460" w:name="_Toc324767326"/>
                  <w:bookmarkStart w:id="3461" w:name="_Toc412204243"/>
                  <w:bookmarkStart w:id="3462" w:name="_Toc453837068"/>
                  <w:bookmarkStart w:id="3463" w:name="_Toc18914525"/>
                  <w:r>
                    <w:rPr>
                      <w:lang w:val="fr-FR"/>
                    </w:rPr>
                    <w:t>7. Documents utiles au traitement de la situation</w:t>
                  </w:r>
                  <w:bookmarkEnd w:id="3460"/>
                  <w:bookmarkEnd w:id="3461"/>
                  <w:bookmarkEnd w:id="3462"/>
                  <w:bookmarkEnd w:id="3463"/>
                </w:p>
                <w:p/>
                <w:p>
                  <w:r>
                    <w:t>Formulaires de demande et annexes demandées ci-après. (1 formulaire de demande par objet)</w:t>
                  </w:r>
                </w:p>
                <w:p/>
                <w:p>
                  <w:pPr>
                    <w:pStyle w:val="Titre3"/>
                    <w:rPr>
                      <w:lang w:val="fr-FR"/>
                    </w:rPr>
                  </w:pPr>
                  <w:bookmarkStart w:id="3464" w:name="_8._Annexes_(7"/>
                  <w:bookmarkStart w:id="3465" w:name="_Toc324767327"/>
                  <w:bookmarkStart w:id="3466" w:name="_Toc412204244"/>
                  <w:bookmarkStart w:id="3467" w:name="_Toc453837069"/>
                  <w:bookmarkStart w:id="3468" w:name="_Toc18914526"/>
                  <w:bookmarkEnd w:id="3464"/>
                  <w:r>
                    <w:rPr>
                      <w:lang w:val="fr-FR"/>
                    </w:rPr>
                    <w:t>8. Annexes (7 situations</w:t>
                  </w:r>
                  <w:bookmarkEnd w:id="3465"/>
                  <w:bookmarkEnd w:id="3466"/>
                  <w:r>
                    <w:rPr>
                      <w:lang w:val="fr-FR"/>
                    </w:rPr>
                    <w:t>)</w:t>
                  </w:r>
                  <w:bookmarkEnd w:id="3467"/>
                  <w:bookmarkEnd w:id="3468"/>
                </w:p>
                <w:p>
                  <w:pPr>
                    <w:pStyle w:val="Titre4"/>
                  </w:pPr>
                  <w:r>
                    <w:br w:type="page"/>
                  </w:r>
                  <w:bookmarkStart w:id="3469" w:name="_Toc412204245"/>
                  <w:bookmarkStart w:id="3470" w:name="_Toc453837070"/>
                  <w:r>
                    <w:t>Situation n°1 : aptitude qu’a un élève à besoins spécifiques à recevoir l’enseignement spécialisé lorsqu’il ne fréquente aucune école</w:t>
                  </w:r>
                  <w:bookmarkEnd w:id="3469"/>
                  <w:bookmarkEnd w:id="3470"/>
                </w:p>
                <w:p>
                  <w:pPr>
                    <w:jc w:val="center"/>
                  </w:pPr>
                </w:p>
                <w:p>
                  <w:pPr>
                    <w:rPr>
                      <w:b/>
                    </w:rPr>
                  </w:pPr>
                  <w:r>
                    <w:rPr>
                      <w:b/>
                    </w:rPr>
                    <w:t>Demande introduite par :</w:t>
                  </w:r>
                </w:p>
                <w:p>
                  <w:r>
                    <w:rPr>
                      <w:rFonts w:ascii="Times New Roman" w:hAnsi="Times New Roman" w:cs="Times New Roman"/>
                      <w:b/>
                    </w:rPr>
                    <w:t>□</w:t>
                  </w:r>
                  <w:r>
                    <w:t xml:space="preserve"> : chef de famille  (Qualité :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w:t>
                  </w:r>
                  <w:r>
                    <w:rPr>
                      <w:rFonts w:cs="Cambria"/>
                    </w:rPr>
                    <w:t> </w:t>
                  </w:r>
                  <w:r>
                    <w:t xml:space="preserve">: </w:t>
                  </w:r>
                  <w:r>
                    <w:rPr>
                      <w:rFonts w:cs="Cambria"/>
                    </w:rPr>
                    <w:t>à</w:t>
                  </w:r>
                  <w:r>
                    <w:t xml:space="preserve"> pr</w:t>
                  </w:r>
                  <w:r>
                    <w:rPr>
                      <w:rFonts w:cs="Cambria"/>
                    </w:rPr>
                    <w:t>é</w:t>
                  </w:r>
                  <w:r>
                    <w:t>ciser</w:t>
                  </w:r>
                  <w:r>
                    <w:rPr>
                      <w:rFonts w:cs="Cambria"/>
                    </w:rPr>
                    <w:t> </w:t>
                  </w:r>
                  <w:r>
                    <w:t xml:space="preserve">                    )</w:t>
                  </w:r>
                </w:p>
                <w:p>
                  <w:r>
                    <w:rPr>
                      <w:rFonts w:ascii="Times New Roman" w:hAnsi="Times New Roman" w:cs="Times New Roman"/>
                      <w:b/>
                    </w:rPr>
                    <w:t>□</w:t>
                  </w:r>
                  <w:r>
                    <w:t> : membre de l’inspection scolaire</w:t>
                  </w:r>
                </w:p>
                <w:p>
                  <w:r>
                    <w:rPr>
                      <w:b/>
                    </w:rPr>
                    <w:t>Identité du demandeur</w:t>
                  </w:r>
                  <w:r>
                    <w:t> :</w:t>
                  </w:r>
                </w:p>
                <w:p>
                  <w:r>
                    <w:t xml:space="preserve">Nom, prénom : </w:t>
                  </w:r>
                </w:p>
                <w:p>
                  <w:r>
                    <w:t xml:space="preserve">Adresse : </w:t>
                  </w:r>
                </w:p>
                <w:p/>
                <w:p/>
                <w:p>
                  <w:r>
                    <w:sym w:font="Wingdings" w:char="F028"/>
                  </w:r>
                  <w:r>
                    <w:t> :</w:t>
                  </w:r>
                  <w:r>
                    <w:tab/>
                  </w:r>
                  <w:r>
                    <w:tab/>
                    <w:t>/</w:t>
                  </w:r>
                  <w:r>
                    <w:tab/>
                  </w:r>
                  <w:r>
                    <w:tab/>
                  </w:r>
                  <w:r>
                    <w:tab/>
                  </w:r>
                  <w:r>
                    <w:tab/>
                    <w:t xml:space="preserve">éventuellement : </w:t>
                  </w:r>
                  <w:r>
                    <w:sym w:font="Wingdings" w:char="F03A"/>
                  </w:r>
                  <w:r>
                    <w:t xml:space="preserve"> : </w:t>
                  </w:r>
                </w:p>
                <w:p/>
                <w:tbl>
                  <w:tblPr>
                    <w:tblW w:w="10201"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201"/>
                  </w:tblGrid>
                  <w:tr>
                    <w:tc>
                      <w:tcPr>
                        <w:tcW w:w="10201" w:type="dxa"/>
                        <w:tcBorders>
                          <w:top w:val="single" w:sz="4" w:space="0" w:color="auto"/>
                          <w:bottom w:val="single" w:sz="4" w:space="0" w:color="auto"/>
                        </w:tcBorders>
                      </w:tcPr>
                      <w:p>
                        <w:pPr>
                          <w:rPr>
                            <w:b/>
                            <w:bCs/>
                            <w:caps/>
                          </w:rPr>
                        </w:pPr>
                        <w:r>
                          <w:rPr>
                            <w:b/>
                            <w:bCs/>
                            <w:caps/>
                          </w:rPr>
                          <w:t>concernE l’ElEve :</w:t>
                        </w:r>
                      </w:p>
                      <w:p>
                        <w:pPr>
                          <w:rPr>
                            <w:bCs/>
                          </w:rPr>
                        </w:pPr>
                        <w:r>
                          <w:rPr>
                            <w:bCs/>
                          </w:rPr>
                          <w:t>NOM et PRENOM:</w:t>
                        </w:r>
                      </w:p>
                      <w:p>
                        <w:pPr>
                          <w:rPr>
                            <w:bCs/>
                          </w:rPr>
                        </w:pPr>
                        <w:r>
                          <w:rPr>
                            <w:bCs/>
                          </w:rPr>
                          <w:t>ADRESSE :</w:t>
                        </w:r>
                      </w:p>
                      <w:p>
                        <w:pPr>
                          <w:rPr>
                            <w:bCs/>
                          </w:rPr>
                        </w:pPr>
                      </w:p>
                      <w:p>
                        <w:pPr>
                          <w:rPr>
                            <w:bCs/>
                          </w:rPr>
                        </w:pPr>
                        <w:r>
                          <w:rPr>
                            <w:bCs/>
                          </w:rPr>
                          <w:t xml:space="preserve">Date de naissance :     /      / </w:t>
                        </w:r>
                      </w:p>
                      <w:p>
                        <w:pPr>
                          <w:rPr>
                            <w:bCs/>
                          </w:rPr>
                        </w:pPr>
                        <w:r>
                          <w:rPr>
                            <w:bCs/>
                          </w:rPr>
                          <w:t xml:space="preserve">------------------------------------------------------------------------------------------------- </w:t>
                        </w:r>
                      </w:p>
                      <w:p>
                        <w:pPr>
                          <w:rPr>
                            <w:b/>
                            <w:bCs/>
                          </w:rPr>
                        </w:pPr>
                        <w:r>
                          <w:rPr>
                            <w:b/>
                            <w:bCs/>
                          </w:rPr>
                          <w:t>Situation du jeune avant demande d’avis :   à préciser : </w:t>
                        </w:r>
                        <w:r>
                          <w:rPr>
                            <w:b/>
                            <w:bCs/>
                          </w:rPr>
                          <w:sym w:font="Wingdings 2" w:char="F051"/>
                        </w:r>
                      </w:p>
                      <w:p>
                        <w:pPr>
                          <w:rPr>
                            <w:bCs/>
                          </w:rPr>
                        </w:pPr>
                        <w:r>
                          <w:rPr>
                            <w:rFonts w:ascii="Times New Roman" w:hAnsi="Times New Roman" w:cs="Times New Roman"/>
                            <w:bCs/>
                          </w:rPr>
                          <w:t>□</w:t>
                        </w:r>
                        <w:r>
                          <w:rPr>
                            <w:rFonts w:cs="Cambria"/>
                            <w:bCs/>
                          </w:rPr>
                          <w:t> </w:t>
                        </w:r>
                        <w:r>
                          <w:rPr>
                            <w:bCs/>
                          </w:rPr>
                          <w:t xml:space="preserve">: maintien </w:t>
                        </w:r>
                        <w:r>
                          <w:rPr>
                            <w:rFonts w:cs="Cambria"/>
                            <w:bCs/>
                          </w:rPr>
                          <w:t>à</w:t>
                        </w:r>
                        <w:r>
                          <w:rPr>
                            <w:bCs/>
                          </w:rPr>
                          <w:t xml:space="preserve"> domicile</w:t>
                        </w:r>
                      </w:p>
                      <w:p>
                        <w:pPr>
                          <w:rPr>
                            <w:bCs/>
                          </w:rPr>
                        </w:pPr>
                        <w:r>
                          <w:rPr>
                            <w:rFonts w:ascii="Times New Roman" w:hAnsi="Times New Roman" w:cs="Times New Roman"/>
                            <w:bCs/>
                          </w:rPr>
                          <w:t>□</w:t>
                        </w:r>
                        <w:r>
                          <w:rPr>
                            <w:rFonts w:cs="Cambria"/>
                            <w:bCs/>
                          </w:rPr>
                          <w:t> </w:t>
                        </w:r>
                        <w:r>
                          <w:rPr>
                            <w:bCs/>
                          </w:rPr>
                          <w:t>: hospitalisation</w:t>
                        </w:r>
                      </w:p>
                      <w:p>
                        <w:pPr>
                          <w:rPr>
                            <w:bCs/>
                          </w:rPr>
                        </w:pPr>
                        <w:r>
                          <w:rPr>
                            <w:rFonts w:ascii="Times New Roman" w:hAnsi="Times New Roman" w:cs="Times New Roman"/>
                            <w:bCs/>
                          </w:rPr>
                          <w:t>□</w:t>
                        </w:r>
                        <w:r>
                          <w:rPr>
                            <w:rFonts w:cs="Cambria"/>
                            <w:bCs/>
                          </w:rPr>
                          <w:t> </w:t>
                        </w:r>
                        <w:r>
                          <w:rPr>
                            <w:bCs/>
                          </w:rPr>
                          <w:t>: convalescence</w:t>
                        </w:r>
                      </w:p>
                      <w:p>
                        <w:pPr>
                          <w:rPr>
                            <w:bCs/>
                          </w:rPr>
                        </w:pPr>
                        <w:r>
                          <w:rPr>
                            <w:rFonts w:ascii="Times New Roman" w:hAnsi="Times New Roman" w:cs="Times New Roman"/>
                            <w:bCs/>
                          </w:rPr>
                          <w:t>□</w:t>
                        </w:r>
                        <w:r>
                          <w:rPr>
                            <w:rFonts w:cs="Cambria"/>
                            <w:bCs/>
                          </w:rPr>
                          <w:t> </w:t>
                        </w:r>
                        <w:r>
                          <w:rPr>
                            <w:bCs/>
                          </w:rPr>
                          <w:t>: service d</w:t>
                        </w:r>
                        <w:r>
                          <w:rPr>
                            <w:rFonts w:cs="Cambria"/>
                            <w:bCs/>
                          </w:rPr>
                          <w:t>’</w:t>
                        </w:r>
                        <w:r>
                          <w:rPr>
                            <w:bCs/>
                          </w:rPr>
                          <w:t>accueil de jour</w:t>
                        </w:r>
                      </w:p>
                      <w:p>
                        <w:pPr>
                          <w:rPr>
                            <w:bCs/>
                          </w:rPr>
                        </w:pPr>
                        <w:r>
                          <w:rPr>
                            <w:rFonts w:ascii="Times New Roman" w:hAnsi="Times New Roman" w:cs="Times New Roman"/>
                            <w:bCs/>
                          </w:rPr>
                          <w:t>□</w:t>
                        </w:r>
                        <w:r>
                          <w:rPr>
                            <w:rFonts w:cs="Cambria"/>
                            <w:bCs/>
                          </w:rPr>
                          <w:t> </w:t>
                        </w:r>
                        <w:r>
                          <w:rPr>
                            <w:bCs/>
                          </w:rPr>
                          <w:t xml:space="preserve">: autre </w:t>
                        </w:r>
                        <w:r>
                          <w:rPr>
                            <w:rFonts w:cs="Cambria"/>
                            <w:bCs/>
                          </w:rPr>
                          <w:t>…………………</w:t>
                        </w:r>
                        <w:r>
                          <w:rPr>
                            <w:bCs/>
                          </w:rPr>
                          <w:t>.</w:t>
                        </w:r>
                      </w:p>
                      <w:p>
                        <w:pPr>
                          <w:rPr>
                            <w:bCs/>
                          </w:rPr>
                        </w:pPr>
                        <w:r>
                          <w:rPr>
                            <w:bCs/>
                            <w:i/>
                          </w:rPr>
                          <w:t>Si enseignement fréquenté  antérieurement</w:t>
                        </w:r>
                        <w:r>
                          <w:rPr>
                            <w:bCs/>
                          </w:rPr>
                          <w:t> :   à préciser : </w:t>
                        </w:r>
                        <w:r>
                          <w:rPr>
                            <w:bCs/>
                          </w:rPr>
                          <w:sym w:font="Wingdings 2" w:char="F051"/>
                        </w:r>
                        <w:r>
                          <w:rPr>
                            <w:bCs/>
                          </w:rPr>
                          <w:t xml:space="preserve">  </w:t>
                        </w:r>
                      </w:p>
                      <w:p>
                        <w:pPr>
                          <w:rPr>
                            <w:bCs/>
                          </w:rPr>
                        </w:pPr>
                        <w:r>
                          <w:rPr>
                            <w:bCs/>
                          </w:rPr>
                          <w:t xml:space="preserve"> </w:t>
                        </w:r>
                        <w:r>
                          <w:rPr>
                            <w:rFonts w:ascii="Times New Roman" w:hAnsi="Times New Roman" w:cs="Times New Roman"/>
                            <w:bCs/>
                          </w:rPr>
                          <w:t>□</w:t>
                        </w:r>
                        <w:r>
                          <w:rPr>
                            <w:bCs/>
                          </w:rPr>
                          <w:t xml:space="preserve">       ordinaire                                                           </w:t>
                        </w:r>
                        <w:r>
                          <w:rPr>
                            <w:rFonts w:ascii="Times New Roman" w:hAnsi="Times New Roman" w:cs="Times New Roman"/>
                            <w:bCs/>
                          </w:rPr>
                          <w:t>□</w:t>
                        </w:r>
                        <w:r>
                          <w:rPr>
                            <w:bCs/>
                          </w:rPr>
                          <w:t xml:space="preserve"> sp</w:t>
                        </w:r>
                        <w:r>
                          <w:rPr>
                            <w:rFonts w:cs="Cambria"/>
                            <w:bCs/>
                          </w:rPr>
                          <w:t>é</w:t>
                        </w:r>
                        <w:r>
                          <w:rPr>
                            <w:bCs/>
                          </w:rPr>
                          <w:t>cialis</w:t>
                        </w:r>
                        <w:r>
                          <w:rPr>
                            <w:rFonts w:cs="Cambria"/>
                            <w:bCs/>
                          </w:rPr>
                          <w:t>é</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tc>
                            <w:tcPr>
                              <w:tcW w:w="4855" w:type="dxa"/>
                              <w:tcBorders>
                                <w:top w:val="single" w:sz="4" w:space="0" w:color="auto"/>
                                <w:left w:val="single" w:sz="4" w:space="0" w:color="auto"/>
                                <w:bottom w:val="single" w:sz="4" w:space="0" w:color="auto"/>
                                <w:right w:val="single" w:sz="4" w:space="0" w:color="auto"/>
                              </w:tcBorders>
                              <w:shd w:val="clear" w:color="auto" w:fill="F3F3F3"/>
                            </w:tcPr>
                            <w:p>
                              <w:pPr>
                                <w:rPr>
                                  <w:bCs/>
                                </w:rPr>
                              </w:pPr>
                              <w:r>
                                <w:rPr>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pPr>
                                <w:rPr>
                                  <w:bCs/>
                                </w:rPr>
                              </w:pPr>
                              <w:r>
                                <w:rPr>
                                  <w:bCs/>
                                </w:rPr>
                                <w:t>Niveau : primaire  -    secondaire</w:t>
                              </w:r>
                            </w:p>
                          </w:tc>
                        </w:tr>
                        <w:tr>
                          <w:tc>
                            <w:tcPr>
                              <w:tcW w:w="4855" w:type="dxa"/>
                              <w:tcBorders>
                                <w:top w:val="single" w:sz="4" w:space="0" w:color="auto"/>
                                <w:left w:val="single" w:sz="4" w:space="0" w:color="auto"/>
                                <w:bottom w:val="single" w:sz="4" w:space="0" w:color="auto"/>
                                <w:right w:val="single" w:sz="4" w:space="0" w:color="auto"/>
                              </w:tcBorders>
                            </w:tcPr>
                            <w:p>
                              <w:pPr>
                                <w:rPr>
                                  <w:bCs/>
                                </w:rPr>
                              </w:pPr>
                              <w:r>
                                <w:rPr>
                                  <w:bCs/>
                                </w:rPr>
                                <w:t>Classe :</w:t>
                              </w:r>
                            </w:p>
                          </w:tc>
                          <w:tc>
                            <w:tcPr>
                              <w:tcW w:w="4680" w:type="dxa"/>
                              <w:tcBorders>
                                <w:top w:val="single" w:sz="4" w:space="0" w:color="auto"/>
                                <w:left w:val="single" w:sz="4" w:space="0" w:color="auto"/>
                                <w:bottom w:val="single" w:sz="4" w:space="0" w:color="auto"/>
                                <w:right w:val="single" w:sz="4" w:space="0" w:color="auto"/>
                              </w:tcBorders>
                            </w:tcPr>
                            <w:p>
                              <w:pPr>
                                <w:rPr>
                                  <w:bCs/>
                                </w:rPr>
                              </w:pPr>
                              <w:r>
                                <w:rPr>
                                  <w:bCs/>
                                </w:rPr>
                                <w:t>Type :</w:t>
                              </w:r>
                            </w:p>
                          </w:tc>
                        </w:tr>
                        <w:tr>
                          <w:tc>
                            <w:tcPr>
                              <w:tcW w:w="4855" w:type="dxa"/>
                              <w:tcBorders>
                                <w:top w:val="single" w:sz="4" w:space="0" w:color="auto"/>
                                <w:left w:val="single" w:sz="4" w:space="0" w:color="auto"/>
                                <w:bottom w:val="single" w:sz="4" w:space="0" w:color="auto"/>
                                <w:right w:val="single" w:sz="4" w:space="0" w:color="auto"/>
                              </w:tcBorders>
                            </w:tcPr>
                            <w:p>
                              <w:pPr>
                                <w:rPr>
                                  <w:bCs/>
                                </w:rPr>
                              </w:pPr>
                            </w:p>
                          </w:tc>
                          <w:tc>
                            <w:tcPr>
                              <w:tcW w:w="4680" w:type="dxa"/>
                              <w:tcBorders>
                                <w:top w:val="single" w:sz="4" w:space="0" w:color="auto"/>
                                <w:left w:val="single" w:sz="4" w:space="0" w:color="auto"/>
                                <w:bottom w:val="single" w:sz="4" w:space="0" w:color="auto"/>
                                <w:right w:val="single" w:sz="4" w:space="0" w:color="auto"/>
                              </w:tcBorders>
                            </w:tcPr>
                            <w:p>
                              <w:pPr>
                                <w:rPr>
                                  <w:bCs/>
                                </w:rPr>
                              </w:pPr>
                              <w:r>
                                <w:rPr>
                                  <w:bCs/>
                                </w:rPr>
                                <w:t>Maturité :                     Forme :</w:t>
                              </w:r>
                            </w:p>
                          </w:tc>
                        </w:tr>
                      </w:tbl>
                      <w:p/>
                    </w:tc>
                  </w:tr>
                  <w:tr>
                    <w:tc>
                      <w:tcPr>
                        <w:tcW w:w="10201" w:type="dxa"/>
                        <w:tcBorders>
                          <w:top w:val="single" w:sz="4" w:space="0" w:color="auto"/>
                          <w:bottom w:val="single" w:sz="4" w:space="0" w:color="auto"/>
                        </w:tcBorders>
                      </w:tcPr>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tc>
                            <w:tcPr>
                              <w:tcW w:w="9535" w:type="dxa"/>
                              <w:tcBorders>
                                <w:top w:val="single" w:sz="4" w:space="0" w:color="auto"/>
                                <w:left w:val="single" w:sz="4" w:space="0" w:color="auto"/>
                                <w:bottom w:val="single" w:sz="4" w:space="0" w:color="auto"/>
                                <w:right w:val="single" w:sz="4" w:space="0" w:color="auto"/>
                              </w:tcBorders>
                            </w:tcPr>
                            <w:p>
                              <w:pPr>
                                <w:rPr>
                                  <w:b/>
                                  <w:bCs/>
                                </w:rPr>
                              </w:pPr>
                              <w:r>
                                <w:rPr>
                                  <w:b/>
                                  <w:bCs/>
                                </w:rPr>
                                <w:t>Ecole fréquentée antérieurement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Nom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 </w:t>
                              </w:r>
                              <w:r>
                                <w:rPr>
                                  <w:bCs/>
                                </w:rPr>
                                <w:sym w:font="Wingdings" w:char="F028"/>
                              </w:r>
                              <w:r>
                                <w:rPr>
                                  <w:bCs/>
                                </w:rPr>
                                <w:t xml:space="preserve">:                                                                   </w:t>
                              </w:r>
                              <w:r>
                                <w:rPr>
                                  <w:bCs/>
                                </w:rPr>
                                <w:sym w:font="Wingdings" w:char="F03A"/>
                              </w:r>
                              <w:r>
                                <w:rPr>
                                  <w:bCs/>
                                </w:rPr>
                                <w:t>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 xml:space="preserve">Coordonnées du PMS : </w:t>
                              </w:r>
                              <w:r>
                                <w:rPr>
                                  <w:bCs/>
                                </w:rPr>
                                <w:sym w:font="Wingdings" w:char="F028"/>
                              </w:r>
                              <w:r>
                                <w:rPr>
                                  <w:bCs/>
                                </w:rPr>
                                <w:t xml:space="preserve">                                                    </w:t>
                              </w:r>
                              <w:r>
                                <w:rPr>
                                  <w:bCs/>
                                </w:rPr>
                                <w:sym w:font="Wingdings" w:char="F03A"/>
                              </w:r>
                              <w:r>
                                <w:rPr>
                                  <w:bCs/>
                                </w:rPr>
                                <w:t> :</w:t>
                              </w:r>
                            </w:p>
                          </w:tc>
                        </w:tr>
                      </w:tbl>
                      <w:p/>
                    </w:tc>
                  </w:tr>
                  <w:tr>
                    <w:tc>
                      <w:tcPr>
                        <w:tcW w:w="10201" w:type="dxa"/>
                        <w:tcBorders>
                          <w:top w:val="single" w:sz="4" w:space="0" w:color="auto"/>
                          <w:bottom w:val="single" w:sz="4" w:space="0" w:color="auto"/>
                        </w:tcBorders>
                      </w:tcPr>
                      <w:p>
                        <w:pPr>
                          <w:rPr>
                            <w:b/>
                          </w:rPr>
                        </w:pPr>
                      </w:p>
                      <w:p>
                        <w:pPr>
                          <w:rPr>
                            <w:b/>
                          </w:rPr>
                        </w:pPr>
                        <w:r>
                          <w:rPr>
                            <w:b/>
                          </w:rPr>
                          <w:t>Documents utiles et/ou nécessaires au traitement de la demande :</w:t>
                        </w:r>
                      </w:p>
                      <w:p>
                        <w:r>
                          <w:rPr>
                            <w:rFonts w:ascii="Times New Roman" w:hAnsi="Times New Roman" w:cs="Times New Roman"/>
                          </w:rPr>
                          <w:t>□</w:t>
                        </w:r>
                        <w:r>
                          <w:rPr>
                            <w:rFonts w:cs="Cambria"/>
                          </w:rPr>
                          <w:t> </w:t>
                        </w:r>
                        <w:r>
                          <w:t>: certificat d</w:t>
                        </w:r>
                        <w:r>
                          <w:rPr>
                            <w:rFonts w:cs="Cambria"/>
                          </w:rPr>
                          <w:t>’</w:t>
                        </w:r>
                        <w:r>
                          <w:t>un m</w:t>
                        </w:r>
                        <w:r>
                          <w:rPr>
                            <w:rFonts w:cs="Cambria"/>
                          </w:rPr>
                          <w:t>é</w:t>
                        </w:r>
                        <w:r>
                          <w:t>decin sp</w:t>
                        </w:r>
                        <w:r>
                          <w:rPr>
                            <w:rFonts w:cs="Cambria"/>
                          </w:rPr>
                          <w:t>é</w:t>
                        </w:r>
                        <w:r>
                          <w:t>cialiste</w:t>
                        </w:r>
                      </w:p>
                      <w:p>
                        <w:r>
                          <w:rPr>
                            <w:rFonts w:ascii="Times New Roman" w:hAnsi="Times New Roman" w:cs="Times New Roman"/>
                          </w:rPr>
                          <w:t>□</w:t>
                        </w:r>
                        <w:r>
                          <w:rPr>
                            <w:rFonts w:cs="Cambria"/>
                          </w:rPr>
                          <w:t> </w:t>
                        </w:r>
                        <w:r>
                          <w:t>: attestation de fr</w:t>
                        </w:r>
                        <w:r>
                          <w:rPr>
                            <w:rFonts w:cs="Cambria"/>
                          </w:rPr>
                          <w:t>é</w:t>
                        </w:r>
                        <w:r>
                          <w:t>quentation d</w:t>
                        </w:r>
                        <w:r>
                          <w:rPr>
                            <w:rFonts w:cs="Cambria"/>
                          </w:rPr>
                          <w:t>’</w:t>
                        </w:r>
                        <w:r>
                          <w:t>un service d</w:t>
                        </w:r>
                        <w:r>
                          <w:rPr>
                            <w:rFonts w:cs="Cambria"/>
                          </w:rPr>
                          <w:t>’</w:t>
                        </w:r>
                        <w:r>
                          <w:t>accueil de jour</w:t>
                        </w:r>
                      </w:p>
                      <w:p>
                        <w:pPr>
                          <w:rPr>
                            <w:b/>
                          </w:rPr>
                        </w:pPr>
                        <w:r>
                          <w:t>--------------------------------------------------------------------------------------------------</w:t>
                        </w:r>
                      </w:p>
                      <w:p>
                        <w:pPr>
                          <w:rPr>
                            <w:b/>
                          </w:rPr>
                        </w:pPr>
                        <w:r>
                          <w:rPr>
                            <w:b/>
                          </w:rPr>
                          <w:t>DATE :                                                                 SIGNATURE :</w:t>
                        </w:r>
                      </w:p>
                      <w:p>
                        <w:pPr>
                          <w:rPr>
                            <w:b/>
                          </w:rPr>
                        </w:pPr>
                      </w:p>
                    </w:tc>
                  </w:tr>
                  <w:tr>
                    <w:tc>
                      <w:tcPr>
                        <w:tcW w:w="10201" w:type="dxa"/>
                        <w:tcBorders>
                          <w:top w:val="single" w:sz="4" w:space="0" w:color="auto"/>
                          <w:left w:val="single" w:sz="4" w:space="0" w:color="auto"/>
                          <w:bottom w:val="single" w:sz="4" w:space="0" w:color="auto"/>
                          <w:right w:val="single" w:sz="4" w:space="0" w:color="auto"/>
                        </w:tcBorders>
                      </w:tcPr>
                      <w:p>
                        <w:pPr>
                          <w:pBdr>
                            <w:right w:val="single" w:sz="4" w:space="1" w:color="auto"/>
                          </w:pBdr>
                          <w:jc w:val="center"/>
                        </w:pPr>
                        <w:r>
                          <w:rPr>
                            <w:b/>
                          </w:rPr>
                          <w:t>Formulaire de demande d’avis à adresser</w:t>
                        </w:r>
                        <w:r>
                          <w:t> :</w:t>
                        </w:r>
                      </w:p>
                      <w:p>
                        <w:pPr>
                          <w:pBdr>
                            <w:right w:val="single" w:sz="4" w:space="1" w:color="auto"/>
                          </w:pBdr>
                          <w:jc w:val="center"/>
                        </w:pPr>
                        <w:r>
                          <w:t>Direction générale de l’enseignement obligatoire</w:t>
                        </w:r>
                      </w:p>
                      <w:p>
                        <w:pPr>
                          <w:pBdr>
                            <w:right w:val="single" w:sz="4" w:space="1" w:color="auto"/>
                          </w:pBdr>
                          <w:jc w:val="center"/>
                        </w:pPr>
                        <w:r>
                          <w:t>Service de l’enseignement spécialisé</w:t>
                        </w:r>
                      </w:p>
                      <w:p>
                        <w:pPr>
                          <w:pBdr>
                            <w:right w:val="single" w:sz="4" w:space="1" w:color="auto"/>
                          </w:pBdr>
                          <w:jc w:val="center"/>
                          <w:rPr>
                            <w:color w:val="000000"/>
                          </w:rPr>
                        </w:pPr>
                        <w:r>
                          <w:rPr>
                            <w:color w:val="000000"/>
                          </w:rPr>
                          <w:t>Madame Nathalie DUJARDIN</w:t>
                        </w:r>
                      </w:p>
                      <w:p>
                        <w:pPr>
                          <w:pBdr>
                            <w:right w:val="single" w:sz="4" w:space="1" w:color="auto"/>
                          </w:pBdr>
                          <w:jc w:val="center"/>
                        </w:pPr>
                        <w:r>
                          <w:t>Bureau 2F246</w:t>
                        </w:r>
                      </w:p>
                      <w:p>
                        <w:pPr>
                          <w:pBdr>
                            <w:right w:val="single" w:sz="4" w:space="1" w:color="auto"/>
                          </w:pBdr>
                          <w:jc w:val="center"/>
                        </w:pPr>
                        <w:r>
                          <w:t>Rue Adolphe Lavallée, 1</w:t>
                        </w:r>
                      </w:p>
                      <w:p>
                        <w:pPr>
                          <w:pBdr>
                            <w:right w:val="single" w:sz="4" w:space="1" w:color="auto"/>
                          </w:pBdr>
                          <w:jc w:val="center"/>
                        </w:pPr>
                        <w:r>
                          <w:t>1080   BRUXELLES</w:t>
                        </w:r>
                      </w:p>
                      <w:p>
                        <w:pPr>
                          <w:pBdr>
                            <w:right w:val="single" w:sz="4" w:space="1" w:color="auto"/>
                          </w:pBdr>
                          <w:jc w:val="center"/>
                          <w:rPr>
                            <w:lang w:val="fr-FR"/>
                          </w:rPr>
                        </w:pPr>
                        <w:r>
                          <w:sym w:font="Wingdings" w:char="F028"/>
                        </w:r>
                        <w:r>
                          <w:rPr>
                            <w:lang w:val="fr-FR"/>
                          </w:rPr>
                          <w:t> : 02/690.88.59 – GSM : 0472/94.31.95</w:t>
                        </w:r>
                      </w:p>
                      <w:p>
                        <w:pPr>
                          <w:pBdr>
                            <w:right w:val="single" w:sz="4" w:space="1" w:color="auto"/>
                          </w:pBdr>
                          <w:jc w:val="center"/>
                          <w:rPr>
                            <w:b/>
                          </w:rPr>
                        </w:pPr>
                        <w:r>
                          <w:rPr>
                            <w:lang w:val="fr-FR"/>
                          </w:rPr>
                          <w:t xml:space="preserve">Fax : 02/690.85.90 - </w:t>
                        </w:r>
                        <w:r>
                          <w:rPr>
                            <w:bCs/>
                          </w:rPr>
                          <w:sym w:font="Wingdings" w:char="F03A"/>
                        </w:r>
                        <w:r>
                          <w:rPr>
                            <w:bCs/>
                            <w:lang w:val="fr-FR"/>
                          </w:rPr>
                          <w:t> </w:t>
                        </w:r>
                        <w:r>
                          <w:rPr>
                            <w:lang w:val="fr-FR"/>
                          </w:rPr>
                          <w:t xml:space="preserve"> </w:t>
                        </w:r>
                        <w:hyperlink r:id="rId225" w:history="1">
                          <w:r>
                            <w:rPr>
                              <w:rStyle w:val="Lienhypertexte"/>
                              <w:rFonts w:cs="Arial"/>
                              <w:b/>
                              <w:lang w:val="fr-FR"/>
                            </w:rPr>
                            <w:t>nathalie.dujardin@cfwb.be</w:t>
                          </w:r>
                        </w:hyperlink>
                      </w:p>
                    </w:tc>
                  </w:tr>
                </w:tbl>
                <w:p>
                  <w:pPr>
                    <w:rPr>
                      <w:b/>
                    </w:rPr>
                    <w:sectPr>
                      <w:footerReference w:type="default" r:id="rId226"/>
                      <w:type w:val="nextColumn"/>
                      <w:pgSz w:w="11906" w:h="16838"/>
                      <w:pgMar w:top="1134" w:right="1134" w:bottom="1134" w:left="1418" w:header="709" w:footer="142" w:gutter="0"/>
                      <w:cols w:space="720"/>
                      <w:docGrid w:linePitch="299"/>
                    </w:sectPr>
                  </w:pPr>
                </w:p>
                <w:p>
                  <w:pPr>
                    <w:pStyle w:val="Titre4"/>
                  </w:pPr>
                  <w:bookmarkStart w:id="3471" w:name="_Toc412204246"/>
                  <w:bookmarkStart w:id="3472" w:name="_Toc453837071"/>
                  <w:r>
                    <w:t>Situation n°2 : opportunité de faire dispenser l’enseignement à domicile à un élève à besoins spécifiques qui ne peut se déplacer ou être transporté en raison de la gravité de son handicap</w:t>
                  </w:r>
                  <w:bookmarkEnd w:id="3471"/>
                  <w:bookmarkEnd w:id="3472"/>
                </w:p>
                <w:p>
                  <w:pPr>
                    <w:jc w:val="center"/>
                  </w:pPr>
                </w:p>
                <w:p>
                  <w:pPr>
                    <w:rPr>
                      <w:b/>
                    </w:rPr>
                  </w:pPr>
                  <w:r>
                    <w:rPr>
                      <w:b/>
                    </w:rPr>
                    <w:t>Demande introduite par :</w:t>
                  </w:r>
                </w:p>
                <w:p>
                  <w:r>
                    <w:rPr>
                      <w:rFonts w:ascii="Times New Roman" w:hAnsi="Times New Roman" w:cs="Times New Roman"/>
                      <w:b/>
                    </w:rPr>
                    <w:t>□</w:t>
                  </w:r>
                  <w:r>
                    <w:t xml:space="preserve"> : chef de famille  (Qualité :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w:t>
                  </w:r>
                  <w:r>
                    <w:rPr>
                      <w:rFonts w:cs="Cambria"/>
                    </w:rPr>
                    <w:t>à</w:t>
                  </w:r>
                  <w:r>
                    <w:t xml:space="preserve"> pr</w:t>
                  </w:r>
                  <w:r>
                    <w:rPr>
                      <w:rFonts w:cs="Cambria"/>
                    </w:rPr>
                    <w:t>é</w:t>
                  </w:r>
                  <w:r>
                    <w:t>ciser )</w:t>
                  </w:r>
                </w:p>
                <w:p>
                  <w:r>
                    <w:rPr>
                      <w:rFonts w:ascii="Times New Roman" w:hAnsi="Times New Roman" w:cs="Times New Roman"/>
                      <w:b/>
                    </w:rPr>
                    <w:t>□</w:t>
                  </w:r>
                  <w:r>
                    <w:t> : membre de l’inspection scolaire</w:t>
                  </w:r>
                </w:p>
                <w:p>
                  <w:r>
                    <w:rPr>
                      <w:b/>
                    </w:rPr>
                    <w:t>Identité du demandeur</w:t>
                  </w:r>
                  <w:r>
                    <w:t> :</w:t>
                  </w:r>
                </w:p>
                <w:p>
                  <w:r>
                    <w:t>Nom, prénom :</w:t>
                  </w:r>
                </w:p>
                <w:p>
                  <w:r>
                    <w:t xml:space="preserve">Adresse : </w:t>
                  </w:r>
                </w:p>
                <w:p/>
                <w:p>
                  <w:r>
                    <w:sym w:font="Wingdings" w:char="F028"/>
                  </w:r>
                  <w:r>
                    <w:t> :</w:t>
                  </w:r>
                  <w:r>
                    <w:tab/>
                  </w:r>
                  <w:r>
                    <w:tab/>
                    <w:t>/</w:t>
                  </w:r>
                  <w:r>
                    <w:tab/>
                  </w:r>
                  <w:r>
                    <w:tab/>
                  </w:r>
                  <w:r>
                    <w:tab/>
                  </w:r>
                  <w:r>
                    <w:tab/>
                  </w:r>
                  <w:r>
                    <w:tab/>
                  </w:r>
                  <w:r>
                    <w:sym w:font="Wingdings" w:char="F03A"/>
                  </w:r>
                  <w:r>
                    <w:t> :</w:t>
                  </w:r>
                </w:p>
                <w:p>
                  <w:r>
                    <w:t>Si identité de la personne responsable différente :</w:t>
                  </w:r>
                </w:p>
                <w:p>
                  <w:r>
                    <w:t>NOM, PRENOM :</w:t>
                  </w:r>
                </w:p>
                <w:p>
                  <w:r>
                    <w:t xml:space="preserve">ADRESSE : </w:t>
                  </w:r>
                </w:p>
                <w:p/>
                <w:p>
                  <w:r>
                    <w:t> </w:t>
                  </w:r>
                  <w:r>
                    <w:sym w:font="Wingdings" w:char="F028"/>
                  </w:r>
                  <w:r>
                    <w:t xml:space="preserve"> : </w:t>
                  </w:r>
                  <w:r>
                    <w:tab/>
                  </w:r>
                  <w:r>
                    <w:tab/>
                    <w:t>/</w:t>
                  </w:r>
                  <w:r>
                    <w:tab/>
                  </w:r>
                  <w:r>
                    <w:tab/>
                  </w:r>
                  <w:r>
                    <w:tab/>
                  </w:r>
                  <w:r>
                    <w:tab/>
                  </w:r>
                  <w:r>
                    <w:tab/>
                  </w:r>
                  <w:r>
                    <w:sym w:font="Wingdings" w:char="F03A"/>
                  </w:r>
                  <w:r>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tc>
                      <w:tcPr>
                        <w:tcW w:w="10008" w:type="dxa"/>
                        <w:tcBorders>
                          <w:top w:val="single" w:sz="4" w:space="0" w:color="auto"/>
                          <w:bottom w:val="single" w:sz="4" w:space="0" w:color="auto"/>
                        </w:tcBorders>
                      </w:tcPr>
                      <w:p>
                        <w:pPr>
                          <w:rPr>
                            <w:bCs/>
                          </w:rPr>
                        </w:pPr>
                        <w:r>
                          <w:rPr>
                            <w:b/>
                            <w:bCs/>
                            <w:caps/>
                          </w:rPr>
                          <w:t>concernE l’ElEve:</w:t>
                        </w:r>
                        <w:r>
                          <w:rPr>
                            <w:bCs/>
                          </w:rPr>
                          <w:br/>
                          <w:t>NOM, PRENOM:</w:t>
                        </w:r>
                      </w:p>
                      <w:p>
                        <w:pPr>
                          <w:rPr>
                            <w:bCs/>
                          </w:rPr>
                        </w:pPr>
                        <w:r>
                          <w:rPr>
                            <w:bCs/>
                          </w:rPr>
                          <w:t xml:space="preserve">ADRESSE : </w:t>
                        </w:r>
                      </w:p>
                      <w:p>
                        <w:pPr>
                          <w:rPr>
                            <w:bCs/>
                          </w:rPr>
                        </w:pPr>
                      </w:p>
                      <w:p>
                        <w:pPr>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tc>
                            <w:tcPr>
                              <w:tcW w:w="9535" w:type="dxa"/>
                              <w:tcBorders>
                                <w:top w:val="single" w:sz="4" w:space="0" w:color="auto"/>
                                <w:left w:val="single" w:sz="4" w:space="0" w:color="auto"/>
                                <w:bottom w:val="single" w:sz="4" w:space="0" w:color="auto"/>
                                <w:right w:val="single" w:sz="4" w:space="0" w:color="auto"/>
                              </w:tcBorders>
                            </w:tcPr>
                            <w:p>
                              <w:pPr>
                                <w:rPr>
                                  <w:b/>
                                  <w:bCs/>
                                </w:rPr>
                              </w:pPr>
                              <w:r>
                                <w:rPr>
                                  <w:b/>
                                  <w:bCs/>
                                </w:rPr>
                                <w:t>Ecole fréquentée au moment de la demande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Nom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sym w:font="Wingdings" w:char="F028"/>
                              </w:r>
                              <w:r>
                                <w:rPr>
                                  <w:bCs/>
                                </w:rPr>
                                <w:t xml:space="preserve"> :                                                      </w:t>
                              </w:r>
                              <w:r>
                                <w:rPr>
                                  <w:bCs/>
                                </w:rPr>
                                <w:sym w:font="Wingdings" w:char="F03A"/>
                              </w:r>
                              <w:r>
                                <w:rPr>
                                  <w:bCs/>
                                </w:rPr>
                                <w:t>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 xml:space="preserve">Coordonnées du PMS : </w:t>
                              </w:r>
                            </w:p>
                          </w:tc>
                        </w:tr>
                      </w:tbl>
                      <w:p>
                        <w:pPr>
                          <w:rPr>
                            <w:bCs/>
                          </w:rPr>
                        </w:pPr>
                        <w:r>
                          <w:rPr>
                            <w:b/>
                            <w:bCs/>
                            <w:i/>
                          </w:rPr>
                          <w:t>Enseignement fréquenté</w:t>
                        </w:r>
                        <w:r>
                          <w:rPr>
                            <w:b/>
                            <w:bCs/>
                          </w:rPr>
                          <w:t> :</w:t>
                        </w:r>
                        <w:r>
                          <w:rPr>
                            <w:bCs/>
                          </w:rPr>
                          <w:t xml:space="preserve">   à préciser : </w:t>
                        </w:r>
                        <w:r>
                          <w:rPr>
                            <w:bCs/>
                          </w:rPr>
                          <w:sym w:font="Wingdings 2" w:char="F051"/>
                        </w:r>
                        <w:r>
                          <w:rPr>
                            <w:bCs/>
                          </w:rPr>
                          <w:t xml:space="preserve">  </w:t>
                        </w:r>
                      </w:p>
                      <w:p>
                        <w:pPr>
                          <w:rPr>
                            <w:bCs/>
                          </w:rPr>
                        </w:pPr>
                        <w:r>
                          <w:rPr>
                            <w:bCs/>
                          </w:rPr>
                          <w:t xml:space="preserve"> </w:t>
                        </w:r>
                        <w:r>
                          <w:rPr>
                            <w:rFonts w:ascii="Times New Roman" w:hAnsi="Times New Roman" w:cs="Times New Roman"/>
                            <w:bCs/>
                          </w:rPr>
                          <w:t>□</w:t>
                        </w:r>
                        <w:r>
                          <w:rPr>
                            <w:bCs/>
                          </w:rPr>
                          <w:t xml:space="preserve">       ordinaire                                                           </w:t>
                        </w:r>
                        <w:r>
                          <w:rPr>
                            <w:rFonts w:ascii="Times New Roman" w:hAnsi="Times New Roman" w:cs="Times New Roman"/>
                            <w:bCs/>
                          </w:rPr>
                          <w:t>□</w:t>
                        </w:r>
                        <w:r>
                          <w:rPr>
                            <w:bCs/>
                          </w:rPr>
                          <w:t xml:space="preserve"> sp</w:t>
                        </w:r>
                        <w:r>
                          <w:rPr>
                            <w:rFonts w:cs="Cambria"/>
                            <w:bCs/>
                          </w:rPr>
                          <w:t>é</w:t>
                        </w:r>
                        <w:r>
                          <w:rPr>
                            <w:bCs/>
                          </w:rPr>
                          <w:t>cialis</w:t>
                        </w:r>
                        <w:r>
                          <w:rPr>
                            <w:rFonts w:cs="Cambria"/>
                            <w:bCs/>
                          </w:rPr>
                          <w:t>é</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tc>
                            <w:tcPr>
                              <w:tcW w:w="4855" w:type="dxa"/>
                              <w:tcBorders>
                                <w:top w:val="single" w:sz="4" w:space="0" w:color="auto"/>
                                <w:left w:val="single" w:sz="4" w:space="0" w:color="auto"/>
                                <w:bottom w:val="single" w:sz="4" w:space="0" w:color="auto"/>
                                <w:right w:val="single" w:sz="4" w:space="0" w:color="auto"/>
                              </w:tcBorders>
                              <w:shd w:val="clear" w:color="auto" w:fill="F3F3F3"/>
                            </w:tcPr>
                            <w:p>
                              <w:pPr>
                                <w:rPr>
                                  <w:bCs/>
                                </w:rPr>
                              </w:pPr>
                              <w:r>
                                <w:rPr>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pPr>
                                <w:rPr>
                                  <w:bCs/>
                                </w:rPr>
                              </w:pPr>
                              <w:r>
                                <w:rPr>
                                  <w:bCs/>
                                </w:rPr>
                                <w:t>Niveau : primaire  -    secondaire</w:t>
                              </w:r>
                            </w:p>
                          </w:tc>
                        </w:tr>
                        <w:tr>
                          <w:tc>
                            <w:tcPr>
                              <w:tcW w:w="4855" w:type="dxa"/>
                              <w:tcBorders>
                                <w:top w:val="single" w:sz="4" w:space="0" w:color="auto"/>
                                <w:left w:val="single" w:sz="4" w:space="0" w:color="auto"/>
                                <w:bottom w:val="single" w:sz="4" w:space="0" w:color="auto"/>
                                <w:right w:val="single" w:sz="4" w:space="0" w:color="auto"/>
                              </w:tcBorders>
                            </w:tcPr>
                            <w:p>
                              <w:pPr>
                                <w:rPr>
                                  <w:bCs/>
                                </w:rPr>
                              </w:pPr>
                              <w:r>
                                <w:rPr>
                                  <w:bCs/>
                                </w:rPr>
                                <w:t>Classe :</w:t>
                              </w:r>
                            </w:p>
                          </w:tc>
                          <w:tc>
                            <w:tcPr>
                              <w:tcW w:w="4680" w:type="dxa"/>
                              <w:tcBorders>
                                <w:top w:val="single" w:sz="4" w:space="0" w:color="auto"/>
                                <w:left w:val="single" w:sz="4" w:space="0" w:color="auto"/>
                                <w:bottom w:val="single" w:sz="4" w:space="0" w:color="auto"/>
                                <w:right w:val="single" w:sz="4" w:space="0" w:color="auto"/>
                              </w:tcBorders>
                            </w:tcPr>
                            <w:p>
                              <w:pPr>
                                <w:rPr>
                                  <w:bCs/>
                                </w:rPr>
                              </w:pPr>
                              <w:r>
                                <w:rPr>
                                  <w:bCs/>
                                </w:rPr>
                                <w:t>Type :</w:t>
                              </w:r>
                            </w:p>
                          </w:tc>
                        </w:tr>
                        <w:tr>
                          <w:tc>
                            <w:tcPr>
                              <w:tcW w:w="4855" w:type="dxa"/>
                              <w:tcBorders>
                                <w:top w:val="single" w:sz="4" w:space="0" w:color="auto"/>
                                <w:left w:val="single" w:sz="4" w:space="0" w:color="auto"/>
                                <w:bottom w:val="single" w:sz="4" w:space="0" w:color="auto"/>
                                <w:right w:val="single" w:sz="4" w:space="0" w:color="auto"/>
                              </w:tcBorders>
                            </w:tcPr>
                            <w:p>
                              <w:pPr>
                                <w:rPr>
                                  <w:bCs/>
                                </w:rPr>
                              </w:pPr>
                            </w:p>
                          </w:tc>
                          <w:tc>
                            <w:tcPr>
                              <w:tcW w:w="4680" w:type="dxa"/>
                              <w:tcBorders>
                                <w:top w:val="single" w:sz="4" w:space="0" w:color="auto"/>
                                <w:left w:val="single" w:sz="4" w:space="0" w:color="auto"/>
                                <w:bottom w:val="single" w:sz="4" w:space="0" w:color="auto"/>
                                <w:right w:val="single" w:sz="4" w:space="0" w:color="auto"/>
                              </w:tcBorders>
                            </w:tcPr>
                            <w:p>
                              <w:pPr>
                                <w:rPr>
                                  <w:bCs/>
                                </w:rPr>
                              </w:pPr>
                              <w:r>
                                <w:rPr>
                                  <w:bCs/>
                                </w:rPr>
                                <w:t>Maturité :                     Forme :</w:t>
                              </w:r>
                            </w:p>
                          </w:tc>
                        </w:tr>
                        <w:tr>
                          <w:tc>
                            <w:tcPr>
                              <w:tcW w:w="9535" w:type="dxa"/>
                              <w:gridSpan w:val="2"/>
                              <w:tcBorders>
                                <w:top w:val="single" w:sz="4" w:space="0" w:color="auto"/>
                                <w:left w:val="single" w:sz="4" w:space="0" w:color="auto"/>
                                <w:bottom w:val="single" w:sz="4" w:space="0" w:color="auto"/>
                                <w:right w:val="single" w:sz="4" w:space="0" w:color="auto"/>
                              </w:tcBorders>
                            </w:tcPr>
                            <w:p>
                              <w:pPr>
                                <w:rPr>
                                  <w:b/>
                                  <w:bCs/>
                                </w:rPr>
                              </w:pPr>
                              <w:r>
                                <w:rPr>
                                  <w:b/>
                                  <w:bCs/>
                                </w:rPr>
                                <w:t>Ecole de type 5 assurant la prise en charge :</w:t>
                              </w:r>
                            </w:p>
                          </w:tc>
                        </w:tr>
                        <w:tr>
                          <w:tc>
                            <w:tcPr>
                              <w:tcW w:w="9535" w:type="dxa"/>
                              <w:gridSpan w:val="2"/>
                              <w:tcBorders>
                                <w:top w:val="single" w:sz="4" w:space="0" w:color="auto"/>
                                <w:left w:val="single" w:sz="4" w:space="0" w:color="auto"/>
                                <w:bottom w:val="single" w:sz="4" w:space="0" w:color="auto"/>
                                <w:right w:val="single" w:sz="4" w:space="0" w:color="auto"/>
                              </w:tcBorders>
                            </w:tcPr>
                            <w:p>
                              <w:pPr>
                                <w:rPr>
                                  <w:bCs/>
                                </w:rPr>
                              </w:pPr>
                              <w:r>
                                <w:rPr>
                                  <w:bCs/>
                                </w:rPr>
                                <w:t>Nom :</w:t>
                              </w:r>
                            </w:p>
                          </w:tc>
                        </w:tr>
                        <w:tr>
                          <w:tc>
                            <w:tcPr>
                              <w:tcW w:w="9535" w:type="dxa"/>
                              <w:gridSpan w:val="2"/>
                              <w:tcBorders>
                                <w:top w:val="single" w:sz="4" w:space="0" w:color="auto"/>
                                <w:left w:val="single" w:sz="4" w:space="0" w:color="auto"/>
                                <w:bottom w:val="single" w:sz="4" w:space="0" w:color="auto"/>
                                <w:right w:val="single" w:sz="4" w:space="0" w:color="auto"/>
                              </w:tcBorders>
                            </w:tcPr>
                            <w:p>
                              <w:pPr>
                                <w:rPr>
                                  <w:bCs/>
                                </w:rPr>
                              </w:pPr>
                              <w:r>
                                <w:rPr>
                                  <w:bCs/>
                                </w:rPr>
                                <w:t>Adresse</w:t>
                              </w:r>
                            </w:p>
                          </w:tc>
                        </w:tr>
                        <w:tr>
                          <w:tc>
                            <w:tcPr>
                              <w:tcW w:w="9535" w:type="dxa"/>
                              <w:gridSpan w:val="2"/>
                              <w:tcBorders>
                                <w:top w:val="single" w:sz="4" w:space="0" w:color="auto"/>
                                <w:left w:val="single" w:sz="4" w:space="0" w:color="auto"/>
                                <w:bottom w:val="single" w:sz="4" w:space="0" w:color="auto"/>
                                <w:right w:val="single" w:sz="4" w:space="0" w:color="auto"/>
                              </w:tcBorders>
                            </w:tcPr>
                            <w:p>
                              <w:pPr>
                                <w:rPr>
                                  <w:bCs/>
                                </w:rPr>
                              </w:pPr>
                              <w:r>
                                <w:rPr>
                                  <w:bCs/>
                                </w:rPr>
                                <w:sym w:font="Wingdings" w:char="F028"/>
                              </w:r>
                              <w:r>
                                <w:rPr>
                                  <w:bCs/>
                                </w:rPr>
                                <w:t xml:space="preserve"> :                                                     </w:t>
                              </w:r>
                              <w:r>
                                <w:rPr>
                                  <w:bCs/>
                                </w:rPr>
                                <w:sym w:font="Wingdings" w:char="F03A"/>
                              </w:r>
                              <w:r>
                                <w:rPr>
                                  <w:bCs/>
                                </w:rPr>
                                <w:t> :</w:t>
                              </w:r>
                            </w:p>
                          </w:tc>
                        </w:tr>
                      </w:tbl>
                      <w:p/>
                    </w:tc>
                  </w:tr>
                  <w:tr>
                    <w:tc>
                      <w:tcPr>
                        <w:tcW w:w="10008" w:type="dxa"/>
                        <w:tcBorders>
                          <w:top w:val="single" w:sz="4" w:space="0" w:color="auto"/>
                          <w:bottom w:val="single" w:sz="4" w:space="0" w:color="auto"/>
                        </w:tcBorders>
                      </w:tcPr>
                      <w:p>
                        <w:pPr>
                          <w:rPr>
                            <w:b/>
                          </w:rPr>
                        </w:pPr>
                        <w:r>
                          <w:rPr>
                            <w:b/>
                          </w:rPr>
                          <w:t>Documents utiles et/ou nécessaires au traitement de la demande :</w:t>
                        </w:r>
                      </w:p>
                      <w:p>
                        <w:r>
                          <w:rPr>
                            <w:rFonts w:ascii="Times New Roman" w:hAnsi="Times New Roman" w:cs="Times New Roman"/>
                          </w:rPr>
                          <w:t>□</w:t>
                        </w:r>
                        <w:r>
                          <w:rPr>
                            <w:rFonts w:cs="Cambria"/>
                          </w:rPr>
                          <w:t> </w:t>
                        </w:r>
                        <w:r>
                          <w:t>: certificat d</w:t>
                        </w:r>
                        <w:r>
                          <w:rPr>
                            <w:rFonts w:cs="Cambria"/>
                          </w:rPr>
                          <w:t>’</w:t>
                        </w:r>
                        <w:r>
                          <w:t>un m</w:t>
                        </w:r>
                        <w:r>
                          <w:rPr>
                            <w:rFonts w:cs="Cambria"/>
                          </w:rPr>
                          <w:t>é</w:t>
                        </w:r>
                        <w:r>
                          <w:t>decin sp</w:t>
                        </w:r>
                        <w:r>
                          <w:rPr>
                            <w:rFonts w:cs="Cambria"/>
                          </w:rPr>
                          <w:t>é</w:t>
                        </w:r>
                        <w:r>
                          <w:t>cialiste</w:t>
                        </w:r>
                      </w:p>
                      <w:p>
                        <w:r>
                          <w:rPr>
                            <w:rFonts w:ascii="Times New Roman" w:hAnsi="Times New Roman" w:cs="Times New Roman"/>
                          </w:rPr>
                          <w:t>□</w:t>
                        </w:r>
                        <w:r>
                          <w:rPr>
                            <w:rFonts w:cs="Cambria"/>
                          </w:rPr>
                          <w:t> </w:t>
                        </w:r>
                        <w:r>
                          <w:t>: lettre de motivation</w:t>
                        </w:r>
                      </w:p>
                      <w:p>
                        <w:r>
                          <w:rPr>
                            <w:rFonts w:ascii="Times New Roman" w:hAnsi="Times New Roman" w:cs="Times New Roman"/>
                          </w:rPr>
                          <w:t>□</w:t>
                        </w:r>
                        <w:r>
                          <w:rPr>
                            <w:rFonts w:cs="Cambria"/>
                          </w:rPr>
                          <w:t> </w:t>
                        </w:r>
                        <w:r>
                          <w:t>: projet p</w:t>
                        </w:r>
                        <w:r>
                          <w:rPr>
                            <w:rFonts w:cs="Cambria"/>
                          </w:rPr>
                          <w:t>é</w:t>
                        </w:r>
                        <w:r>
                          <w:t>dagogique sp</w:t>
                        </w:r>
                        <w:r>
                          <w:rPr>
                            <w:rFonts w:cs="Cambria"/>
                          </w:rPr>
                          <w:t>é</w:t>
                        </w:r>
                        <w:r>
                          <w:t>cifique</w:t>
                        </w:r>
                      </w:p>
                      <w:p>
                        <w:pPr>
                          <w:rPr>
                            <w:b/>
                          </w:rPr>
                        </w:pPr>
                        <w:r>
                          <w:t>--------------------------------------------------------------------------------------------------</w:t>
                        </w:r>
                      </w:p>
                      <w:p>
                        <w:pPr>
                          <w:rPr>
                            <w:b/>
                          </w:rPr>
                        </w:pPr>
                        <w:r>
                          <w:rPr>
                            <w:b/>
                          </w:rPr>
                          <w:t>DATE :                                                                      SIGNATURE :</w:t>
                        </w:r>
                      </w:p>
                    </w:tc>
                  </w:tr>
                  <w:tr>
                    <w:tc>
                      <w:tcPr>
                        <w:tcW w:w="10008" w:type="dxa"/>
                        <w:tcBorders>
                          <w:top w:val="single" w:sz="4" w:space="0" w:color="auto"/>
                          <w:left w:val="single" w:sz="4" w:space="0" w:color="auto"/>
                          <w:bottom w:val="single" w:sz="4" w:space="0" w:color="auto"/>
                          <w:right w:val="single" w:sz="4" w:space="0" w:color="auto"/>
                        </w:tcBorders>
                      </w:tcPr>
                      <w:p>
                        <w:pPr>
                          <w:jc w:val="center"/>
                        </w:pPr>
                        <w:r>
                          <w:rPr>
                            <w:b/>
                          </w:rPr>
                          <w:t>Formulaire de demande d’avis à adresser</w:t>
                        </w:r>
                        <w:r>
                          <w:t> :</w:t>
                        </w:r>
                      </w:p>
                      <w:p>
                        <w:pPr>
                          <w:jc w:val="center"/>
                        </w:pPr>
                        <w:r>
                          <w:t>Direction générale de l’enseignement obligatoire</w:t>
                        </w:r>
                      </w:p>
                      <w:p>
                        <w:pPr>
                          <w:jc w:val="center"/>
                        </w:pPr>
                        <w:r>
                          <w:t>Service de l’enseignement spécialisé</w:t>
                        </w:r>
                      </w:p>
                      <w:p>
                        <w:pPr>
                          <w:jc w:val="center"/>
                          <w:rPr>
                            <w:color w:val="000000"/>
                          </w:rPr>
                        </w:pPr>
                        <w:r>
                          <w:rPr>
                            <w:color w:val="000000"/>
                          </w:rPr>
                          <w:t>Madame Nathalie DUJARDIN</w:t>
                        </w:r>
                      </w:p>
                      <w:p>
                        <w:pPr>
                          <w:jc w:val="center"/>
                        </w:pPr>
                        <w:r>
                          <w:t>Bureau 2F246</w:t>
                        </w:r>
                      </w:p>
                      <w:p>
                        <w:pPr>
                          <w:jc w:val="center"/>
                        </w:pPr>
                        <w:r>
                          <w:t>Rue Adolphe Lavallée, 1</w:t>
                        </w:r>
                      </w:p>
                      <w:p>
                        <w:pPr>
                          <w:jc w:val="center"/>
                        </w:pPr>
                        <w:r>
                          <w:t>1080   BRUXELLES</w:t>
                        </w:r>
                      </w:p>
                      <w:p>
                        <w:pPr>
                          <w:jc w:val="center"/>
                          <w:rPr>
                            <w:lang w:val="fr-FR"/>
                          </w:rPr>
                        </w:pPr>
                        <w:r>
                          <w:sym w:font="Wingdings" w:char="F028"/>
                        </w:r>
                        <w:r>
                          <w:rPr>
                            <w:lang w:val="fr-FR"/>
                          </w:rPr>
                          <w:t> : 02/690.88.59 – GSM : 0472/94.31.95</w:t>
                        </w:r>
                      </w:p>
                      <w:p>
                        <w:pPr>
                          <w:jc w:val="center"/>
                          <w:rPr>
                            <w:b/>
                          </w:rPr>
                        </w:pPr>
                        <w:r>
                          <w:rPr>
                            <w:lang w:val="fr-FR"/>
                          </w:rPr>
                          <w:t xml:space="preserve">Fax : 02/690.85.90 - </w:t>
                        </w:r>
                        <w:r>
                          <w:rPr>
                            <w:bCs/>
                          </w:rPr>
                          <w:sym w:font="Wingdings" w:char="F03A"/>
                        </w:r>
                        <w:r>
                          <w:rPr>
                            <w:bCs/>
                            <w:lang w:val="fr-FR"/>
                          </w:rPr>
                          <w:t> </w:t>
                        </w:r>
                        <w:r>
                          <w:rPr>
                            <w:lang w:val="fr-FR"/>
                          </w:rPr>
                          <w:t xml:space="preserve"> </w:t>
                        </w:r>
                        <w:hyperlink r:id="rId227" w:history="1">
                          <w:r>
                            <w:rPr>
                              <w:rStyle w:val="Lienhypertexte"/>
                              <w:rFonts w:cs="Arial"/>
                              <w:b/>
                              <w:lang w:val="fr-FR"/>
                            </w:rPr>
                            <w:t>nathalie.dujardin@cfwb.be</w:t>
                          </w:r>
                        </w:hyperlink>
                      </w:p>
                    </w:tc>
                  </w:tr>
                </w:tbl>
                <w:p>
                  <w:bookmarkStart w:id="3473" w:name="_Toc412204247"/>
                  <w:bookmarkStart w:id="3474" w:name="_Toc453837072"/>
                </w:p>
                <w:p>
                  <w:pPr>
                    <w:rPr>
                      <w:b/>
                      <w:u w:val="single"/>
                    </w:rPr>
                  </w:pPr>
                  <w:r>
                    <w:br w:type="page"/>
                  </w:r>
                </w:p>
                <w:p>
                  <w:pPr>
                    <w:pStyle w:val="Titre4"/>
                  </w:pPr>
                  <w:bookmarkStart w:id="3475" w:name="_Situation_n_3"/>
                  <w:bookmarkEnd w:id="3475"/>
                  <w:r>
                    <w:t>Situation n°3 : opportunité de transférer dans un établissement d’enseignement spécialisé un élève inscrit dans un établissement d’enseignement ordinaire</w:t>
                  </w:r>
                  <w:bookmarkEnd w:id="3473"/>
                  <w:bookmarkEnd w:id="3474"/>
                </w:p>
                <w:p>
                  <w:pPr>
                    <w:jc w:val="center"/>
                  </w:pPr>
                </w:p>
                <w:p>
                  <w:pPr>
                    <w:rPr>
                      <w:b/>
                    </w:rPr>
                  </w:pPr>
                  <w:r>
                    <w:rPr>
                      <w:b/>
                    </w:rPr>
                    <w:t>Demande introduite par :</w:t>
                  </w:r>
                </w:p>
                <w:p>
                  <w:r>
                    <w:rPr>
                      <w:rFonts w:ascii="Times New Roman" w:hAnsi="Times New Roman" w:cs="Times New Roman"/>
                      <w:b/>
                    </w:rPr>
                    <w:t>□</w:t>
                  </w:r>
                  <w:r>
                    <w:t xml:space="preserve"> : chef de famille (Qualité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à préciser</w:t>
                  </w:r>
                  <w:r>
                    <w:tab/>
                  </w:r>
                  <w:r>
                    <w:tab/>
                    <w:t>)</w:t>
                  </w:r>
                </w:p>
                <w:p>
                  <w:r>
                    <w:rPr>
                      <w:rFonts w:ascii="Times New Roman" w:hAnsi="Times New Roman" w:cs="Times New Roman"/>
                      <w:b/>
                    </w:rPr>
                    <w:t>□</w:t>
                  </w:r>
                  <w:r>
                    <w:t> : membre de l’inspection scolaire</w:t>
                  </w:r>
                </w:p>
                <w:p>
                  <w:r>
                    <w:rPr>
                      <w:rFonts w:ascii="Times New Roman" w:hAnsi="Times New Roman" w:cs="Times New Roman"/>
                    </w:rPr>
                    <w:t>□</w:t>
                  </w:r>
                  <w:r>
                    <w:rPr>
                      <w:rFonts w:cs="Cambria"/>
                    </w:rPr>
                    <w:t> </w:t>
                  </w:r>
                  <w:r>
                    <w:t>: chef d</w:t>
                  </w:r>
                  <w:r>
                    <w:rPr>
                      <w:rFonts w:cs="Cambria"/>
                    </w:rPr>
                    <w:t>’é</w:t>
                  </w:r>
                  <w:r>
                    <w:t>tablissement d</w:t>
                  </w:r>
                  <w:r>
                    <w:rPr>
                      <w:rFonts w:cs="Cambria"/>
                    </w:rPr>
                    <w:t>’</w:t>
                  </w:r>
                  <w:r>
                    <w:t>enseignement ordinaire</w:t>
                  </w:r>
                </w:p>
                <w:p>
                  <w:r>
                    <w:rPr>
                      <w:rFonts w:ascii="Times New Roman" w:hAnsi="Times New Roman" w:cs="Times New Roman"/>
                    </w:rPr>
                    <w:t>□</w:t>
                  </w:r>
                  <w:r>
                    <w:rPr>
                      <w:rFonts w:cs="Cambria"/>
                    </w:rPr>
                    <w:t> </w:t>
                  </w:r>
                  <w:r>
                    <w:t>: m</w:t>
                  </w:r>
                  <w:r>
                    <w:rPr>
                      <w:rFonts w:cs="Cambria"/>
                    </w:rPr>
                    <w:t>é</w:t>
                  </w:r>
                  <w:r>
                    <w:t>decin PSE</w:t>
                  </w:r>
                </w:p>
                <w:p>
                  <w:r>
                    <w:rPr>
                      <w:b/>
                    </w:rPr>
                    <w:t>Identité du demandeur</w:t>
                  </w:r>
                  <w:r>
                    <w:t> :</w:t>
                  </w:r>
                </w:p>
                <w:p>
                  <w:r>
                    <w:t xml:space="preserve">Nom, prénom : </w:t>
                  </w:r>
                </w:p>
                <w:p>
                  <w:r>
                    <w:t xml:space="preserve">Adresse : </w:t>
                  </w:r>
                </w:p>
                <w:p/>
                <w:p/>
                <w:p>
                  <w:r>
                    <w:sym w:font="Wingdings" w:char="F028"/>
                  </w:r>
                  <w:r>
                    <w:t> :</w:t>
                  </w:r>
                  <w:r>
                    <w:tab/>
                  </w:r>
                  <w:r>
                    <w:tab/>
                    <w:t>/</w:t>
                  </w:r>
                  <w:r>
                    <w:tab/>
                  </w:r>
                  <w:r>
                    <w:tab/>
                  </w:r>
                  <w:r>
                    <w:tab/>
                  </w:r>
                  <w:r>
                    <w:tab/>
                  </w:r>
                  <w:r>
                    <w:tab/>
                  </w:r>
                  <w:r>
                    <w:sym w:font="Wingdings" w:char="F03A"/>
                  </w:r>
                  <w: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tc>
                      <w:tcPr>
                        <w:tcW w:w="10008" w:type="dxa"/>
                        <w:tcBorders>
                          <w:top w:val="single" w:sz="4" w:space="0" w:color="auto"/>
                          <w:bottom w:val="single" w:sz="4" w:space="0" w:color="auto"/>
                        </w:tcBorders>
                      </w:tcPr>
                      <w:p>
                        <w:pPr>
                          <w:rPr>
                            <w:b/>
                            <w:bCs/>
                            <w:caps/>
                          </w:rPr>
                        </w:pPr>
                        <w:r>
                          <w:rPr>
                            <w:b/>
                            <w:bCs/>
                            <w:caps/>
                          </w:rPr>
                          <w:t>concernE l’ElEve :</w:t>
                        </w:r>
                        <w:r>
                          <w:rPr>
                            <w:bCs/>
                          </w:rPr>
                          <w:br/>
                          <w:t>NOM, PRENOM :</w:t>
                        </w:r>
                      </w:p>
                      <w:p>
                        <w:pPr>
                          <w:rPr>
                            <w:bCs/>
                          </w:rPr>
                        </w:pPr>
                        <w:r>
                          <w:rPr>
                            <w:bCs/>
                          </w:rPr>
                          <w:t xml:space="preserve">ADRESSE : </w:t>
                        </w:r>
                      </w:p>
                      <w:p>
                        <w:pPr>
                          <w:rPr>
                            <w:bCs/>
                          </w:rPr>
                        </w:pPr>
                      </w:p>
                      <w:p>
                        <w:pPr>
                          <w:rPr>
                            <w:bCs/>
                          </w:rPr>
                        </w:pPr>
                      </w:p>
                      <w:p>
                        <w:pPr>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tc>
                            <w:tcPr>
                              <w:tcW w:w="9535" w:type="dxa"/>
                              <w:tcBorders>
                                <w:top w:val="single" w:sz="4" w:space="0" w:color="auto"/>
                                <w:left w:val="single" w:sz="4" w:space="0" w:color="auto"/>
                                <w:bottom w:val="single" w:sz="4" w:space="0" w:color="auto"/>
                                <w:right w:val="single" w:sz="4" w:space="0" w:color="auto"/>
                              </w:tcBorders>
                            </w:tcPr>
                            <w:p>
                              <w:pPr>
                                <w:rPr>
                                  <w:b/>
                                  <w:bCs/>
                                </w:rPr>
                              </w:pPr>
                              <w:r>
                                <w:rPr>
                                  <w:b/>
                                  <w:bCs/>
                                </w:rPr>
                                <w:t>Ecole fréquentée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Nom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sym w:font="Wingdings" w:char="F028"/>
                              </w:r>
                              <w:r>
                                <w:rPr>
                                  <w:bCs/>
                                </w:rPr>
                                <w:t xml:space="preserve"> :                                                     </w:t>
                              </w:r>
                              <w:r>
                                <w:rPr>
                                  <w:bCs/>
                                </w:rPr>
                                <w:sym w:font="Wingdings" w:char="F03A"/>
                              </w:r>
                              <w:r>
                                <w:rPr>
                                  <w:bCs/>
                                </w:rPr>
                                <w:t>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
                                  <w:bCs/>
                                </w:rPr>
                                <w:t xml:space="preserve">CPMS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Dénomination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Agent de référence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sym w:font="Wingdings" w:char="F028"/>
                              </w:r>
                              <w:r>
                                <w:rPr>
                                  <w:bCs/>
                                </w:rPr>
                                <w:t xml:space="preserve"> :                                                     </w:t>
                              </w:r>
                              <w:r>
                                <w:rPr>
                                  <w:bCs/>
                                </w:rPr>
                                <w:sym w:font="Wingdings" w:char="F03A"/>
                              </w:r>
                              <w:r>
                                <w:rPr>
                                  <w:bCs/>
                                </w:rPr>
                                <w:t> :</w:t>
                              </w:r>
                            </w:p>
                          </w:tc>
                        </w:tr>
                      </w:tbl>
                      <w:p/>
                    </w:tc>
                  </w:tr>
                  <w:tr>
                    <w:tc>
                      <w:tcPr>
                        <w:tcW w:w="10008" w:type="dxa"/>
                        <w:tcBorders>
                          <w:top w:val="single" w:sz="4" w:space="0" w:color="auto"/>
                          <w:bottom w:val="single" w:sz="4" w:space="0" w:color="auto"/>
                        </w:tcBorders>
                      </w:tcPr>
                      <w:p>
                        <w:pPr>
                          <w:rPr>
                            <w:b/>
                          </w:rPr>
                        </w:pPr>
                      </w:p>
                      <w:p>
                        <w:pPr>
                          <w:rPr>
                            <w:b/>
                          </w:rPr>
                        </w:pPr>
                        <w:r>
                          <w:rPr>
                            <w:b/>
                          </w:rPr>
                          <w:t>Documents utiles et/ou nécessaires au traitement de la demande* :</w:t>
                        </w:r>
                      </w:p>
                      <w:p>
                        <w:pPr>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tc>
                            <w:tcPr>
                              <w:tcW w:w="4888" w:type="dxa"/>
                              <w:tcBorders>
                                <w:top w:val="single" w:sz="4" w:space="0" w:color="auto"/>
                                <w:left w:val="single" w:sz="4" w:space="0" w:color="auto"/>
                                <w:bottom w:val="single" w:sz="4" w:space="0" w:color="auto"/>
                                <w:right w:val="single" w:sz="4" w:space="0" w:color="auto"/>
                              </w:tcBorders>
                              <w:shd w:val="clear" w:color="auto" w:fill="F3F3F3"/>
                            </w:tcPr>
                            <w:p>
                              <w:pPr>
                                <w:rPr>
                                  <w:b/>
                                </w:rPr>
                              </w:pPr>
                              <w:r>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pPr>
                                <w:rPr>
                                  <w:b/>
                                </w:rPr>
                              </w:pPr>
                              <w:r>
                                <w:rPr>
                                  <w:b/>
                                </w:rPr>
                                <w:t>Enseignement secondaire :</w:t>
                              </w:r>
                            </w:p>
                          </w:tc>
                        </w:tr>
                        <w:tr>
                          <w:tc>
                            <w:tcPr>
                              <w:tcW w:w="4888" w:type="dxa"/>
                              <w:tcBorders>
                                <w:top w:val="single" w:sz="4" w:space="0" w:color="auto"/>
                                <w:left w:val="single" w:sz="4" w:space="0" w:color="auto"/>
                                <w:bottom w:val="single" w:sz="4" w:space="0" w:color="auto"/>
                                <w:right w:val="single" w:sz="4" w:space="0" w:color="auto"/>
                              </w:tcBorders>
                            </w:tcPr>
                            <w:p>
                              <w:pPr>
                                <w:rPr>
                                  <w:b/>
                                </w:rPr>
                              </w:pPr>
                              <w:r>
                                <w:rPr>
                                  <w:rFonts w:ascii="Times New Roman" w:hAnsi="Times New Roman" w:cs="Times New Roman"/>
                                  <w:b/>
                                </w:rPr>
                                <w:t>□</w:t>
                              </w:r>
                              <w:r>
                                <w:rPr>
                                  <w:b/>
                                </w:rPr>
                                <w:t xml:space="preserve"> </w:t>
                              </w:r>
                              <w:r>
                                <w:t>lettre de motivation</w:t>
                              </w:r>
                            </w:p>
                          </w:tc>
                          <w:tc>
                            <w:tcPr>
                              <w:tcW w:w="4889" w:type="dxa"/>
                              <w:tcBorders>
                                <w:top w:val="single" w:sz="4" w:space="0" w:color="auto"/>
                                <w:left w:val="single" w:sz="4" w:space="0" w:color="auto"/>
                                <w:bottom w:val="single" w:sz="4" w:space="0" w:color="auto"/>
                                <w:right w:val="single" w:sz="4" w:space="0" w:color="auto"/>
                              </w:tcBorders>
                            </w:tcPr>
                            <w:p>
                              <w:pPr>
                                <w:rPr>
                                  <w:b/>
                                </w:rPr>
                              </w:pPr>
                              <w:r>
                                <w:rPr>
                                  <w:rFonts w:ascii="Times New Roman" w:hAnsi="Times New Roman" w:cs="Times New Roman"/>
                                  <w:b/>
                                </w:rPr>
                                <w:t>□</w:t>
                              </w:r>
                              <w:r>
                                <w:rPr>
                                  <w:b/>
                                </w:rPr>
                                <w:t xml:space="preserve"> </w:t>
                              </w:r>
                              <w:r>
                                <w:t>lettre de motivation</w:t>
                              </w:r>
                            </w:p>
                          </w:tc>
                        </w:tr>
                        <w:tr>
                          <w:tc>
                            <w:tcPr>
                              <w:tcW w:w="4888" w:type="dxa"/>
                              <w:tcBorders>
                                <w:top w:val="single" w:sz="4" w:space="0" w:color="auto"/>
                                <w:left w:val="single" w:sz="4" w:space="0" w:color="auto"/>
                                <w:bottom w:val="single" w:sz="4" w:space="0" w:color="auto"/>
                                <w:right w:val="single" w:sz="4" w:space="0" w:color="auto"/>
                              </w:tcBorders>
                            </w:tcPr>
                            <w:p>
                              <w:r>
                                <w:rPr>
                                  <w:rFonts w:ascii="Times New Roman" w:hAnsi="Times New Roman" w:cs="Times New Roman"/>
                                </w:rPr>
                                <w:t>□</w:t>
                              </w:r>
                              <w:r>
                                <w:t xml:space="preserve"> avis PMS</w:t>
                              </w:r>
                            </w:p>
                          </w:tc>
                          <w:tc>
                            <w:tcPr>
                              <w:tcW w:w="4889" w:type="dxa"/>
                              <w:tcBorders>
                                <w:top w:val="single" w:sz="4" w:space="0" w:color="auto"/>
                                <w:left w:val="single" w:sz="4" w:space="0" w:color="auto"/>
                                <w:bottom w:val="single" w:sz="4" w:space="0" w:color="auto"/>
                                <w:right w:val="single" w:sz="4" w:space="0" w:color="auto"/>
                              </w:tcBorders>
                            </w:tcPr>
                            <w:p>
                              <w:r>
                                <w:rPr>
                                  <w:rFonts w:ascii="Times New Roman" w:hAnsi="Times New Roman" w:cs="Times New Roman"/>
                                </w:rPr>
                                <w:t>□</w:t>
                              </w:r>
                              <w:r>
                                <w:t xml:space="preserve"> avis PMS</w:t>
                              </w:r>
                            </w:p>
                          </w:tc>
                        </w:tr>
                        <w:tr>
                          <w:tc>
                            <w:tcPr>
                              <w:tcW w:w="4888" w:type="dxa"/>
                              <w:tcBorders>
                                <w:top w:val="single" w:sz="4" w:space="0" w:color="auto"/>
                                <w:left w:val="single" w:sz="4" w:space="0" w:color="auto"/>
                                <w:bottom w:val="single" w:sz="4" w:space="0" w:color="auto"/>
                                <w:right w:val="single" w:sz="4" w:space="0" w:color="auto"/>
                              </w:tcBorders>
                            </w:tcPr>
                            <w:p>
                              <w:r>
                                <w:rPr>
                                  <w:rFonts w:ascii="Times New Roman" w:hAnsi="Times New Roman" w:cs="Times New Roman"/>
                                </w:rPr>
                                <w:t>□</w:t>
                              </w:r>
                              <w:r>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r>
                                <w:rPr>
                                  <w:rFonts w:ascii="Times New Roman" w:hAnsi="Times New Roman" w:cs="Times New Roman"/>
                                </w:rPr>
                                <w:t>□</w:t>
                              </w:r>
                              <w:r>
                                <w:t xml:space="preserve"> avis du conseil de classe</w:t>
                              </w:r>
                            </w:p>
                          </w:tc>
                        </w:tr>
                      </w:tbl>
                      <w:p>
                        <w:pPr>
                          <w:rPr>
                            <w:b/>
                          </w:rPr>
                        </w:pPr>
                      </w:p>
                      <w:p>
                        <w:pPr>
                          <w:rPr>
                            <w:i/>
                          </w:rPr>
                        </w:pPr>
                        <w:r>
                          <w:rPr>
                            <w:rFonts w:ascii="Times New Roman" w:hAnsi="Times New Roman" w:cs="Times New Roman"/>
                            <w:i/>
                          </w:rPr>
                          <w:t>□</w:t>
                        </w:r>
                        <w:r>
                          <w:rPr>
                            <w:i/>
                          </w:rPr>
                          <w:t xml:space="preserve"> </w:t>
                        </w:r>
                        <w:r>
                          <w:rPr>
                            <w:rFonts w:cs="Cambria"/>
                            <w:i/>
                          </w:rPr>
                          <w:t>é</w:t>
                        </w:r>
                        <w:r>
                          <w:rPr>
                            <w:i/>
                          </w:rPr>
                          <w:t xml:space="preserve">ventuellement </w:t>
                        </w:r>
                        <w:r>
                          <w:t>avis de l’école spécialisée contactée</w:t>
                        </w:r>
                      </w:p>
                      <w:p>
                        <w:pPr>
                          <w:rPr>
                            <w:b/>
                          </w:rPr>
                        </w:pPr>
                        <w:r>
                          <w:t>--------------------------------------------------------------------------------------------------</w:t>
                        </w:r>
                      </w:p>
                      <w:p>
                        <w:pPr>
                          <w:rPr>
                            <w:b/>
                          </w:rPr>
                        </w:pPr>
                        <w:r>
                          <w:rPr>
                            <w:b/>
                          </w:rPr>
                          <w:t>DATE :                                                                           SIGNATURE :</w:t>
                        </w:r>
                      </w:p>
                      <w:p>
                        <w:pPr>
                          <w:rPr>
                            <w:b/>
                          </w:rPr>
                        </w:pPr>
                      </w:p>
                    </w:tc>
                  </w:tr>
                  <w:tr>
                    <w:tc>
                      <w:tcPr>
                        <w:tcW w:w="10008" w:type="dxa"/>
                        <w:tcBorders>
                          <w:top w:val="single" w:sz="4" w:space="0" w:color="auto"/>
                          <w:left w:val="single" w:sz="4" w:space="0" w:color="auto"/>
                          <w:bottom w:val="single" w:sz="4" w:space="0" w:color="auto"/>
                          <w:right w:val="single" w:sz="4" w:space="0" w:color="auto"/>
                        </w:tcBorders>
                      </w:tcPr>
                      <w:p>
                        <w:pPr>
                          <w:jc w:val="center"/>
                        </w:pPr>
                        <w:r>
                          <w:rPr>
                            <w:b/>
                          </w:rPr>
                          <w:t>Formulaire de demande d’avis à adresser</w:t>
                        </w:r>
                        <w:r>
                          <w:t> :</w:t>
                        </w:r>
                      </w:p>
                      <w:p>
                        <w:pPr>
                          <w:jc w:val="center"/>
                        </w:pPr>
                        <w:r>
                          <w:t>Direction générale de l’enseignement obligatoire</w:t>
                        </w:r>
                      </w:p>
                      <w:p>
                        <w:pPr>
                          <w:jc w:val="center"/>
                        </w:pPr>
                        <w:r>
                          <w:t>Service de l’enseignement spécialisé</w:t>
                        </w:r>
                      </w:p>
                      <w:p>
                        <w:pPr>
                          <w:jc w:val="center"/>
                          <w:rPr>
                            <w:color w:val="000000"/>
                          </w:rPr>
                        </w:pPr>
                        <w:r>
                          <w:rPr>
                            <w:color w:val="000000"/>
                          </w:rPr>
                          <w:t>Madame Nathalie DUJARDIN</w:t>
                        </w:r>
                      </w:p>
                      <w:p>
                        <w:pPr>
                          <w:jc w:val="center"/>
                        </w:pPr>
                        <w:r>
                          <w:t>Bureau 2F246</w:t>
                        </w:r>
                      </w:p>
                      <w:p>
                        <w:pPr>
                          <w:jc w:val="center"/>
                        </w:pPr>
                        <w:r>
                          <w:t>Rue Adolphe Lavallée, 1</w:t>
                        </w:r>
                      </w:p>
                      <w:p>
                        <w:pPr>
                          <w:jc w:val="center"/>
                        </w:pPr>
                        <w:r>
                          <w:t>1080   BRUXELLES</w:t>
                        </w:r>
                      </w:p>
                      <w:p>
                        <w:pPr>
                          <w:jc w:val="center"/>
                          <w:rPr>
                            <w:lang w:val="fr-FR"/>
                          </w:rPr>
                        </w:pPr>
                        <w:r>
                          <w:sym w:font="Wingdings" w:char="F028"/>
                        </w:r>
                        <w:r>
                          <w:rPr>
                            <w:lang w:val="fr-FR"/>
                          </w:rPr>
                          <w:t> : 02/690.88.59 – GSM : 0472/94.31.95</w:t>
                        </w:r>
                      </w:p>
                      <w:p>
                        <w:pPr>
                          <w:jc w:val="center"/>
                          <w:rPr>
                            <w:b/>
                          </w:rPr>
                        </w:pPr>
                        <w:r>
                          <w:rPr>
                            <w:lang w:val="fr-FR"/>
                          </w:rPr>
                          <w:t xml:space="preserve">Fax : 02/690.85.90 - </w:t>
                        </w:r>
                        <w:r>
                          <w:rPr>
                            <w:bCs/>
                          </w:rPr>
                          <w:sym w:font="Wingdings" w:char="F03A"/>
                        </w:r>
                        <w:r>
                          <w:rPr>
                            <w:bCs/>
                            <w:lang w:val="fr-FR"/>
                          </w:rPr>
                          <w:t> </w:t>
                        </w:r>
                        <w:r>
                          <w:rPr>
                            <w:lang w:val="fr-FR"/>
                          </w:rPr>
                          <w:t xml:space="preserve"> </w:t>
                        </w:r>
                        <w:hyperlink r:id="rId228" w:history="1">
                          <w:r>
                            <w:rPr>
                              <w:rStyle w:val="Lienhypertexte"/>
                              <w:rFonts w:cs="Arial"/>
                              <w:b/>
                              <w:lang w:val="fr-FR"/>
                            </w:rPr>
                            <w:t>nathalie.dujardin@cfwb.be</w:t>
                          </w:r>
                        </w:hyperlink>
                      </w:p>
                    </w:tc>
                  </w:tr>
                </w:tbl>
                <w:p>
                  <w:pPr>
                    <w:pBdr>
                      <w:right w:val="single" w:sz="4" w:space="4" w:color="auto"/>
                    </w:pBdr>
                    <w:jc w:val="both"/>
                    <w:rPr>
                      <w:b/>
                      <w:u w:val="single"/>
                    </w:rPr>
                  </w:pPr>
                  <w:r>
                    <w:t xml:space="preserve">*documents susceptibles d’être communiqués aux parents de l’élève mineur, à toute personne investie de l’autorité parentale qui en assume la garde en fait et en droit, ou à l’élève lui-même s’il est majeur. </w:t>
                  </w:r>
                  <w:r>
                    <w:rPr>
                      <w:b/>
                      <w:u w:val="single"/>
                    </w:rPr>
                    <w:br w:type="page"/>
                  </w:r>
                </w:p>
                <w:p>
                  <w:pPr>
                    <w:rPr>
                      <w:b/>
                      <w:u w:val="single"/>
                    </w:rPr>
                  </w:pPr>
                </w:p>
                <w:p>
                  <w:pPr>
                    <w:pStyle w:val="Titre4"/>
                  </w:pPr>
                  <w:bookmarkStart w:id="3476" w:name="_Toc412204248"/>
                  <w:bookmarkStart w:id="3477" w:name="_Toc453837073"/>
                  <w:r>
                    <w:t>Situation n°4 : opportunité de transférer dans un établissement d’enseignement ordinaire un élève inscrit dans un établissement d’enseignement spécialisé</w:t>
                  </w:r>
                  <w:bookmarkEnd w:id="3476"/>
                  <w:bookmarkEnd w:id="3477"/>
                </w:p>
                <w:p>
                  <w:pPr>
                    <w:jc w:val="center"/>
                  </w:pPr>
                </w:p>
                <w:p>
                  <w:pPr>
                    <w:rPr>
                      <w:b/>
                    </w:rPr>
                  </w:pPr>
                  <w:r>
                    <w:rPr>
                      <w:b/>
                    </w:rPr>
                    <w:t>Demande introduite par :</w:t>
                  </w:r>
                </w:p>
                <w:p>
                  <w:r>
                    <w:rPr>
                      <w:rFonts w:ascii="Times New Roman" w:hAnsi="Times New Roman" w:cs="Times New Roman"/>
                      <w:b/>
                    </w:rPr>
                    <w:t>□</w:t>
                  </w:r>
                  <w:r>
                    <w:t xml:space="preserve"> : chef de famille (Qualité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w:t>
                  </w:r>
                  <w:r>
                    <w:rPr>
                      <w:rFonts w:cs="Cambria"/>
                    </w:rPr>
                    <w:t>à</w:t>
                  </w:r>
                  <w:r>
                    <w:t xml:space="preserve"> pr</w:t>
                  </w:r>
                  <w:r>
                    <w:rPr>
                      <w:rFonts w:cs="Cambria"/>
                    </w:rPr>
                    <w:t>é</w:t>
                  </w:r>
                  <w:r>
                    <w:t>ciser )</w:t>
                  </w:r>
                </w:p>
                <w:p>
                  <w:r>
                    <w:rPr>
                      <w:rFonts w:ascii="Times New Roman" w:hAnsi="Times New Roman" w:cs="Times New Roman"/>
                      <w:b/>
                    </w:rPr>
                    <w:t>□</w:t>
                  </w:r>
                  <w:r>
                    <w:t> : membre de l’inspection scolaire</w:t>
                  </w:r>
                </w:p>
                <w:p>
                  <w:r>
                    <w:rPr>
                      <w:rFonts w:ascii="Times New Roman" w:hAnsi="Times New Roman" w:cs="Times New Roman"/>
                    </w:rPr>
                    <w:t>□</w:t>
                  </w:r>
                  <w:r>
                    <w:rPr>
                      <w:rFonts w:cs="Cambria"/>
                    </w:rPr>
                    <w:t> </w:t>
                  </w:r>
                  <w:r>
                    <w:t>: chef d</w:t>
                  </w:r>
                  <w:r>
                    <w:rPr>
                      <w:rFonts w:cs="Cambria"/>
                    </w:rPr>
                    <w:t>’é</w:t>
                  </w:r>
                  <w:r>
                    <w:t>tablissement de l</w:t>
                  </w:r>
                  <w:r>
                    <w:rPr>
                      <w:rFonts w:cs="Cambria"/>
                    </w:rPr>
                    <w:t>’</w:t>
                  </w:r>
                  <w:r>
                    <w:t>enseignement sp</w:t>
                  </w:r>
                  <w:r>
                    <w:rPr>
                      <w:rFonts w:cs="Cambria"/>
                    </w:rPr>
                    <w:t>é</w:t>
                  </w:r>
                  <w:r>
                    <w:t>cialis</w:t>
                  </w:r>
                  <w:r>
                    <w:rPr>
                      <w:rFonts w:cs="Cambria"/>
                    </w:rPr>
                    <w:t>é</w:t>
                  </w:r>
                </w:p>
                <w:p/>
                <w:p>
                  <w:r>
                    <w:rPr>
                      <w:b/>
                    </w:rPr>
                    <w:t>Identité du demandeur</w:t>
                  </w:r>
                  <w:r>
                    <w:t> :</w:t>
                  </w:r>
                </w:p>
                <w:p>
                  <w:r>
                    <w:t>Nom, prénom :</w:t>
                  </w:r>
                </w:p>
                <w:p>
                  <w:r>
                    <w:t xml:space="preserve">Adresse : </w:t>
                  </w:r>
                </w:p>
                <w:p/>
                <w:p>
                  <w:r>
                    <w:sym w:font="Wingdings" w:char="F028"/>
                  </w:r>
                  <w:r>
                    <w:t> :</w:t>
                  </w:r>
                  <w:r>
                    <w:tab/>
                  </w:r>
                  <w:r>
                    <w:tab/>
                    <w:t>/</w:t>
                  </w:r>
                  <w:r>
                    <w:tab/>
                  </w:r>
                  <w:r>
                    <w:tab/>
                  </w:r>
                  <w:r>
                    <w:tab/>
                  </w:r>
                  <w:r>
                    <w:tab/>
                  </w:r>
                  <w:r>
                    <w:tab/>
                  </w:r>
                  <w:r>
                    <w:tab/>
                  </w:r>
                  <w:r>
                    <w:sym w:font="Wingdings" w:char="F03A"/>
                  </w:r>
                  <w: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tc>
                      <w:tcPr>
                        <w:tcW w:w="10008" w:type="dxa"/>
                        <w:tcBorders>
                          <w:top w:val="single" w:sz="4" w:space="0" w:color="auto"/>
                          <w:bottom w:val="single" w:sz="4" w:space="0" w:color="auto"/>
                        </w:tcBorders>
                      </w:tcPr>
                      <w:p>
                        <w:pPr>
                          <w:rPr>
                            <w:b/>
                            <w:bCs/>
                            <w:caps/>
                          </w:rPr>
                        </w:pPr>
                        <w:r>
                          <w:rPr>
                            <w:b/>
                            <w:bCs/>
                            <w:caps/>
                          </w:rPr>
                          <w:t>concernE l’ElEve :</w:t>
                        </w:r>
                        <w:r>
                          <w:rPr>
                            <w:bCs/>
                          </w:rPr>
                          <w:br/>
                          <w:t>NOM, PRENOM :</w:t>
                        </w:r>
                      </w:p>
                      <w:p>
                        <w:pPr>
                          <w:rPr>
                            <w:bCs/>
                          </w:rPr>
                        </w:pPr>
                        <w:r>
                          <w:rPr>
                            <w:bCs/>
                          </w:rPr>
                          <w:t>ADRESSE :</w:t>
                        </w:r>
                      </w:p>
                      <w:p>
                        <w:pPr>
                          <w:rPr>
                            <w:bCs/>
                          </w:rPr>
                        </w:pPr>
                      </w:p>
                      <w:p>
                        <w:pPr>
                          <w:rPr>
                            <w:bCs/>
                          </w:rPr>
                        </w:pPr>
                      </w:p>
                      <w:p>
                        <w:pPr>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tc>
                            <w:tcPr>
                              <w:tcW w:w="9535" w:type="dxa"/>
                              <w:tcBorders>
                                <w:top w:val="single" w:sz="4" w:space="0" w:color="auto"/>
                                <w:left w:val="single" w:sz="4" w:space="0" w:color="auto"/>
                                <w:bottom w:val="single" w:sz="4" w:space="0" w:color="auto"/>
                                <w:right w:val="single" w:sz="4" w:space="0" w:color="auto"/>
                              </w:tcBorders>
                            </w:tcPr>
                            <w:p>
                              <w:pPr>
                                <w:rPr>
                                  <w:b/>
                                  <w:bCs/>
                                </w:rPr>
                              </w:pPr>
                              <w:r>
                                <w:rPr>
                                  <w:b/>
                                  <w:bCs/>
                                </w:rPr>
                                <w:t>Ecole fréquentée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Nom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sym w:font="Wingdings" w:char="F028"/>
                              </w:r>
                              <w:r>
                                <w:rPr>
                                  <w:bCs/>
                                </w:rPr>
                                <w:t xml:space="preserve"> :                                                     </w:t>
                              </w:r>
                              <w:r>
                                <w:rPr>
                                  <w:bCs/>
                                </w:rPr>
                                <w:sym w:font="Wingdings" w:char="F03A"/>
                              </w:r>
                              <w:r>
                                <w:rPr>
                                  <w:bCs/>
                                </w:rPr>
                                <w:t>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
                                  <w:bCs/>
                                </w:rPr>
                                <w:t xml:space="preserve">CPMS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Dénomination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Agent de référence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sym w:font="Wingdings" w:char="F028"/>
                              </w:r>
                              <w:r>
                                <w:rPr>
                                  <w:bCs/>
                                </w:rPr>
                                <w:t xml:space="preserve"> :                                                     </w:t>
                              </w:r>
                              <w:r>
                                <w:rPr>
                                  <w:bCs/>
                                </w:rPr>
                                <w:sym w:font="Wingdings" w:char="F03A"/>
                              </w:r>
                              <w:r>
                                <w:rPr>
                                  <w:bCs/>
                                </w:rPr>
                                <w:t> :</w:t>
                              </w:r>
                            </w:p>
                          </w:tc>
                        </w:tr>
                      </w:tbl>
                      <w:p/>
                    </w:tc>
                  </w:tr>
                  <w:tr>
                    <w:tc>
                      <w:tcPr>
                        <w:tcW w:w="10008" w:type="dxa"/>
                        <w:tcBorders>
                          <w:top w:val="single" w:sz="4" w:space="0" w:color="auto"/>
                          <w:bottom w:val="single" w:sz="4" w:space="0" w:color="auto"/>
                        </w:tcBorders>
                      </w:tcPr>
                      <w:p>
                        <w:pPr>
                          <w:rPr>
                            <w:b/>
                          </w:rPr>
                        </w:pPr>
                        <w:r>
                          <w:rPr>
                            <w:b/>
                          </w:rPr>
                          <w:t>Documents utiles et/ou nécessaires au traitement de la demande* :</w:t>
                        </w:r>
                      </w:p>
                      <w:p>
                        <w:pPr>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tc>
                            <w:tcPr>
                              <w:tcW w:w="4888" w:type="dxa"/>
                              <w:tcBorders>
                                <w:top w:val="single" w:sz="4" w:space="0" w:color="auto"/>
                                <w:left w:val="single" w:sz="4" w:space="0" w:color="auto"/>
                                <w:bottom w:val="single" w:sz="4" w:space="0" w:color="auto"/>
                                <w:right w:val="single" w:sz="4" w:space="0" w:color="auto"/>
                              </w:tcBorders>
                              <w:shd w:val="clear" w:color="auto" w:fill="F3F3F3"/>
                            </w:tcPr>
                            <w:p>
                              <w:pPr>
                                <w:rPr>
                                  <w:b/>
                                </w:rPr>
                              </w:pPr>
                              <w:r>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pPr>
                                <w:rPr>
                                  <w:b/>
                                </w:rPr>
                              </w:pPr>
                              <w:r>
                                <w:rPr>
                                  <w:b/>
                                </w:rPr>
                                <w:t>Enseignement secondaire :</w:t>
                              </w:r>
                            </w:p>
                          </w:tc>
                        </w:tr>
                        <w:tr>
                          <w:tc>
                            <w:tcPr>
                              <w:tcW w:w="4888" w:type="dxa"/>
                              <w:tcBorders>
                                <w:top w:val="single" w:sz="4" w:space="0" w:color="auto"/>
                                <w:left w:val="single" w:sz="4" w:space="0" w:color="auto"/>
                                <w:bottom w:val="single" w:sz="4" w:space="0" w:color="auto"/>
                                <w:right w:val="single" w:sz="4" w:space="0" w:color="auto"/>
                              </w:tcBorders>
                            </w:tcPr>
                            <w:p>
                              <w:pPr>
                                <w:rPr>
                                  <w:b/>
                                </w:rPr>
                              </w:pPr>
                              <w:r>
                                <w:rPr>
                                  <w:rFonts w:ascii="Times New Roman" w:hAnsi="Times New Roman" w:cs="Times New Roman"/>
                                </w:rPr>
                                <w:t>□</w:t>
                              </w:r>
                              <w:r>
                                <w:rPr>
                                  <w:b/>
                                </w:rPr>
                                <w:t xml:space="preserve">   </w:t>
                              </w:r>
                              <w:r>
                                <w:t>lettre de motivation</w:t>
                              </w:r>
                            </w:p>
                          </w:tc>
                          <w:tc>
                            <w:tcPr>
                              <w:tcW w:w="4889" w:type="dxa"/>
                              <w:tcBorders>
                                <w:top w:val="single" w:sz="4" w:space="0" w:color="auto"/>
                                <w:left w:val="single" w:sz="4" w:space="0" w:color="auto"/>
                                <w:bottom w:val="single" w:sz="4" w:space="0" w:color="auto"/>
                                <w:right w:val="single" w:sz="4" w:space="0" w:color="auto"/>
                              </w:tcBorders>
                            </w:tcPr>
                            <w:p>
                              <w:pPr>
                                <w:rPr>
                                  <w:b/>
                                </w:rPr>
                              </w:pPr>
                              <w:r>
                                <w:rPr>
                                  <w:rFonts w:ascii="Times New Roman" w:hAnsi="Times New Roman" w:cs="Times New Roman"/>
                                </w:rPr>
                                <w:t>□</w:t>
                              </w:r>
                              <w:r>
                                <w:t xml:space="preserve"> lettre de motivation</w:t>
                              </w:r>
                            </w:p>
                          </w:tc>
                        </w:tr>
                        <w:tr>
                          <w:tc>
                            <w:tcPr>
                              <w:tcW w:w="4888" w:type="dxa"/>
                              <w:tcBorders>
                                <w:top w:val="single" w:sz="4" w:space="0" w:color="auto"/>
                                <w:left w:val="single" w:sz="4" w:space="0" w:color="auto"/>
                                <w:bottom w:val="single" w:sz="4" w:space="0" w:color="auto"/>
                                <w:right w:val="single" w:sz="4" w:space="0" w:color="auto"/>
                              </w:tcBorders>
                            </w:tcPr>
                            <w:p>
                              <w:r>
                                <w:rPr>
                                  <w:rFonts w:ascii="Times New Roman" w:hAnsi="Times New Roman" w:cs="Times New Roman"/>
                                </w:rPr>
                                <w:t>□</w:t>
                              </w:r>
                              <w:r>
                                <w:t xml:space="preserve"> rapport PMS ou rapport d</w:t>
                              </w:r>
                              <w:r>
                                <w:rPr>
                                  <w:rFonts w:cs="Cambria"/>
                                </w:rPr>
                                <w:t>’</w:t>
                              </w:r>
                              <w:r>
                                <w:t>un m</w:t>
                              </w:r>
                              <w:r>
                                <w:rPr>
                                  <w:rFonts w:cs="Cambria"/>
                                </w:rPr>
                                <w:t>é</w:t>
                              </w:r>
                              <w:r>
                                <w:t>decin sp</w:t>
                              </w:r>
                              <w:r>
                                <w:rPr>
                                  <w:rFonts w:cs="Cambria"/>
                                </w:rPr>
                                <w:t>é</w:t>
                              </w:r>
                              <w:r>
                                <w:t>cialiste</w:t>
                              </w:r>
                            </w:p>
                          </w:tc>
                          <w:tc>
                            <w:tcPr>
                              <w:tcW w:w="4889" w:type="dxa"/>
                              <w:tcBorders>
                                <w:top w:val="single" w:sz="4" w:space="0" w:color="auto"/>
                                <w:left w:val="single" w:sz="4" w:space="0" w:color="auto"/>
                                <w:bottom w:val="single" w:sz="4" w:space="0" w:color="auto"/>
                                <w:right w:val="single" w:sz="4" w:space="0" w:color="auto"/>
                              </w:tcBorders>
                            </w:tcPr>
                            <w:p>
                              <w:r>
                                <w:rPr>
                                  <w:rFonts w:ascii="Times New Roman" w:hAnsi="Times New Roman" w:cs="Times New Roman"/>
                                </w:rPr>
                                <w:t>□</w:t>
                              </w:r>
                              <w:r>
                                <w:t xml:space="preserve"> rapport PMS ou rapport d</w:t>
                              </w:r>
                              <w:r>
                                <w:rPr>
                                  <w:rFonts w:cs="Cambria"/>
                                </w:rPr>
                                <w:t>’</w:t>
                              </w:r>
                              <w:r>
                                <w:t>un m</w:t>
                              </w:r>
                              <w:r>
                                <w:rPr>
                                  <w:rFonts w:cs="Cambria"/>
                                </w:rPr>
                                <w:t>é</w:t>
                              </w:r>
                              <w:r>
                                <w:t>decin sp</w:t>
                              </w:r>
                              <w:r>
                                <w:rPr>
                                  <w:rFonts w:cs="Cambria"/>
                                </w:rPr>
                                <w:t>é</w:t>
                              </w:r>
                              <w:r>
                                <w:t>cialiste</w:t>
                              </w:r>
                            </w:p>
                          </w:tc>
                        </w:tr>
                        <w:tr>
                          <w:tc>
                            <w:tcPr>
                              <w:tcW w:w="4888" w:type="dxa"/>
                              <w:tcBorders>
                                <w:top w:val="single" w:sz="4" w:space="0" w:color="auto"/>
                                <w:left w:val="single" w:sz="4" w:space="0" w:color="auto"/>
                                <w:bottom w:val="single" w:sz="4" w:space="0" w:color="auto"/>
                                <w:right w:val="single" w:sz="4" w:space="0" w:color="auto"/>
                              </w:tcBorders>
                            </w:tcPr>
                            <w:p>
                              <w:r>
                                <w:rPr>
                                  <w:rFonts w:ascii="Times New Roman" w:hAnsi="Times New Roman" w:cs="Times New Roman"/>
                                </w:rPr>
                                <w:t>□</w:t>
                              </w:r>
                              <w:r>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r>
                                <w:rPr>
                                  <w:rFonts w:ascii="Times New Roman" w:hAnsi="Times New Roman" w:cs="Times New Roman"/>
                                </w:rPr>
                                <w:t>□</w:t>
                              </w:r>
                              <w:r>
                                <w:t xml:space="preserve"> avis du conseil de classe de l</w:t>
                              </w:r>
                              <w:r>
                                <w:rPr>
                                  <w:rFonts w:cs="Cambria"/>
                                </w:rPr>
                                <w:t>’</w:t>
                              </w:r>
                              <w:r>
                                <w:t>enseignement sp</w:t>
                              </w:r>
                              <w:r>
                                <w:rPr>
                                  <w:rFonts w:cs="Cambria"/>
                                </w:rPr>
                                <w:t>é</w:t>
                              </w:r>
                              <w:r>
                                <w:t>cialisé</w:t>
                              </w:r>
                            </w:p>
                          </w:tc>
                        </w:tr>
                        <w:tr>
                          <w:tc>
                            <w:tcPr>
                              <w:tcW w:w="4888" w:type="dxa"/>
                              <w:tcBorders>
                                <w:top w:val="single" w:sz="4" w:space="0" w:color="auto"/>
                                <w:left w:val="single" w:sz="4" w:space="0" w:color="auto"/>
                                <w:bottom w:val="single" w:sz="4" w:space="0" w:color="auto"/>
                                <w:right w:val="single" w:sz="4" w:space="0" w:color="auto"/>
                              </w:tcBorders>
                            </w:tcPr>
                            <w:p/>
                          </w:tc>
                          <w:tc>
                            <w:tcPr>
                              <w:tcW w:w="4889" w:type="dxa"/>
                              <w:tcBorders>
                                <w:top w:val="single" w:sz="4" w:space="0" w:color="auto"/>
                                <w:left w:val="single" w:sz="4" w:space="0" w:color="auto"/>
                                <w:bottom w:val="single" w:sz="4" w:space="0" w:color="auto"/>
                                <w:right w:val="single" w:sz="4" w:space="0" w:color="auto"/>
                              </w:tcBorders>
                            </w:tcPr>
                            <w:p>
                              <w:r>
                                <w:rPr>
                                  <w:rFonts w:ascii="Times New Roman" w:hAnsi="Times New Roman" w:cs="Times New Roman"/>
                                </w:rPr>
                                <w:t>□</w:t>
                              </w:r>
                              <w:r>
                                <w:t xml:space="preserve"> avis du conseil d</w:t>
                              </w:r>
                              <w:r>
                                <w:rPr>
                                  <w:rFonts w:cs="Cambria"/>
                                </w:rPr>
                                <w:t>’</w:t>
                              </w:r>
                              <w:r>
                                <w:t>admission de l</w:t>
                              </w:r>
                              <w:r>
                                <w:rPr>
                                  <w:rFonts w:cs="Cambria"/>
                                </w:rPr>
                                <w:t>’é</w:t>
                              </w:r>
                              <w:r>
                                <w:t>cole d</w:t>
                              </w:r>
                              <w:r>
                                <w:rPr>
                                  <w:rFonts w:cs="Cambria"/>
                                </w:rPr>
                                <w:t>’</w:t>
                              </w:r>
                              <w:r>
                                <w:t>enseignement secondaire ordinaire</w:t>
                              </w:r>
                            </w:p>
                          </w:tc>
                        </w:tr>
                      </w:tbl>
                      <w:p>
                        <w:pPr>
                          <w:rPr>
                            <w:b/>
                          </w:rPr>
                        </w:pPr>
                        <w:r>
                          <w:rPr>
                            <w:b/>
                          </w:rPr>
                          <w:t>DATE :                                                                             SIGNATURE :</w:t>
                        </w:r>
                      </w:p>
                      <w:p>
                        <w:pPr>
                          <w:rPr>
                            <w:b/>
                          </w:rPr>
                        </w:pPr>
                      </w:p>
                    </w:tc>
                  </w:tr>
                  <w:tr>
                    <w:tc>
                      <w:tcPr>
                        <w:tcW w:w="10008" w:type="dxa"/>
                        <w:tcBorders>
                          <w:top w:val="single" w:sz="4" w:space="0" w:color="auto"/>
                          <w:left w:val="single" w:sz="4" w:space="0" w:color="auto"/>
                          <w:bottom w:val="single" w:sz="4" w:space="0" w:color="auto"/>
                          <w:right w:val="single" w:sz="4" w:space="0" w:color="auto"/>
                        </w:tcBorders>
                      </w:tcPr>
                      <w:p>
                        <w:pPr>
                          <w:jc w:val="center"/>
                        </w:pPr>
                        <w:r>
                          <w:rPr>
                            <w:b/>
                          </w:rPr>
                          <w:t>Formulaire de demande d’avis à adresser</w:t>
                        </w:r>
                        <w:r>
                          <w:t> :</w:t>
                        </w:r>
                      </w:p>
                      <w:p>
                        <w:pPr>
                          <w:jc w:val="center"/>
                        </w:pPr>
                        <w:r>
                          <w:t>Direction générale de l’enseignement obligatoire</w:t>
                        </w:r>
                      </w:p>
                      <w:p>
                        <w:pPr>
                          <w:jc w:val="center"/>
                        </w:pPr>
                        <w:r>
                          <w:t>Service de l’enseignement spécialisé</w:t>
                        </w:r>
                      </w:p>
                      <w:p>
                        <w:pPr>
                          <w:jc w:val="center"/>
                          <w:rPr>
                            <w:color w:val="000000"/>
                          </w:rPr>
                        </w:pPr>
                        <w:r>
                          <w:rPr>
                            <w:color w:val="000000"/>
                          </w:rPr>
                          <w:t>Madame Nathalie DUJARDIN</w:t>
                        </w:r>
                      </w:p>
                      <w:p>
                        <w:pPr>
                          <w:jc w:val="center"/>
                        </w:pPr>
                        <w:r>
                          <w:t>Bureau 2F246</w:t>
                        </w:r>
                      </w:p>
                      <w:p>
                        <w:pPr>
                          <w:jc w:val="center"/>
                        </w:pPr>
                        <w:r>
                          <w:t>Rue Adolphe Lavallée, 1</w:t>
                        </w:r>
                      </w:p>
                      <w:p>
                        <w:pPr>
                          <w:jc w:val="center"/>
                        </w:pPr>
                        <w:r>
                          <w:t>1080   BRUXELLES</w:t>
                        </w:r>
                      </w:p>
                      <w:p>
                        <w:pPr>
                          <w:jc w:val="center"/>
                          <w:rPr>
                            <w:lang w:val="fr-FR"/>
                          </w:rPr>
                        </w:pPr>
                        <w:r>
                          <w:sym w:font="Wingdings" w:char="F028"/>
                        </w:r>
                        <w:r>
                          <w:rPr>
                            <w:lang w:val="fr-FR"/>
                          </w:rPr>
                          <w:t> : 02/690.88.59 – GSM : 0472/94.31.95</w:t>
                        </w:r>
                      </w:p>
                      <w:p>
                        <w:pPr>
                          <w:jc w:val="center"/>
                        </w:pPr>
                        <w:r>
                          <w:rPr>
                            <w:lang w:val="fr-FR"/>
                          </w:rPr>
                          <w:t xml:space="preserve">Fax : 02/690.85.90 - </w:t>
                        </w:r>
                        <w:r>
                          <w:rPr>
                            <w:bCs/>
                          </w:rPr>
                          <w:sym w:font="Wingdings" w:char="F03A"/>
                        </w:r>
                        <w:r>
                          <w:rPr>
                            <w:bCs/>
                            <w:lang w:val="fr-FR"/>
                          </w:rPr>
                          <w:t> </w:t>
                        </w:r>
                        <w:r>
                          <w:rPr>
                            <w:lang w:val="fr-FR"/>
                          </w:rPr>
                          <w:t xml:space="preserve"> </w:t>
                        </w:r>
                        <w:hyperlink r:id="rId229" w:history="1">
                          <w:r>
                            <w:rPr>
                              <w:rStyle w:val="Lienhypertexte"/>
                              <w:rFonts w:cs="Arial"/>
                              <w:b/>
                              <w:lang w:val="fr-FR"/>
                            </w:rPr>
                            <w:t>nathalie.dujardin@cfwb.be</w:t>
                          </w:r>
                        </w:hyperlink>
                      </w:p>
                    </w:tc>
                  </w:tr>
                </w:tbl>
                <w:p>
                  <w:pPr>
                    <w:pBdr>
                      <w:right w:val="single" w:sz="4" w:space="4" w:color="auto"/>
                    </w:pBdr>
                    <w:jc w:val="both"/>
                    <w:rPr>
                      <w:b/>
                      <w:u w:val="single"/>
                    </w:rPr>
                  </w:pPr>
                  <w:r>
                    <w:t xml:space="preserve">*documents susceptibles d’être communiqués aux parents de l’élève mineur, à toute personne investie de l’autorité parentale qui en assume la garde en fait et en droit, ou à l’élève lui-même s’il est majeur. </w:t>
                  </w:r>
                  <w:r>
                    <w:rPr>
                      <w:b/>
                      <w:u w:val="single"/>
                    </w:rPr>
                    <w:br w:type="page"/>
                  </w:r>
                </w:p>
                <w:p>
                  <w:pPr>
                    <w:jc w:val="center"/>
                    <w:rPr>
                      <w:b/>
                      <w:u w:val="single"/>
                    </w:rPr>
                  </w:pPr>
                </w:p>
                <w:p>
                  <w:pPr>
                    <w:pStyle w:val="Titre4"/>
                  </w:pPr>
                  <w:bookmarkStart w:id="3478" w:name="_Toc412204249"/>
                  <w:bookmarkStart w:id="3479" w:name="_Toc453837074"/>
                  <w:r>
                    <w:t>Situation n°5 : opportunité de transférer un élève à besoins spécifiques d’un  établissement d’enseignement spécialisé dans un autre type d’enseignement spécialisé mieux approprié</w:t>
                  </w:r>
                  <w:bookmarkEnd w:id="3478"/>
                  <w:bookmarkEnd w:id="3479"/>
                </w:p>
                <w:p>
                  <w:pPr>
                    <w:jc w:val="center"/>
                  </w:pPr>
                </w:p>
                <w:p>
                  <w:pPr>
                    <w:rPr>
                      <w:b/>
                    </w:rPr>
                  </w:pPr>
                  <w:r>
                    <w:rPr>
                      <w:b/>
                    </w:rPr>
                    <w:t>Demande introduite par :</w:t>
                  </w:r>
                </w:p>
                <w:p>
                  <w:r>
                    <w:rPr>
                      <w:rFonts w:ascii="Times New Roman" w:hAnsi="Times New Roman" w:cs="Times New Roman"/>
                      <w:b/>
                    </w:rPr>
                    <w:t>□</w:t>
                  </w:r>
                  <w:r>
                    <w:t xml:space="preserve"> : chef de famille (Qualité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w:t>
                  </w:r>
                  <w:r>
                    <w:rPr>
                      <w:rFonts w:cs="Cambria"/>
                    </w:rPr>
                    <w:t>à</w:t>
                  </w:r>
                  <w:r>
                    <w:t xml:space="preserve"> pr</w:t>
                  </w:r>
                  <w:r>
                    <w:rPr>
                      <w:rFonts w:cs="Cambria"/>
                    </w:rPr>
                    <w:t>é</w:t>
                  </w:r>
                  <w:r>
                    <w:t xml:space="preserve">ciser  </w:t>
                  </w:r>
                  <w:r>
                    <w:tab/>
                  </w:r>
                  <w:r>
                    <w:tab/>
                  </w:r>
                  <w:r>
                    <w:tab/>
                    <w:t>)</w:t>
                  </w:r>
                </w:p>
                <w:p>
                  <w:r>
                    <w:rPr>
                      <w:rFonts w:ascii="Times New Roman" w:hAnsi="Times New Roman" w:cs="Times New Roman"/>
                      <w:b/>
                    </w:rPr>
                    <w:t>□</w:t>
                  </w:r>
                  <w:r>
                    <w:t> : membre de l’inspection scolaire</w:t>
                  </w:r>
                </w:p>
                <w:p>
                  <w:r>
                    <w:rPr>
                      <w:rFonts w:ascii="Times New Roman" w:hAnsi="Times New Roman" w:cs="Times New Roman"/>
                    </w:rPr>
                    <w:t>□</w:t>
                  </w:r>
                  <w:r>
                    <w:rPr>
                      <w:rFonts w:cs="Cambria"/>
                    </w:rPr>
                    <w:t> </w:t>
                  </w:r>
                  <w:r>
                    <w:t>: chef d</w:t>
                  </w:r>
                  <w:r>
                    <w:rPr>
                      <w:rFonts w:cs="Cambria"/>
                    </w:rPr>
                    <w:t>’é</w:t>
                  </w:r>
                  <w:r>
                    <w:t>tablissement de l</w:t>
                  </w:r>
                  <w:r>
                    <w:rPr>
                      <w:rFonts w:cs="Cambria"/>
                    </w:rPr>
                    <w:t>’</w:t>
                  </w:r>
                  <w:r>
                    <w:t>enseignement sp</w:t>
                  </w:r>
                  <w:r>
                    <w:rPr>
                      <w:rFonts w:cs="Cambria"/>
                    </w:rPr>
                    <w:t>é</w:t>
                  </w:r>
                  <w:r>
                    <w:t>cialis</w:t>
                  </w:r>
                  <w:r>
                    <w:rPr>
                      <w:rFonts w:cs="Cambria"/>
                    </w:rPr>
                    <w:t>é</w:t>
                  </w:r>
                </w:p>
                <w:p>
                  <w:r>
                    <w:rPr>
                      <w:rFonts w:ascii="Times New Roman" w:hAnsi="Times New Roman" w:cs="Times New Roman"/>
                    </w:rPr>
                    <w:t>□</w:t>
                  </w:r>
                  <w:r>
                    <w:rPr>
                      <w:rFonts w:cs="Cambria"/>
                    </w:rPr>
                    <w:t> </w:t>
                  </w:r>
                  <w:r>
                    <w:t>: m</w:t>
                  </w:r>
                  <w:r>
                    <w:rPr>
                      <w:rFonts w:cs="Cambria"/>
                    </w:rPr>
                    <w:t>é</w:t>
                  </w:r>
                  <w:r>
                    <w:t>decin charg</w:t>
                  </w:r>
                  <w:r>
                    <w:rPr>
                      <w:rFonts w:cs="Cambria"/>
                    </w:rPr>
                    <w:t>é</w:t>
                  </w:r>
                  <w:r>
                    <w:t xml:space="preserve"> de l</w:t>
                  </w:r>
                  <w:r>
                    <w:rPr>
                      <w:rFonts w:cs="Cambria"/>
                    </w:rPr>
                    <w:t>’</w:t>
                  </w:r>
                  <w:r>
                    <w:t>inspection m</w:t>
                  </w:r>
                  <w:r>
                    <w:rPr>
                      <w:rFonts w:cs="Cambria"/>
                    </w:rPr>
                    <w:t>é</w:t>
                  </w:r>
                  <w:r>
                    <w:t>dicale scolaire</w:t>
                  </w:r>
                </w:p>
                <w:p>
                  <w:pPr>
                    <w:rPr>
                      <w:b/>
                    </w:rPr>
                  </w:pPr>
                </w:p>
                <w:p>
                  <w:r>
                    <w:rPr>
                      <w:b/>
                    </w:rPr>
                    <w:t>Identité du demandeur</w:t>
                  </w:r>
                  <w:r>
                    <w:t> :</w:t>
                  </w:r>
                </w:p>
                <w:p>
                  <w:r>
                    <w:t>Nom, prénom :</w:t>
                  </w:r>
                </w:p>
                <w:p>
                  <w:r>
                    <w:t xml:space="preserve">Adresse : </w:t>
                  </w:r>
                </w:p>
                <w:p/>
                <w:p/>
                <w:p>
                  <w:r>
                    <w:sym w:font="Wingdings" w:char="F028"/>
                  </w:r>
                  <w:r>
                    <w:t> :</w:t>
                  </w:r>
                  <w:r>
                    <w:tab/>
                  </w:r>
                  <w:r>
                    <w:tab/>
                    <w:t>/</w:t>
                  </w:r>
                  <w:r>
                    <w:tab/>
                  </w:r>
                  <w:r>
                    <w:tab/>
                  </w:r>
                  <w:r>
                    <w:tab/>
                  </w:r>
                  <w:r>
                    <w:tab/>
                  </w:r>
                  <w:r>
                    <w:tab/>
                  </w:r>
                  <w:r>
                    <w:sym w:font="Wingdings" w:char="F03A"/>
                  </w:r>
                  <w: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tc>
                      <w:tcPr>
                        <w:tcW w:w="10008" w:type="dxa"/>
                        <w:tcBorders>
                          <w:top w:val="single" w:sz="4" w:space="0" w:color="auto"/>
                          <w:bottom w:val="single" w:sz="4" w:space="0" w:color="auto"/>
                        </w:tcBorders>
                      </w:tcPr>
                      <w:p>
                        <w:pPr>
                          <w:rPr>
                            <w:b/>
                            <w:bCs/>
                            <w:caps/>
                          </w:rPr>
                        </w:pPr>
                        <w:r>
                          <w:rPr>
                            <w:b/>
                            <w:bCs/>
                            <w:caps/>
                          </w:rPr>
                          <w:t>concernE l’ElEve :</w:t>
                        </w:r>
                        <w:r>
                          <w:rPr>
                            <w:bCs/>
                          </w:rPr>
                          <w:br/>
                          <w:t xml:space="preserve">NOM , PRENOM : </w:t>
                        </w:r>
                      </w:p>
                      <w:p>
                        <w:pPr>
                          <w:rPr>
                            <w:bCs/>
                          </w:rPr>
                        </w:pPr>
                        <w:r>
                          <w:rPr>
                            <w:bCs/>
                          </w:rPr>
                          <w:t xml:space="preserve">ADRESSE : </w:t>
                        </w:r>
                      </w:p>
                      <w:p>
                        <w:pPr>
                          <w:rPr>
                            <w:bCs/>
                          </w:rPr>
                        </w:pPr>
                      </w:p>
                      <w:p>
                        <w:pPr>
                          <w:rPr>
                            <w:bCs/>
                          </w:rPr>
                        </w:pPr>
                      </w:p>
                      <w:p>
                        <w:pPr>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tc>
                            <w:tcPr>
                              <w:tcW w:w="9535" w:type="dxa"/>
                              <w:tcBorders>
                                <w:top w:val="single" w:sz="4" w:space="0" w:color="auto"/>
                                <w:left w:val="single" w:sz="4" w:space="0" w:color="auto"/>
                                <w:bottom w:val="single" w:sz="4" w:space="0" w:color="auto"/>
                                <w:right w:val="single" w:sz="4" w:space="0" w:color="auto"/>
                              </w:tcBorders>
                            </w:tcPr>
                            <w:p>
                              <w:pPr>
                                <w:rPr>
                                  <w:b/>
                                  <w:bCs/>
                                </w:rPr>
                              </w:pPr>
                              <w:r>
                                <w:rPr>
                                  <w:b/>
                                  <w:bCs/>
                                </w:rPr>
                                <w:t>Ecole fréquentée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Nom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sym w:font="Wingdings" w:char="F028"/>
                              </w:r>
                              <w:r>
                                <w:rPr>
                                  <w:bCs/>
                                </w:rPr>
                                <w:t xml:space="preserve"> :                                                     </w:t>
                              </w:r>
                              <w:r>
                                <w:rPr>
                                  <w:bCs/>
                                </w:rPr>
                                <w:sym w:font="Wingdings" w:char="F03A"/>
                              </w:r>
                              <w:r>
                                <w:rPr>
                                  <w:bCs/>
                                </w:rPr>
                                <w:t>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
                                  <w:bCs/>
                                </w:rPr>
                                <w:t>CPMS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Dénomination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Agent de référence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sym w:font="Wingdings" w:char="F028"/>
                              </w:r>
                              <w:r>
                                <w:rPr>
                                  <w:bCs/>
                                </w:rPr>
                                <w:t xml:space="preserve"> :                                                     </w:t>
                              </w:r>
                              <w:r>
                                <w:rPr>
                                  <w:bCs/>
                                </w:rPr>
                                <w:sym w:font="Wingdings" w:char="F03A"/>
                              </w:r>
                              <w:r>
                                <w:rPr>
                                  <w:bCs/>
                                </w:rPr>
                                <w:t> :</w:t>
                              </w:r>
                            </w:p>
                          </w:tc>
                        </w:tr>
                      </w:tbl>
                      <w:p/>
                    </w:tc>
                  </w:tr>
                  <w:tr>
                    <w:tc>
                      <w:tcPr>
                        <w:tcW w:w="10008" w:type="dxa"/>
                        <w:tcBorders>
                          <w:top w:val="single" w:sz="4" w:space="0" w:color="auto"/>
                          <w:bottom w:val="single" w:sz="4" w:space="0" w:color="auto"/>
                        </w:tcBorders>
                      </w:tcPr>
                      <w:p>
                        <w:pPr>
                          <w:rPr>
                            <w:b/>
                          </w:rPr>
                        </w:pPr>
                        <w:r>
                          <w:rPr>
                            <w:b/>
                          </w:rPr>
                          <w:t xml:space="preserve"> </w:t>
                        </w:r>
                      </w:p>
                      <w:p>
                        <w:pPr>
                          <w:rPr>
                            <w:b/>
                          </w:rPr>
                        </w:pPr>
                        <w:r>
                          <w:rPr>
                            <w:b/>
                          </w:rPr>
                          <w:t>Documents utiles et/ou nécessaires au traitement de la demande* :</w:t>
                        </w:r>
                      </w:p>
                      <w:p>
                        <w:pPr>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tc>
                            <w:tcPr>
                              <w:tcW w:w="4888" w:type="dxa"/>
                              <w:tcBorders>
                                <w:top w:val="single" w:sz="4" w:space="0" w:color="auto"/>
                                <w:left w:val="single" w:sz="4" w:space="0" w:color="auto"/>
                                <w:bottom w:val="single" w:sz="4" w:space="0" w:color="auto"/>
                                <w:right w:val="single" w:sz="4" w:space="0" w:color="auto"/>
                              </w:tcBorders>
                              <w:shd w:val="clear" w:color="auto" w:fill="F3F3F3"/>
                            </w:tcPr>
                            <w:p>
                              <w:pPr>
                                <w:rPr>
                                  <w:b/>
                                </w:rPr>
                              </w:pPr>
                              <w:r>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pPr>
                                <w:rPr>
                                  <w:b/>
                                </w:rPr>
                              </w:pPr>
                              <w:r>
                                <w:rPr>
                                  <w:b/>
                                </w:rPr>
                                <w:t>Enseignement secondaire :</w:t>
                              </w:r>
                            </w:p>
                          </w:tc>
                        </w:tr>
                        <w:tr>
                          <w:tc>
                            <w:tcPr>
                              <w:tcW w:w="4888" w:type="dxa"/>
                              <w:tcBorders>
                                <w:top w:val="single" w:sz="4" w:space="0" w:color="auto"/>
                                <w:left w:val="single" w:sz="4" w:space="0" w:color="auto"/>
                                <w:bottom w:val="single" w:sz="4" w:space="0" w:color="auto"/>
                                <w:right w:val="single" w:sz="4" w:space="0" w:color="auto"/>
                              </w:tcBorders>
                            </w:tcPr>
                            <w:p>
                              <w:pPr>
                                <w:rPr>
                                  <w:b/>
                                </w:rPr>
                              </w:pPr>
                              <w:r>
                                <w:rPr>
                                  <w:rFonts w:ascii="Times New Roman" w:hAnsi="Times New Roman" w:cs="Times New Roman"/>
                                </w:rPr>
                                <w:t>□</w:t>
                              </w:r>
                              <w:r>
                                <w:rPr>
                                  <w:b/>
                                </w:rPr>
                                <w:t xml:space="preserve">   </w:t>
                              </w:r>
                              <w:r>
                                <w:t>lettre de motivation</w:t>
                              </w:r>
                            </w:p>
                          </w:tc>
                          <w:tc>
                            <w:tcPr>
                              <w:tcW w:w="4889" w:type="dxa"/>
                              <w:tcBorders>
                                <w:top w:val="single" w:sz="4" w:space="0" w:color="auto"/>
                                <w:left w:val="single" w:sz="4" w:space="0" w:color="auto"/>
                                <w:bottom w:val="single" w:sz="4" w:space="0" w:color="auto"/>
                                <w:right w:val="single" w:sz="4" w:space="0" w:color="auto"/>
                              </w:tcBorders>
                            </w:tcPr>
                            <w:p>
                              <w:pPr>
                                <w:rPr>
                                  <w:b/>
                                </w:rPr>
                              </w:pPr>
                              <w:r>
                                <w:rPr>
                                  <w:rFonts w:ascii="Times New Roman" w:hAnsi="Times New Roman" w:cs="Times New Roman"/>
                                </w:rPr>
                                <w:t>□</w:t>
                              </w:r>
                              <w:r>
                                <w:t xml:space="preserve">   lettre de motivation</w:t>
                              </w:r>
                            </w:p>
                          </w:tc>
                        </w:tr>
                        <w:tr>
                          <w:tc>
                            <w:tcPr>
                              <w:tcW w:w="4888" w:type="dxa"/>
                              <w:tcBorders>
                                <w:top w:val="single" w:sz="4" w:space="0" w:color="auto"/>
                                <w:left w:val="single" w:sz="4" w:space="0" w:color="auto"/>
                                <w:bottom w:val="single" w:sz="4" w:space="0" w:color="auto"/>
                                <w:right w:val="single" w:sz="4" w:space="0" w:color="auto"/>
                              </w:tcBorders>
                            </w:tcPr>
                            <w:p>
                              <w:r>
                                <w:rPr>
                                  <w:rFonts w:ascii="Times New Roman" w:hAnsi="Times New Roman" w:cs="Times New Roman"/>
                                </w:rPr>
                                <w:t>□</w:t>
                              </w:r>
                              <w:r>
                                <w:t xml:space="preserve"> rapport PMS ou rapport d</w:t>
                              </w:r>
                              <w:r>
                                <w:rPr>
                                  <w:rFonts w:cs="Cambria"/>
                                </w:rPr>
                                <w:t>’</w:t>
                              </w:r>
                              <w:r>
                                <w:t>un m</w:t>
                              </w:r>
                              <w:r>
                                <w:rPr>
                                  <w:rFonts w:cs="Cambria"/>
                                </w:rPr>
                                <w:t>é</w:t>
                              </w:r>
                              <w:r>
                                <w:t>decin sp</w:t>
                              </w:r>
                              <w:r>
                                <w:rPr>
                                  <w:rFonts w:cs="Cambria"/>
                                </w:rPr>
                                <w:t>é</w:t>
                              </w:r>
                              <w:r>
                                <w:t>cialiste</w:t>
                              </w:r>
                            </w:p>
                          </w:tc>
                          <w:tc>
                            <w:tcPr>
                              <w:tcW w:w="4889" w:type="dxa"/>
                              <w:tcBorders>
                                <w:top w:val="single" w:sz="4" w:space="0" w:color="auto"/>
                                <w:left w:val="single" w:sz="4" w:space="0" w:color="auto"/>
                                <w:bottom w:val="single" w:sz="4" w:space="0" w:color="auto"/>
                                <w:right w:val="single" w:sz="4" w:space="0" w:color="auto"/>
                              </w:tcBorders>
                            </w:tcPr>
                            <w:p>
                              <w:r>
                                <w:rPr>
                                  <w:rFonts w:ascii="Times New Roman" w:hAnsi="Times New Roman" w:cs="Times New Roman"/>
                                </w:rPr>
                                <w:t>□</w:t>
                              </w:r>
                              <w:r>
                                <w:t xml:space="preserve"> rapport PMS ou rapport d</w:t>
                              </w:r>
                              <w:r>
                                <w:rPr>
                                  <w:rFonts w:cs="Cambria"/>
                                </w:rPr>
                                <w:t>’</w:t>
                              </w:r>
                              <w:r>
                                <w:t>un m</w:t>
                              </w:r>
                              <w:r>
                                <w:rPr>
                                  <w:rFonts w:cs="Cambria"/>
                                </w:rPr>
                                <w:t>é</w:t>
                              </w:r>
                              <w:r>
                                <w:t>decin sp</w:t>
                              </w:r>
                              <w:r>
                                <w:rPr>
                                  <w:rFonts w:cs="Cambria"/>
                                </w:rPr>
                                <w:t>é</w:t>
                              </w:r>
                              <w:r>
                                <w:t>cialiste</w:t>
                              </w:r>
                            </w:p>
                          </w:tc>
                        </w:tr>
                        <w:tr>
                          <w:tc>
                            <w:tcPr>
                              <w:tcW w:w="4888" w:type="dxa"/>
                              <w:tcBorders>
                                <w:top w:val="single" w:sz="4" w:space="0" w:color="auto"/>
                                <w:left w:val="single" w:sz="4" w:space="0" w:color="auto"/>
                                <w:bottom w:val="single" w:sz="4" w:space="0" w:color="auto"/>
                                <w:right w:val="single" w:sz="4" w:space="0" w:color="auto"/>
                              </w:tcBorders>
                            </w:tcPr>
                            <w:p>
                              <w:r>
                                <w:rPr>
                                  <w:rFonts w:ascii="Times New Roman" w:hAnsi="Times New Roman" w:cs="Times New Roman"/>
                                </w:rPr>
                                <w:t>□</w:t>
                              </w:r>
                              <w:r>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r>
                                <w:rPr>
                                  <w:rFonts w:ascii="Times New Roman" w:hAnsi="Times New Roman" w:cs="Times New Roman"/>
                                </w:rPr>
                                <w:t>□</w:t>
                              </w:r>
                              <w:r>
                                <w:t xml:space="preserve"> avis du conseil de classe de l</w:t>
                              </w:r>
                              <w:r>
                                <w:rPr>
                                  <w:rFonts w:cs="Cambria"/>
                                </w:rPr>
                                <w:t>’</w:t>
                              </w:r>
                              <w:r>
                                <w:t>enseignement sp</w:t>
                              </w:r>
                              <w:r>
                                <w:rPr>
                                  <w:rFonts w:cs="Cambria"/>
                                </w:rPr>
                                <w:t>é</w:t>
                              </w:r>
                              <w:r>
                                <w:t>cialisé</w:t>
                              </w:r>
                            </w:p>
                          </w:tc>
                        </w:tr>
                      </w:tbl>
                      <w:p>
                        <w:pPr>
                          <w:rPr>
                            <w:b/>
                          </w:rPr>
                        </w:pPr>
                        <w:r>
                          <w:rPr>
                            <w:b/>
                          </w:rPr>
                          <w:t>DATE :                                                                            SIGNATURE :</w:t>
                        </w:r>
                      </w:p>
                    </w:tc>
                  </w:tr>
                  <w:tr>
                    <w:tc>
                      <w:tcPr>
                        <w:tcW w:w="10008" w:type="dxa"/>
                        <w:tcBorders>
                          <w:top w:val="single" w:sz="4" w:space="0" w:color="auto"/>
                          <w:left w:val="single" w:sz="4" w:space="0" w:color="auto"/>
                          <w:bottom w:val="single" w:sz="4" w:space="0" w:color="auto"/>
                          <w:right w:val="single" w:sz="4" w:space="0" w:color="auto"/>
                        </w:tcBorders>
                      </w:tcPr>
                      <w:p>
                        <w:pPr>
                          <w:jc w:val="center"/>
                        </w:pPr>
                        <w:r>
                          <w:rPr>
                            <w:b/>
                          </w:rPr>
                          <w:t>Formulaire de demande d’avis à adresser</w:t>
                        </w:r>
                        <w:r>
                          <w:t> :</w:t>
                        </w:r>
                      </w:p>
                      <w:p>
                        <w:pPr>
                          <w:jc w:val="center"/>
                        </w:pPr>
                        <w:r>
                          <w:t>Direction générale de l’enseignement obligatoire</w:t>
                        </w:r>
                      </w:p>
                      <w:p>
                        <w:pPr>
                          <w:jc w:val="center"/>
                        </w:pPr>
                        <w:r>
                          <w:t>Service de l’enseignement spécialisé</w:t>
                        </w:r>
                      </w:p>
                      <w:p>
                        <w:pPr>
                          <w:jc w:val="center"/>
                          <w:rPr>
                            <w:color w:val="000000"/>
                          </w:rPr>
                        </w:pPr>
                        <w:r>
                          <w:rPr>
                            <w:color w:val="000000"/>
                          </w:rPr>
                          <w:t>Madame Nathalie DUJARDIN</w:t>
                        </w:r>
                      </w:p>
                      <w:p>
                        <w:pPr>
                          <w:jc w:val="center"/>
                        </w:pPr>
                        <w:r>
                          <w:t>Bureau 2F246</w:t>
                        </w:r>
                      </w:p>
                      <w:p>
                        <w:pPr>
                          <w:jc w:val="center"/>
                        </w:pPr>
                        <w:r>
                          <w:t>Rue Adolphe Lavallée, 1</w:t>
                        </w:r>
                      </w:p>
                      <w:p>
                        <w:pPr>
                          <w:jc w:val="center"/>
                        </w:pPr>
                        <w:r>
                          <w:t>1080   BRUXELLES</w:t>
                        </w:r>
                      </w:p>
                      <w:p>
                        <w:pPr>
                          <w:jc w:val="center"/>
                          <w:rPr>
                            <w:lang w:val="fr-FR"/>
                          </w:rPr>
                        </w:pPr>
                        <w:r>
                          <w:sym w:font="Wingdings" w:char="F028"/>
                        </w:r>
                        <w:r>
                          <w:rPr>
                            <w:lang w:val="fr-FR"/>
                          </w:rPr>
                          <w:t> : 02/690.88.59 – GSM : 0472/94.31.95</w:t>
                        </w:r>
                      </w:p>
                      <w:p>
                        <w:pPr>
                          <w:jc w:val="center"/>
                        </w:pPr>
                        <w:r>
                          <w:rPr>
                            <w:lang w:val="fr-FR"/>
                          </w:rPr>
                          <w:t xml:space="preserve">Fax : 02/690.85.90 - </w:t>
                        </w:r>
                        <w:r>
                          <w:rPr>
                            <w:bCs/>
                          </w:rPr>
                          <w:sym w:font="Wingdings" w:char="F03A"/>
                        </w:r>
                        <w:r>
                          <w:rPr>
                            <w:bCs/>
                            <w:lang w:val="fr-FR"/>
                          </w:rPr>
                          <w:t> </w:t>
                        </w:r>
                        <w:r>
                          <w:rPr>
                            <w:lang w:val="fr-FR"/>
                          </w:rPr>
                          <w:t xml:space="preserve"> </w:t>
                        </w:r>
                        <w:hyperlink r:id="rId230" w:history="1">
                          <w:r>
                            <w:rPr>
                              <w:rStyle w:val="Lienhypertexte"/>
                              <w:rFonts w:cs="Arial"/>
                              <w:b/>
                              <w:lang w:val="fr-FR"/>
                            </w:rPr>
                            <w:t>nathalie.dujardin@cfwb.be</w:t>
                          </w:r>
                        </w:hyperlink>
                      </w:p>
                    </w:tc>
                  </w:tr>
                </w:tbl>
                <w:p>
                  <w:pPr>
                    <w:jc w:val="both"/>
                  </w:pPr>
                  <w:bookmarkStart w:id="3480" w:name="_Toc412204250"/>
                  <w:bookmarkStart w:id="3481" w:name="_Toc453837075"/>
                  <w:r>
                    <w:t>*documents susceptibles d’être communiqués aux parents de l’élève mineur, à toute personne investie de l’autorité parentale qui en assume la garde en fait et en droit, ou à l’élève lui-même s’il est majeur.</w:t>
                  </w:r>
                </w:p>
                <w:p>
                  <w:pPr>
                    <w:rPr>
                      <w:b/>
                      <w:u w:val="single"/>
                    </w:rPr>
                  </w:pPr>
                  <w:r>
                    <w:br w:type="page"/>
                  </w:r>
                </w:p>
                <w:p>
                  <w:pPr>
                    <w:pStyle w:val="Titre4"/>
                  </w:pPr>
                  <w:r>
                    <w:t>Situation n°6 : opportunité de dispenser un enfant ou un adolescent à besoins spécifiques de toute obligation scolaire</w:t>
                  </w:r>
                  <w:bookmarkEnd w:id="3480"/>
                  <w:bookmarkEnd w:id="3481"/>
                </w:p>
                <w:p>
                  <w:pPr>
                    <w:jc w:val="center"/>
                  </w:pPr>
                </w:p>
                <w:p>
                  <w:pPr>
                    <w:rPr>
                      <w:b/>
                    </w:rPr>
                  </w:pPr>
                  <w:r>
                    <w:rPr>
                      <w:b/>
                    </w:rPr>
                    <w:t>Demande introduite par :</w:t>
                  </w:r>
                </w:p>
                <w:p>
                  <w:r>
                    <w:rPr>
                      <w:rFonts w:ascii="Times New Roman" w:hAnsi="Times New Roman" w:cs="Times New Roman"/>
                      <w:b/>
                    </w:rPr>
                    <w:t>□</w:t>
                  </w:r>
                  <w:r>
                    <w:t xml:space="preserve"> : chef de famille (Qualité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w:t>
                  </w:r>
                  <w:r>
                    <w:rPr>
                      <w:rFonts w:cs="Cambria"/>
                    </w:rPr>
                    <w:t>à</w:t>
                  </w:r>
                  <w:r>
                    <w:t xml:space="preserve"> pr</w:t>
                  </w:r>
                  <w:r>
                    <w:rPr>
                      <w:rFonts w:cs="Cambria"/>
                    </w:rPr>
                    <w:t>é</w:t>
                  </w:r>
                  <w:r>
                    <w:t xml:space="preserve">ciser </w:t>
                  </w:r>
                  <w:r>
                    <w:tab/>
                  </w:r>
                  <w:r>
                    <w:tab/>
                  </w:r>
                  <w:r>
                    <w:tab/>
                    <w:t xml:space="preserve"> )</w:t>
                  </w:r>
                </w:p>
                <w:p>
                  <w:r>
                    <w:rPr>
                      <w:rFonts w:ascii="Times New Roman" w:hAnsi="Times New Roman" w:cs="Times New Roman"/>
                    </w:rPr>
                    <w:t>□</w:t>
                  </w:r>
                  <w:r>
                    <w:rPr>
                      <w:rFonts w:cs="Cambria"/>
                    </w:rPr>
                    <w:t> </w:t>
                  </w:r>
                  <w:r>
                    <w:t>: chef d</w:t>
                  </w:r>
                  <w:r>
                    <w:rPr>
                      <w:rFonts w:cs="Cambria"/>
                    </w:rPr>
                    <w:t>’é</w:t>
                  </w:r>
                  <w:r>
                    <w:t>tablissement de l</w:t>
                  </w:r>
                  <w:r>
                    <w:rPr>
                      <w:rFonts w:cs="Cambria"/>
                    </w:rPr>
                    <w:t>’</w:t>
                  </w:r>
                  <w:r>
                    <w:t>enseignement sp</w:t>
                  </w:r>
                  <w:r>
                    <w:rPr>
                      <w:rFonts w:cs="Cambria"/>
                    </w:rPr>
                    <w:t>é</w:t>
                  </w:r>
                  <w:r>
                    <w:t>cialis</w:t>
                  </w:r>
                  <w:r>
                    <w:rPr>
                      <w:rFonts w:cs="Cambria"/>
                    </w:rPr>
                    <w:t>é</w:t>
                  </w:r>
                </w:p>
                <w:p>
                  <w:pPr>
                    <w:rPr>
                      <w:b/>
                    </w:rPr>
                  </w:pPr>
                </w:p>
                <w:p>
                  <w:r>
                    <w:rPr>
                      <w:b/>
                    </w:rPr>
                    <w:t>Identité du demandeur</w:t>
                  </w:r>
                  <w:r>
                    <w:t> :</w:t>
                  </w:r>
                </w:p>
                <w:p>
                  <w:r>
                    <w:t xml:space="preserve">Nom, prénom : </w:t>
                  </w:r>
                </w:p>
                <w:p>
                  <w:r>
                    <w:t xml:space="preserve">Adresse : </w:t>
                  </w:r>
                </w:p>
                <w:p/>
                <w:p/>
                <w:p>
                  <w:r>
                    <w:sym w:font="Wingdings" w:char="F028"/>
                  </w:r>
                  <w:r>
                    <w:t> :</w:t>
                  </w:r>
                  <w:r>
                    <w:tab/>
                  </w:r>
                  <w:r>
                    <w:tab/>
                    <w:t>/</w:t>
                  </w:r>
                  <w:r>
                    <w:tab/>
                  </w:r>
                  <w:r>
                    <w:tab/>
                  </w:r>
                  <w:r>
                    <w:tab/>
                  </w:r>
                  <w:r>
                    <w:tab/>
                  </w:r>
                  <w:r>
                    <w:tab/>
                  </w:r>
                  <w:r>
                    <w:sym w:font="Wingdings" w:char="F03A"/>
                  </w:r>
                  <w: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tc>
                      <w:tcPr>
                        <w:tcW w:w="10008" w:type="dxa"/>
                        <w:tcBorders>
                          <w:top w:val="single" w:sz="4" w:space="0" w:color="auto"/>
                          <w:bottom w:val="single" w:sz="4" w:space="0" w:color="auto"/>
                        </w:tcBorders>
                      </w:tcPr>
                      <w:p>
                        <w:pPr>
                          <w:rPr>
                            <w:b/>
                            <w:bCs/>
                            <w:caps/>
                          </w:rPr>
                        </w:pPr>
                        <w:r>
                          <w:rPr>
                            <w:b/>
                            <w:bCs/>
                            <w:caps/>
                          </w:rPr>
                          <w:t>concernE lE  JEUNE :</w:t>
                        </w:r>
                        <w:r>
                          <w:rPr>
                            <w:bCs/>
                          </w:rPr>
                          <w:br/>
                          <w:t xml:space="preserve">NOM, PRENOM : </w:t>
                        </w:r>
                      </w:p>
                      <w:p>
                        <w:pPr>
                          <w:rPr>
                            <w:bCs/>
                          </w:rPr>
                        </w:pPr>
                        <w:r>
                          <w:rPr>
                            <w:bCs/>
                          </w:rPr>
                          <w:t>ADRESSE :</w:t>
                        </w:r>
                      </w:p>
                      <w:p>
                        <w:pPr>
                          <w:rPr>
                            <w:bCs/>
                          </w:rPr>
                        </w:pPr>
                      </w:p>
                      <w:p>
                        <w:pPr>
                          <w:rPr>
                            <w:bCs/>
                          </w:rPr>
                        </w:pPr>
                      </w:p>
                      <w:p>
                        <w:pPr>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tc>
                            <w:tcPr>
                              <w:tcW w:w="9535" w:type="dxa"/>
                              <w:tcBorders>
                                <w:top w:val="single" w:sz="4" w:space="0" w:color="auto"/>
                                <w:left w:val="single" w:sz="4" w:space="0" w:color="auto"/>
                                <w:bottom w:val="single" w:sz="4" w:space="0" w:color="auto"/>
                                <w:right w:val="single" w:sz="4" w:space="0" w:color="auto"/>
                              </w:tcBorders>
                            </w:tcPr>
                            <w:p>
                              <w:pPr>
                                <w:rPr>
                                  <w:b/>
                                  <w:bCs/>
                                </w:rPr>
                              </w:pPr>
                              <w:r>
                                <w:rPr>
                                  <w:b/>
                                  <w:bCs/>
                                </w:rPr>
                                <w:t>Institution fréquentée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Nom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Adresse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sym w:font="Wingdings" w:char="F028"/>
                              </w:r>
                              <w:r>
                                <w:rPr>
                                  <w:bCs/>
                                </w:rPr>
                                <w:t xml:space="preserve"> :                                                     </w:t>
                              </w:r>
                              <w:r>
                                <w:rPr>
                                  <w:bCs/>
                                </w:rPr>
                                <w:sym w:font="Wingdings" w:char="F03A"/>
                              </w:r>
                              <w:r>
                                <w:rPr>
                                  <w:bCs/>
                                </w:rPr>
                                <w:t>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
                                  <w:bCs/>
                                </w:rPr>
                                <w:t>Centre orienteur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Dénomination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Agent de référence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Adresse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sym w:font="Wingdings" w:char="F028"/>
                              </w:r>
                              <w:r>
                                <w:rPr>
                                  <w:bCs/>
                                </w:rPr>
                                <w:t xml:space="preserve"> :                                                     </w:t>
                              </w:r>
                              <w:r>
                                <w:rPr>
                                  <w:bCs/>
                                </w:rPr>
                                <w:sym w:font="Wingdings" w:char="F03A"/>
                              </w:r>
                              <w:r>
                                <w:rPr>
                                  <w:bCs/>
                                </w:rPr>
                                <w:t>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
                                  <w:bCs/>
                                </w:rPr>
                                <w:t>Situation antérieure</w:t>
                              </w:r>
                              <w:r>
                                <w:rPr>
                                  <w:bCs/>
                                </w:rPr>
                                <w:t xml:space="preserve"> (Centre, école, domicile, crèche ,  .. .)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 xml:space="preserve">Coordonnées : </w:t>
                              </w:r>
                            </w:p>
                          </w:tc>
                        </w:tr>
                      </w:tbl>
                      <w:p/>
                    </w:tc>
                  </w:tr>
                  <w:tr>
                    <w:tc>
                      <w:tcPr>
                        <w:tcW w:w="10008" w:type="dxa"/>
                        <w:tcBorders>
                          <w:top w:val="single" w:sz="4" w:space="0" w:color="auto"/>
                          <w:bottom w:val="single" w:sz="4" w:space="0" w:color="auto"/>
                        </w:tcBorders>
                      </w:tcPr>
                      <w:p>
                        <w:pPr>
                          <w:rPr>
                            <w:b/>
                          </w:rPr>
                        </w:pPr>
                        <w:r>
                          <w:rPr>
                            <w:b/>
                          </w:rPr>
                          <w:t>Documents utiles et/ou</w:t>
                        </w:r>
                        <w:r>
                          <w:rPr>
                            <w:b/>
                            <w:color w:val="FF0000"/>
                          </w:rPr>
                          <w:t xml:space="preserve"> </w:t>
                        </w:r>
                        <w:r>
                          <w:rPr>
                            <w:b/>
                          </w:rPr>
                          <w:t>nécessaires au traitement de la demande* :</w:t>
                        </w:r>
                      </w:p>
                      <w:p>
                        <w:r>
                          <w:rPr>
                            <w:rFonts w:ascii="Times New Roman" w:hAnsi="Times New Roman" w:cs="Times New Roman"/>
                          </w:rPr>
                          <w:t>□</w:t>
                        </w:r>
                        <w:r>
                          <w:rPr>
                            <w:rFonts w:cs="Cambria"/>
                          </w:rPr>
                          <w:t> </w:t>
                        </w:r>
                        <w:r>
                          <w:t>: rapport d</w:t>
                        </w:r>
                        <w:r>
                          <w:rPr>
                            <w:rFonts w:cs="Cambria"/>
                          </w:rPr>
                          <w:t>’</w:t>
                        </w:r>
                        <w:r>
                          <w:t>un organisme de guidance</w:t>
                        </w:r>
                      </w:p>
                      <w:p>
                        <w:r>
                          <w:rPr>
                            <w:rFonts w:ascii="Times New Roman" w:hAnsi="Times New Roman" w:cs="Times New Roman"/>
                          </w:rPr>
                          <w:t>□</w:t>
                        </w:r>
                        <w:r>
                          <w:rPr>
                            <w:rFonts w:cs="Cambria"/>
                          </w:rPr>
                          <w:t> </w:t>
                        </w:r>
                        <w:r>
                          <w:t>: avis d</w:t>
                        </w:r>
                        <w:r>
                          <w:rPr>
                            <w:rFonts w:cs="Cambria"/>
                          </w:rPr>
                          <w:t>’</w:t>
                        </w:r>
                        <w:r>
                          <w:t>un m</w:t>
                        </w:r>
                        <w:r>
                          <w:rPr>
                            <w:rFonts w:cs="Cambria"/>
                          </w:rPr>
                          <w:t>é</w:t>
                        </w:r>
                        <w:r>
                          <w:t>decin sp</w:t>
                        </w:r>
                        <w:r>
                          <w:rPr>
                            <w:rFonts w:cs="Cambria"/>
                          </w:rPr>
                          <w:t>é</w:t>
                        </w:r>
                        <w:r>
                          <w:t>cialiste</w:t>
                        </w:r>
                      </w:p>
                      <w:p>
                        <w:r>
                          <w:rPr>
                            <w:rFonts w:ascii="Times New Roman" w:hAnsi="Times New Roman" w:cs="Times New Roman"/>
                          </w:rPr>
                          <w:t>□</w:t>
                        </w:r>
                        <w:r>
                          <w:rPr>
                            <w:rFonts w:cs="Cambria"/>
                          </w:rPr>
                          <w:t> </w:t>
                        </w:r>
                        <w:r>
                          <w:t>: rapport d</w:t>
                        </w:r>
                        <w:r>
                          <w:rPr>
                            <w:rFonts w:cs="Cambria"/>
                          </w:rPr>
                          <w:t>’é</w:t>
                        </w:r>
                        <w:r>
                          <w:t>volution si dur</w:t>
                        </w:r>
                        <w:r>
                          <w:rPr>
                            <w:rFonts w:cs="Cambria"/>
                          </w:rPr>
                          <w:t>é</w:t>
                        </w:r>
                        <w:r>
                          <w:t>e sup</w:t>
                        </w:r>
                        <w:r>
                          <w:rPr>
                            <w:rFonts w:cs="Cambria"/>
                          </w:rPr>
                          <w:t>é</w:t>
                        </w:r>
                        <w:r>
                          <w:t xml:space="preserve">rieure </w:t>
                        </w:r>
                        <w:r>
                          <w:rPr>
                            <w:rFonts w:cs="Cambria"/>
                          </w:rPr>
                          <w:t>à</w:t>
                        </w:r>
                        <w:r>
                          <w:t xml:space="preserve"> 1 an</w:t>
                        </w:r>
                      </w:p>
                      <w:p>
                        <w:r>
                          <w:rPr>
                            <w:rFonts w:ascii="Times New Roman" w:hAnsi="Times New Roman" w:cs="Times New Roman"/>
                          </w:rPr>
                          <w:t>□</w:t>
                        </w:r>
                        <w:r>
                          <w:rPr>
                            <w:rFonts w:cs="Cambria"/>
                          </w:rPr>
                          <w:t> </w:t>
                        </w:r>
                        <w:r>
                          <w:t>: projet individuel en cas de prise en charge par une institution</w:t>
                        </w:r>
                      </w:p>
                      <w:p/>
                      <w:p>
                        <w:r>
                          <w:rPr>
                            <w:b/>
                            <w:i/>
                          </w:rPr>
                          <w:t xml:space="preserve">Période pour laquelle la dispense est demandée : </w:t>
                        </w:r>
                        <w:r>
                          <w:t>du           /           au          /</w:t>
                        </w:r>
                      </w:p>
                      <w:p>
                        <w:pPr>
                          <w:rPr>
                            <w:b/>
                            <w:color w:val="FF9900"/>
                          </w:rPr>
                        </w:pPr>
                        <w:r>
                          <w:rPr>
                            <w:b/>
                            <w:color w:val="FF6600"/>
                          </w:rPr>
                          <w:t>N.B. : la CCES communique l’avis  au service de l’obligation scolaire</w:t>
                        </w:r>
                        <w:r>
                          <w:rPr>
                            <w:b/>
                            <w:color w:val="FF9900"/>
                          </w:rPr>
                          <w:t>.</w:t>
                        </w:r>
                      </w:p>
                      <w:p/>
                      <w:p>
                        <w:pPr>
                          <w:rPr>
                            <w:b/>
                          </w:rPr>
                        </w:pPr>
                        <w:r>
                          <w:rPr>
                            <w:b/>
                          </w:rPr>
                          <w:t>DATE :                                                                            SIGNATURE :</w:t>
                        </w:r>
                      </w:p>
                    </w:tc>
                  </w:tr>
                  <w:tr>
                    <w:tc>
                      <w:tcPr>
                        <w:tcW w:w="10008" w:type="dxa"/>
                        <w:tcBorders>
                          <w:top w:val="single" w:sz="4" w:space="0" w:color="auto"/>
                          <w:left w:val="single" w:sz="4" w:space="0" w:color="auto"/>
                          <w:bottom w:val="single" w:sz="4" w:space="0" w:color="auto"/>
                          <w:right w:val="single" w:sz="4" w:space="0" w:color="auto"/>
                        </w:tcBorders>
                      </w:tcPr>
                      <w:p>
                        <w:pPr>
                          <w:jc w:val="center"/>
                        </w:pPr>
                        <w:r>
                          <w:rPr>
                            <w:b/>
                          </w:rPr>
                          <w:t>Formulaire de demande d’avis à adresser</w:t>
                        </w:r>
                        <w:r>
                          <w:t> :</w:t>
                        </w:r>
                      </w:p>
                      <w:p>
                        <w:pPr>
                          <w:jc w:val="center"/>
                        </w:pPr>
                        <w:r>
                          <w:t>Direction générale de l’enseignement obligatoire</w:t>
                        </w:r>
                      </w:p>
                      <w:p>
                        <w:pPr>
                          <w:jc w:val="center"/>
                        </w:pPr>
                        <w:r>
                          <w:t>Service de l’enseignement spécialisé</w:t>
                        </w:r>
                      </w:p>
                      <w:p>
                        <w:pPr>
                          <w:jc w:val="center"/>
                          <w:rPr>
                            <w:color w:val="000000"/>
                          </w:rPr>
                        </w:pPr>
                        <w:r>
                          <w:rPr>
                            <w:color w:val="000000"/>
                          </w:rPr>
                          <w:t>Madame Nathalie DUJARDIN</w:t>
                        </w:r>
                      </w:p>
                      <w:p>
                        <w:pPr>
                          <w:jc w:val="center"/>
                        </w:pPr>
                        <w:r>
                          <w:t>Bureau 2F246</w:t>
                        </w:r>
                      </w:p>
                      <w:p>
                        <w:pPr>
                          <w:jc w:val="center"/>
                        </w:pPr>
                        <w:r>
                          <w:t>Rue Adolphe Lavallée, 1</w:t>
                        </w:r>
                      </w:p>
                      <w:p>
                        <w:pPr>
                          <w:jc w:val="center"/>
                        </w:pPr>
                        <w:r>
                          <w:t>1080   BRUXELLES</w:t>
                        </w:r>
                      </w:p>
                      <w:p>
                        <w:pPr>
                          <w:jc w:val="center"/>
                          <w:rPr>
                            <w:lang w:val="fr-FR"/>
                          </w:rPr>
                        </w:pPr>
                        <w:r>
                          <w:sym w:font="Wingdings" w:char="F028"/>
                        </w:r>
                        <w:r>
                          <w:rPr>
                            <w:lang w:val="fr-FR"/>
                          </w:rPr>
                          <w:t> : 02/690.88.59 – GSM : 0472/94.31.95</w:t>
                        </w:r>
                      </w:p>
                      <w:p>
                        <w:pPr>
                          <w:jc w:val="center"/>
                        </w:pPr>
                        <w:r>
                          <w:rPr>
                            <w:lang w:val="fr-FR"/>
                          </w:rPr>
                          <w:t xml:space="preserve">Fax : 02/690.85.90 - </w:t>
                        </w:r>
                        <w:r>
                          <w:rPr>
                            <w:bCs/>
                          </w:rPr>
                          <w:sym w:font="Wingdings" w:char="F03A"/>
                        </w:r>
                        <w:r>
                          <w:rPr>
                            <w:bCs/>
                            <w:lang w:val="fr-FR"/>
                          </w:rPr>
                          <w:t> </w:t>
                        </w:r>
                        <w:r>
                          <w:rPr>
                            <w:lang w:val="fr-FR"/>
                          </w:rPr>
                          <w:t xml:space="preserve"> </w:t>
                        </w:r>
                        <w:hyperlink r:id="rId231" w:history="1">
                          <w:r>
                            <w:rPr>
                              <w:rStyle w:val="Lienhypertexte"/>
                              <w:rFonts w:cs="Arial"/>
                              <w:b/>
                              <w:lang w:val="fr-FR"/>
                            </w:rPr>
                            <w:t>nathalie.dujardin@cfwb.be</w:t>
                          </w:r>
                        </w:hyperlink>
                      </w:p>
                    </w:tc>
                  </w:tr>
                </w:tbl>
                <w:p>
                  <w:pPr>
                    <w:pBdr>
                      <w:right w:val="single" w:sz="4" w:space="4" w:color="auto"/>
                    </w:pBdr>
                    <w:jc w:val="both"/>
                    <w:rPr>
                      <w:b/>
                      <w:u w:val="single"/>
                    </w:rPr>
                  </w:pPr>
                  <w:r>
                    <w:t>*documents susceptibles d’être communiqués aux parents de l’élève mineur, à toute personne investie de l’autorité parentale qui en assume la garde en fait et en droit, ou à l’élève lui-même s’il est majeur.</w:t>
                  </w:r>
                </w:p>
                <w:p>
                  <w:pPr>
                    <w:rPr>
                      <w:b/>
                      <w:u w:val="single"/>
                    </w:rPr>
                  </w:pPr>
                  <w:bookmarkStart w:id="3482" w:name="_Toc412204251"/>
                  <w:bookmarkStart w:id="3483" w:name="_Toc453837076"/>
                  <w:r>
                    <w:br w:type="page"/>
                  </w:r>
                </w:p>
                <w:p>
                  <w:pPr>
                    <w:pStyle w:val="Titre4"/>
                  </w:pPr>
                  <w:r>
                    <w:t>Situation n°7 : capacité de discernement d’un élève de l’enseignement spécialisé qui a commis un acte de violence ou qui est suspecté d’en avoir commis. L’avis précise si l’élève avait une capacité de discernement normale au moment des faits ou s’il n’en avait pas.</w:t>
                  </w:r>
                  <w:bookmarkEnd w:id="3482"/>
                  <w:bookmarkEnd w:id="3483"/>
                </w:p>
                <w:p>
                  <w:pPr>
                    <w:rPr>
                      <w:b/>
                    </w:rPr>
                  </w:pPr>
                </w:p>
                <w:p>
                  <w:pPr>
                    <w:pBdr>
                      <w:top w:val="single" w:sz="4" w:space="1" w:color="000000"/>
                      <w:left w:val="single" w:sz="4" w:space="1" w:color="000000"/>
                      <w:bottom w:val="single" w:sz="4" w:space="1" w:color="000000"/>
                      <w:right w:val="single" w:sz="4" w:space="1" w:color="000000"/>
                    </w:pBdr>
                  </w:pPr>
                  <w:r>
                    <w:rPr>
                      <w:b/>
                    </w:rPr>
                    <w:t xml:space="preserve">Demande introduite par : </w:t>
                  </w:r>
                  <w:r>
                    <w:t>Le chef de la  Cellule des accidents du travail de l’enseignement :</w:t>
                  </w:r>
                </w:p>
                <w:p>
                  <w:pPr>
                    <w:pBdr>
                      <w:top w:val="single" w:sz="4" w:space="1" w:color="000000"/>
                      <w:left w:val="single" w:sz="4" w:space="1" w:color="000000"/>
                      <w:bottom w:val="single" w:sz="4" w:space="1" w:color="000000"/>
                      <w:right w:val="single" w:sz="4" w:space="1" w:color="000000"/>
                    </w:pBdr>
                    <w:jc w:val="center"/>
                    <w:rPr>
                      <w:lang w:val="fr-FR"/>
                    </w:rPr>
                  </w:pPr>
                  <w:r>
                    <w:rPr>
                      <w:lang w:val="fr-FR"/>
                    </w:rPr>
                    <w:t>Monsieur LAURENT</w:t>
                  </w:r>
                </w:p>
                <w:p>
                  <w:pPr>
                    <w:pBdr>
                      <w:top w:val="single" w:sz="4" w:space="1" w:color="000000"/>
                      <w:left w:val="single" w:sz="4" w:space="1" w:color="000000"/>
                      <w:bottom w:val="single" w:sz="4" w:space="1" w:color="000000"/>
                      <w:right w:val="single" w:sz="4" w:space="1" w:color="000000"/>
                    </w:pBdr>
                    <w:jc w:val="center"/>
                  </w:pPr>
                  <w:r>
                    <w:t>Boulevard Léopold II, 44</w:t>
                  </w:r>
                </w:p>
                <w:p>
                  <w:pPr>
                    <w:pBdr>
                      <w:top w:val="single" w:sz="4" w:space="1" w:color="000000"/>
                      <w:left w:val="single" w:sz="4" w:space="1" w:color="000000"/>
                      <w:bottom w:val="single" w:sz="4" w:space="1" w:color="000000"/>
                      <w:right w:val="single" w:sz="4" w:space="1" w:color="000000"/>
                    </w:pBdr>
                    <w:jc w:val="center"/>
                    <w:rPr>
                      <w:lang w:val="es-ES_tradnl"/>
                    </w:rPr>
                  </w:pPr>
                  <w:r>
                    <w:rPr>
                      <w:lang w:val="es-ES_tradnl"/>
                    </w:rPr>
                    <w:t>Local 1</w:t>
                  </w:r>
                  <w:r>
                    <w:rPr>
                      <w:vertAlign w:val="superscript"/>
                      <w:lang w:val="es-ES_tradnl"/>
                    </w:rPr>
                    <w:t xml:space="preserve"> </w:t>
                  </w:r>
                  <w:r>
                    <w:rPr>
                      <w:lang w:val="es-ES_tradnl"/>
                    </w:rPr>
                    <w:t>E 128</w:t>
                  </w:r>
                </w:p>
                <w:p>
                  <w:pPr>
                    <w:pBdr>
                      <w:top w:val="single" w:sz="4" w:space="1" w:color="000000"/>
                      <w:left w:val="single" w:sz="4" w:space="1" w:color="000000"/>
                      <w:bottom w:val="single" w:sz="4" w:space="1" w:color="000000"/>
                      <w:right w:val="single" w:sz="4" w:space="1" w:color="000000"/>
                    </w:pBdr>
                    <w:jc w:val="center"/>
                    <w:rPr>
                      <w:lang w:val="es-ES_tradnl"/>
                    </w:rPr>
                  </w:pPr>
                  <w:r>
                    <w:rPr>
                      <w:lang w:val="es-ES_tradnl"/>
                    </w:rPr>
                    <w:t>1080   BRUXELLES</w:t>
                  </w:r>
                </w:p>
                <w:p>
                  <w:pPr>
                    <w:pBdr>
                      <w:top w:val="single" w:sz="4" w:space="1" w:color="000000"/>
                      <w:left w:val="single" w:sz="4" w:space="1" w:color="000000"/>
                      <w:bottom w:val="single" w:sz="4" w:space="1" w:color="000000"/>
                      <w:right w:val="single" w:sz="4" w:space="1" w:color="000000"/>
                    </w:pBdr>
                    <w:jc w:val="center"/>
                    <w:rPr>
                      <w:lang w:val="es-ES_tradnl"/>
                    </w:rPr>
                  </w:pPr>
                  <w:r>
                    <w:sym w:font="Wingdings" w:char="F028"/>
                  </w:r>
                  <w:r>
                    <w:rPr>
                      <w:lang w:val="es-ES_tradnl"/>
                    </w:rPr>
                    <w:t> : 02 / 41 32 773</w:t>
                  </w:r>
                </w:p>
                <w:p>
                  <w:pPr>
                    <w:pBdr>
                      <w:top w:val="single" w:sz="4" w:space="1" w:color="000000"/>
                      <w:left w:val="single" w:sz="4" w:space="1" w:color="000000"/>
                      <w:bottom w:val="single" w:sz="4" w:space="1" w:color="000000"/>
                      <w:right w:val="single" w:sz="4" w:space="1" w:color="000000"/>
                    </w:pBdr>
                    <w:jc w:val="center"/>
                    <w:rPr>
                      <w:lang w:val="es-ES_tradnl"/>
                    </w:rPr>
                  </w:pPr>
                  <w:r>
                    <w:sym w:font="Wingdings" w:char="F03A"/>
                  </w:r>
                  <w:r>
                    <w:rPr>
                      <w:lang w:val="es-ES_tradnl"/>
                    </w:rPr>
                    <w:t xml:space="preserve"> : </w:t>
                  </w:r>
                  <w:hyperlink r:id="rId232" w:history="1">
                    <w:r>
                      <w:rPr>
                        <w:rStyle w:val="Lienhypertexte"/>
                        <w:rFonts w:cs="Arial"/>
                        <w:lang w:val="es-ES_tradnl"/>
                      </w:rPr>
                      <w:t>francis.vanremoortere@cfwb.be</w:t>
                    </w:r>
                  </w:hyperlink>
                </w:p>
                <w:p>
                  <w:pPr>
                    <w:ind w:hanging="360"/>
                    <w:rPr>
                      <w:b/>
                      <w:lang w:val="es-ES_tradnl"/>
                    </w:rPr>
                  </w:pPr>
                </w:p>
                <w:p>
                  <w:pPr>
                    <w:ind w:hanging="360"/>
                    <w:rPr>
                      <w:b/>
                    </w:rPr>
                  </w:pPr>
                  <w:r>
                    <w:rPr>
                      <w:b/>
                    </w:rPr>
                    <w:t>Référence dossier :</w:t>
                  </w:r>
                </w:p>
                <w:p>
                  <w:pPr>
                    <w:ind w:hanging="360"/>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tc>
                      <w:tcPr>
                        <w:tcW w:w="10008" w:type="dxa"/>
                        <w:tcBorders>
                          <w:top w:val="single" w:sz="4" w:space="0" w:color="auto"/>
                          <w:bottom w:val="single" w:sz="4" w:space="0" w:color="auto"/>
                        </w:tcBorders>
                      </w:tcPr>
                      <w:p>
                        <w:pPr>
                          <w:rPr>
                            <w:b/>
                            <w:bCs/>
                            <w:caps/>
                          </w:rPr>
                        </w:pPr>
                        <w:r>
                          <w:rPr>
                            <w:b/>
                            <w:bCs/>
                            <w:caps/>
                          </w:rPr>
                          <w:t>concernE l’ELEve :</w:t>
                        </w:r>
                      </w:p>
                      <w:p>
                        <w:pPr>
                          <w:rPr>
                            <w:bCs/>
                          </w:rPr>
                        </w:pPr>
                        <w:r>
                          <w:rPr>
                            <w:bCs/>
                          </w:rPr>
                          <w:t>NOM, PRENOM :</w:t>
                        </w:r>
                      </w:p>
                      <w:p>
                        <w:pPr>
                          <w:rPr>
                            <w:bCs/>
                          </w:rPr>
                        </w:pPr>
                        <w:r>
                          <w:rPr>
                            <w:bCs/>
                          </w:rPr>
                          <w:t xml:space="preserve">ADRESSE : </w:t>
                        </w:r>
                      </w:p>
                      <w:p>
                        <w:pPr>
                          <w:rPr>
                            <w:bCs/>
                          </w:rPr>
                        </w:pPr>
                      </w:p>
                      <w:p>
                        <w:pPr>
                          <w:rPr>
                            <w:bCs/>
                          </w:rPr>
                        </w:pPr>
                      </w:p>
                      <w:p>
                        <w:pPr>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tc>
                            <w:tcPr>
                              <w:tcW w:w="9535" w:type="dxa"/>
                              <w:tcBorders>
                                <w:top w:val="single" w:sz="4" w:space="0" w:color="auto"/>
                                <w:left w:val="single" w:sz="4" w:space="0" w:color="auto"/>
                                <w:bottom w:val="single" w:sz="4" w:space="0" w:color="auto"/>
                                <w:right w:val="single" w:sz="4" w:space="0" w:color="auto"/>
                              </w:tcBorders>
                            </w:tcPr>
                            <w:p>
                              <w:pPr>
                                <w:rPr>
                                  <w:b/>
                                  <w:bCs/>
                                </w:rPr>
                              </w:pPr>
                              <w:r>
                                <w:rPr>
                                  <w:b/>
                                  <w:bCs/>
                                </w:rPr>
                                <w:t>Ecole fréquentée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Nom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sym w:font="Wingdings" w:char="F028"/>
                              </w:r>
                              <w:r>
                                <w:rPr>
                                  <w:bCs/>
                                </w:rPr>
                                <w:t xml:space="preserve"> :                                                     </w:t>
                              </w:r>
                              <w:r>
                                <w:rPr>
                                  <w:bCs/>
                                </w:rPr>
                                <w:sym w:font="Wingdings" w:char="F03A"/>
                              </w:r>
                              <w:r>
                                <w:rPr>
                                  <w:bCs/>
                                </w:rPr>
                                <w:t>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 xml:space="preserve">Niveau :     </w:t>
                              </w:r>
                              <w:r>
                                <w:rPr>
                                  <w:rFonts w:ascii="Times New Roman" w:hAnsi="Times New Roman" w:cs="Times New Roman"/>
                                  <w:bCs/>
                                </w:rPr>
                                <w:t>□</w:t>
                              </w:r>
                              <w:r>
                                <w:rPr>
                                  <w:bCs/>
                                </w:rPr>
                                <w:t xml:space="preserve"> primaire      </w:t>
                              </w:r>
                              <w:r>
                                <w:rPr>
                                  <w:rFonts w:ascii="Times New Roman" w:hAnsi="Times New Roman" w:cs="Times New Roman"/>
                                  <w:bCs/>
                                </w:rPr>
                                <w:t>□</w:t>
                              </w:r>
                              <w:r>
                                <w:rPr>
                                  <w:bCs/>
                                </w:rPr>
                                <w:t xml:space="preserve"> maturit</w:t>
                              </w:r>
                              <w:r>
                                <w:rPr>
                                  <w:rFonts w:cs="Cambria"/>
                                  <w:bCs/>
                                </w:rPr>
                                <w:t>é</w:t>
                              </w:r>
                              <w:r>
                                <w:rPr>
                                  <w:bCs/>
                                </w:rPr>
                                <w:t xml:space="preserve"> </w:t>
                              </w:r>
                              <w:r>
                                <w:rPr>
                                  <w:rFonts w:cs="Cambria"/>
                                  <w:bCs/>
                                </w:rPr>
                                <w:t>…</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 xml:space="preserve">                  </w:t>
                              </w:r>
                              <w:r>
                                <w:rPr>
                                  <w:rFonts w:ascii="Times New Roman" w:hAnsi="Times New Roman" w:cs="Times New Roman"/>
                                  <w:bCs/>
                                </w:rPr>
                                <w:t>□</w:t>
                              </w:r>
                              <w:r>
                                <w:rPr>
                                  <w:bCs/>
                                </w:rPr>
                                <w:t xml:space="preserve"> secondaire        Forme (</w:t>
                              </w:r>
                              <w:r>
                                <w:rPr>
                                  <w:rFonts w:cs="Cambria"/>
                                  <w:bCs/>
                                </w:rPr>
                                <w:t>à</w:t>
                              </w:r>
                              <w:r>
                                <w:rPr>
                                  <w:bCs/>
                                </w:rPr>
                                <w:t xml:space="preserve"> pr</w:t>
                              </w:r>
                              <w:r>
                                <w:rPr>
                                  <w:rFonts w:cs="Cambria"/>
                                  <w:bCs/>
                                </w:rPr>
                                <w:t>é</w:t>
                              </w:r>
                              <w:r>
                                <w:rPr>
                                  <w:bCs/>
                                </w:rPr>
                                <w:t xml:space="preserve">ciser)  </w:t>
                              </w:r>
                              <w:r>
                                <w:rPr>
                                  <w:rFonts w:ascii="Times New Roman" w:hAnsi="Times New Roman" w:cs="Times New Roman"/>
                                  <w:bCs/>
                                </w:rPr>
                                <w:t>□</w:t>
                              </w:r>
                              <w:r>
                                <w:rPr>
                                  <w:bCs/>
                                </w:rPr>
                                <w:t xml:space="preserve"> 1   </w:t>
                              </w:r>
                              <w:r>
                                <w:rPr>
                                  <w:rFonts w:ascii="Times New Roman" w:hAnsi="Times New Roman" w:cs="Times New Roman"/>
                                  <w:bCs/>
                                </w:rPr>
                                <w:t>□</w:t>
                              </w:r>
                              <w:r>
                                <w:rPr>
                                  <w:bCs/>
                                </w:rPr>
                                <w:t xml:space="preserve">  2   </w:t>
                              </w:r>
                              <w:r>
                                <w:rPr>
                                  <w:rFonts w:ascii="Times New Roman" w:hAnsi="Times New Roman" w:cs="Times New Roman"/>
                                  <w:bCs/>
                                </w:rPr>
                                <w:t>□</w:t>
                              </w:r>
                              <w:r>
                                <w:rPr>
                                  <w:bCs/>
                                </w:rPr>
                                <w:t xml:space="preserve"> 3   </w:t>
                              </w:r>
                              <w:r>
                                <w:rPr>
                                  <w:rFonts w:ascii="Times New Roman" w:hAnsi="Times New Roman" w:cs="Times New Roman"/>
                                  <w:bCs/>
                                </w:rPr>
                                <w:t>□</w:t>
                              </w:r>
                              <w:r>
                                <w:rPr>
                                  <w:bCs/>
                                </w:rPr>
                                <w:t xml:space="preserve"> 4</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 xml:space="preserve">Type : (A préciser)           </w:t>
                              </w:r>
                              <w:r>
                                <w:rPr>
                                  <w:rFonts w:ascii="Times New Roman" w:hAnsi="Times New Roman" w:cs="Times New Roman"/>
                                  <w:bCs/>
                                </w:rPr>
                                <w:t>□</w:t>
                              </w:r>
                              <w:r>
                                <w:rPr>
                                  <w:bCs/>
                                </w:rPr>
                                <w:t xml:space="preserve"> 1   </w:t>
                              </w:r>
                              <w:r>
                                <w:rPr>
                                  <w:rFonts w:ascii="Times New Roman" w:hAnsi="Times New Roman" w:cs="Times New Roman"/>
                                  <w:bCs/>
                                </w:rPr>
                                <w:t>□</w:t>
                              </w:r>
                              <w:r>
                                <w:rPr>
                                  <w:bCs/>
                                </w:rPr>
                                <w:t xml:space="preserve"> 2   </w:t>
                              </w:r>
                              <w:r>
                                <w:rPr>
                                  <w:rFonts w:ascii="Times New Roman" w:hAnsi="Times New Roman" w:cs="Times New Roman"/>
                                  <w:bCs/>
                                </w:rPr>
                                <w:t>□</w:t>
                              </w:r>
                              <w:r>
                                <w:rPr>
                                  <w:bCs/>
                                </w:rPr>
                                <w:t xml:space="preserve"> 3   </w:t>
                              </w:r>
                              <w:r>
                                <w:rPr>
                                  <w:rFonts w:ascii="Times New Roman" w:hAnsi="Times New Roman" w:cs="Times New Roman"/>
                                  <w:bCs/>
                                </w:rPr>
                                <w:t>□</w:t>
                              </w:r>
                              <w:r>
                                <w:rPr>
                                  <w:bCs/>
                                </w:rPr>
                                <w:t xml:space="preserve"> 4   </w:t>
                              </w:r>
                              <w:r>
                                <w:rPr>
                                  <w:rFonts w:ascii="Times New Roman" w:hAnsi="Times New Roman" w:cs="Times New Roman"/>
                                  <w:bCs/>
                                </w:rPr>
                                <w:t>□</w:t>
                              </w:r>
                              <w:r>
                                <w:rPr>
                                  <w:bCs/>
                                </w:rPr>
                                <w:t xml:space="preserve"> 5   </w:t>
                              </w:r>
                              <w:r>
                                <w:rPr>
                                  <w:rFonts w:ascii="Times New Roman" w:hAnsi="Times New Roman" w:cs="Times New Roman"/>
                                  <w:bCs/>
                                </w:rPr>
                                <w:t>□</w:t>
                              </w:r>
                              <w:r>
                                <w:rPr>
                                  <w:bCs/>
                                </w:rPr>
                                <w:t xml:space="preserve"> 6   </w:t>
                              </w:r>
                              <w:r>
                                <w:rPr>
                                  <w:rFonts w:ascii="Times New Roman" w:hAnsi="Times New Roman" w:cs="Times New Roman"/>
                                  <w:bCs/>
                                </w:rPr>
                                <w:t>□</w:t>
                              </w:r>
                              <w:r>
                                <w:rPr>
                                  <w:bCs/>
                                </w:rPr>
                                <w:t xml:space="preserve"> 7   </w:t>
                              </w:r>
                              <w:r>
                                <w:rPr>
                                  <w:rFonts w:ascii="Times New Roman" w:hAnsi="Times New Roman" w:cs="Times New Roman"/>
                                  <w:bCs/>
                                </w:rPr>
                                <w:t>□</w:t>
                              </w:r>
                              <w:r>
                                <w:rPr>
                                  <w:bCs/>
                                </w:rPr>
                                <w:t xml:space="preserve"> 8 </w:t>
                              </w:r>
                            </w:p>
                          </w:tc>
                        </w:tr>
                        <w:tr>
                          <w:tc>
                            <w:tcPr>
                              <w:tcW w:w="9535" w:type="dxa"/>
                              <w:tcBorders>
                                <w:top w:val="single" w:sz="4" w:space="0" w:color="auto"/>
                                <w:left w:val="single" w:sz="4" w:space="0" w:color="auto"/>
                                <w:bottom w:val="single" w:sz="4" w:space="0" w:color="auto"/>
                                <w:right w:val="single" w:sz="4" w:space="0" w:color="auto"/>
                              </w:tcBorders>
                            </w:tcPr>
                            <w:p>
                              <w:pPr>
                                <w:rPr>
                                  <w:b/>
                                  <w:bCs/>
                                </w:rPr>
                              </w:pPr>
                              <w:r>
                                <w:rPr>
                                  <w:b/>
                                  <w:bCs/>
                                </w:rPr>
                                <w:t>Personne responsable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Nom :</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rPr>
                                  <w:bCs/>
                                </w:rPr>
                              </w:pPr>
                              <w:r>
                                <w:rPr>
                                  <w:bCs/>
                                </w:rPr>
                                <w:sym w:font="Wingdings" w:char="F028"/>
                              </w:r>
                              <w:r>
                                <w:rPr>
                                  <w:bCs/>
                                </w:rPr>
                                <w:t xml:space="preserve"> :                                                     </w:t>
                              </w:r>
                              <w:r>
                                <w:rPr>
                                  <w:bCs/>
                                </w:rPr>
                                <w:sym w:font="Wingdings" w:char="F03A"/>
                              </w:r>
                              <w:r>
                                <w:rPr>
                                  <w:bCs/>
                                </w:rPr>
                                <w:t> :</w:t>
                              </w:r>
                            </w:p>
                          </w:tc>
                        </w:tr>
                      </w:tbl>
                      <w:p/>
                    </w:tc>
                  </w:tr>
                  <w:tr>
                    <w:tc>
                      <w:tcPr>
                        <w:tcW w:w="10008" w:type="dxa"/>
                        <w:tcBorders>
                          <w:top w:val="single" w:sz="4" w:space="0" w:color="auto"/>
                          <w:bottom w:val="single" w:sz="4" w:space="0" w:color="auto"/>
                        </w:tcBorders>
                      </w:tcPr>
                      <w:p>
                        <w:pPr>
                          <w:rPr>
                            <w:b/>
                          </w:rPr>
                        </w:pPr>
                      </w:p>
                      <w:p>
                        <w:pPr>
                          <w:rPr>
                            <w:b/>
                          </w:rPr>
                        </w:pPr>
                        <w:r>
                          <w:rPr>
                            <w:b/>
                          </w:rPr>
                          <w:t>Documents utiles et /ou nécessaires au traitement de la demande fournis par la Cellule des accidents</w:t>
                        </w:r>
                      </w:p>
                      <w:p>
                        <w:r>
                          <w:rPr>
                            <w:rFonts w:ascii="Times New Roman" w:hAnsi="Times New Roman" w:cs="Times New Roman"/>
                          </w:rPr>
                          <w:t>□</w:t>
                        </w:r>
                        <w:r>
                          <w:rPr>
                            <w:rFonts w:cs="Cambria"/>
                          </w:rPr>
                          <w:t> </w:t>
                        </w:r>
                        <w:r>
                          <w:t>: d</w:t>
                        </w:r>
                        <w:r>
                          <w:rPr>
                            <w:rFonts w:cs="Cambria"/>
                          </w:rPr>
                          <w:t>é</w:t>
                        </w:r>
                        <w:r>
                          <w:t>claration d</w:t>
                        </w:r>
                        <w:r>
                          <w:rPr>
                            <w:rFonts w:cs="Cambria"/>
                          </w:rPr>
                          <w:t>’</w:t>
                        </w:r>
                        <w:r>
                          <w:t>accident</w:t>
                        </w:r>
                      </w:p>
                      <w:p>
                        <w:r>
                          <w:rPr>
                            <w:rFonts w:ascii="Times New Roman" w:hAnsi="Times New Roman" w:cs="Times New Roman"/>
                          </w:rPr>
                          <w:t>□</w:t>
                        </w:r>
                        <w:r>
                          <w:rPr>
                            <w:rFonts w:cs="Cambria"/>
                          </w:rPr>
                          <w:t> </w:t>
                        </w:r>
                        <w:r>
                          <w:t xml:space="preserve">: plainte </w:t>
                        </w:r>
                        <w:r>
                          <w:rPr>
                            <w:rFonts w:cs="Cambria"/>
                          </w:rPr>
                          <w:t>é</w:t>
                        </w:r>
                        <w:r>
                          <w:t>ventuelle</w:t>
                        </w:r>
                      </w:p>
                      <w:p/>
                      <w:p>
                        <w:pPr>
                          <w:rPr>
                            <w:b/>
                          </w:rPr>
                        </w:pPr>
                        <w:r>
                          <w:rPr>
                            <w:b/>
                          </w:rPr>
                          <w:t>DATE :                                                                            SIGNATURE :</w:t>
                        </w:r>
                      </w:p>
                      <w:p>
                        <w:pPr>
                          <w:rPr>
                            <w:b/>
                          </w:rPr>
                        </w:pPr>
                      </w:p>
                    </w:tc>
                  </w:tr>
                  <w:tr>
                    <w:tc>
                      <w:tcPr>
                        <w:tcW w:w="10008" w:type="dxa"/>
                        <w:tcBorders>
                          <w:top w:val="single" w:sz="4" w:space="0" w:color="auto"/>
                          <w:left w:val="single" w:sz="4" w:space="0" w:color="auto"/>
                          <w:bottom w:val="single" w:sz="4" w:space="0" w:color="auto"/>
                          <w:right w:val="single" w:sz="4" w:space="0" w:color="auto"/>
                        </w:tcBorders>
                      </w:tcPr>
                      <w:p>
                        <w:pPr>
                          <w:jc w:val="center"/>
                        </w:pPr>
                        <w:r>
                          <w:rPr>
                            <w:b/>
                          </w:rPr>
                          <w:t>Formulaire de demande d’avis à adresser</w:t>
                        </w:r>
                        <w:r>
                          <w:t> :</w:t>
                        </w:r>
                      </w:p>
                      <w:p>
                        <w:pPr>
                          <w:jc w:val="center"/>
                        </w:pPr>
                        <w:r>
                          <w:t>Direction générale de l’enseignement obligatoire</w:t>
                        </w:r>
                      </w:p>
                      <w:p>
                        <w:pPr>
                          <w:jc w:val="center"/>
                        </w:pPr>
                        <w:r>
                          <w:t>Service de l’enseignement spécialisé</w:t>
                        </w:r>
                      </w:p>
                      <w:p>
                        <w:pPr>
                          <w:jc w:val="center"/>
                          <w:rPr>
                            <w:color w:val="000000"/>
                          </w:rPr>
                        </w:pPr>
                        <w:r>
                          <w:rPr>
                            <w:color w:val="000000"/>
                          </w:rPr>
                          <w:t>Madame Nathalie DUJARDIN</w:t>
                        </w:r>
                      </w:p>
                      <w:p>
                        <w:pPr>
                          <w:jc w:val="center"/>
                        </w:pPr>
                        <w:r>
                          <w:t>Bureau 2F246</w:t>
                        </w:r>
                      </w:p>
                      <w:p>
                        <w:pPr>
                          <w:jc w:val="center"/>
                        </w:pPr>
                        <w:r>
                          <w:t>Rue Adolphe Lavallée, 1</w:t>
                        </w:r>
                      </w:p>
                      <w:p>
                        <w:pPr>
                          <w:jc w:val="center"/>
                        </w:pPr>
                        <w:r>
                          <w:t>1080   BRUXELLES</w:t>
                        </w:r>
                      </w:p>
                      <w:p>
                        <w:pPr>
                          <w:jc w:val="center"/>
                          <w:rPr>
                            <w:lang w:val="fr-FR"/>
                          </w:rPr>
                        </w:pPr>
                        <w:r>
                          <w:sym w:font="Wingdings" w:char="F028"/>
                        </w:r>
                        <w:r>
                          <w:rPr>
                            <w:lang w:val="fr-FR"/>
                          </w:rPr>
                          <w:t> : 02/690.88.59 – GSM : 0472/94.31.95</w:t>
                        </w:r>
                      </w:p>
                      <w:p>
                        <w:pPr>
                          <w:jc w:val="center"/>
                          <w:rPr>
                            <w:b/>
                          </w:rPr>
                        </w:pPr>
                        <w:r>
                          <w:rPr>
                            <w:lang w:val="fr-FR"/>
                          </w:rPr>
                          <w:t xml:space="preserve">Fax : 02/690.85.90 - </w:t>
                        </w:r>
                        <w:r>
                          <w:rPr>
                            <w:bCs/>
                          </w:rPr>
                          <w:sym w:font="Wingdings" w:char="F03A"/>
                        </w:r>
                        <w:r>
                          <w:rPr>
                            <w:bCs/>
                            <w:lang w:val="fr-FR"/>
                          </w:rPr>
                          <w:t> </w:t>
                        </w:r>
                        <w:r>
                          <w:rPr>
                            <w:lang w:val="fr-FR"/>
                          </w:rPr>
                          <w:t xml:space="preserve"> </w:t>
                        </w:r>
                        <w:hyperlink r:id="rId233" w:history="1">
                          <w:r>
                            <w:rPr>
                              <w:rStyle w:val="Lienhypertexte"/>
                              <w:rFonts w:cs="Arial"/>
                              <w:b/>
                              <w:lang w:val="fr-FR"/>
                            </w:rPr>
                            <w:t>nathalie.dujardin@cfwb.be</w:t>
                          </w:r>
                        </w:hyperlink>
                      </w:p>
                    </w:tc>
                  </w:tr>
                </w:tbl>
                <w:p/>
                <w:p>
                  <w:r>
                    <w:br w:type="page"/>
                  </w:r>
                </w:p>
                <w:p>
                  <w:pPr>
                    <w:pStyle w:val="Titre2"/>
                  </w:pPr>
                  <w:bookmarkStart w:id="3484" w:name="_Toc18914527"/>
                  <w:r>
                    <w:t>Chapitre 21 : Organisation d’une Structure Scolaire d’Aide à la Socialisation (SSAS)</w:t>
                  </w:r>
                  <w:bookmarkEnd w:id="3484"/>
                </w:p>
                <w:p/>
                <w:p/>
                <w:p/>
                <w:p/>
                <w:p/>
                <w:p>
                  <w:pPr>
                    <w:pStyle w:val="Titre3"/>
                  </w:pPr>
                  <w:bookmarkStart w:id="3485" w:name="_Toc18914528"/>
                  <w:r>
                    <w:t>1. Dans l’enseignement primaire spécialisé</w:t>
                  </w:r>
                  <w:bookmarkEnd w:id="3485"/>
                </w:p>
                <w:p>
                  <w:bookmarkStart w:id="3486" w:name="_Toc412204254"/>
                </w:p>
                <w:p>
                  <w:pPr>
                    <w:pStyle w:val="Titre4"/>
                  </w:pPr>
                  <w:bookmarkStart w:id="3487" w:name="_Toc453837079"/>
                  <w:r>
                    <w:t>1.1. Principe</w:t>
                  </w:r>
                  <w:bookmarkEnd w:id="3486"/>
                  <w:bookmarkEnd w:id="3487"/>
                </w:p>
                <w:p>
                  <w:pPr>
                    <w:jc w:val="both"/>
                    <w:rPr>
                      <w:b/>
                    </w:rPr>
                  </w:pPr>
                </w:p>
                <w:p>
                  <w:pPr>
                    <w:pStyle w:val="Retrait1"/>
                    <w:ind w:left="0"/>
                    <w:jc w:val="both"/>
                    <w:rPr>
                      <w:rFonts w:asciiTheme="majorHAnsi" w:hAnsiTheme="majorHAnsi"/>
                      <w:szCs w:val="22"/>
                    </w:rPr>
                  </w:pPr>
                  <w:r>
                    <w:rPr>
                      <w:rFonts w:asciiTheme="majorHAnsi" w:hAnsiTheme="majorHAnsi"/>
                      <w:szCs w:val="22"/>
                    </w:rPr>
                    <w:t>Proposer à des enfants présentant des troubles structurels du comportement et/ou de la personnalité une structure resocialisante et restructurante leur permettant une réintégration dans un cursus</w:t>
                  </w:r>
                  <w:r>
                    <w:rPr>
                      <w:rFonts w:asciiTheme="majorHAnsi" w:hAnsiTheme="majorHAnsi"/>
                      <w:color w:val="FF0000"/>
                      <w:szCs w:val="22"/>
                    </w:rPr>
                    <w:t xml:space="preserve"> </w:t>
                  </w:r>
                  <w:r>
                    <w:rPr>
                      <w:rFonts w:asciiTheme="majorHAnsi" w:hAnsiTheme="majorHAnsi"/>
                      <w:szCs w:val="22"/>
                    </w:rPr>
                    <w:t>d'apprentissage traditionnel. Cette dernière doit être organisée pour prendre en charge des jeunes de manière momentanée afin qu'ils puissent retrouver l'équilibre nécessaire pour d'une part définir un projet personnel et d'autre part mobiliser des savoirs, des savoir-être et des savoir-faire pour atteindre les objectifs qu'ils se sont fixés avec l'aide de l'équipe éducative.</w:t>
                  </w:r>
                </w:p>
                <w:p>
                  <w:pPr>
                    <w:jc w:val="both"/>
                    <w:rPr>
                      <w:b/>
                    </w:rPr>
                  </w:pPr>
                </w:p>
                <w:p>
                  <w:pPr>
                    <w:pStyle w:val="Titre4"/>
                  </w:pPr>
                  <w:bookmarkStart w:id="3488" w:name="_Toc412204255"/>
                  <w:bookmarkStart w:id="3489" w:name="_Toc453837080"/>
                  <w:r>
                    <w:t>1.2. Organisation</w:t>
                  </w:r>
                  <w:bookmarkEnd w:id="3488"/>
                  <w:bookmarkEnd w:id="3489"/>
                </w:p>
                <w:p>
                  <w:pPr>
                    <w:jc w:val="both"/>
                  </w:pPr>
                </w:p>
                <w:p>
                  <w:pPr>
                    <w:autoSpaceDE w:val="0"/>
                    <w:autoSpaceDN w:val="0"/>
                    <w:adjustRightInd w:val="0"/>
                    <w:jc w:val="both"/>
                  </w:pPr>
                  <w:r>
                    <w:t>Les classes SSAS peuvent être organisées dans tout établissement d'enseignement primaire autorisé à organiser les types d'enseignement spécialisé pour les élèves concernés, celles-ci peuvent déroger aux contraintes imposées en matière d'organisation des cours d'éducation physique, de travail manuel, de constitution des grilles-horaire et des attributions du personnel enseignant au niveau des cours de la grille-horaire.</w:t>
                  </w:r>
                </w:p>
                <w:p>
                  <w:pPr>
                    <w:autoSpaceDE w:val="0"/>
                    <w:autoSpaceDN w:val="0"/>
                    <w:adjustRightInd w:val="0"/>
                    <w:jc w:val="both"/>
                    <w:rPr>
                      <w:bCs/>
                    </w:rPr>
                  </w:pPr>
                </w:p>
                <w:p>
                  <w:pPr>
                    <w:autoSpaceDE w:val="0"/>
                    <w:autoSpaceDN w:val="0"/>
                    <w:adjustRightInd w:val="0"/>
                    <w:jc w:val="both"/>
                  </w:pPr>
                  <w:r>
                    <w:t>Dans chaque établissement organisant une ou plusieurs classes SSAS il est élaboré un projet pédagogique spécifique précisant les modalités et les critères d'orientation vers une classe SSAS. Ce projet pédagogique spécifique est conservé dans l'établissement d'enseignement spécialisé et tenu à disposition des Services de l'Inspection et des Services du Gouvernement.</w:t>
                  </w:r>
                </w:p>
                <w:p>
                  <w:pPr>
                    <w:autoSpaceDE w:val="0"/>
                    <w:autoSpaceDN w:val="0"/>
                    <w:adjustRightInd w:val="0"/>
                    <w:jc w:val="both"/>
                    <w:rPr>
                      <w:bCs/>
                    </w:rPr>
                  </w:pPr>
                </w:p>
                <w:p>
                  <w:pPr>
                    <w:autoSpaceDE w:val="0"/>
                    <w:autoSpaceDN w:val="0"/>
                    <w:adjustRightInd w:val="0"/>
                    <w:jc w:val="both"/>
                  </w:pPr>
                  <w:r>
                    <w:t>Le Gouvernement arrête les modalités d'organisation et de fonctionnement des classes SSAS notamment en ce qui concerne les périodes de socialisation et les périodes d'essai en immersion dans un milieu scolaire.</w:t>
                  </w:r>
                </w:p>
                <w:p>
                  <w:pPr>
                    <w:jc w:val="both"/>
                  </w:pPr>
                </w:p>
                <w:p>
                  <w:pPr>
                    <w:pStyle w:val="Titre4"/>
                  </w:pPr>
                  <w:bookmarkStart w:id="3490" w:name="_Toc412204256"/>
                  <w:bookmarkStart w:id="3491" w:name="_Toc453837081"/>
                  <w:r>
                    <w:t>1.3. Encadrement</w:t>
                  </w:r>
                  <w:bookmarkEnd w:id="3490"/>
                  <w:bookmarkEnd w:id="3491"/>
                  <w:r>
                    <w:t xml:space="preserve"> </w:t>
                  </w:r>
                </w:p>
                <w:p>
                  <w:pPr>
                    <w:jc w:val="both"/>
                  </w:pPr>
                </w:p>
                <w:p>
                  <w:pPr>
                    <w:autoSpaceDE w:val="0"/>
                    <w:autoSpaceDN w:val="0"/>
                    <w:adjustRightInd w:val="0"/>
                    <w:jc w:val="both"/>
                  </w:pPr>
                  <w:r>
                    <w:t>Les élèves inscrits dans une classe SSAS génèrent un capital-périodes utilisable selon les mêmes règles que pour les élèves de l'enseignement spécialisé du type d'enseignement dont ils relèvent.</w:t>
                  </w:r>
                </w:p>
                <w:p>
                  <w:pPr>
                    <w:jc w:val="both"/>
                  </w:pPr>
                </w:p>
                <w:p>
                  <w:pPr>
                    <w:pStyle w:val="Titre4"/>
                  </w:pPr>
                  <w:bookmarkStart w:id="3492" w:name="_Toc412204257"/>
                  <w:bookmarkStart w:id="3493" w:name="_Toc453837082"/>
                  <w:r>
                    <w:t>1.4. Structure</w:t>
                  </w:r>
                  <w:bookmarkEnd w:id="3492"/>
                  <w:bookmarkEnd w:id="3493"/>
                </w:p>
                <w:p>
                  <w:pPr>
                    <w:jc w:val="both"/>
                  </w:pPr>
                </w:p>
                <w:p>
                  <w:pPr>
                    <w:autoSpaceDE w:val="0"/>
                    <w:autoSpaceDN w:val="0"/>
                    <w:adjustRightInd w:val="0"/>
                    <w:jc w:val="both"/>
                  </w:pPr>
                  <w:r>
                    <w:t>Chaque classe SSAS est organisée en deux périodes :</w:t>
                  </w:r>
                </w:p>
                <w:p>
                  <w:pPr>
                    <w:autoSpaceDE w:val="0"/>
                    <w:autoSpaceDN w:val="0"/>
                    <w:adjustRightInd w:val="0"/>
                    <w:jc w:val="both"/>
                  </w:pPr>
                  <w:r>
                    <w:t>1° une période de socialisation rendant possible l'accrochage scolaire et l'élaboration du projet personnel du jeune;</w:t>
                  </w:r>
                </w:p>
                <w:p>
                  <w:pPr>
                    <w:autoSpaceDE w:val="0"/>
                    <w:autoSpaceDN w:val="0"/>
                    <w:adjustRightInd w:val="0"/>
                    <w:jc w:val="both"/>
                  </w:pPr>
                  <w:r>
                    <w:t>2° une période d'immersion rendant possible la réinsertion du jeune dans la structure d'apprentissage.</w:t>
                  </w:r>
                </w:p>
                <w:p>
                  <w:pPr>
                    <w:autoSpaceDE w:val="0"/>
                    <w:autoSpaceDN w:val="0"/>
                    <w:adjustRightInd w:val="0"/>
                    <w:jc w:val="both"/>
                  </w:pPr>
                </w:p>
                <w:p>
                  <w:pPr>
                    <w:autoSpaceDE w:val="0"/>
                    <w:autoSpaceDN w:val="0"/>
                    <w:adjustRightInd w:val="0"/>
                    <w:jc w:val="both"/>
                  </w:pPr>
                  <w:r>
                    <w:t xml:space="preserve">Chaque période a une durée maximale de douze mois calendrier sauf avis motivé du conseil de classe de la classe SSAS. </w:t>
                  </w:r>
                </w:p>
                <w:p>
                  <w:pPr>
                    <w:autoSpaceDE w:val="0"/>
                    <w:autoSpaceDN w:val="0"/>
                    <w:adjustRightInd w:val="0"/>
                    <w:jc w:val="both"/>
                  </w:pPr>
                </w:p>
                <w:p>
                  <w:pPr>
                    <w:autoSpaceDE w:val="0"/>
                    <w:autoSpaceDN w:val="0"/>
                    <w:adjustRightInd w:val="0"/>
                    <w:jc w:val="both"/>
                  </w:pPr>
                </w:p>
                <w:p>
                  <w:pPr>
                    <w:autoSpaceDE w:val="0"/>
                    <w:autoSpaceDN w:val="0"/>
                    <w:adjustRightInd w:val="0"/>
                    <w:jc w:val="both"/>
                  </w:pPr>
                </w:p>
                <w:p>
                  <w:pPr>
                    <w:pStyle w:val="Retrait1"/>
                    <w:ind w:left="0"/>
                    <w:rPr>
                      <w:rFonts w:asciiTheme="majorHAnsi" w:hAnsiTheme="majorHAnsi"/>
                      <w:szCs w:val="22"/>
                    </w:rPr>
                  </w:pPr>
                </w:p>
                <w:p>
                  <w:pPr>
                    <w:pStyle w:val="Titre4"/>
                  </w:pPr>
                  <w:bookmarkStart w:id="3494" w:name="_Toc412204258"/>
                  <w:bookmarkStart w:id="3495" w:name="_Toc453837083"/>
                  <w:r>
                    <w:t>1.5. Conseil de classe</w:t>
                  </w:r>
                  <w:bookmarkEnd w:id="3494"/>
                  <w:bookmarkEnd w:id="3495"/>
                </w:p>
                <w:p>
                  <w:pPr>
                    <w:pStyle w:val="Retrait1"/>
                    <w:ind w:left="0"/>
                    <w:rPr>
                      <w:rFonts w:asciiTheme="majorHAnsi" w:hAnsiTheme="majorHAnsi"/>
                      <w:szCs w:val="22"/>
                    </w:rPr>
                  </w:pPr>
                </w:p>
                <w:p>
                  <w:pPr>
                    <w:autoSpaceDE w:val="0"/>
                    <w:autoSpaceDN w:val="0"/>
                    <w:adjustRightInd w:val="0"/>
                    <w:jc w:val="both"/>
                  </w:pPr>
                  <w:r>
                    <w:t>Le Conseil de classe assure le suivi du jeune dans le cadre de son projet et la décision de son retour vers une structure d'apprentissage.</w:t>
                  </w:r>
                </w:p>
                <w:p>
                  <w:pPr>
                    <w:autoSpaceDE w:val="0"/>
                    <w:autoSpaceDN w:val="0"/>
                    <w:adjustRightInd w:val="0"/>
                    <w:jc w:val="both"/>
                    <w:rPr>
                      <w:b/>
                    </w:rPr>
                  </w:pPr>
                </w:p>
                <w:p>
                  <w:pPr>
                    <w:autoSpaceDE w:val="0"/>
                    <w:autoSpaceDN w:val="0"/>
                    <w:adjustRightInd w:val="0"/>
                    <w:jc w:val="both"/>
                  </w:pPr>
                  <w:r>
                    <w:t>Le Conseil de classe SSAS, est chargé notamment d'évaluer, de préciser voire d'amender le projet pédagogique spécifique SSAS, de décider de manière motivée du retour de l'élève dans une structure d'apprentissage.</w:t>
                  </w:r>
                </w:p>
                <w:p>
                  <w:pPr>
                    <w:autoSpaceDE w:val="0"/>
                    <w:autoSpaceDN w:val="0"/>
                    <w:adjustRightInd w:val="0"/>
                    <w:jc w:val="both"/>
                  </w:pPr>
                </w:p>
                <w:p>
                  <w:pPr>
                    <w:autoSpaceDE w:val="0"/>
                    <w:autoSpaceDN w:val="0"/>
                    <w:adjustRightInd w:val="0"/>
                    <w:jc w:val="both"/>
                  </w:pPr>
                  <w:r>
                    <w:t>Le Conseil de classe SSAS décide du passage pour chaque élève de la période de socialisation à la période d'immersion.</w:t>
                  </w:r>
                </w:p>
                <w:p>
                  <w:pPr>
                    <w:autoSpaceDE w:val="0"/>
                    <w:autoSpaceDN w:val="0"/>
                    <w:adjustRightInd w:val="0"/>
                    <w:jc w:val="both"/>
                  </w:pPr>
                </w:p>
                <w:p>
                  <w:pPr>
                    <w:autoSpaceDE w:val="0"/>
                    <w:autoSpaceDN w:val="0"/>
                    <w:adjustRightInd w:val="0"/>
                    <w:jc w:val="both"/>
                  </w:pPr>
                  <w:r>
                    <w:t>Il est composé des membres des personnels directeur, enseignant, paramédical, psychologique, social et auxiliaire d'éducation qui ont la charge de l'instruction et de l'éducation des élèves d'une classe SSAS et en assurent la responsabilité.</w:t>
                  </w:r>
                </w:p>
                <w:p>
                  <w:pPr>
                    <w:autoSpaceDE w:val="0"/>
                    <w:autoSpaceDN w:val="0"/>
                    <w:adjustRightInd w:val="0"/>
                    <w:jc w:val="both"/>
                  </w:pPr>
                </w:p>
                <w:p>
                  <w:pPr>
                    <w:autoSpaceDE w:val="0"/>
                    <w:autoSpaceDN w:val="0"/>
                    <w:adjustRightInd w:val="0"/>
                    <w:jc w:val="both"/>
                  </w:pPr>
                  <w:r>
                    <w:t>Dans le cadre de ses missions, le Conseil de classe SSAS peut faire appel à toute collaboration occasionnelle qu'il tient pour utile.</w:t>
                  </w:r>
                </w:p>
                <w:p>
                  <w:pPr>
                    <w:pStyle w:val="Retrait1"/>
                    <w:ind w:left="0"/>
                    <w:jc w:val="both"/>
                    <w:rPr>
                      <w:rFonts w:asciiTheme="majorHAnsi" w:hAnsiTheme="majorHAnsi"/>
                      <w:szCs w:val="22"/>
                    </w:rPr>
                  </w:pPr>
                </w:p>
                <w:p>
                  <w:pPr>
                    <w:pStyle w:val="Titre4"/>
                  </w:pPr>
                  <w:bookmarkStart w:id="3496" w:name="_Toc412204259"/>
                  <w:bookmarkStart w:id="3497" w:name="_Toc453837084"/>
                  <w:r>
                    <w:t>1.6. Comité de suivi</w:t>
                  </w:r>
                  <w:bookmarkEnd w:id="3496"/>
                  <w:bookmarkEnd w:id="3497"/>
                </w:p>
                <w:p>
                  <w:pPr>
                    <w:jc w:val="both"/>
                  </w:pPr>
                </w:p>
                <w:p>
                  <w:pPr>
                    <w:autoSpaceDE w:val="0"/>
                    <w:autoSpaceDN w:val="0"/>
                    <w:adjustRightInd w:val="0"/>
                    <w:jc w:val="both"/>
                  </w:pPr>
                  <w:r>
                    <w:t>Au cours des trois premières années, deux fois par an minimum, il est organisé un Comité de suivi composé des</w:t>
                  </w:r>
                </w:p>
                <w:p>
                  <w:pPr>
                    <w:autoSpaceDE w:val="0"/>
                    <w:autoSpaceDN w:val="0"/>
                    <w:adjustRightInd w:val="0"/>
                    <w:jc w:val="both"/>
                  </w:pPr>
                  <w:r>
                    <w:t>membres du Conseil de classe SSAS élargi, le cas échéant à un représentant de l'organe de représentation et de coordination des pouvoirs organisateurs d'enseignement, à un représentant de l'organisme chargé de la guidance, au membre du personnel chargé du suivi des activités de socialisation ou des stages d'essai, à un membre du personnel enseignant (hors classe SSAS) et à un membre du Service d'Inspection de l'enseignement spécialisé.</w:t>
                  </w:r>
                </w:p>
                <w:p/>
                <w:p/>
                <w:p>
                  <w:r>
                    <w:br w:type="page"/>
                  </w:r>
                </w:p>
                <w:bookmarkStart w:id="3498" w:name="_Annexe_1_:_19" w:displacedByCustomXml="next"/>
                <w:bookmarkEnd w:id="3498" w:displacedByCustomXml="next"/>
                <w:bookmarkStart w:id="3499" w:name="_Annexe_2_:_4" w:displacedByCustomXml="next"/>
                <w:bookmarkEnd w:id="3499" w:displacedByCustomXml="next"/>
                <w:bookmarkStart w:id="3500" w:name="_Annexe_3_:_4" w:displacedByCustomXml="next"/>
                <w:bookmarkEnd w:id="3500" w:displacedByCustomXml="next"/>
                <w:bookmarkStart w:id="3501" w:name="_Annexe_4_:_4" w:displacedByCustomXml="next"/>
                <w:bookmarkEnd w:id="3501" w:displacedByCustomXml="next"/>
              </w:sdtContent>
            </w:sdt>
          </w:sdtContent>
        </w:sdt>
      </w:sdtContent>
    </w:sdt>
    <w:p>
      <w:pPr>
        <w:pStyle w:val="Sansinterligne"/>
        <w:rPr>
          <w:rFonts w:asciiTheme="majorHAnsi" w:eastAsiaTheme="minorHAnsi" w:hAnsiTheme="majorHAnsi"/>
          <w:lang w:eastAsia="en-US"/>
        </w:rPr>
      </w:pPr>
      <w:r>
        <w:rPr>
          <w:rFonts w:asciiTheme="majorHAnsi" w:eastAsiaTheme="minorHAnsi" w:hAnsiTheme="majorHAnsi"/>
          <w:lang w:eastAsia="en-US"/>
        </w:rPr>
        <w:t xml:space="preserve"> </w:t>
      </w:r>
    </w:p>
    <w:sdt>
      <w:sdtPr>
        <w:id w:val="530924723"/>
        <w:docPartObj>
          <w:docPartGallery w:val="Cover Pages"/>
          <w:docPartUnique/>
        </w:docPartObj>
      </w:sdtPr>
      <w:sdtContent>
        <w:p>
          <w:pPr>
            <w:rPr>
              <w:rFonts w:eastAsiaTheme="minorEastAsia"/>
            </w:rPr>
          </w:pPr>
        </w:p>
        <w:p>
          <w:pPr>
            <w:pStyle w:val="Titre2"/>
          </w:pPr>
          <w:bookmarkStart w:id="3502" w:name="_Toc477623890"/>
          <w:bookmarkStart w:id="3503" w:name="_Toc477767762"/>
          <w:bookmarkStart w:id="3504" w:name="_Toc18914529"/>
          <w:r>
            <w:t>Chapitre</w:t>
          </w:r>
          <w:bookmarkEnd w:id="3502"/>
          <w:bookmarkEnd w:id="3503"/>
          <w:r>
            <w:t xml:space="preserve"> 22 : </w:t>
          </w:r>
          <w:bookmarkStart w:id="3505" w:name="_Toc477623891"/>
          <w:bookmarkStart w:id="3506" w:name="_Toc477767763"/>
          <w:r>
            <w:t>Les données et les applications métier</w:t>
          </w:r>
          <w:bookmarkEnd w:id="3505"/>
          <w:bookmarkEnd w:id="3506"/>
          <w:bookmarkEnd w:id="3504"/>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sdtContent>
    </w:sdt>
    <w:p>
      <w:r>
        <w:t>Progressivement, la gestion des divers dossiers s’est informatisée et les contacts entre les écoles et l’administration se font de plus en plus par voie électronique. L’objectif de ce chapitre est de faire le point sur la situation actuellement en vigueur. L’utilisation des applications mises à disposition des établissements est généralement obligatoire ; dans le cas contraire, l’aspect facultatif ou informatif est mentionné.</w:t>
      </w:r>
    </w:p>
    <w:p/>
    <w:p>
      <w:r>
        <w:t>En page d’accueil de chaque application figure le mode d’emploi.</w:t>
      </w:r>
    </w:p>
    <w:p/>
    <w:p>
      <w:r>
        <w:t>En cas de souci dans une application, on prendra contact avec les personnes de référence dont les coordonnées sont accessibles à la rubrique  « contact » de chaque page de l’application.</w:t>
      </w:r>
    </w:p>
    <w:p>
      <w:pPr>
        <w:ind w:firstLine="5670"/>
      </w:pPr>
      <w:r>
        <w:rPr>
          <w:noProof/>
          <w:lang w:eastAsia="fr-BE"/>
        </w:rPr>
        <mc:AlternateContent>
          <mc:Choice Requires="wps">
            <w:drawing>
              <wp:anchor distT="0" distB="0" distL="114300" distR="114300" simplePos="0" relativeHeight="251819008" behindDoc="0" locked="0" layoutInCell="1" allowOverlap="1">
                <wp:simplePos x="0" y="0"/>
                <wp:positionH relativeFrom="column">
                  <wp:posOffset>-4445</wp:posOffset>
                </wp:positionH>
                <wp:positionV relativeFrom="paragraph">
                  <wp:posOffset>98425</wp:posOffset>
                </wp:positionV>
                <wp:extent cx="3556000" cy="244475"/>
                <wp:effectExtent l="0" t="3175" r="1270" b="0"/>
                <wp:wrapNone/>
                <wp:docPr id="12" name="Zone de text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0" cy="244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
                              <w:t>Cette rubrique est située en haut à droite de l’écran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2" o:spid="_x0000_s1071" type="#_x0000_t202" style="position:absolute;left:0;text-align:left;margin-left:-.35pt;margin-top:7.75pt;width:280pt;height:19.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" stroked="f">
                <v:textbox>
                  <w:txbxContent>
                    <w:p>
                      <w:r>
                        <w:t>Cette rubrique est située en haut à droite de l’écran :</w:t>
                      </w:r>
                    </w:p>
                  </w:txbxContent>
                </v:textbox>
              </v:shape>
            </w:pict>
          </mc:Fallback>
        </mc:AlternateContent>
      </w:r>
      <w:r>
        <w:rPr>
          <w:noProof/>
          <w:lang w:eastAsia="fr-BE"/>
        </w:rPr>
        <w:drawing>
          <wp:inline distT="0" distB="0" distL="0" distR="0">
            <wp:extent cx="1838325" cy="438150"/>
            <wp:effectExtent l="19050" t="0" r="9525" b="0"/>
            <wp:docPr id="13" name="Image 13" descr="Contact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ontact AM"/>
                    <pic:cNvPicPr>
                      <a:picLocks noChangeAspect="1" noChangeArrowheads="1"/>
                    </pic:cNvPicPr>
                  </pic:nvPicPr>
                  <pic:blipFill>
                    <a:blip r:embed="rId234"/>
                    <a:srcRect l="78479" t="6494" r="2983" b="85545"/>
                    <a:stretch>
                      <a:fillRect/>
                    </a:stretch>
                  </pic:blipFill>
                  <pic:spPr bwMode="auto">
                    <a:xfrm>
                      <a:off x="0" y="0"/>
                      <a:ext cx="1838325" cy="438150"/>
                    </a:xfrm>
                    <a:prstGeom prst="rect">
                      <a:avLst/>
                    </a:prstGeom>
                    <a:noFill/>
                    <a:ln w="9525">
                      <a:noFill/>
                      <a:miter lim="800000"/>
                      <a:headEnd/>
                      <a:tailEnd/>
                    </a:ln>
                  </pic:spPr>
                </pic:pic>
              </a:graphicData>
            </a:graphic>
          </wp:inline>
        </w:drawing>
      </w:r>
    </w:p>
    <w:p>
      <w:pPr>
        <w:pStyle w:val="Titre3"/>
      </w:pPr>
      <w:bookmarkStart w:id="3507" w:name="_Toc18914530"/>
      <w:r>
        <w:t>1. CERBERE</w:t>
      </w:r>
      <w:bookmarkEnd w:id="3507"/>
    </w:p>
    <w:p/>
    <w:p>
      <w:r>
        <w:t>L’accès aux applications mises à disposition se fait via l’univers sécurisé CERBERE (</w:t>
      </w:r>
      <w:hyperlink r:id="rId235" w:history="1">
        <w:r>
          <w:rPr>
            <w:rStyle w:val="Lienhypertexte"/>
          </w:rPr>
          <w:t>www.am.cfwb.be</w:t>
        </w:r>
      </w:hyperlink>
      <w:r>
        <w:t>) et le portail des applications métier.</w:t>
      </w:r>
    </w:p>
    <w:p/>
    <w:p>
      <w:r>
        <w:rPr>
          <w:noProof/>
          <w:lang w:eastAsia="fr-BE"/>
        </w:rPr>
        <w:drawing>
          <wp:inline distT="0" distB="0" distL="0" distR="0">
            <wp:extent cx="5048250" cy="2295525"/>
            <wp:effectExtent l="19050" t="0" r="0" b="0"/>
            <wp:docPr id="1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236"/>
                    <a:srcRect l="14561" t="12311" b="11617"/>
                    <a:stretch>
                      <a:fillRect/>
                    </a:stretch>
                  </pic:blipFill>
                  <pic:spPr bwMode="auto">
                    <a:xfrm>
                      <a:off x="0" y="0"/>
                      <a:ext cx="5048250" cy="2295525"/>
                    </a:xfrm>
                    <a:prstGeom prst="rect">
                      <a:avLst/>
                    </a:prstGeom>
                    <a:noFill/>
                    <a:ln w="9525">
                      <a:noFill/>
                      <a:miter lim="800000"/>
                      <a:headEnd/>
                      <a:tailEnd/>
                    </a:ln>
                  </pic:spPr>
                </pic:pic>
              </a:graphicData>
            </a:graphic>
          </wp:inline>
        </w:drawing>
      </w:r>
    </w:p>
    <w:p/>
    <w:p>
      <w:pPr>
        <w:rPr>
          <w:u w:val="single"/>
        </w:rPr>
      </w:pPr>
      <w:r>
        <w:rPr>
          <w:u w:val="single"/>
        </w:rPr>
        <w:t>Création – Modification – Révocation d’un compte CERBERE</w:t>
      </w:r>
    </w:p>
    <w:p>
      <w:pPr>
        <w:rPr>
          <w:u w:val="single"/>
        </w:rPr>
      </w:pPr>
    </w:p>
    <w:p>
      <w:r>
        <w:t xml:space="preserve">Les anciens comptes école de type </w:t>
      </w:r>
      <w:hyperlink r:id="rId237" w:history="1">
        <w:r>
          <w:rPr>
            <w:rStyle w:val="Lienhypertexte"/>
          </w:rPr>
          <w:t>ec00xxxx@adm.cfwb.be</w:t>
        </w:r>
      </w:hyperlink>
      <w:r>
        <w:t xml:space="preserve"> ou </w:t>
      </w:r>
      <w:hyperlink r:id="rId238" w:history="1">
        <w:r>
          <w:rPr>
            <w:rStyle w:val="Lienhypertexte"/>
          </w:rPr>
          <w:t>po00xxxx@adm.cfwb.be</w:t>
        </w:r>
      </w:hyperlink>
      <w:r>
        <w:t xml:space="preserve"> sont voués à être remplacés durant l’année scolaire 2017-2018 par des comptes personnalisés donnant droit à certaines applications en fonction des profils.</w:t>
      </w:r>
    </w:p>
    <w:p/>
    <w:p>
      <w:r>
        <w:t xml:space="preserve">Toutes les modifications de compte (arrivée ou départ d’un membre du personnel, élargissement ou rétrécissement des droit doit être communiquées sans délai à l’administration selon les consignes reprises dans la </w:t>
      </w:r>
      <w:hyperlink r:id="rId239" w:history="1">
        <w:r>
          <w:rPr>
            <w:rStyle w:val="Lienhypertexte"/>
          </w:rPr>
          <w:t>circulaire 5681 du 12 avril 2016</w:t>
        </w:r>
      </w:hyperlink>
      <w:r>
        <w:t>.</w:t>
      </w:r>
    </w:p>
    <w:p>
      <w:pPr>
        <w:tabs>
          <w:tab w:val="left" w:pos="1005"/>
        </w:tabs>
      </w:pPr>
      <w:r>
        <w:tab/>
      </w:r>
    </w:p>
    <w:p>
      <w:pPr>
        <w:tabs>
          <w:tab w:val="left" w:pos="1005"/>
        </w:tabs>
      </w:pPr>
    </w:p>
    <w:p>
      <w:pPr>
        <w:tabs>
          <w:tab w:val="left" w:pos="1005"/>
        </w:tabs>
      </w:pPr>
    </w:p>
    <w:p>
      <w:pPr>
        <w:pStyle w:val="Titre3"/>
      </w:pPr>
      <w:bookmarkStart w:id="3508" w:name="_Toc18914531"/>
      <w:r>
        <w:t>2. Application SIEL</w:t>
      </w:r>
      <w:bookmarkEnd w:id="3508"/>
      <w:r>
        <w:rPr>
          <w:color w:val="FF0000"/>
        </w:rPr>
        <w:t xml:space="preserve"> </w:t>
      </w:r>
    </w:p>
    <w:p>
      <w:pPr>
        <w:jc w:val="both"/>
      </w:pPr>
    </w:p>
    <w:p>
      <w:pPr>
        <w:jc w:val="both"/>
      </w:pPr>
      <w:r>
        <w:t xml:space="preserve">L’application SIEL est vouée à la gestion et à l’inscription des élèves. Ce sont les données de SIEL qui sont globalisées pour déterminer les moyens financiers et humains dont disposera l’établissement. Cette application est </w:t>
      </w:r>
      <w:r>
        <w:rPr>
          <w:b/>
          <w:u w:val="single"/>
        </w:rPr>
        <w:t>une base centrale commune à toutes les écoles</w:t>
      </w:r>
      <w:r>
        <w:t>. Il est donc impératif que les mises à jour y soient faites le plus régulièrement possible, voire en temps réel.</w:t>
      </w:r>
    </w:p>
    <w:p>
      <w:pPr>
        <w:jc w:val="both"/>
      </w:pPr>
    </w:p>
    <w:p>
      <w:pPr>
        <w:jc w:val="both"/>
      </w:pPr>
      <w:r>
        <w:t>Les utilisateurs ont accès à SIEL soit directement depuis le portail des applications métiers, soit par un système d’interfaçage accessible depuis leur application locale (type Creos ou ProEco). La principale différence est qu’ils complètent ou corrigent directement dans l’application s’ils sont utilisateurs web tandis qu’ils envoient une fiche complète s’ils sont utilisateurs d’un autre programme.</w:t>
      </w:r>
    </w:p>
    <w:p/>
    <w:p>
      <w:r>
        <w:t xml:space="preserve">Vous trouverez davantage de détails dans la </w:t>
      </w:r>
      <w:hyperlink r:id="rId240" w:history="1">
        <w:r>
          <w:rPr>
            <w:rStyle w:val="Lienhypertexte"/>
          </w:rPr>
          <w:t>circulaire 5527 du 14 décembre 2015</w:t>
        </w:r>
      </w:hyperlink>
      <w:r>
        <w:t>.</w:t>
      </w:r>
    </w:p>
    <w:p/>
    <w:p>
      <w:pPr>
        <w:pBdr>
          <w:top w:val="single" w:sz="18" w:space="1" w:color="auto"/>
          <w:left w:val="single" w:sz="18" w:space="4" w:color="auto"/>
          <w:bottom w:val="single" w:sz="18" w:space="1" w:color="auto"/>
          <w:right w:val="single" w:sz="18" w:space="4" w:color="auto"/>
        </w:pBdr>
        <w:rPr>
          <w:b/>
        </w:rPr>
      </w:pPr>
      <w:r>
        <w:rPr>
          <w:b/>
        </w:rPr>
        <w:sym w:font="Wingdings" w:char="F047"/>
      </w:r>
      <w:r>
        <w:rPr>
          <w:b/>
        </w:rPr>
        <w:t xml:space="preserve"> Les élèves relevant de l’enseignement spécialisé de type 5 ne sont pas encodés dans SIEL.</w:t>
      </w:r>
    </w:p>
    <w:p/>
    <w:p>
      <w:r>
        <w:t>Pour tout renseignement complémentaire, vous pouvez prendre contact avec :</w:t>
      </w:r>
    </w:p>
    <w:p/>
    <w:p>
      <w:pPr>
        <w:pBdr>
          <w:top w:val="single" w:sz="4" w:space="1" w:color="auto"/>
          <w:left w:val="single" w:sz="4" w:space="4" w:color="auto"/>
          <w:bottom w:val="single" w:sz="4" w:space="1" w:color="auto"/>
          <w:right w:val="single" w:sz="4" w:space="4" w:color="auto"/>
        </w:pBdr>
        <w:jc w:val="center"/>
      </w:pPr>
      <w:r>
        <w:t>Direction générale de l’enseignement obligatoire</w:t>
      </w:r>
    </w:p>
    <w:p>
      <w:pPr>
        <w:pBdr>
          <w:top w:val="single" w:sz="4" w:space="1" w:color="auto"/>
          <w:left w:val="single" w:sz="4" w:space="4" w:color="auto"/>
          <w:bottom w:val="single" w:sz="4" w:space="1" w:color="auto"/>
          <w:right w:val="single" w:sz="4" w:space="4" w:color="auto"/>
        </w:pBdr>
        <w:jc w:val="center"/>
      </w:pPr>
      <w:r>
        <w:t>Service de l’enseignement spécialisé</w:t>
      </w:r>
    </w:p>
    <w:p>
      <w:pPr>
        <w:pBdr>
          <w:top w:val="single" w:sz="4" w:space="1" w:color="auto"/>
          <w:left w:val="single" w:sz="4" w:space="4" w:color="auto"/>
          <w:bottom w:val="single" w:sz="4" w:space="1" w:color="auto"/>
          <w:right w:val="single" w:sz="4" w:space="4" w:color="auto"/>
        </w:pBdr>
        <w:jc w:val="center"/>
      </w:pPr>
      <w:r>
        <w:t>Rue Adolphe Lavallée, 1</w:t>
      </w:r>
    </w:p>
    <w:p>
      <w:pPr>
        <w:pBdr>
          <w:top w:val="single" w:sz="4" w:space="1" w:color="auto"/>
          <w:left w:val="single" w:sz="4" w:space="4" w:color="auto"/>
          <w:bottom w:val="single" w:sz="4" w:space="1" w:color="auto"/>
          <w:right w:val="single" w:sz="4" w:space="4" w:color="auto"/>
        </w:pBdr>
        <w:jc w:val="center"/>
      </w:pPr>
      <w:r>
        <w:t>1080    BRUXELLES</w:t>
      </w:r>
    </w:p>
    <w:p>
      <w:pPr>
        <w:pStyle w:val="Corpsdetexte"/>
      </w:pPr>
    </w:p>
    <w:tbl>
      <w:tblPr>
        <w:tblW w:w="0" w:type="auto"/>
        <w:tblLook w:val="00A0" w:firstRow="1" w:lastRow="0" w:firstColumn="1" w:lastColumn="0" w:noHBand="0" w:noVBand="0"/>
      </w:tblPr>
      <w:tblGrid>
        <w:gridCol w:w="4685"/>
        <w:gridCol w:w="4669"/>
      </w:tblGrid>
      <w:tr>
        <w:tc>
          <w:tcPr>
            <w:tcW w:w="4840" w:type="dxa"/>
          </w:tcPr>
          <w:p>
            <w:pPr>
              <w:pStyle w:val="Corpsdetexte"/>
            </w:pPr>
            <w:r>
              <w:t xml:space="preserve"> Madame Véronique ROMBAUT</w:t>
            </w:r>
          </w:p>
          <w:p>
            <w:pPr>
              <w:pStyle w:val="Corpsdetexte"/>
            </w:pPr>
            <w:r>
              <w:t xml:space="preserve"> Bureau 2F245</w:t>
            </w:r>
          </w:p>
          <w:p>
            <w:pPr>
              <w:pStyle w:val="Corpsdetexte"/>
            </w:pPr>
            <w:r>
              <w:sym w:font="Wingdings" w:char="F028"/>
            </w:r>
            <w:r>
              <w:t xml:space="preserve"> : 02/690.83.99 </w:t>
            </w:r>
          </w:p>
          <w:p>
            <w:pPr>
              <w:pStyle w:val="Corpsdetexte"/>
            </w:pPr>
            <w:r>
              <w:rPr>
                <w:bCs/>
              </w:rPr>
              <w:sym w:font="Wingdings" w:char="F03A"/>
            </w:r>
            <w:r>
              <w:rPr>
                <w:bCs/>
              </w:rPr>
              <w:t> :</w:t>
            </w:r>
            <w:r>
              <w:t xml:space="preserve"> </w:t>
            </w:r>
            <w:hyperlink r:id="rId241" w:history="1">
              <w:r>
                <w:rPr>
                  <w:rStyle w:val="Lienhypertexte"/>
                </w:rPr>
                <w:t>veronique.rombaut@cfwb.be</w:t>
              </w:r>
            </w:hyperlink>
          </w:p>
          <w:p>
            <w:pPr>
              <w:pStyle w:val="Corpsdetexte"/>
            </w:pPr>
            <w:r>
              <w:t xml:space="preserve"> </w:t>
            </w:r>
          </w:p>
          <w:p>
            <w:pPr>
              <w:pStyle w:val="Corpsdetexte"/>
            </w:pPr>
          </w:p>
        </w:tc>
        <w:tc>
          <w:tcPr>
            <w:tcW w:w="4840" w:type="dxa"/>
          </w:tcPr>
          <w:p>
            <w:pPr>
              <w:pStyle w:val="Corpsdetexte"/>
              <w:rPr>
                <w:lang w:val="en-US"/>
              </w:rPr>
            </w:pPr>
            <w:r>
              <w:rPr>
                <w:lang w:val="en-US"/>
              </w:rPr>
              <w:t xml:space="preserve"> Madame Christine WILLEMS</w:t>
            </w:r>
          </w:p>
          <w:p>
            <w:pPr>
              <w:pStyle w:val="Corpsdetexte"/>
              <w:rPr>
                <w:lang w:val="en-US"/>
              </w:rPr>
            </w:pPr>
            <w:r>
              <w:rPr>
                <w:lang w:val="en-US"/>
              </w:rPr>
              <w:t xml:space="preserve"> Bureau 2F241</w:t>
            </w:r>
          </w:p>
          <w:p>
            <w:pPr>
              <w:pStyle w:val="Corpsdetexte"/>
              <w:rPr>
                <w:lang w:val="en-US"/>
              </w:rPr>
            </w:pPr>
            <w:r>
              <w:sym w:font="Wingdings" w:char="F028"/>
            </w:r>
            <w:r>
              <w:rPr>
                <w:lang w:val="en-US"/>
              </w:rPr>
              <w:t> : 02/690.84.11</w:t>
            </w:r>
          </w:p>
          <w:p>
            <w:pPr>
              <w:framePr w:wrap="auto" w:vAnchor="page" w:hAnchor="page" w:x="1165" w:y="6436"/>
              <w:tabs>
                <w:tab w:val="left" w:pos="1134"/>
              </w:tabs>
              <w:ind w:hanging="110"/>
              <w:rPr>
                <w:b/>
              </w:rPr>
            </w:pPr>
            <w:r>
              <w:rPr>
                <w:bCs/>
              </w:rPr>
              <w:sym w:font="Wingdings" w:char="F03A"/>
            </w:r>
            <w:r>
              <w:rPr>
                <w:bCs/>
              </w:rPr>
              <w:t xml:space="preserve"> : </w:t>
            </w:r>
            <w:hyperlink r:id="rId242" w:history="1">
              <w:r>
                <w:rPr>
                  <w:rStyle w:val="Lienhypertexte"/>
                  <w:rFonts w:cs="Arial"/>
                  <w:bCs/>
                </w:rPr>
                <w:t>christine.willems@cfwb.be</w:t>
              </w:r>
            </w:hyperlink>
            <w:r>
              <w:rPr>
                <w:b/>
                <w:bCs/>
              </w:rPr>
              <w:t xml:space="preserve"> </w:t>
            </w:r>
          </w:p>
          <w:p>
            <w:pPr>
              <w:pStyle w:val="Corpsdetexte"/>
            </w:pPr>
          </w:p>
          <w:p>
            <w:pPr>
              <w:pStyle w:val="Corpsdetexte"/>
            </w:pPr>
          </w:p>
        </w:tc>
      </w:tr>
    </w:tbl>
    <w:p>
      <w:pPr>
        <w:pStyle w:val="Titre3"/>
      </w:pPr>
      <w:bookmarkStart w:id="3509" w:name="_3._L’entrée_en"/>
      <w:bookmarkStart w:id="3510" w:name="_Toc18914532"/>
      <w:bookmarkEnd w:id="3509"/>
      <w:r>
        <w:t>3. L’entrée en vigueur du RGPD.</w:t>
      </w:r>
      <w:bookmarkEnd w:id="3510"/>
      <w:r>
        <w:t xml:space="preserve"> </w:t>
      </w:r>
    </w:p>
    <w:p>
      <w:pPr>
        <w:tabs>
          <w:tab w:val="left" w:pos="1134"/>
        </w:tabs>
        <w:jc w:val="both"/>
      </w:pPr>
    </w:p>
    <w:p>
      <w:pPr>
        <w:spacing w:line="300" w:lineRule="exact"/>
        <w:contextualSpacing/>
        <w:jc w:val="both"/>
      </w:pPr>
      <w:r>
        <w:t xml:space="preserve">L’organisation et la gestion du système scolaire, d’une part, et celles des établissements, d’autre part, reposent sur la collecte, l’échange, la transformation de nombreuses données. Ces données sont soit anonymes, telles que les données chiffrées ou quantitatives (par exemple des données financières), soit - et dans la plupart des cas - possèdent un caractère personnel, qu’il s’agisse de données relatives aux élèves et leurs parents, aux enseignants ou à tout autre membre du personnel. </w:t>
      </w:r>
    </w:p>
    <w:p>
      <w:pPr>
        <w:spacing w:line="300" w:lineRule="exact"/>
        <w:jc w:val="both"/>
      </w:pPr>
    </w:p>
    <w:p>
      <w:pPr>
        <w:spacing w:line="300" w:lineRule="exact"/>
        <w:jc w:val="both"/>
      </w:pPr>
      <w:r>
        <w:t>Le Règlement Général sur la Protection des Données (en abrégé RGPD)</w:t>
      </w:r>
      <w:r>
        <w:footnoteReference w:id="140"/>
      </w:r>
      <w:r>
        <w:t>, adopté le 27 avril 2016</w:t>
      </w:r>
      <w:r>
        <w:footnoteReference w:id="141"/>
      </w:r>
      <w:r>
        <w:t>, vise les données à caractère personnel. Le Règlement a pour objectif principal d’assurer un même niveau de protection aux données à caractère personnel, et ce dans l’ensemble des Etats membres de l’UE.</w:t>
      </w:r>
    </w:p>
    <w:p>
      <w:pPr>
        <w:spacing w:line="300" w:lineRule="exact"/>
        <w:jc w:val="both"/>
      </w:pPr>
    </w:p>
    <w:p>
      <w:pPr>
        <w:spacing w:line="300" w:lineRule="exact"/>
        <w:jc w:val="both"/>
        <w:rPr>
          <w:b/>
        </w:rPr>
      </w:pPr>
      <w:r>
        <w:rPr>
          <w:b/>
        </w:rPr>
        <w:t xml:space="preserve">Il s’agit ici d’attirer l’attention des Pouvoirs organisateurs et des Chefs d’établissement sur les grands principes généraux du RGPD, les concepts sur lesquels il se fonde, et les exigences qui doivent être rencontrées dans notre système scolaire. Le RGPD conforte les obligations auxquelles les acteurs du système éducatif étaient soumis jusqu’à présent, mais il en supprime, modifie et ajoute certaines. </w:t>
      </w:r>
    </w:p>
    <w:p>
      <w:pPr>
        <w:spacing w:line="300" w:lineRule="exact"/>
        <w:jc w:val="both"/>
      </w:pPr>
    </w:p>
    <w:p>
      <w:pPr>
        <w:spacing w:line="300" w:lineRule="exact"/>
        <w:jc w:val="both"/>
      </w:pPr>
      <w:r>
        <w:t xml:space="preserve">Pour rappel, même si le RGPD se base essentiellement sur la protection des données personnelles via le support numérique, on ne peut oublier que de nombreux documents reprenant des données personnelles sont encore sous la forme « papier ». Il faut dès lors protéger ces données « papier »  au même titre que les données numériques. </w:t>
      </w:r>
    </w:p>
    <w:p>
      <w:pPr>
        <w:spacing w:line="300" w:lineRule="exact"/>
        <w:jc w:val="both"/>
        <w:rPr>
          <w:rFonts w:ascii="Arial" w:hAnsi="Arial" w:cs="Arial"/>
          <w:lang w:val="fr-FR"/>
        </w:rPr>
      </w:pPr>
    </w:p>
    <w:p>
      <w:pPr>
        <w:autoSpaceDE w:val="0"/>
        <w:autoSpaceDN w:val="0"/>
        <w:adjustRightInd w:val="0"/>
        <w:contextualSpacing/>
        <w:jc w:val="both"/>
        <w:rPr>
          <w:b/>
          <w:u w:val="single"/>
        </w:rPr>
      </w:pPr>
      <w:bookmarkStart w:id="3511" w:name="_Toc14530"/>
      <w:r>
        <w:rPr>
          <w:b/>
          <w:u w:val="single"/>
        </w:rPr>
        <w:t xml:space="preserve">Qu'est-ce que le Règlement général sur la protection des données (RGPD) ?  </w:t>
      </w:r>
      <w:bookmarkEnd w:id="3511"/>
    </w:p>
    <w:p>
      <w:pPr>
        <w:spacing w:line="256" w:lineRule="auto"/>
        <w:jc w:val="both"/>
        <w:rPr>
          <w:rFonts w:ascii="Arial" w:eastAsia="Calibri" w:hAnsi="Arial" w:cs="Arial"/>
        </w:rPr>
      </w:pPr>
      <w:r>
        <w:rPr>
          <w:rFonts w:ascii="Arial" w:hAnsi="Arial" w:cs="Arial"/>
        </w:rPr>
        <w:t xml:space="preserve"> </w:t>
      </w:r>
    </w:p>
    <w:p>
      <w:pPr>
        <w:spacing w:after="3" w:line="264" w:lineRule="auto"/>
        <w:jc w:val="both"/>
      </w:pPr>
      <w:r>
        <w:t xml:space="preserve">Le nouveau Règlement, entré en vigueur le 25 mai 2018,  s’applique aux "traitements" de "données à caractère personnel". </w:t>
      </w:r>
    </w:p>
    <w:p>
      <w:pPr>
        <w:spacing w:after="3" w:line="264" w:lineRule="auto"/>
        <w:jc w:val="both"/>
      </w:pPr>
    </w:p>
    <w:p>
      <w:pPr>
        <w:spacing w:after="3" w:line="264" w:lineRule="auto"/>
        <w:jc w:val="both"/>
      </w:pPr>
      <w:r>
        <w:t xml:space="preserve">Il est dès lors essentiel de cerner ces deux notions. </w:t>
      </w:r>
    </w:p>
    <w:p>
      <w:pPr>
        <w:spacing w:line="300" w:lineRule="exact"/>
        <w:contextualSpacing/>
        <w:jc w:val="both"/>
      </w:pPr>
    </w:p>
    <w:p>
      <w:pPr>
        <w:spacing w:line="300" w:lineRule="exact"/>
        <w:contextualSpacing/>
        <w:jc w:val="both"/>
        <w:rPr>
          <w:i/>
        </w:rPr>
      </w:pPr>
      <w:r>
        <w:rPr>
          <w:i/>
        </w:rPr>
        <w:t xml:space="preserve">Qu’est-ce qu’un traitement ? </w:t>
      </w:r>
    </w:p>
    <w:p>
      <w:pPr>
        <w:spacing w:before="240" w:line="300" w:lineRule="exact"/>
        <w:contextualSpacing/>
        <w:jc w:val="both"/>
      </w:pPr>
    </w:p>
    <w:p>
      <w:pPr>
        <w:spacing w:line="300" w:lineRule="exact"/>
        <w:contextualSpacing/>
        <w:jc w:val="both"/>
      </w:pPr>
      <w:r>
        <w:t xml:space="preserve">Un « traitement » recouvre toute opération ou tout ensemble d'opérations effectuées ou non à l'aide de procédés automatisés et appliquées à des données ou des ensembles de données à caractère personnel, telles que la collecte, l'enregistrement, l'organisation, la conservation, l'adaptation ou la modification, l'extraction, la consultation, l'utilisation, la communication par transmission, la diffusion, etc. </w:t>
      </w:r>
    </w:p>
    <w:p>
      <w:pPr>
        <w:spacing w:line="300" w:lineRule="exact"/>
        <w:contextualSpacing/>
        <w:jc w:val="both"/>
      </w:pPr>
    </w:p>
    <w:p>
      <w:pPr>
        <w:spacing w:line="300" w:lineRule="exact"/>
        <w:contextualSpacing/>
        <w:jc w:val="both"/>
      </w:pPr>
      <w:r>
        <w:rPr>
          <w:rFonts w:ascii="Segoe UI Symbol" w:hAnsi="Segoe UI Symbol" w:cs="Segoe UI Symbol"/>
        </w:rPr>
        <w:t>⚠</w:t>
      </w:r>
      <w:r>
        <w:t xml:space="preserve"> Le simple fait de « consulter » et/ou de « collecter » des données à caractère personnel est considéré comme un "traitement" et doit par conséquent être conforme aux principes du RGPD. </w:t>
      </w:r>
    </w:p>
    <w:p>
      <w:pPr>
        <w:rPr>
          <w:i/>
        </w:rPr>
      </w:pPr>
    </w:p>
    <w:p>
      <w:pPr>
        <w:spacing w:line="300" w:lineRule="exact"/>
        <w:jc w:val="both"/>
        <w:rPr>
          <w:i/>
        </w:rPr>
      </w:pPr>
      <w:r>
        <w:rPr>
          <w:i/>
        </w:rPr>
        <w:t xml:space="preserve">Qu’est-ce qu’une donnée à caractère personnel ? </w:t>
      </w:r>
    </w:p>
    <w:p>
      <w:pPr>
        <w:spacing w:line="300" w:lineRule="exact"/>
        <w:jc w:val="both"/>
      </w:pPr>
    </w:p>
    <w:p>
      <w:pPr>
        <w:spacing w:line="300" w:lineRule="exact"/>
        <w:jc w:val="both"/>
      </w:pPr>
      <w:r>
        <w:t xml:space="preserve">Les "données à caractère personnel" incluent toutes les données qui permettent d’identifier directement ou indirectement quelqu’un. Outre les noms, prénoms, date de naissance, adresse, il s’agit donc aussi de toutes les informations comme une adresse IP, un numéro d’immatriculation, une photographie, un numéro de registre national, un numéro de téléphone, une adresse mail professionnelle, etc. </w:t>
      </w:r>
    </w:p>
    <w:p>
      <w:pPr>
        <w:spacing w:line="300" w:lineRule="exact"/>
        <w:jc w:val="both"/>
      </w:pPr>
    </w:p>
    <w:p>
      <w:pPr>
        <w:spacing w:line="300" w:lineRule="exact"/>
        <w:jc w:val="both"/>
      </w:pPr>
      <w:r>
        <w:rPr>
          <w:rFonts w:ascii="Segoe UI Symbol" w:hAnsi="Segoe UI Symbol" w:cs="Segoe UI Symbol"/>
        </w:rPr>
        <w:t>⚠</w:t>
      </w:r>
      <w:r>
        <w:t xml:space="preserve"> Dans une école, de nombreuses données considérées comme des données à caractère personnel, sont récoltées et manipulées : Données nécessaires à l’envoi vers SIEL, le Plan Individuel d’Apprentissage (PIA), les résultats des diverses évaluations externes certificatives ou non certificatives (CEB, CE1D, CE2D, CESS entre autres), le dossier personnel du membre du personnel fonctionnant au sein de l’établissement, le dossier CPMS de l’élève, … </w:t>
      </w:r>
    </w:p>
    <w:p>
      <w:pPr>
        <w:jc w:val="both"/>
      </w:pPr>
    </w:p>
    <w:p>
      <w:pPr>
        <w:jc w:val="both"/>
        <w:rPr>
          <w:i/>
        </w:rPr>
      </w:pPr>
      <w:r>
        <w:rPr>
          <w:i/>
        </w:rPr>
        <w:t xml:space="preserve">Quels sont les principaux changements induits par le RGPD ? </w:t>
      </w:r>
    </w:p>
    <w:p>
      <w:pPr>
        <w:spacing w:after="11" w:line="256" w:lineRule="auto"/>
        <w:jc w:val="both"/>
      </w:pPr>
      <w:r>
        <w:t xml:space="preserve"> </w:t>
      </w:r>
    </w:p>
    <w:p>
      <w:pPr>
        <w:numPr>
          <w:ilvl w:val="0"/>
          <w:numId w:val="237"/>
        </w:numPr>
        <w:spacing w:after="3" w:line="264" w:lineRule="auto"/>
        <w:ind w:hanging="360"/>
        <w:jc w:val="both"/>
      </w:pPr>
      <w:r>
        <w:rPr>
          <w:b/>
        </w:rPr>
        <w:t>La suppression des formalités de déclarations préalables</w:t>
      </w:r>
      <w:r>
        <w:t>.  La déclaration et la demande d’autorisation préalable auprès de  l'Autorité de protection des données (commission vie privée) n’est plus nécessaire pour les écoles.</w:t>
      </w:r>
    </w:p>
    <w:p>
      <w:pPr>
        <w:spacing w:after="3" w:line="264" w:lineRule="auto"/>
        <w:ind w:left="705"/>
        <w:jc w:val="both"/>
      </w:pPr>
    </w:p>
    <w:p>
      <w:pPr>
        <w:numPr>
          <w:ilvl w:val="0"/>
          <w:numId w:val="237"/>
        </w:numPr>
        <w:spacing w:after="3" w:line="264" w:lineRule="auto"/>
        <w:ind w:hanging="360"/>
        <w:jc w:val="both"/>
      </w:pPr>
      <w:r>
        <w:t>U</w:t>
      </w:r>
      <w:r>
        <w:rPr>
          <w:b/>
        </w:rPr>
        <w:t xml:space="preserve">ne plus grande responsabilité de celui qui traite les données.  </w:t>
      </w:r>
    </w:p>
    <w:p>
      <w:pPr>
        <w:ind w:left="730"/>
        <w:jc w:val="both"/>
      </w:pPr>
      <w:r>
        <w:t xml:space="preserve">Le Pouvoir Organisateur de l’école devra démontrer que lorsqu'il traite lui-même les données à caractère personnel, il le fait conformément aux règles et principes du RGPD.  </w:t>
      </w:r>
    </w:p>
    <w:p>
      <w:pPr>
        <w:spacing w:after="14" w:line="256" w:lineRule="auto"/>
        <w:ind w:left="720"/>
        <w:jc w:val="both"/>
      </w:pPr>
      <w:r>
        <w:t xml:space="preserve"> </w:t>
      </w:r>
    </w:p>
    <w:p>
      <w:pPr>
        <w:numPr>
          <w:ilvl w:val="0"/>
          <w:numId w:val="237"/>
        </w:numPr>
        <w:spacing w:after="5" w:line="247" w:lineRule="auto"/>
        <w:ind w:left="730" w:hanging="360"/>
        <w:jc w:val="both"/>
      </w:pPr>
      <w:r>
        <w:t xml:space="preserve">Les Pouvoirs Organisateurs des écoles devront désigner </w:t>
      </w:r>
      <w:r>
        <w:rPr>
          <w:b/>
        </w:rPr>
        <w:t>au sein de leur(s) établissement(s) un  délégué à la protection des données (DPO pour Data Protection Officer). Celui-ci pourra être mutualisé entre différents Pouvoirs organisateurs ou entre différentes écoles/implantations. En cas de mutualisation, les Pouvoirs Organisateurs devront désigner un interlocuteur au sein de chaque école</w:t>
      </w:r>
      <w:r>
        <w:t xml:space="preserve"> qui connaît le cadre légal relatif à la protection des données à caractère personnel et qui pourra aider à la mettre en œuvre au sein de l'école </w:t>
      </w:r>
    </w:p>
    <w:p>
      <w:pPr>
        <w:spacing w:after="28" w:line="256" w:lineRule="auto"/>
        <w:ind w:left="720"/>
        <w:jc w:val="both"/>
      </w:pPr>
      <w:r>
        <w:t xml:space="preserve"> </w:t>
      </w:r>
    </w:p>
    <w:p>
      <w:pPr>
        <w:numPr>
          <w:ilvl w:val="0"/>
          <w:numId w:val="237"/>
        </w:numPr>
        <w:spacing w:after="3" w:line="264" w:lineRule="auto"/>
        <w:ind w:left="730" w:hanging="360"/>
        <w:jc w:val="both"/>
      </w:pPr>
      <w:r>
        <w:t xml:space="preserve">Les Pouvoirs Organisateurs des écoles devront organiser la tenue d’un </w:t>
      </w:r>
      <w:r>
        <w:rPr>
          <w:b/>
        </w:rPr>
        <w:t>registre des activités de traitement</w:t>
      </w:r>
      <w:r>
        <w:t>.  Un registre des activités de traitement reprend entre autres quelles données à caractère personnel sont traitées par l'école, d'où proviennent ces données et avec qui elles sont partagées</w:t>
      </w:r>
      <w:r>
        <w:rPr>
          <w:vertAlign w:val="superscript"/>
        </w:rPr>
        <w:footnoteReference w:id="142"/>
      </w:r>
      <w:r>
        <w:t xml:space="preserve">. </w:t>
      </w:r>
    </w:p>
    <w:p>
      <w:pPr>
        <w:spacing w:after="31" w:line="256" w:lineRule="auto"/>
        <w:ind w:left="720"/>
        <w:jc w:val="both"/>
      </w:pPr>
      <w:r>
        <w:t xml:space="preserve"> </w:t>
      </w:r>
    </w:p>
    <w:p>
      <w:pPr>
        <w:numPr>
          <w:ilvl w:val="0"/>
          <w:numId w:val="237"/>
        </w:numPr>
        <w:spacing w:after="5" w:line="247" w:lineRule="auto"/>
        <w:ind w:hanging="360"/>
        <w:jc w:val="both"/>
      </w:pPr>
      <w:r>
        <w:t xml:space="preserve">La législation prévoit une </w:t>
      </w:r>
      <w:r>
        <w:rPr>
          <w:b/>
        </w:rPr>
        <w:t>obligation de notification</w:t>
      </w:r>
      <w:r>
        <w:t xml:space="preserve"> en cas de fuites de données.  </w:t>
      </w:r>
    </w:p>
    <w:p>
      <w:pPr>
        <w:spacing w:after="196"/>
        <w:ind w:left="730"/>
        <w:jc w:val="both"/>
      </w:pPr>
      <w:r>
        <w:t xml:space="preserve">Par exemple, en cas de fuites de données sensibles à caractère personnel, l’école devra notifier les fuites de données à l'Autorité de protection des données (et éventuellement aux personnes concernées par la fuite : parents, élèves, enseignants, …). </w:t>
      </w:r>
    </w:p>
    <w:p>
      <w:pPr>
        <w:numPr>
          <w:ilvl w:val="0"/>
          <w:numId w:val="237"/>
        </w:numPr>
        <w:spacing w:after="3" w:line="264" w:lineRule="auto"/>
        <w:ind w:hanging="360"/>
        <w:jc w:val="both"/>
      </w:pPr>
      <w:r>
        <w:rPr>
          <w:b/>
        </w:rPr>
        <w:t>Un contrôle renforcé</w:t>
      </w:r>
      <w:r>
        <w:t>.</w:t>
      </w:r>
    </w:p>
    <w:p>
      <w:pPr>
        <w:ind w:left="730"/>
        <w:jc w:val="both"/>
      </w:pPr>
      <w:r>
        <w:t>En cas de non-respect du RGPD, l'Autorité de protection des données peut imposer des sanctions ainsi que des amendes. Les personnes concernées par un éventuel non-respect du RGPD s’exposent également à la possibilité d’un recours en justice pouvant donner droit à des sanctions.</w:t>
      </w:r>
    </w:p>
    <w:p>
      <w:pPr>
        <w:autoSpaceDE w:val="0"/>
        <w:autoSpaceDN w:val="0"/>
        <w:adjustRightInd w:val="0"/>
        <w:contextualSpacing/>
        <w:jc w:val="both"/>
        <w:rPr>
          <w:rFonts w:ascii="Arial" w:hAnsi="Arial" w:cs="Arial"/>
        </w:rPr>
      </w:pPr>
      <w:r>
        <w:rPr>
          <w:rFonts w:ascii="Arial" w:hAnsi="Arial" w:cs="Arial"/>
        </w:rPr>
        <w:t xml:space="preserve"> </w:t>
      </w:r>
    </w:p>
    <w:p>
      <w:pPr>
        <w:autoSpaceDE w:val="0"/>
        <w:autoSpaceDN w:val="0"/>
        <w:adjustRightInd w:val="0"/>
        <w:contextualSpacing/>
        <w:jc w:val="both"/>
        <w:rPr>
          <w:b/>
          <w:u w:val="single"/>
        </w:rPr>
      </w:pPr>
      <w:bookmarkStart w:id="3512" w:name="_Toc14531"/>
      <w:r>
        <w:rPr>
          <w:b/>
          <w:u w:val="single"/>
        </w:rPr>
        <w:t xml:space="preserve">En tant qu'école, comment devront être traitées des données à caractère personnel ?  </w:t>
      </w:r>
      <w:bookmarkEnd w:id="3512"/>
    </w:p>
    <w:p>
      <w:pPr>
        <w:spacing w:line="256" w:lineRule="auto"/>
        <w:jc w:val="both"/>
      </w:pPr>
      <w:r>
        <w:t xml:space="preserve"> </w:t>
      </w:r>
    </w:p>
    <w:p>
      <w:pPr>
        <w:spacing w:after="204"/>
        <w:jc w:val="both"/>
      </w:pPr>
      <w:r>
        <w:t xml:space="preserve">Les </w:t>
      </w:r>
      <w:r>
        <w:rPr>
          <w:b/>
        </w:rPr>
        <w:t>principes essentiels</w:t>
      </w:r>
      <w:r>
        <w:t xml:space="preserve"> auxquels une école doit satisfaire lors du traitement de données à caractère personnel sont les suivants :  </w:t>
      </w:r>
    </w:p>
    <w:p>
      <w:pPr>
        <w:numPr>
          <w:ilvl w:val="0"/>
          <w:numId w:val="238"/>
        </w:numPr>
        <w:spacing w:after="5" w:line="247" w:lineRule="auto"/>
        <w:jc w:val="both"/>
      </w:pPr>
      <w:r>
        <w:t xml:space="preserve">Traiter les données à caractère personnel pour </w:t>
      </w:r>
      <w:r>
        <w:rPr>
          <w:b/>
        </w:rPr>
        <w:t>des finalités déterminées, limitées et légitimes</w:t>
      </w:r>
      <w:r>
        <w:t xml:space="preserve">. Utiliser les données à caractère personnel uniquement dans ce but.  </w:t>
      </w:r>
    </w:p>
    <w:p>
      <w:pPr>
        <w:spacing w:line="256" w:lineRule="auto"/>
        <w:ind w:left="720"/>
        <w:jc w:val="both"/>
      </w:pPr>
      <w:r>
        <w:t xml:space="preserve"> </w:t>
      </w:r>
    </w:p>
    <w:p>
      <w:pPr>
        <w:ind w:left="730"/>
        <w:jc w:val="both"/>
        <w:rPr>
          <w:i/>
        </w:rPr>
      </w:pPr>
      <w:r>
        <w:rPr>
          <w:i/>
        </w:rPr>
        <w:t xml:space="preserve">Exemple : pour des raisons d'administration des élèves, une école connaît l'adresse du domicile de tous les élèves. Ce n'est pas parce qu'une école dispose des données que celles-ci peuvent être transmises à une autre école sans accord des parents ou que l'école peut les utiliser pour diffuser une liste d'adresses aux parents. </w:t>
      </w:r>
    </w:p>
    <w:p>
      <w:pPr>
        <w:spacing w:after="33" w:line="256" w:lineRule="auto"/>
        <w:ind w:left="720"/>
        <w:jc w:val="both"/>
      </w:pPr>
      <w:r>
        <w:t xml:space="preserve"> </w:t>
      </w:r>
    </w:p>
    <w:p>
      <w:pPr>
        <w:numPr>
          <w:ilvl w:val="0"/>
          <w:numId w:val="238"/>
        </w:numPr>
        <w:spacing w:after="5" w:line="247" w:lineRule="auto"/>
        <w:ind w:hanging="360"/>
        <w:jc w:val="both"/>
      </w:pPr>
      <w:r>
        <w:rPr>
          <w:b/>
        </w:rPr>
        <w:t>Etre transparent</w:t>
      </w:r>
      <w:r>
        <w:t xml:space="preserve"> envers le traitement de données à caractère personnel.  </w:t>
      </w:r>
    </w:p>
    <w:p>
      <w:pPr>
        <w:ind w:left="730"/>
        <w:jc w:val="both"/>
      </w:pPr>
      <w:r>
        <w:t xml:space="preserve">Expliquer pourquoi l'école va traiter toutes ou certaines données à caractère personnel. </w:t>
      </w:r>
    </w:p>
    <w:p>
      <w:pPr>
        <w:spacing w:after="33" w:line="256" w:lineRule="auto"/>
        <w:ind w:left="720"/>
        <w:jc w:val="both"/>
      </w:pPr>
      <w:r>
        <w:t xml:space="preserve"> </w:t>
      </w:r>
    </w:p>
    <w:p>
      <w:pPr>
        <w:numPr>
          <w:ilvl w:val="0"/>
          <w:numId w:val="238"/>
        </w:numPr>
        <w:spacing w:after="5" w:line="247" w:lineRule="auto"/>
        <w:ind w:hanging="360"/>
        <w:jc w:val="both"/>
      </w:pPr>
      <w:r>
        <w:t xml:space="preserve">Tout traitement de données à caractère personnel n'est légitime que s'il satisfait à au moins un des </w:t>
      </w:r>
      <w:r>
        <w:rPr>
          <w:b/>
        </w:rPr>
        <w:t>fondements légaux</w:t>
      </w:r>
      <w:r>
        <w:t xml:space="preserve">.  </w:t>
      </w:r>
    </w:p>
    <w:p>
      <w:pPr>
        <w:spacing w:line="256" w:lineRule="auto"/>
        <w:ind w:left="2134"/>
        <w:jc w:val="both"/>
      </w:pPr>
    </w:p>
    <w:tbl>
      <w:tblPr>
        <w:tblStyle w:val="TableGrid"/>
        <w:tblW w:w="8505" w:type="dxa"/>
        <w:tblInd w:w="817" w:type="dxa"/>
        <w:tblBorders>
          <w:top w:val="single" w:sz="4" w:space="0" w:color="000000"/>
          <w:left w:val="single" w:sz="4" w:space="0" w:color="000000"/>
          <w:bottom w:val="single" w:sz="4" w:space="0" w:color="000000"/>
          <w:right w:val="single" w:sz="18" w:space="0" w:color="auto"/>
        </w:tblBorders>
        <w:tblCellMar>
          <w:top w:w="46" w:type="dxa"/>
          <w:left w:w="108" w:type="dxa"/>
          <w:right w:w="62" w:type="dxa"/>
        </w:tblCellMar>
        <w:tblLook w:val="04A0" w:firstRow="1" w:lastRow="0" w:firstColumn="1" w:lastColumn="0" w:noHBand="0" w:noVBand="1"/>
      </w:tblPr>
      <w:tblGrid>
        <w:gridCol w:w="8505"/>
      </w:tblGrid>
      <w:tr>
        <w:trPr>
          <w:trHeight w:val="4426"/>
        </w:trPr>
        <w:tc>
          <w:tcPr>
            <w:tcW w:w="8505" w:type="dxa"/>
            <w:tcBorders>
              <w:top w:val="single" w:sz="4" w:space="0" w:color="auto"/>
              <w:left w:val="single" w:sz="4" w:space="0" w:color="auto"/>
              <w:bottom w:val="single" w:sz="4" w:space="0" w:color="auto"/>
              <w:right w:val="single" w:sz="4" w:space="0" w:color="auto"/>
            </w:tcBorders>
          </w:tcPr>
          <w:p>
            <w:pPr>
              <w:spacing w:line="256" w:lineRule="auto"/>
              <w:jc w:val="both"/>
            </w:pPr>
            <w:r>
              <w:t xml:space="preserve">Les principaux fondements légaux sur lesquels une école peut se baser sont : </w:t>
            </w:r>
          </w:p>
          <w:p>
            <w:pPr>
              <w:spacing w:after="12" w:line="256" w:lineRule="auto"/>
              <w:jc w:val="both"/>
            </w:pPr>
            <w:r>
              <w:t xml:space="preserve"> </w:t>
            </w:r>
          </w:p>
          <w:p>
            <w:pPr>
              <w:numPr>
                <w:ilvl w:val="0"/>
                <w:numId w:val="239"/>
              </w:numPr>
              <w:ind w:hanging="360"/>
              <w:jc w:val="both"/>
            </w:pPr>
            <w:r>
              <w:rPr>
                <w:b/>
              </w:rPr>
              <w:t>L'obligation légale</w:t>
            </w:r>
            <w:r>
              <w:t xml:space="preserve"> : si la loi l'impose, les données à caractère personnel peuvent être traitées.  </w:t>
            </w:r>
          </w:p>
          <w:p>
            <w:pPr>
              <w:spacing w:after="34"/>
              <w:ind w:left="360" w:right="47"/>
              <w:jc w:val="both"/>
              <w:rPr>
                <w:i/>
              </w:rPr>
            </w:pPr>
            <w:r>
              <w:rPr>
                <w:i/>
              </w:rPr>
              <w:t xml:space="preserve">Il s'agit par exemple de données administratives et d'accompagnement de l'élève, mais aussi de la langue qu'il parle à la maison,  des données personnelles relatives aux personnels de l’enseignement dont certaines doivent également être transmises à l’AGE, documents de changement d’école,  etc. </w:t>
            </w:r>
          </w:p>
          <w:p>
            <w:pPr>
              <w:spacing w:after="34"/>
              <w:ind w:left="360" w:right="47"/>
              <w:jc w:val="both"/>
            </w:pPr>
          </w:p>
          <w:p>
            <w:pPr>
              <w:numPr>
                <w:ilvl w:val="0"/>
                <w:numId w:val="239"/>
              </w:numPr>
              <w:spacing w:after="2" w:line="237" w:lineRule="auto"/>
              <w:ind w:hanging="360"/>
              <w:jc w:val="both"/>
            </w:pPr>
            <w:r>
              <w:rPr>
                <w:b/>
              </w:rPr>
              <w:t>Le contrat</w:t>
            </w:r>
            <w:r>
              <w:t xml:space="preserve"> : les données à caractère personnel des élèves et des enseignants peuvent être traitées si elles sont nécessaires à l'exécution d'un « contrat </w:t>
            </w:r>
            <w:r>
              <w:rPr>
                <w:vertAlign w:val="superscript"/>
              </w:rPr>
              <w:footnoteReference w:id="143"/>
            </w:r>
            <w:r>
              <w:t xml:space="preserve">».  </w:t>
            </w:r>
          </w:p>
          <w:p>
            <w:pPr>
              <w:spacing w:after="34" w:line="237" w:lineRule="auto"/>
              <w:ind w:left="360" w:right="47"/>
              <w:jc w:val="both"/>
              <w:rPr>
                <w:i/>
              </w:rPr>
            </w:pPr>
            <w:r>
              <w:rPr>
                <w:i/>
              </w:rPr>
              <w:t xml:space="preserve">Par exemple : une photo d'identité d'un élève qui est demandée et qui apparaît sur une carte d'élève afin de lui permettre d'avoir accès à toutes sortes de services proposés par l'école ou encore les données nécessaires à la mise en œuvre du contrat de travail.  </w:t>
            </w:r>
          </w:p>
          <w:p>
            <w:pPr>
              <w:spacing w:after="34" w:line="237" w:lineRule="auto"/>
              <w:ind w:left="360" w:right="47"/>
              <w:jc w:val="both"/>
            </w:pPr>
          </w:p>
          <w:p>
            <w:pPr>
              <w:numPr>
                <w:ilvl w:val="0"/>
                <w:numId w:val="239"/>
              </w:numPr>
              <w:ind w:hanging="360"/>
              <w:jc w:val="both"/>
            </w:pPr>
            <w:r>
              <w:rPr>
                <w:b/>
              </w:rPr>
              <w:t>Le consentement</w:t>
            </w:r>
            <w:r>
              <w:t xml:space="preserve"> : lorsque le traitement ne repose ni sur un cadre juridique précis (les cas ci-dessus), ni sur un accord écrit préalable, le consentement explicite des élèves ou des parents des élèves de moins de 16 ans est nécessaire au traitement de données à caractère personnel pour certaines finalités.  </w:t>
            </w:r>
          </w:p>
          <w:p>
            <w:pPr>
              <w:spacing w:line="237" w:lineRule="auto"/>
              <w:ind w:left="360"/>
              <w:jc w:val="both"/>
            </w:pPr>
            <w:r>
              <w:rPr>
                <w:i/>
              </w:rPr>
              <w:t>Par exemple : pour publier des photos d'élèves sur le site Internet de l'école, un consentement formalisé sera nécessaire</w:t>
            </w:r>
            <w:r>
              <w:t xml:space="preserve">.  </w:t>
            </w:r>
          </w:p>
        </w:tc>
      </w:tr>
    </w:tbl>
    <w:p>
      <w:pPr>
        <w:spacing w:after="192" w:line="256" w:lineRule="auto"/>
        <w:ind w:left="348"/>
        <w:jc w:val="both"/>
        <w:rPr>
          <w:rFonts w:ascii="Arial" w:eastAsia="Calibri" w:hAnsi="Arial" w:cs="Arial"/>
          <w:lang w:val="fr-FR" w:eastAsia="fr-FR"/>
        </w:rPr>
      </w:pPr>
    </w:p>
    <w:p>
      <w:pPr>
        <w:numPr>
          <w:ilvl w:val="0"/>
          <w:numId w:val="238"/>
        </w:numPr>
        <w:spacing w:after="3" w:line="264" w:lineRule="auto"/>
        <w:ind w:hanging="360"/>
        <w:jc w:val="both"/>
      </w:pPr>
      <w:r>
        <w:t xml:space="preserve">Une école </w:t>
      </w:r>
      <w:r>
        <w:rPr>
          <w:b/>
        </w:rPr>
        <w:t>ne traite pas plus de données à caractère personnel que nécessaire</w:t>
      </w:r>
      <w:r>
        <w:t xml:space="preserve"> pour atteindre la finalité déterminée et légitime.  </w:t>
      </w:r>
    </w:p>
    <w:p>
      <w:pPr>
        <w:ind w:left="730"/>
        <w:jc w:val="both"/>
        <w:rPr>
          <w:i/>
        </w:rPr>
      </w:pPr>
      <w:r>
        <w:rPr>
          <w:i/>
        </w:rPr>
        <w:t xml:space="preserve">Par exemple : lors de l'inscription d'un élève, l'école ne doit pas connaître les revenus des parents. </w:t>
      </w:r>
    </w:p>
    <w:p>
      <w:pPr>
        <w:spacing w:after="33" w:line="256" w:lineRule="auto"/>
        <w:ind w:left="720"/>
        <w:jc w:val="both"/>
      </w:pPr>
      <w:r>
        <w:t xml:space="preserve"> </w:t>
      </w:r>
    </w:p>
    <w:p>
      <w:pPr>
        <w:numPr>
          <w:ilvl w:val="0"/>
          <w:numId w:val="238"/>
        </w:numPr>
        <w:spacing w:after="5" w:line="247" w:lineRule="auto"/>
        <w:ind w:hanging="360"/>
        <w:jc w:val="both"/>
      </w:pPr>
      <w:r>
        <w:t xml:space="preserve">Les données à caractère personnel traitées par une école </w:t>
      </w:r>
      <w:r>
        <w:rPr>
          <w:b/>
        </w:rPr>
        <w:t>doivent être exactes et pouvoir être corrigées</w:t>
      </w:r>
      <w:r>
        <w:t xml:space="preserve">.  </w:t>
      </w:r>
    </w:p>
    <w:p>
      <w:pPr>
        <w:ind w:left="730"/>
        <w:jc w:val="both"/>
      </w:pPr>
      <w:r>
        <w:rPr>
          <w:i/>
        </w:rPr>
        <w:t>Par exemple : en cas de déménagement d'un élève, l'école doit adapter l'adresse. Il en va de même pour les numéros de téléphone (GSM) ou adresses électroniques</w:t>
      </w:r>
      <w:r>
        <w:t>.</w:t>
      </w:r>
    </w:p>
    <w:p>
      <w:pPr>
        <w:spacing w:after="34" w:line="256" w:lineRule="auto"/>
        <w:ind w:left="720"/>
      </w:pPr>
      <w:r>
        <w:t xml:space="preserve"> </w:t>
      </w:r>
    </w:p>
    <w:p>
      <w:pPr>
        <w:numPr>
          <w:ilvl w:val="0"/>
          <w:numId w:val="238"/>
        </w:numPr>
        <w:spacing w:after="3" w:line="264" w:lineRule="auto"/>
        <w:ind w:hanging="360"/>
        <w:jc w:val="both"/>
      </w:pPr>
      <w:r>
        <w:rPr>
          <w:b/>
        </w:rPr>
        <w:t>Ne pas conserver les données à caractère personnel plus longtemps que nécessaire</w:t>
      </w:r>
      <w:r>
        <w:t xml:space="preserve">.  </w:t>
      </w:r>
    </w:p>
    <w:p>
      <w:pPr>
        <w:ind w:left="730"/>
        <w:jc w:val="both"/>
      </w:pPr>
      <w:r>
        <w:t xml:space="preserve">Pour certaines données, un délai de conservation légal s'applique.  Le délai de conservation légal des données à caractère personnel doit dès lors être respecté.   </w:t>
      </w:r>
    </w:p>
    <w:p>
      <w:pPr>
        <w:spacing w:after="33" w:line="256" w:lineRule="auto"/>
        <w:ind w:left="720"/>
        <w:jc w:val="both"/>
      </w:pPr>
      <w:r>
        <w:t xml:space="preserve"> </w:t>
      </w:r>
    </w:p>
    <w:p>
      <w:pPr>
        <w:numPr>
          <w:ilvl w:val="0"/>
          <w:numId w:val="238"/>
        </w:numPr>
        <w:spacing w:after="5" w:line="247" w:lineRule="auto"/>
        <w:ind w:hanging="360"/>
        <w:jc w:val="both"/>
      </w:pPr>
      <w:r>
        <w:t>En tant qu'école, prendre des mesures organisationnelles et techniques appropriées afin de protéger les données à caractère personnel contre les traitements non autorisés.</w:t>
      </w:r>
    </w:p>
    <w:p>
      <w:pPr>
        <w:spacing w:line="256" w:lineRule="auto"/>
        <w:ind w:left="360"/>
        <w:jc w:val="both"/>
      </w:pPr>
      <w:r>
        <w:t xml:space="preserve"> </w:t>
      </w:r>
    </w:p>
    <w:p>
      <w:pPr>
        <w:autoSpaceDE w:val="0"/>
        <w:autoSpaceDN w:val="0"/>
        <w:adjustRightInd w:val="0"/>
        <w:contextualSpacing/>
        <w:jc w:val="both"/>
      </w:pPr>
      <w:r>
        <w:t xml:space="preserve">Le pouvoir organisateur est responsable du respect de ces principes et doit pouvoir le démontrer. </w:t>
      </w:r>
    </w:p>
    <w:p>
      <w:pPr>
        <w:spacing w:line="256" w:lineRule="auto"/>
        <w:jc w:val="both"/>
      </w:pPr>
      <w:r>
        <w:t xml:space="preserve"> </w:t>
      </w:r>
      <w:r>
        <w:tab/>
        <w:t xml:space="preserve"> </w:t>
      </w:r>
    </w:p>
    <w:p>
      <w:pPr>
        <w:autoSpaceDE w:val="0"/>
        <w:autoSpaceDN w:val="0"/>
        <w:adjustRightInd w:val="0"/>
        <w:contextualSpacing/>
        <w:jc w:val="both"/>
        <w:rPr>
          <w:b/>
          <w:u w:val="single"/>
        </w:rPr>
      </w:pPr>
      <w:bookmarkStart w:id="3513" w:name="_Toc14532"/>
      <w:r>
        <w:rPr>
          <w:b/>
          <w:u w:val="single"/>
        </w:rPr>
        <w:t xml:space="preserve">En tant qu'école, comment s'y prendre ?  </w:t>
      </w:r>
      <w:bookmarkEnd w:id="3513"/>
    </w:p>
    <w:p>
      <w:pPr>
        <w:spacing w:before="240" w:after="209"/>
        <w:jc w:val="both"/>
      </w:pPr>
      <w:r>
        <w:t>La démarche par étapes décrites ci-dessous permet de guider les écoles dans la mise en œuvre des principes du nouveau Règlement.</w:t>
      </w:r>
    </w:p>
    <w:p>
      <w:pPr>
        <w:spacing w:before="240" w:after="209"/>
        <w:jc w:val="both"/>
      </w:pPr>
    </w:p>
    <w:p>
      <w:pPr>
        <w:spacing w:before="240" w:after="209"/>
        <w:jc w:val="both"/>
      </w:pPr>
    </w:p>
    <w:p>
      <w:pPr>
        <w:spacing w:before="240" w:after="209"/>
        <w:jc w:val="both"/>
      </w:pPr>
      <w:r>
        <w:t xml:space="preserve">  </w:t>
      </w:r>
    </w:p>
    <w:p>
      <w:pPr>
        <w:autoSpaceDE w:val="0"/>
        <w:autoSpaceDN w:val="0"/>
        <w:adjustRightInd w:val="0"/>
        <w:contextualSpacing/>
        <w:jc w:val="both"/>
        <w:rPr>
          <w:b/>
          <w:u w:val="single"/>
        </w:rPr>
      </w:pPr>
      <w:bookmarkStart w:id="3514" w:name="_Toc14533"/>
      <w:r>
        <w:rPr>
          <w:b/>
          <w:u w:val="single"/>
        </w:rPr>
        <w:t xml:space="preserve">ÉTAPE 1 - Informer et sensibiliser </w:t>
      </w:r>
      <w:bookmarkEnd w:id="3514"/>
    </w:p>
    <w:p>
      <w:pPr>
        <w:spacing w:before="240" w:after="168"/>
        <w:jc w:val="both"/>
      </w:pPr>
      <w:r>
        <w:rPr>
          <w:b/>
        </w:rPr>
        <w:t>La sécurité des données à l'école est l'affaire de chacun</w:t>
      </w:r>
      <w:r>
        <w:t xml:space="preserve"> : directeur, enseignants, personnel administratif et d’accueil, économe – comptable, parents, élèves et apprenants, équipe de nettoyage, concierge, bénévoles...  </w:t>
      </w:r>
    </w:p>
    <w:p>
      <w:pPr>
        <w:spacing w:after="168"/>
        <w:jc w:val="both"/>
      </w:pPr>
      <w:r>
        <w:t xml:space="preserve">Afin de conscientiser les membres du personnel, il faut s’assurer que chacun soit au courant de la nouvelle réglementation et veille de manière correcte à la sécurité des données à caractère personnel.  </w:t>
      </w:r>
    </w:p>
    <w:p>
      <w:pPr>
        <w:spacing w:line="256" w:lineRule="auto"/>
        <w:jc w:val="both"/>
        <w:rPr>
          <w:b/>
        </w:rPr>
      </w:pPr>
      <w:r>
        <w:rPr>
          <w:b/>
        </w:rPr>
        <w:t xml:space="preserve">Astuces </w:t>
      </w:r>
    </w:p>
    <w:p>
      <w:pPr>
        <w:spacing w:after="12" w:line="256" w:lineRule="auto"/>
        <w:jc w:val="both"/>
      </w:pPr>
      <w:r>
        <w:t xml:space="preserve"> </w:t>
      </w:r>
    </w:p>
    <w:p>
      <w:pPr>
        <w:numPr>
          <w:ilvl w:val="0"/>
          <w:numId w:val="240"/>
        </w:numPr>
        <w:spacing w:after="34" w:line="237" w:lineRule="auto"/>
        <w:ind w:left="360" w:hanging="360"/>
        <w:jc w:val="both"/>
      </w:pPr>
      <w:r>
        <w:t xml:space="preserve">Ouvrir la discussion autour de la sécurité de l'information et y prêter attention lors des moments de réunions du personnel, des conseils de participation, avec les associations des parents d'élèves, lors des concertations, en présence des centres PMS, ... </w:t>
      </w:r>
    </w:p>
    <w:p>
      <w:pPr>
        <w:spacing w:after="34" w:line="237" w:lineRule="auto"/>
        <w:jc w:val="both"/>
      </w:pPr>
    </w:p>
    <w:p>
      <w:pPr>
        <w:numPr>
          <w:ilvl w:val="0"/>
          <w:numId w:val="240"/>
        </w:numPr>
        <w:spacing w:line="237" w:lineRule="auto"/>
        <w:ind w:left="360" w:hanging="360"/>
        <w:jc w:val="both"/>
      </w:pPr>
      <w:r>
        <w:t xml:space="preserve">Examiner et adapter si nécessaire les textes suivants : le règlement d’ordre intérieur (ROI), le règlement de travail, la déclaration de confidentialité, le plan de sécurité de l'information, la politique de communication et les documents internes en matière de technologie de l’information et de la communication, ... </w:t>
      </w:r>
    </w:p>
    <w:p>
      <w:pPr>
        <w:spacing w:after="199" w:line="256" w:lineRule="auto"/>
        <w:jc w:val="both"/>
      </w:pPr>
    </w:p>
    <w:p>
      <w:pPr>
        <w:autoSpaceDE w:val="0"/>
        <w:autoSpaceDN w:val="0"/>
        <w:adjustRightInd w:val="0"/>
        <w:contextualSpacing/>
        <w:jc w:val="both"/>
        <w:rPr>
          <w:b/>
          <w:u w:val="single"/>
        </w:rPr>
      </w:pPr>
      <w:bookmarkStart w:id="3515" w:name="_Toc14534"/>
      <w:r>
        <w:rPr>
          <w:b/>
          <w:u w:val="single"/>
        </w:rPr>
        <w:t xml:space="preserve">ÉTAPE 2 - Désigner un DPO ainsi qu'un point de contact à l'école  </w:t>
      </w:r>
      <w:bookmarkEnd w:id="3515"/>
    </w:p>
    <w:p>
      <w:pPr>
        <w:numPr>
          <w:ilvl w:val="0"/>
          <w:numId w:val="241"/>
        </w:numPr>
        <w:spacing w:before="240" w:after="171" w:line="247" w:lineRule="auto"/>
        <w:ind w:hanging="360"/>
        <w:jc w:val="both"/>
      </w:pPr>
      <w:r>
        <w:t xml:space="preserve">Le RGPD oblige certaines organisations à désigner un </w:t>
      </w:r>
      <w:r>
        <w:rPr>
          <w:b/>
        </w:rPr>
        <w:t>délégué à la protection des données</w:t>
      </w:r>
      <w:r>
        <w:t xml:space="preserve"> ("DPO" pour Data Protection Officer).  </w:t>
      </w:r>
    </w:p>
    <w:p>
      <w:pPr>
        <w:spacing w:after="171"/>
        <w:ind w:left="718"/>
        <w:jc w:val="both"/>
      </w:pPr>
      <w:r>
        <w:t>Un délégué à la protection des données veille à ce qu'une organisation satisfasse aux lois et réglementations en vigueur en matière de vie privée.  Celui-ci peut être mutualisé entre différentes écoles.</w:t>
      </w:r>
    </w:p>
    <w:p>
      <w:pPr>
        <w:spacing w:after="191" w:line="256" w:lineRule="auto"/>
        <w:ind w:left="708"/>
        <w:jc w:val="both"/>
      </w:pPr>
      <w:r>
        <w:t xml:space="preserve"> </w:t>
      </w:r>
    </w:p>
    <w:p>
      <w:pPr>
        <w:numPr>
          <w:ilvl w:val="0"/>
          <w:numId w:val="241"/>
        </w:numPr>
        <w:spacing w:after="171" w:line="247" w:lineRule="auto"/>
        <w:ind w:hanging="360"/>
        <w:jc w:val="both"/>
      </w:pPr>
      <w:r>
        <w:t xml:space="preserve">Si votre école mutualise </w:t>
      </w:r>
      <w:r>
        <w:rPr>
          <w:b/>
        </w:rPr>
        <w:t>son délégué à la protection des données</w:t>
      </w:r>
      <w:r>
        <w:t xml:space="preserve">, il est cependant nécessaire de désigner  un </w:t>
      </w:r>
      <w:r>
        <w:rPr>
          <w:b/>
        </w:rPr>
        <w:t>interlocuteur</w:t>
      </w:r>
      <w:r>
        <w:t xml:space="preserve"> au sein de votre école.  </w:t>
      </w:r>
    </w:p>
    <w:p>
      <w:pPr>
        <w:spacing w:after="171"/>
        <w:ind w:left="718"/>
        <w:jc w:val="both"/>
      </w:pPr>
      <w:r>
        <w:t xml:space="preserve">Il est par ailleurs important de savoir que l'interlocuteur de l'école n'endosse pas la responsabilité du respect du RGPD. Cette responsabilité finale du respect du RGPD incombe au pouvoir organisateur dans l’enseignement subventionné et au chef d’établissement dans l’enseignement organisé par la FWB.  </w:t>
      </w:r>
    </w:p>
    <w:p>
      <w:pPr>
        <w:spacing w:after="171"/>
        <w:ind w:left="718"/>
        <w:jc w:val="both"/>
      </w:pPr>
    </w:p>
    <w:p>
      <w:pPr>
        <w:autoSpaceDE w:val="0"/>
        <w:autoSpaceDN w:val="0"/>
        <w:adjustRightInd w:val="0"/>
        <w:contextualSpacing/>
        <w:jc w:val="both"/>
        <w:rPr>
          <w:b/>
          <w:u w:val="single"/>
        </w:rPr>
      </w:pPr>
      <w:r>
        <w:rPr>
          <w:b/>
          <w:u w:val="single"/>
        </w:rPr>
        <w:t xml:space="preserve">ÉTAPE 3 - Utiliser le modèle de registre des activités de traitement </w:t>
      </w:r>
    </w:p>
    <w:p>
      <w:pPr>
        <w:spacing w:before="240"/>
        <w:jc w:val="both"/>
      </w:pPr>
      <w:r>
        <w:t xml:space="preserve">Un registre d’activités doit être établi de manière électronique et tenu à jour.  </w:t>
      </w:r>
    </w:p>
    <w:p>
      <w:pPr>
        <w:spacing w:after="168"/>
        <w:jc w:val="both"/>
      </w:pPr>
      <w:r>
        <w:t xml:space="preserve">Il faut respecter le principe de minimisation des données et détruire les données qui ne sont pas nécessaires ou dont la conservation ne peut être légitimée.   </w:t>
      </w:r>
    </w:p>
    <w:p>
      <w:pPr>
        <w:spacing w:line="264" w:lineRule="auto"/>
        <w:ind w:left="231"/>
        <w:jc w:val="both"/>
        <w:rPr>
          <w:b/>
        </w:rPr>
      </w:pPr>
      <w:r>
        <w:rPr>
          <w:b/>
        </w:rPr>
        <w:t xml:space="preserve">Astuces </w:t>
      </w:r>
    </w:p>
    <w:p>
      <w:pPr>
        <w:spacing w:after="12" w:line="256" w:lineRule="auto"/>
        <w:jc w:val="both"/>
      </w:pPr>
      <w:r>
        <w:t xml:space="preserve">Pour répertorier soigneusement les données à caractère personnel qui sont traitées par l'école,  </w:t>
      </w:r>
      <w:r>
        <w:rPr>
          <w:b/>
        </w:rPr>
        <w:t>il faut établir un registre permettant de répondre aux questions suivantes</w:t>
      </w:r>
      <w:r>
        <w:rPr>
          <w:vertAlign w:val="superscript"/>
        </w:rPr>
        <w:footnoteReference w:id="144"/>
      </w:r>
      <w:r>
        <w:rPr>
          <w:vertAlign w:val="superscript"/>
        </w:rPr>
        <w:t xml:space="preserve"> </w:t>
      </w:r>
      <w:r>
        <w:t xml:space="preserve">: </w:t>
      </w:r>
    </w:p>
    <w:p>
      <w:pPr>
        <w:spacing w:after="11" w:line="256" w:lineRule="auto"/>
        <w:jc w:val="both"/>
      </w:pPr>
      <w:r>
        <w:t xml:space="preserve"> </w:t>
      </w:r>
    </w:p>
    <w:p>
      <w:pPr>
        <w:pStyle w:val="Paragraphedeliste"/>
        <w:numPr>
          <w:ilvl w:val="0"/>
          <w:numId w:val="242"/>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Quel est le fondement du traitement de la donnée par l’école (cadre légal, accord écrit, consentement)?  </w:t>
      </w:r>
    </w:p>
    <w:p>
      <w:pPr>
        <w:pStyle w:val="Paragraphedeliste"/>
        <w:numPr>
          <w:ilvl w:val="0"/>
          <w:numId w:val="242"/>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Pour quelles finalités l'école utilise-t-elle les données ?  </w:t>
      </w:r>
    </w:p>
    <w:p>
      <w:pPr>
        <w:pStyle w:val="Paragraphedeliste"/>
        <w:numPr>
          <w:ilvl w:val="0"/>
          <w:numId w:val="242"/>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Où les données sont-elles conservées ? (PC, papier, supports externes, documents dans un cloud)  </w:t>
      </w:r>
    </w:p>
    <w:p>
      <w:pPr>
        <w:pStyle w:val="Paragraphedeliste"/>
        <w:numPr>
          <w:ilvl w:val="0"/>
          <w:numId w:val="242"/>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Avec quels services ou personnes internes et externes les données sont-elles partagées ? </w:t>
      </w:r>
    </w:p>
    <w:p>
      <w:pPr>
        <w:pStyle w:val="Paragraphedeliste"/>
        <w:numPr>
          <w:ilvl w:val="0"/>
          <w:numId w:val="242"/>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Combien de temps les données sont-elles conservées ?  </w:t>
      </w:r>
    </w:p>
    <w:p>
      <w:pPr>
        <w:spacing w:after="11" w:line="256" w:lineRule="auto"/>
        <w:jc w:val="both"/>
      </w:pPr>
    </w:p>
    <w:p>
      <w:pPr>
        <w:spacing w:after="11" w:line="256" w:lineRule="auto"/>
        <w:jc w:val="both"/>
      </w:pPr>
      <w:r>
        <w:t>Il s’agit de vérifier d'abord s'il existe des délais de conservation légaux pour la conservation des données. Si ce n'est pas le cas, il faut appliquer le principe "ne pas conserver plus longtemps que nécessaire", en précisant cette nécessité</w:t>
      </w:r>
    </w:p>
    <w:p>
      <w:pPr>
        <w:spacing w:after="11" w:line="256" w:lineRule="auto"/>
        <w:jc w:val="both"/>
      </w:pPr>
    </w:p>
    <w:p>
      <w:pPr>
        <w:pStyle w:val="Paragraphedeliste"/>
        <w:numPr>
          <w:ilvl w:val="0"/>
          <w:numId w:val="243"/>
        </w:numPr>
        <w:suppressAutoHyphens w:val="0"/>
        <w:spacing w:after="5" w:line="247"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Qui a accès aux données à caractère personnel ? </w:t>
      </w:r>
    </w:p>
    <w:p>
      <w:pPr>
        <w:jc w:val="both"/>
      </w:pPr>
    </w:p>
    <w:p>
      <w:pPr>
        <w:jc w:val="both"/>
      </w:pPr>
      <w:r>
        <w:t xml:space="preserve">Vérifier qui précisément a accès aux données à caractère personnel (lire, modifier, supprimer, ...) et comment les données sont protégées. Attention, pour rappel, l'accès peut être aussi bien numérique que physique. </w:t>
      </w:r>
    </w:p>
    <w:p>
      <w:pPr>
        <w:jc w:val="both"/>
      </w:pPr>
    </w:p>
    <w:p>
      <w:pPr>
        <w:spacing w:after="11" w:line="256" w:lineRule="auto"/>
        <w:jc w:val="both"/>
        <w:rPr>
          <w:b/>
        </w:rPr>
      </w:pPr>
      <w:r>
        <w:rPr>
          <w:b/>
        </w:rPr>
        <w:t>Pour les données dont la Communauté française est responsable, récoltées pour le compte du pouvoir régulateur et selon les modalités prévues par ce dernier, la Communauté française fournira les instructions documentées nécessaires aux écoles.</w:t>
      </w:r>
    </w:p>
    <w:p>
      <w:pPr>
        <w:jc w:val="both"/>
      </w:pPr>
    </w:p>
    <w:p>
      <w:pPr>
        <w:jc w:val="both"/>
      </w:pPr>
    </w:p>
    <w:p>
      <w:pPr>
        <w:autoSpaceDE w:val="0"/>
        <w:autoSpaceDN w:val="0"/>
        <w:adjustRightInd w:val="0"/>
        <w:contextualSpacing/>
        <w:jc w:val="both"/>
        <w:rPr>
          <w:b/>
          <w:u w:val="single"/>
        </w:rPr>
      </w:pPr>
      <w:bookmarkStart w:id="3516" w:name="_Toc14535"/>
      <w:r>
        <w:rPr>
          <w:b/>
          <w:u w:val="single"/>
        </w:rPr>
        <w:t xml:space="preserve">ÉTAPE 4 - Contrats avec des partenaires </w:t>
      </w:r>
      <w:bookmarkEnd w:id="3516"/>
    </w:p>
    <w:p>
      <w:pPr>
        <w:spacing w:before="240" w:after="160" w:line="256" w:lineRule="auto"/>
        <w:jc w:val="both"/>
      </w:pPr>
      <w:r>
        <w:t xml:space="preserve">Qu’ils traitent les données à caractère personnel pour leur propre compte ou pour le compte du pouvoir régulateur, les écoles/Pos/implantations font souvent appel à des fournisseurs  externes ou à des prestataires de services informatiques qui conservent des données à caractère personnel pour elles. </w:t>
      </w:r>
    </w:p>
    <w:p>
      <w:pPr>
        <w:spacing w:after="168"/>
        <w:jc w:val="both"/>
      </w:pPr>
      <w:r>
        <w:t xml:space="preserve">Ainsi, par exemple, les écoles ont recours à des fournisseurs de services numériques pour des systèmes locaux de gestion et de suivi des élèves, des systèmes locaux de gestion du personnel et du matériel. Selon la terminologie du RGPD, ces prestataires agissent alors comme "sous-traitants" des établissements. Les contrats avec ces fournisseurs doivent être réexaminés à la lumière du RGPD. </w:t>
      </w:r>
    </w:p>
    <w:p>
      <w:pPr>
        <w:spacing w:after="189" w:line="264" w:lineRule="auto"/>
        <w:jc w:val="both"/>
        <w:rPr>
          <w:b/>
        </w:rPr>
      </w:pPr>
    </w:p>
    <w:p>
      <w:pPr>
        <w:spacing w:after="189" w:line="264" w:lineRule="auto"/>
        <w:jc w:val="both"/>
        <w:rPr>
          <w:b/>
        </w:rPr>
      </w:pPr>
    </w:p>
    <w:p>
      <w:pPr>
        <w:spacing w:after="189" w:line="264" w:lineRule="auto"/>
        <w:jc w:val="both"/>
        <w:rPr>
          <w:b/>
        </w:rPr>
      </w:pPr>
    </w:p>
    <w:p>
      <w:pPr>
        <w:spacing w:after="189" w:line="264" w:lineRule="auto"/>
        <w:jc w:val="both"/>
        <w:rPr>
          <w:b/>
        </w:rPr>
      </w:pPr>
    </w:p>
    <w:p>
      <w:pPr>
        <w:spacing w:after="189" w:line="264" w:lineRule="auto"/>
        <w:jc w:val="both"/>
        <w:rPr>
          <w:b/>
        </w:rPr>
      </w:pPr>
    </w:p>
    <w:p>
      <w:pPr>
        <w:spacing w:after="189" w:line="264" w:lineRule="auto"/>
        <w:jc w:val="both"/>
        <w:rPr>
          <w:b/>
        </w:rPr>
      </w:pPr>
    </w:p>
    <w:p>
      <w:pPr>
        <w:spacing w:after="189" w:line="264" w:lineRule="auto"/>
        <w:jc w:val="both"/>
        <w:rPr>
          <w:b/>
        </w:rPr>
      </w:pPr>
    </w:p>
    <w:p>
      <w:pPr>
        <w:spacing w:after="189" w:line="264" w:lineRule="auto"/>
        <w:jc w:val="both"/>
        <w:rPr>
          <w:b/>
        </w:rPr>
      </w:pPr>
    </w:p>
    <w:p>
      <w:pPr>
        <w:spacing w:after="189" w:line="264" w:lineRule="auto"/>
        <w:jc w:val="both"/>
        <w:rPr>
          <w:b/>
        </w:rPr>
      </w:pPr>
    </w:p>
    <w:p>
      <w:pPr>
        <w:spacing w:after="189" w:line="264" w:lineRule="auto"/>
        <w:jc w:val="both"/>
        <w:rPr>
          <w:b/>
        </w:rPr>
      </w:pPr>
    </w:p>
    <w:p>
      <w:pPr>
        <w:spacing w:after="189" w:line="264" w:lineRule="auto"/>
        <w:jc w:val="both"/>
        <w:rPr>
          <w:b/>
        </w:rPr>
      </w:pPr>
      <w:r>
        <w:rPr>
          <w:b/>
        </w:rPr>
        <w:t>Il faut donc passer en revue les  contrats actuels (et futurs) de sous-traitance et se demander si ces contrats mentionnent</w:t>
      </w:r>
      <w:r>
        <w:rPr>
          <w:b/>
          <w:vertAlign w:val="superscript"/>
        </w:rPr>
        <w:footnoteReference w:id="145"/>
      </w:r>
      <w:r>
        <w:rPr>
          <w:b/>
          <w:vertAlign w:val="superscript"/>
        </w:rPr>
        <w:t xml:space="preserve"> </w:t>
      </w:r>
      <w:r>
        <w:rPr>
          <w:b/>
        </w:rPr>
        <w:t xml:space="preserve">:  </w:t>
      </w:r>
    </w:p>
    <w:tbl>
      <w:tblPr>
        <w:tblStyle w:val="Grilledutableau"/>
        <w:tblW w:w="0" w:type="auto"/>
        <w:tblInd w:w="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05"/>
        <w:gridCol w:w="7469"/>
        <w:gridCol w:w="574"/>
        <w:gridCol w:w="707"/>
      </w:tblGrid>
      <w:tr>
        <w:tc>
          <w:tcPr>
            <w:tcW w:w="493" w:type="dxa"/>
            <w:tcBorders>
              <w:top w:val="single" w:sz="4" w:space="0" w:color="auto"/>
              <w:left w:val="single" w:sz="4" w:space="0" w:color="auto"/>
            </w:tcBorders>
            <w:hideMark/>
          </w:tcPr>
          <w:p>
            <w:pPr>
              <w:spacing w:after="189" w:line="264" w:lineRule="auto"/>
              <w:jc w:val="both"/>
              <w:rPr>
                <w:sz w:val="22"/>
              </w:rPr>
            </w:pPr>
            <w:r>
              <w:rPr>
                <w:sz w:val="22"/>
              </w:rPr>
              <w:t>1.</w:t>
            </w:r>
          </w:p>
        </w:tc>
        <w:tc>
          <w:tcPr>
            <w:tcW w:w="7469" w:type="dxa"/>
            <w:tcBorders>
              <w:top w:val="single" w:sz="4" w:space="0" w:color="auto"/>
              <w:right w:val="nil"/>
            </w:tcBorders>
            <w:hideMark/>
          </w:tcPr>
          <w:p>
            <w:pPr>
              <w:spacing w:after="189" w:line="264" w:lineRule="auto"/>
              <w:jc w:val="both"/>
              <w:rPr>
                <w:sz w:val="22"/>
              </w:rPr>
            </w:pPr>
            <w:r>
              <w:rPr>
                <w:sz w:val="22"/>
              </w:rPr>
              <w:t xml:space="preserve">Les finalités et la nature du traitement, le type de données, les catégories de personnes concernées et les droits et obligations des deux parties   </w:t>
            </w:r>
          </w:p>
        </w:tc>
        <w:tc>
          <w:tcPr>
            <w:tcW w:w="567" w:type="dxa"/>
            <w:tcBorders>
              <w:top w:val="single" w:sz="4" w:space="0" w:color="auto"/>
              <w:left w:val="nil"/>
            </w:tcBorders>
            <w:hideMark/>
          </w:tcPr>
          <w:p>
            <w:pPr>
              <w:spacing w:after="189" w:line="264" w:lineRule="auto"/>
              <w:jc w:val="both"/>
              <w:rPr>
                <w:sz w:val="22"/>
              </w:rPr>
            </w:pPr>
            <w:r>
              <w:rPr>
                <w:sz w:val="22"/>
              </w:rPr>
              <w:t>OUI</w:t>
            </w:r>
          </w:p>
        </w:tc>
        <w:tc>
          <w:tcPr>
            <w:tcW w:w="707" w:type="dxa"/>
            <w:tcBorders>
              <w:top w:val="single" w:sz="4" w:space="0" w:color="auto"/>
              <w:right w:val="single" w:sz="4" w:space="0" w:color="auto"/>
            </w:tcBorders>
            <w:hideMark/>
          </w:tcPr>
          <w:p>
            <w:pPr>
              <w:spacing w:after="189" w:line="264" w:lineRule="auto"/>
              <w:jc w:val="both"/>
              <w:rPr>
                <w:sz w:val="22"/>
              </w:rPr>
            </w:pPr>
            <w:r>
              <w:rPr>
                <w:sz w:val="22"/>
              </w:rPr>
              <w:t>NON</w:t>
            </w:r>
          </w:p>
        </w:tc>
      </w:tr>
      <w:tr>
        <w:tc>
          <w:tcPr>
            <w:tcW w:w="493" w:type="dxa"/>
            <w:tcBorders>
              <w:left w:val="single" w:sz="4" w:space="0" w:color="auto"/>
            </w:tcBorders>
            <w:hideMark/>
          </w:tcPr>
          <w:p>
            <w:pPr>
              <w:spacing w:after="189" w:line="264" w:lineRule="auto"/>
              <w:jc w:val="both"/>
              <w:rPr>
                <w:sz w:val="22"/>
              </w:rPr>
            </w:pPr>
            <w:r>
              <w:rPr>
                <w:sz w:val="22"/>
              </w:rPr>
              <w:t>2.</w:t>
            </w:r>
          </w:p>
        </w:tc>
        <w:tc>
          <w:tcPr>
            <w:tcW w:w="7469" w:type="dxa"/>
            <w:tcBorders>
              <w:right w:val="nil"/>
            </w:tcBorders>
            <w:hideMark/>
          </w:tcPr>
          <w:p>
            <w:pPr>
              <w:spacing w:after="189" w:line="264" w:lineRule="auto"/>
              <w:jc w:val="both"/>
              <w:rPr>
                <w:sz w:val="22"/>
              </w:rPr>
            </w:pPr>
            <w:r>
              <w:rPr>
                <w:sz w:val="22"/>
              </w:rPr>
              <w:t xml:space="preserve">Que le fournisseur garantit qu'il ne traitera les données à caractère personnel que sur la base des instructions écrites de l'école (le contrat doit mentionner les traitements et transferts admissibles) et qu'il ne les utilisera pas pour une autre finalité (sauf obligation légale explicite)  </w:t>
            </w:r>
          </w:p>
        </w:tc>
        <w:tc>
          <w:tcPr>
            <w:tcW w:w="567" w:type="dxa"/>
            <w:tcBorders>
              <w:left w:val="nil"/>
            </w:tcBorders>
            <w:hideMark/>
          </w:tcPr>
          <w:p>
            <w:pPr>
              <w:spacing w:after="189" w:line="264" w:lineRule="auto"/>
              <w:jc w:val="both"/>
              <w:rPr>
                <w:sz w:val="22"/>
              </w:rPr>
            </w:pPr>
            <w:r>
              <w:rPr>
                <w:sz w:val="22"/>
              </w:rPr>
              <w:t>OUI</w:t>
            </w:r>
          </w:p>
        </w:tc>
        <w:tc>
          <w:tcPr>
            <w:tcW w:w="707" w:type="dxa"/>
            <w:tcBorders>
              <w:right w:val="single" w:sz="4" w:space="0" w:color="auto"/>
            </w:tcBorders>
            <w:hideMark/>
          </w:tcPr>
          <w:p>
            <w:pPr>
              <w:spacing w:after="189" w:line="264" w:lineRule="auto"/>
              <w:jc w:val="both"/>
              <w:rPr>
                <w:sz w:val="22"/>
              </w:rPr>
            </w:pPr>
            <w:r>
              <w:rPr>
                <w:sz w:val="22"/>
              </w:rPr>
              <w:t>NON</w:t>
            </w:r>
          </w:p>
        </w:tc>
      </w:tr>
      <w:tr>
        <w:tc>
          <w:tcPr>
            <w:tcW w:w="493" w:type="dxa"/>
            <w:tcBorders>
              <w:left w:val="single" w:sz="4" w:space="0" w:color="auto"/>
            </w:tcBorders>
            <w:hideMark/>
          </w:tcPr>
          <w:p>
            <w:pPr>
              <w:spacing w:after="189" w:line="264" w:lineRule="auto"/>
              <w:jc w:val="both"/>
              <w:rPr>
                <w:sz w:val="22"/>
              </w:rPr>
            </w:pPr>
            <w:r>
              <w:rPr>
                <w:sz w:val="22"/>
              </w:rPr>
              <w:t>3.</w:t>
            </w:r>
          </w:p>
        </w:tc>
        <w:tc>
          <w:tcPr>
            <w:tcW w:w="7469" w:type="dxa"/>
            <w:tcBorders>
              <w:right w:val="nil"/>
            </w:tcBorders>
            <w:hideMark/>
          </w:tcPr>
          <w:p>
            <w:pPr>
              <w:spacing w:after="189" w:line="264" w:lineRule="auto"/>
              <w:jc w:val="both"/>
              <w:rPr>
                <w:sz w:val="22"/>
              </w:rPr>
            </w:pPr>
            <w:r>
              <w:rPr>
                <w:sz w:val="22"/>
              </w:rPr>
              <w:t xml:space="preserve">Que le fournisseur garantit qu'il prendra les mesures techniques et organisationnelles appropriées afin de garantir un niveau de sécurité adapté au risque   </w:t>
            </w:r>
          </w:p>
        </w:tc>
        <w:tc>
          <w:tcPr>
            <w:tcW w:w="567" w:type="dxa"/>
            <w:tcBorders>
              <w:left w:val="nil"/>
            </w:tcBorders>
            <w:hideMark/>
          </w:tcPr>
          <w:p>
            <w:pPr>
              <w:spacing w:after="189" w:line="264" w:lineRule="auto"/>
              <w:jc w:val="both"/>
              <w:rPr>
                <w:sz w:val="22"/>
              </w:rPr>
            </w:pPr>
            <w:r>
              <w:rPr>
                <w:sz w:val="22"/>
              </w:rPr>
              <w:t>OUI</w:t>
            </w:r>
          </w:p>
        </w:tc>
        <w:tc>
          <w:tcPr>
            <w:tcW w:w="707" w:type="dxa"/>
            <w:tcBorders>
              <w:right w:val="single" w:sz="4" w:space="0" w:color="auto"/>
            </w:tcBorders>
            <w:hideMark/>
          </w:tcPr>
          <w:p>
            <w:pPr>
              <w:spacing w:after="189" w:line="264" w:lineRule="auto"/>
              <w:jc w:val="both"/>
              <w:rPr>
                <w:sz w:val="22"/>
              </w:rPr>
            </w:pPr>
            <w:r>
              <w:rPr>
                <w:sz w:val="22"/>
              </w:rPr>
              <w:t>NON</w:t>
            </w:r>
          </w:p>
        </w:tc>
      </w:tr>
      <w:tr>
        <w:tc>
          <w:tcPr>
            <w:tcW w:w="493" w:type="dxa"/>
            <w:tcBorders>
              <w:left w:val="single" w:sz="4" w:space="0" w:color="auto"/>
            </w:tcBorders>
            <w:hideMark/>
          </w:tcPr>
          <w:p>
            <w:pPr>
              <w:spacing w:after="189" w:line="264" w:lineRule="auto"/>
              <w:jc w:val="both"/>
              <w:rPr>
                <w:sz w:val="22"/>
              </w:rPr>
            </w:pPr>
            <w:r>
              <w:rPr>
                <w:sz w:val="22"/>
              </w:rPr>
              <w:t>4.</w:t>
            </w:r>
          </w:p>
        </w:tc>
        <w:tc>
          <w:tcPr>
            <w:tcW w:w="7469" w:type="dxa"/>
            <w:tcBorders>
              <w:right w:val="nil"/>
            </w:tcBorders>
            <w:hideMark/>
          </w:tcPr>
          <w:p>
            <w:pPr>
              <w:spacing w:after="189" w:line="264" w:lineRule="auto"/>
              <w:jc w:val="both"/>
              <w:rPr>
                <w:sz w:val="22"/>
              </w:rPr>
            </w:pPr>
            <w:r>
              <w:rPr>
                <w:sz w:val="22"/>
              </w:rPr>
              <w:t xml:space="preserve">Que le fournisseur promet qu'il ne recrutera aucun autre sous-traitant sans l'autorisation écrite préalable de l'école   </w:t>
            </w:r>
          </w:p>
        </w:tc>
        <w:tc>
          <w:tcPr>
            <w:tcW w:w="567" w:type="dxa"/>
            <w:tcBorders>
              <w:left w:val="nil"/>
            </w:tcBorders>
            <w:hideMark/>
          </w:tcPr>
          <w:p>
            <w:pPr>
              <w:spacing w:after="189" w:line="264" w:lineRule="auto"/>
              <w:jc w:val="both"/>
              <w:rPr>
                <w:sz w:val="22"/>
              </w:rPr>
            </w:pPr>
            <w:r>
              <w:rPr>
                <w:sz w:val="22"/>
              </w:rPr>
              <w:t>OUI</w:t>
            </w:r>
          </w:p>
        </w:tc>
        <w:tc>
          <w:tcPr>
            <w:tcW w:w="707" w:type="dxa"/>
            <w:tcBorders>
              <w:right w:val="single" w:sz="4" w:space="0" w:color="auto"/>
            </w:tcBorders>
            <w:hideMark/>
          </w:tcPr>
          <w:p>
            <w:pPr>
              <w:spacing w:after="189" w:line="264" w:lineRule="auto"/>
              <w:jc w:val="both"/>
              <w:rPr>
                <w:sz w:val="22"/>
              </w:rPr>
            </w:pPr>
            <w:r>
              <w:rPr>
                <w:sz w:val="22"/>
              </w:rPr>
              <w:t>NON</w:t>
            </w:r>
          </w:p>
        </w:tc>
      </w:tr>
      <w:tr>
        <w:tc>
          <w:tcPr>
            <w:tcW w:w="493" w:type="dxa"/>
            <w:tcBorders>
              <w:left w:val="single" w:sz="4" w:space="0" w:color="auto"/>
            </w:tcBorders>
            <w:hideMark/>
          </w:tcPr>
          <w:p>
            <w:pPr>
              <w:spacing w:after="189" w:line="264" w:lineRule="auto"/>
              <w:jc w:val="both"/>
              <w:rPr>
                <w:sz w:val="22"/>
              </w:rPr>
            </w:pPr>
            <w:r>
              <w:rPr>
                <w:sz w:val="22"/>
              </w:rPr>
              <w:t>5.</w:t>
            </w:r>
          </w:p>
        </w:tc>
        <w:tc>
          <w:tcPr>
            <w:tcW w:w="7469" w:type="dxa"/>
            <w:tcBorders>
              <w:right w:val="nil"/>
            </w:tcBorders>
            <w:hideMark/>
          </w:tcPr>
          <w:p>
            <w:pPr>
              <w:spacing w:after="189" w:line="264" w:lineRule="auto"/>
              <w:jc w:val="both"/>
              <w:rPr>
                <w:sz w:val="22"/>
              </w:rPr>
            </w:pPr>
            <w:r>
              <w:rPr>
                <w:sz w:val="22"/>
              </w:rPr>
              <w:t xml:space="preserve">Que le fournisseur garantit que les personnes qu'il a autorisées à traiter les données à caractère personnel (par ex. des techniciens chargés de la gestion du service) se sont engagées à respecter la confidentialité ou sont tenues par une obligation légale de confidentialité appropriée  </w:t>
            </w:r>
          </w:p>
        </w:tc>
        <w:tc>
          <w:tcPr>
            <w:tcW w:w="567" w:type="dxa"/>
            <w:tcBorders>
              <w:left w:val="nil"/>
            </w:tcBorders>
            <w:hideMark/>
          </w:tcPr>
          <w:p>
            <w:pPr>
              <w:spacing w:after="189" w:line="264" w:lineRule="auto"/>
              <w:jc w:val="both"/>
              <w:rPr>
                <w:sz w:val="22"/>
              </w:rPr>
            </w:pPr>
            <w:r>
              <w:rPr>
                <w:sz w:val="22"/>
              </w:rPr>
              <w:t>OUI</w:t>
            </w:r>
          </w:p>
        </w:tc>
        <w:tc>
          <w:tcPr>
            <w:tcW w:w="707" w:type="dxa"/>
            <w:tcBorders>
              <w:right w:val="single" w:sz="4" w:space="0" w:color="auto"/>
            </w:tcBorders>
            <w:hideMark/>
          </w:tcPr>
          <w:p>
            <w:pPr>
              <w:spacing w:after="189" w:line="264" w:lineRule="auto"/>
              <w:jc w:val="both"/>
              <w:rPr>
                <w:sz w:val="22"/>
              </w:rPr>
            </w:pPr>
            <w:r>
              <w:rPr>
                <w:sz w:val="22"/>
              </w:rPr>
              <w:t>NON</w:t>
            </w:r>
          </w:p>
        </w:tc>
      </w:tr>
      <w:tr>
        <w:tc>
          <w:tcPr>
            <w:tcW w:w="493" w:type="dxa"/>
            <w:tcBorders>
              <w:left w:val="single" w:sz="4" w:space="0" w:color="auto"/>
            </w:tcBorders>
            <w:hideMark/>
          </w:tcPr>
          <w:p>
            <w:pPr>
              <w:spacing w:after="189" w:line="264" w:lineRule="auto"/>
              <w:jc w:val="both"/>
              <w:rPr>
                <w:sz w:val="22"/>
              </w:rPr>
            </w:pPr>
            <w:r>
              <w:rPr>
                <w:sz w:val="22"/>
              </w:rPr>
              <w:t>6.</w:t>
            </w:r>
          </w:p>
        </w:tc>
        <w:tc>
          <w:tcPr>
            <w:tcW w:w="7469" w:type="dxa"/>
            <w:tcBorders>
              <w:right w:val="nil"/>
            </w:tcBorders>
            <w:hideMark/>
          </w:tcPr>
          <w:p>
            <w:pPr>
              <w:spacing w:after="189" w:line="264" w:lineRule="auto"/>
              <w:jc w:val="both"/>
              <w:rPr>
                <w:sz w:val="22"/>
              </w:rPr>
            </w:pPr>
            <w:r>
              <w:rPr>
                <w:sz w:val="22"/>
              </w:rPr>
              <w:t xml:space="preserve">Que le fournisseur est d'accord d'aider, dans toute la mesure du possible, l'école à s'acquitter de son obligation de donner suite aux demandes dont les personnes concernées la saisissent en vue d'exercer leurs droits  </w:t>
            </w:r>
            <w:r>
              <w:rPr>
                <w:sz w:val="22"/>
              </w:rPr>
              <w:tab/>
              <w:t xml:space="preserve"> </w:t>
            </w:r>
          </w:p>
        </w:tc>
        <w:tc>
          <w:tcPr>
            <w:tcW w:w="567" w:type="dxa"/>
            <w:tcBorders>
              <w:left w:val="nil"/>
              <w:bottom w:val="single" w:sz="2" w:space="0" w:color="auto"/>
            </w:tcBorders>
            <w:hideMark/>
          </w:tcPr>
          <w:p>
            <w:pPr>
              <w:spacing w:after="189" w:line="264" w:lineRule="auto"/>
              <w:jc w:val="both"/>
              <w:rPr>
                <w:sz w:val="22"/>
              </w:rPr>
            </w:pPr>
            <w:r>
              <w:rPr>
                <w:sz w:val="22"/>
              </w:rPr>
              <w:t>OUI</w:t>
            </w:r>
          </w:p>
        </w:tc>
        <w:tc>
          <w:tcPr>
            <w:tcW w:w="707" w:type="dxa"/>
            <w:tcBorders>
              <w:right w:val="single" w:sz="4" w:space="0" w:color="auto"/>
            </w:tcBorders>
            <w:hideMark/>
          </w:tcPr>
          <w:p>
            <w:pPr>
              <w:spacing w:after="189" w:line="264" w:lineRule="auto"/>
              <w:jc w:val="both"/>
              <w:rPr>
                <w:sz w:val="22"/>
              </w:rPr>
            </w:pPr>
            <w:r>
              <w:rPr>
                <w:sz w:val="22"/>
              </w:rPr>
              <w:t>NON</w:t>
            </w:r>
          </w:p>
        </w:tc>
      </w:tr>
      <w:tr>
        <w:tc>
          <w:tcPr>
            <w:tcW w:w="493" w:type="dxa"/>
            <w:tcBorders>
              <w:left w:val="single" w:sz="4" w:space="0" w:color="auto"/>
            </w:tcBorders>
            <w:hideMark/>
          </w:tcPr>
          <w:p>
            <w:pPr>
              <w:spacing w:after="189" w:line="264" w:lineRule="auto"/>
              <w:jc w:val="both"/>
              <w:rPr>
                <w:sz w:val="22"/>
              </w:rPr>
            </w:pPr>
            <w:r>
              <w:rPr>
                <w:sz w:val="22"/>
              </w:rPr>
              <w:t>7.</w:t>
            </w:r>
          </w:p>
        </w:tc>
        <w:tc>
          <w:tcPr>
            <w:tcW w:w="7469" w:type="dxa"/>
            <w:tcBorders>
              <w:right w:val="nil"/>
            </w:tcBorders>
            <w:hideMark/>
          </w:tcPr>
          <w:p>
            <w:pPr>
              <w:spacing w:after="189" w:line="264" w:lineRule="auto"/>
              <w:jc w:val="both"/>
              <w:rPr>
                <w:sz w:val="22"/>
              </w:rPr>
            </w:pPr>
            <w:r>
              <w:rPr>
                <w:sz w:val="22"/>
              </w:rPr>
              <w:t>Que le fournisseur se déclare disposé, le cas échéant, à aider l'école à garantir le respect de ses obligations en ce qui concerne la sécurité, la notification et/ou la communication d'une fuite de données et l'analyse d'impact relative à la protection des données</w:t>
            </w:r>
          </w:p>
        </w:tc>
        <w:tc>
          <w:tcPr>
            <w:tcW w:w="567" w:type="dxa"/>
            <w:tcBorders>
              <w:left w:val="nil"/>
              <w:bottom w:val="single" w:sz="2" w:space="0" w:color="auto"/>
            </w:tcBorders>
            <w:hideMark/>
          </w:tcPr>
          <w:p>
            <w:pPr>
              <w:spacing w:after="189" w:line="264" w:lineRule="auto"/>
              <w:jc w:val="both"/>
              <w:rPr>
                <w:sz w:val="22"/>
              </w:rPr>
            </w:pPr>
            <w:r>
              <w:rPr>
                <w:sz w:val="22"/>
              </w:rPr>
              <w:t>OUI</w:t>
            </w:r>
          </w:p>
        </w:tc>
        <w:tc>
          <w:tcPr>
            <w:tcW w:w="707" w:type="dxa"/>
            <w:tcBorders>
              <w:right w:val="single" w:sz="4" w:space="0" w:color="auto"/>
            </w:tcBorders>
            <w:hideMark/>
          </w:tcPr>
          <w:p>
            <w:pPr>
              <w:spacing w:after="189" w:line="264" w:lineRule="auto"/>
              <w:jc w:val="both"/>
              <w:rPr>
                <w:sz w:val="22"/>
              </w:rPr>
            </w:pPr>
            <w:r>
              <w:rPr>
                <w:sz w:val="22"/>
              </w:rPr>
              <w:t>NON</w:t>
            </w:r>
          </w:p>
        </w:tc>
      </w:tr>
      <w:tr>
        <w:tc>
          <w:tcPr>
            <w:tcW w:w="493" w:type="dxa"/>
            <w:tcBorders>
              <w:left w:val="single" w:sz="4" w:space="0" w:color="auto"/>
            </w:tcBorders>
            <w:hideMark/>
          </w:tcPr>
          <w:p>
            <w:pPr>
              <w:spacing w:after="189" w:line="264" w:lineRule="auto"/>
              <w:jc w:val="both"/>
              <w:rPr>
                <w:sz w:val="22"/>
              </w:rPr>
            </w:pPr>
            <w:r>
              <w:rPr>
                <w:sz w:val="22"/>
              </w:rPr>
              <w:t>8.</w:t>
            </w:r>
          </w:p>
        </w:tc>
        <w:tc>
          <w:tcPr>
            <w:tcW w:w="7469" w:type="dxa"/>
            <w:tcBorders>
              <w:right w:val="nil"/>
            </w:tcBorders>
            <w:hideMark/>
          </w:tcPr>
          <w:p>
            <w:pPr>
              <w:spacing w:after="189" w:line="264" w:lineRule="auto"/>
              <w:jc w:val="both"/>
              <w:rPr>
                <w:sz w:val="22"/>
              </w:rPr>
            </w:pPr>
            <w:r>
              <w:rPr>
                <w:sz w:val="22"/>
              </w:rPr>
              <w:t xml:space="preserve">Que les données ne sont pas transmises en dehors de l'Union Européenne vers des pays qui n'offrent pas un niveau de protection adéquat ou sans garanties appropriées complémentaires relatives au respect du RGPD qui seront d'abord convenues avec l'école  </w:t>
            </w:r>
          </w:p>
        </w:tc>
        <w:tc>
          <w:tcPr>
            <w:tcW w:w="567" w:type="dxa"/>
            <w:tcBorders>
              <w:left w:val="nil"/>
              <w:bottom w:val="single" w:sz="2" w:space="0" w:color="auto"/>
            </w:tcBorders>
            <w:hideMark/>
          </w:tcPr>
          <w:p>
            <w:pPr>
              <w:spacing w:after="189" w:line="264" w:lineRule="auto"/>
              <w:jc w:val="both"/>
              <w:rPr>
                <w:sz w:val="22"/>
              </w:rPr>
            </w:pPr>
            <w:r>
              <w:rPr>
                <w:sz w:val="22"/>
              </w:rPr>
              <w:t>OUI</w:t>
            </w:r>
          </w:p>
        </w:tc>
        <w:tc>
          <w:tcPr>
            <w:tcW w:w="707" w:type="dxa"/>
            <w:tcBorders>
              <w:right w:val="single" w:sz="4" w:space="0" w:color="auto"/>
            </w:tcBorders>
            <w:hideMark/>
          </w:tcPr>
          <w:p>
            <w:pPr>
              <w:spacing w:after="189" w:line="264" w:lineRule="auto"/>
              <w:jc w:val="both"/>
              <w:rPr>
                <w:sz w:val="22"/>
              </w:rPr>
            </w:pPr>
            <w:r>
              <w:rPr>
                <w:sz w:val="22"/>
              </w:rPr>
              <w:t>NON</w:t>
            </w:r>
          </w:p>
        </w:tc>
      </w:tr>
      <w:tr>
        <w:tc>
          <w:tcPr>
            <w:tcW w:w="493" w:type="dxa"/>
            <w:tcBorders>
              <w:left w:val="single" w:sz="4" w:space="0" w:color="auto"/>
            </w:tcBorders>
            <w:hideMark/>
          </w:tcPr>
          <w:p>
            <w:pPr>
              <w:spacing w:after="189" w:line="264" w:lineRule="auto"/>
              <w:jc w:val="both"/>
              <w:rPr>
                <w:sz w:val="22"/>
              </w:rPr>
            </w:pPr>
            <w:r>
              <w:rPr>
                <w:sz w:val="22"/>
              </w:rPr>
              <w:t>9.</w:t>
            </w:r>
          </w:p>
        </w:tc>
        <w:tc>
          <w:tcPr>
            <w:tcW w:w="7469" w:type="dxa"/>
            <w:tcBorders>
              <w:right w:val="nil"/>
            </w:tcBorders>
            <w:hideMark/>
          </w:tcPr>
          <w:p>
            <w:pPr>
              <w:spacing w:after="34"/>
              <w:jc w:val="both"/>
              <w:rPr>
                <w:sz w:val="22"/>
              </w:rPr>
            </w:pPr>
            <w:r>
              <w:rPr>
                <w:sz w:val="22"/>
              </w:rPr>
              <w:t xml:space="preserve">Que le fournisseur garantit qu'au terme de la prestation de services, toutes les données à caractère personnel seront supprimées en toute sécurité ou renvoyées à l'école et que les copies existantes seront détruites  </w:t>
            </w:r>
          </w:p>
        </w:tc>
        <w:tc>
          <w:tcPr>
            <w:tcW w:w="567" w:type="dxa"/>
            <w:tcBorders>
              <w:left w:val="nil"/>
              <w:bottom w:val="single" w:sz="2" w:space="0" w:color="auto"/>
            </w:tcBorders>
            <w:hideMark/>
          </w:tcPr>
          <w:p>
            <w:pPr>
              <w:spacing w:after="189" w:line="264" w:lineRule="auto"/>
              <w:jc w:val="both"/>
              <w:rPr>
                <w:sz w:val="22"/>
              </w:rPr>
            </w:pPr>
            <w:r>
              <w:rPr>
                <w:sz w:val="22"/>
              </w:rPr>
              <w:t>OUI</w:t>
            </w:r>
          </w:p>
        </w:tc>
        <w:tc>
          <w:tcPr>
            <w:tcW w:w="707" w:type="dxa"/>
            <w:tcBorders>
              <w:right w:val="single" w:sz="4" w:space="0" w:color="auto"/>
            </w:tcBorders>
            <w:hideMark/>
          </w:tcPr>
          <w:p>
            <w:pPr>
              <w:spacing w:after="189" w:line="264" w:lineRule="auto"/>
              <w:jc w:val="both"/>
              <w:rPr>
                <w:sz w:val="22"/>
              </w:rPr>
            </w:pPr>
            <w:r>
              <w:rPr>
                <w:sz w:val="22"/>
              </w:rPr>
              <w:t>NON</w:t>
            </w:r>
          </w:p>
        </w:tc>
      </w:tr>
      <w:tr>
        <w:tc>
          <w:tcPr>
            <w:tcW w:w="493" w:type="dxa"/>
            <w:tcBorders>
              <w:left w:val="single" w:sz="4" w:space="0" w:color="auto"/>
              <w:bottom w:val="single" w:sz="4" w:space="0" w:color="auto"/>
            </w:tcBorders>
            <w:hideMark/>
          </w:tcPr>
          <w:p>
            <w:pPr>
              <w:spacing w:after="189" w:line="264" w:lineRule="auto"/>
              <w:jc w:val="both"/>
              <w:rPr>
                <w:sz w:val="22"/>
              </w:rPr>
            </w:pPr>
            <w:r>
              <w:rPr>
                <w:sz w:val="22"/>
              </w:rPr>
              <w:t>10.</w:t>
            </w:r>
          </w:p>
        </w:tc>
        <w:tc>
          <w:tcPr>
            <w:tcW w:w="7469" w:type="dxa"/>
            <w:tcBorders>
              <w:bottom w:val="single" w:sz="4" w:space="0" w:color="auto"/>
              <w:right w:val="nil"/>
            </w:tcBorders>
            <w:hideMark/>
          </w:tcPr>
          <w:p>
            <w:pPr>
              <w:spacing w:after="189" w:line="264" w:lineRule="auto"/>
              <w:jc w:val="both"/>
              <w:rPr>
                <w:sz w:val="22"/>
              </w:rPr>
            </w:pPr>
            <w:r>
              <w:rPr>
                <w:sz w:val="22"/>
              </w:rPr>
              <w:t>Que le fournisseur est d'accord de mettre à la disposition de l'école toutes les informations nécessaires pour démontrer le respect de ses obligations et pour permettre la réalisation d'audits, y compris des inspections, par l'école ou par un autre auditeur qu'elle a mandaté, et de contribuer à ces audits</w:t>
            </w:r>
          </w:p>
        </w:tc>
        <w:tc>
          <w:tcPr>
            <w:tcW w:w="567" w:type="dxa"/>
            <w:tcBorders>
              <w:left w:val="nil"/>
              <w:bottom w:val="single" w:sz="4" w:space="0" w:color="auto"/>
            </w:tcBorders>
            <w:hideMark/>
          </w:tcPr>
          <w:p>
            <w:pPr>
              <w:spacing w:after="189" w:line="264" w:lineRule="auto"/>
              <w:jc w:val="both"/>
              <w:rPr>
                <w:sz w:val="22"/>
              </w:rPr>
            </w:pPr>
            <w:r>
              <w:rPr>
                <w:sz w:val="22"/>
              </w:rPr>
              <w:t>OUI</w:t>
            </w:r>
          </w:p>
        </w:tc>
        <w:tc>
          <w:tcPr>
            <w:tcW w:w="707" w:type="dxa"/>
            <w:tcBorders>
              <w:bottom w:val="single" w:sz="4" w:space="0" w:color="auto"/>
              <w:right w:val="single" w:sz="4" w:space="0" w:color="auto"/>
            </w:tcBorders>
            <w:hideMark/>
          </w:tcPr>
          <w:p>
            <w:pPr>
              <w:spacing w:after="189" w:line="264" w:lineRule="auto"/>
              <w:jc w:val="both"/>
              <w:rPr>
                <w:sz w:val="22"/>
              </w:rPr>
            </w:pPr>
            <w:r>
              <w:rPr>
                <w:sz w:val="22"/>
              </w:rPr>
              <w:t>NON</w:t>
            </w:r>
          </w:p>
        </w:tc>
      </w:tr>
    </w:tbl>
    <w:p>
      <w:pPr>
        <w:spacing w:line="256" w:lineRule="auto"/>
        <w:jc w:val="both"/>
      </w:pPr>
      <w:r>
        <w:t xml:space="preserve"> </w:t>
      </w:r>
    </w:p>
    <w:p>
      <w:pPr>
        <w:spacing w:after="3" w:line="264" w:lineRule="auto"/>
        <w:ind w:left="118"/>
        <w:jc w:val="both"/>
        <w:rPr>
          <w:b/>
        </w:rPr>
      </w:pPr>
      <w:r>
        <w:rPr>
          <w:b/>
        </w:rPr>
        <w:t xml:space="preserve">Astuces </w:t>
      </w:r>
    </w:p>
    <w:p>
      <w:pPr>
        <w:spacing w:after="12" w:line="256" w:lineRule="auto"/>
        <w:jc w:val="both"/>
      </w:pPr>
    </w:p>
    <w:p>
      <w:pPr>
        <w:pStyle w:val="Paragraphedeliste"/>
        <w:numPr>
          <w:ilvl w:val="0"/>
          <w:numId w:val="244"/>
        </w:numPr>
        <w:suppressAutoHyphens w:val="0"/>
        <w:spacing w:after="26" w:line="247"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Il s’agit de dresser une liste de tous les logiciels locaux qui, au sein de l'école, permettent de collecter des données à caractère personnel.  Sans oublier les applications locales. Il est indiqué d’également rassembler les contrats conclus avec les fournisseurs de ces applications locales.  </w:t>
      </w:r>
    </w:p>
    <w:p>
      <w:pPr>
        <w:spacing w:after="26"/>
        <w:jc w:val="both"/>
      </w:pPr>
    </w:p>
    <w:p>
      <w:pPr>
        <w:numPr>
          <w:ilvl w:val="0"/>
          <w:numId w:val="245"/>
        </w:numPr>
        <w:spacing w:line="247" w:lineRule="auto"/>
        <w:ind w:hanging="360"/>
        <w:jc w:val="both"/>
      </w:pPr>
      <w:r>
        <w:t>Évaluer les contrats actuels et futurs avec des prestataires de services externes et veillez à y apporter les changements nécessaires. Dans ce cadre, tenir compte des éléments minimaux prescrits par l'article 28 du RGPD</w:t>
      </w:r>
      <w:r>
        <w:rPr>
          <w:vertAlign w:val="superscript"/>
        </w:rPr>
        <w:footnoteReference w:id="146"/>
      </w:r>
      <w:r>
        <w:rPr>
          <w:vertAlign w:val="superscript"/>
        </w:rPr>
        <w:t>,</w:t>
      </w:r>
      <w:r>
        <w:t xml:space="preserve"> dont l'engagement selon lequel les données à caractère personnel ne peuvent être traitées que sur la base des instructions écrites de l'école. </w:t>
      </w:r>
    </w:p>
    <w:p>
      <w:pPr>
        <w:spacing w:line="256" w:lineRule="auto"/>
        <w:ind w:left="108"/>
        <w:jc w:val="both"/>
      </w:pPr>
      <w:r>
        <w:t xml:space="preserve">  </w:t>
      </w:r>
    </w:p>
    <w:p>
      <w:pPr>
        <w:spacing w:line="256" w:lineRule="auto"/>
        <w:ind w:left="108"/>
        <w:jc w:val="both"/>
      </w:pPr>
    </w:p>
    <w:p>
      <w:pPr>
        <w:spacing w:line="256" w:lineRule="auto"/>
        <w:ind w:left="108"/>
        <w:jc w:val="both"/>
      </w:pPr>
    </w:p>
    <w:p>
      <w:pPr>
        <w:autoSpaceDE w:val="0"/>
        <w:autoSpaceDN w:val="0"/>
        <w:adjustRightInd w:val="0"/>
        <w:contextualSpacing/>
        <w:rPr>
          <w:b/>
          <w:u w:val="single"/>
        </w:rPr>
      </w:pPr>
      <w:bookmarkStart w:id="3517" w:name="_Toc14536"/>
      <w:r>
        <w:rPr>
          <w:b/>
          <w:u w:val="single"/>
        </w:rPr>
        <w:t xml:space="preserve">ÉTAPE 5 - Contrôler si le consentement est nécessaire </w:t>
      </w:r>
      <w:bookmarkEnd w:id="3517"/>
    </w:p>
    <w:p>
      <w:pPr>
        <w:spacing w:before="240" w:line="256" w:lineRule="auto"/>
        <w:jc w:val="both"/>
      </w:pPr>
      <w:r>
        <w:t xml:space="preserve">Le registre des activités de traitement permet à l'école de contrôler quelles données à caractère personnel requièrent un consentement, </w:t>
      </w:r>
      <w:r>
        <w:rPr>
          <w:u w:val="single"/>
        </w:rPr>
        <w:t>dans la mesure où leur traitement n’est pas couvert par le cadre légal ou le « contrat »</w:t>
      </w:r>
      <w:r>
        <w:t xml:space="preserve"> (voir ci-dessus, « En tant qu'école, comment devez-vous traiter des données à caractère personnel ? »).</w:t>
      </w:r>
    </w:p>
    <w:p>
      <w:pPr>
        <w:jc w:val="both"/>
      </w:pPr>
    </w:p>
    <w:p>
      <w:pPr>
        <w:spacing w:after="168"/>
        <w:jc w:val="both"/>
        <w:rPr>
          <w:i/>
        </w:rPr>
      </w:pPr>
      <w:r>
        <w:rPr>
          <w:i/>
        </w:rPr>
        <w:t xml:space="preserve">Par exemple : des photos ou des vidéos sur lesquelles des personnes sont reconnaissables sont également des données à caractère personnel. Si l'école veut utiliser les images afin de les placer sur le site Internet de l'établissement, ce n'est possible qu'avec le consentement de la personne qui apparaît à l'image (ou de ses responsables légaux). </w:t>
      </w:r>
    </w:p>
    <w:p>
      <w:pPr>
        <w:spacing w:line="256" w:lineRule="auto"/>
        <w:jc w:val="both"/>
        <w:rPr>
          <w:b/>
        </w:rPr>
      </w:pPr>
      <w:r>
        <w:rPr>
          <w:b/>
        </w:rPr>
        <w:t xml:space="preserve">Astuces   </w:t>
      </w:r>
    </w:p>
    <w:tbl>
      <w:tblPr>
        <w:tblStyle w:val="TableGrid"/>
        <w:tblW w:w="9018" w:type="dxa"/>
        <w:tblInd w:w="5" w:type="dxa"/>
        <w:tblBorders>
          <w:top w:val="single" w:sz="4" w:space="0" w:color="auto"/>
          <w:left w:val="single" w:sz="4" w:space="0" w:color="auto"/>
          <w:bottom w:val="single" w:sz="4" w:space="0" w:color="auto"/>
          <w:right w:val="single" w:sz="18" w:space="0" w:color="auto"/>
        </w:tblBorders>
        <w:tblCellMar>
          <w:top w:w="48" w:type="dxa"/>
          <w:left w:w="108" w:type="dxa"/>
          <w:right w:w="58" w:type="dxa"/>
        </w:tblCellMar>
        <w:tblLook w:val="04A0" w:firstRow="1" w:lastRow="0" w:firstColumn="1" w:lastColumn="0" w:noHBand="0" w:noVBand="1"/>
      </w:tblPr>
      <w:tblGrid>
        <w:gridCol w:w="9018"/>
      </w:tblGrid>
      <w:tr>
        <w:trPr>
          <w:trHeight w:val="5177"/>
        </w:trPr>
        <w:tc>
          <w:tcPr>
            <w:tcW w:w="9018" w:type="dxa"/>
            <w:tcBorders>
              <w:top w:val="single" w:sz="4" w:space="0" w:color="auto"/>
              <w:bottom w:val="single" w:sz="4" w:space="0" w:color="auto"/>
              <w:right w:val="single" w:sz="4" w:space="0" w:color="auto"/>
            </w:tcBorders>
          </w:tcPr>
          <w:p>
            <w:pPr>
              <w:jc w:val="both"/>
            </w:pPr>
            <w:r>
              <w:t xml:space="preserve">Vérifier de quelle manière le consentement doit être demandé en soumettant la procédure à la check-list suivante : </w:t>
            </w:r>
          </w:p>
          <w:p>
            <w:pPr>
              <w:spacing w:after="11" w:line="256" w:lineRule="auto"/>
              <w:jc w:val="both"/>
            </w:pPr>
            <w:r>
              <w:t xml:space="preserve"> </w:t>
            </w:r>
          </w:p>
          <w:p>
            <w:pPr>
              <w:numPr>
                <w:ilvl w:val="0"/>
                <w:numId w:val="246"/>
              </w:numPr>
              <w:spacing w:after="12" w:line="256" w:lineRule="auto"/>
              <w:ind w:left="360" w:hanging="360"/>
              <w:jc w:val="both"/>
            </w:pPr>
            <w:r>
              <w:t xml:space="preserve">Utiliser un langage clair, sans petits caractères ; </w:t>
            </w:r>
          </w:p>
          <w:p>
            <w:pPr>
              <w:numPr>
                <w:ilvl w:val="0"/>
                <w:numId w:val="246"/>
              </w:numPr>
              <w:spacing w:after="12" w:line="256" w:lineRule="auto"/>
              <w:ind w:left="360" w:hanging="360"/>
              <w:jc w:val="both"/>
            </w:pPr>
            <w:r>
              <w:t xml:space="preserve">Indiquer pourquoi les données sont utilisées et ce qu'il en sera fait ; </w:t>
            </w:r>
          </w:p>
          <w:p>
            <w:pPr>
              <w:numPr>
                <w:ilvl w:val="0"/>
                <w:numId w:val="246"/>
              </w:numPr>
              <w:spacing w:after="12" w:line="256" w:lineRule="auto"/>
              <w:ind w:left="360" w:hanging="360"/>
              <w:jc w:val="both"/>
            </w:pPr>
            <w:r>
              <w:t xml:space="preserve">Indiquer aussi de quelle manière les données peuvent être consultées et modifiées ; </w:t>
            </w:r>
          </w:p>
          <w:p>
            <w:pPr>
              <w:numPr>
                <w:ilvl w:val="0"/>
                <w:numId w:val="246"/>
              </w:numPr>
              <w:spacing w:after="31"/>
              <w:ind w:left="360" w:hanging="360"/>
              <w:jc w:val="both"/>
            </w:pPr>
            <w:r>
              <w:t xml:space="preserve">Mentionner également le droit à l'oubli. Dans certains cas, vous ne pouvez pas supprimer les données d'une personne parce que la loi ne le permet pas. Il faut aussi le mentionner dans le texte ; </w:t>
            </w:r>
          </w:p>
          <w:p>
            <w:pPr>
              <w:numPr>
                <w:ilvl w:val="0"/>
                <w:numId w:val="246"/>
              </w:numPr>
              <w:spacing w:line="256" w:lineRule="auto"/>
              <w:ind w:left="360" w:hanging="360"/>
              <w:jc w:val="both"/>
            </w:pPr>
            <w:r>
              <w:t xml:space="preserve">Il doit s'agir d'un acte positif.  </w:t>
            </w:r>
          </w:p>
          <w:p>
            <w:pPr>
              <w:spacing w:line="256" w:lineRule="auto"/>
              <w:jc w:val="both"/>
            </w:pPr>
          </w:p>
          <w:p>
            <w:pPr>
              <w:spacing w:line="237" w:lineRule="auto"/>
              <w:ind w:left="360"/>
              <w:jc w:val="both"/>
              <w:rPr>
                <w:i/>
              </w:rPr>
            </w:pPr>
            <w:r>
              <w:rPr>
                <w:i/>
              </w:rPr>
              <w:t xml:space="preserve">Par exemple : si vous le consentement est demandé via un formulaire électronique, la case ne peut pas être cochée automatiquement. </w:t>
            </w:r>
          </w:p>
          <w:p>
            <w:pPr>
              <w:spacing w:after="12" w:line="256" w:lineRule="auto"/>
              <w:ind w:left="360"/>
              <w:jc w:val="both"/>
            </w:pPr>
            <w:r>
              <w:t xml:space="preserve"> </w:t>
            </w:r>
          </w:p>
          <w:p>
            <w:pPr>
              <w:numPr>
                <w:ilvl w:val="0"/>
                <w:numId w:val="246"/>
              </w:numPr>
              <w:ind w:left="360" w:hanging="360"/>
              <w:jc w:val="both"/>
            </w:pPr>
            <w:r>
              <w:t xml:space="preserve">Si le consentement n'est pas donné, cela ne peut pas avoir de conséquences négatives pour la personne concernée.  </w:t>
            </w:r>
          </w:p>
          <w:p>
            <w:pPr>
              <w:spacing w:line="256" w:lineRule="auto"/>
              <w:ind w:left="360"/>
              <w:jc w:val="both"/>
            </w:pPr>
            <w:r>
              <w:t xml:space="preserve"> </w:t>
            </w:r>
          </w:p>
          <w:p>
            <w:pPr>
              <w:spacing w:after="1" w:line="237" w:lineRule="auto"/>
              <w:ind w:left="348"/>
              <w:jc w:val="both"/>
              <w:rPr>
                <w:i/>
              </w:rPr>
            </w:pPr>
            <w:r>
              <w:rPr>
                <w:i/>
              </w:rPr>
              <w:t xml:space="preserve">Par exemple : si des parents ne donnent pas leur consentement pour la publication de photos de leur enfant sur Facebook, cela ne peut pas avoir d'autres conséquences pour l'enfant.  </w:t>
            </w:r>
          </w:p>
          <w:p>
            <w:pPr>
              <w:spacing w:after="1" w:line="237" w:lineRule="auto"/>
              <w:ind w:left="348"/>
              <w:jc w:val="both"/>
            </w:pPr>
          </w:p>
          <w:p>
            <w:pPr>
              <w:spacing w:after="1" w:line="237" w:lineRule="auto"/>
              <w:jc w:val="both"/>
            </w:pPr>
            <w:r>
              <w:rPr>
                <w:rFonts w:ascii="Segoe UI Symbol" w:hAnsi="Segoe UI Symbol" w:cs="Segoe UI Symbol"/>
              </w:rPr>
              <w:t xml:space="preserve">⚠ </w:t>
            </w:r>
            <w:r>
              <w:t xml:space="preserve">Si la demande de consentement est présentée dans le cadre d’une déclaration écrite présentant également d’autres questions, elle doit être présentée sous une forme qui la distingue clairement de ces autres questions. </w:t>
            </w:r>
          </w:p>
        </w:tc>
      </w:tr>
    </w:tbl>
    <w:p>
      <w:pPr>
        <w:spacing w:line="256" w:lineRule="auto"/>
      </w:pPr>
      <w:r>
        <w:t xml:space="preserve"> </w:t>
      </w:r>
      <w:r>
        <w:tab/>
        <w:t xml:space="preserve"> </w:t>
      </w:r>
      <w:bookmarkStart w:id="3518" w:name="_Toc14537"/>
    </w:p>
    <w:p>
      <w:pPr>
        <w:spacing w:line="256" w:lineRule="auto"/>
      </w:pPr>
    </w:p>
    <w:p>
      <w:pPr>
        <w:autoSpaceDE w:val="0"/>
        <w:autoSpaceDN w:val="0"/>
        <w:adjustRightInd w:val="0"/>
        <w:contextualSpacing/>
        <w:jc w:val="both"/>
        <w:rPr>
          <w:b/>
          <w:u w:val="single"/>
        </w:rPr>
      </w:pPr>
      <w:r>
        <w:rPr>
          <w:b/>
          <w:u w:val="single"/>
        </w:rPr>
        <w:t xml:space="preserve">ÉTAPE 6 - Sécurité physique et sécurité de l'infrastructure informatique  </w:t>
      </w:r>
      <w:bookmarkEnd w:id="3518"/>
    </w:p>
    <w:p>
      <w:pPr>
        <w:pStyle w:val="Titre3"/>
      </w:pPr>
      <w:bookmarkStart w:id="3519" w:name="_Toc18914533"/>
      <w:bookmarkStart w:id="3520" w:name="_Toc14538"/>
      <w:r>
        <w:t>Sécurité physique</w:t>
      </w:r>
      <w:bookmarkEnd w:id="3519"/>
      <w:r>
        <w:t xml:space="preserve">  </w:t>
      </w:r>
      <w:bookmarkEnd w:id="3520"/>
    </w:p>
    <w:p/>
    <w:p>
      <w:pPr>
        <w:spacing w:after="160" w:line="256" w:lineRule="auto"/>
        <w:jc w:val="both"/>
      </w:pPr>
      <w:r>
        <w:t xml:space="preserve">Il est recommandé que l'école limite l'accès aux espaces où sont situées ou utilisées/traitées des données à caractère personnel aux personnes habilitées. Il en va de même pour les locaux de serveurs contenant des données sécurisées.  </w:t>
      </w:r>
    </w:p>
    <w:p>
      <w:pPr>
        <w:spacing w:line="256" w:lineRule="auto"/>
        <w:jc w:val="both"/>
        <w:rPr>
          <w:b/>
        </w:rPr>
      </w:pPr>
    </w:p>
    <w:p>
      <w:pPr>
        <w:spacing w:line="256" w:lineRule="auto"/>
        <w:jc w:val="both"/>
        <w:rPr>
          <w:b/>
        </w:rPr>
      </w:pPr>
      <w:r>
        <w:rPr>
          <w:b/>
        </w:rPr>
        <w:t xml:space="preserve">Astuce  </w:t>
      </w:r>
    </w:p>
    <w:tbl>
      <w:tblPr>
        <w:tblStyle w:val="TableGrid"/>
        <w:tblW w:w="9018" w:type="dxa"/>
        <w:tblInd w:w="5" w:type="dxa"/>
        <w:tblBorders>
          <w:top w:val="single" w:sz="4" w:space="0" w:color="auto"/>
          <w:left w:val="single" w:sz="4" w:space="0" w:color="auto"/>
          <w:bottom w:val="single" w:sz="4" w:space="0" w:color="auto"/>
          <w:right w:val="single" w:sz="4" w:space="0" w:color="auto"/>
        </w:tblBorders>
        <w:tblCellMar>
          <w:top w:w="46" w:type="dxa"/>
          <w:left w:w="108" w:type="dxa"/>
          <w:right w:w="64" w:type="dxa"/>
        </w:tblCellMar>
        <w:tblLook w:val="04A0" w:firstRow="1" w:lastRow="0" w:firstColumn="1" w:lastColumn="0" w:noHBand="0" w:noVBand="1"/>
      </w:tblPr>
      <w:tblGrid>
        <w:gridCol w:w="9018"/>
      </w:tblGrid>
      <w:tr>
        <w:trPr>
          <w:trHeight w:val="310"/>
        </w:trPr>
        <w:tc>
          <w:tcPr>
            <w:tcW w:w="9018" w:type="dxa"/>
            <w:hideMark/>
          </w:tcPr>
          <w:p>
            <w:pPr>
              <w:pStyle w:val="Paragraphedeliste"/>
              <w:numPr>
                <w:ilvl w:val="0"/>
                <w:numId w:val="244"/>
              </w:numPr>
              <w:suppressAutoHyphens w:val="0"/>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prendre des mesures préventives et éviter ainsi les dommages causés par le feu, les inondations, etc. Par exemple : détection d'incendie appropriée, extincteurs, ... </w:t>
            </w:r>
          </w:p>
        </w:tc>
      </w:tr>
    </w:tbl>
    <w:p>
      <w:pPr>
        <w:spacing w:after="177" w:line="256" w:lineRule="auto"/>
        <w:jc w:val="both"/>
      </w:pPr>
      <w:r>
        <w:t xml:space="preserve"> </w:t>
      </w:r>
    </w:p>
    <w:p>
      <w:pPr>
        <w:pStyle w:val="Titre3"/>
      </w:pPr>
      <w:bookmarkStart w:id="3521" w:name="_Toc18914534"/>
      <w:bookmarkStart w:id="3522" w:name="_Toc14539"/>
      <w:r>
        <w:t>Sécurité</w:t>
      </w:r>
      <w:bookmarkEnd w:id="3521"/>
      <w:r>
        <w:t xml:space="preserve"> </w:t>
      </w:r>
      <w:bookmarkEnd w:id="3522"/>
    </w:p>
    <w:p>
      <w:pPr>
        <w:spacing w:after="158" w:line="256" w:lineRule="auto"/>
        <w:jc w:val="both"/>
      </w:pPr>
      <w:r>
        <w:t xml:space="preserve">Une installation, des réseaux et des serveurs informatiques bien sécurisés sont une condition de la sécurisation des données à caractère personnel.  </w:t>
      </w:r>
    </w:p>
    <w:p>
      <w:pPr>
        <w:spacing w:after="168"/>
        <w:jc w:val="both"/>
      </w:pPr>
      <w:r>
        <w:t xml:space="preserve">Des supports de stockage amovibles comme des caméras, des disques durs externes, des CD et des clés USB sont une source potentielle d'infection par des logiciels malveillants (malwares). Les supports de stockage amovibles sont aussi à l'origine de la perte d'informations sensibles dans de nombreuses organisations.  </w:t>
      </w:r>
    </w:p>
    <w:p>
      <w:pPr>
        <w:jc w:val="both"/>
      </w:pPr>
      <w:r>
        <w:t xml:space="preserve">En tant qu'école/Po/implantation, il faut dès lors prendre les mesures nécessaires pour prévenir le risque de pertes de données. </w:t>
      </w:r>
    </w:p>
    <w:p>
      <w:pPr>
        <w:spacing w:line="256" w:lineRule="auto"/>
        <w:jc w:val="both"/>
      </w:pPr>
    </w:p>
    <w:p>
      <w:pPr>
        <w:spacing w:line="256" w:lineRule="auto"/>
        <w:jc w:val="both"/>
        <w:rPr>
          <w:b/>
        </w:rPr>
      </w:pPr>
      <w:r>
        <w:rPr>
          <w:b/>
        </w:rPr>
        <w:t xml:space="preserve">Astuces  </w:t>
      </w:r>
    </w:p>
    <w:tbl>
      <w:tblPr>
        <w:tblStyle w:val="TableGrid"/>
        <w:tblW w:w="9018" w:type="dxa"/>
        <w:tblInd w:w="5" w:type="dxa"/>
        <w:tblBorders>
          <w:top w:val="single" w:sz="4" w:space="0" w:color="000000"/>
          <w:left w:val="single" w:sz="4" w:space="0" w:color="000000"/>
          <w:bottom w:val="single" w:sz="4" w:space="0" w:color="000000"/>
          <w:right w:val="single" w:sz="18" w:space="0" w:color="auto"/>
        </w:tblBorders>
        <w:tblCellMar>
          <w:top w:w="46" w:type="dxa"/>
          <w:left w:w="108" w:type="dxa"/>
          <w:right w:w="10" w:type="dxa"/>
        </w:tblCellMar>
        <w:tblLook w:val="04A0" w:firstRow="1" w:lastRow="0" w:firstColumn="1" w:lastColumn="0" w:noHBand="0" w:noVBand="1"/>
      </w:tblPr>
      <w:tblGrid>
        <w:gridCol w:w="9018"/>
      </w:tblGrid>
      <w:tr>
        <w:trPr>
          <w:trHeight w:val="4846"/>
        </w:trPr>
        <w:tc>
          <w:tcPr>
            <w:tcW w:w="9018" w:type="dxa"/>
            <w:tcBorders>
              <w:top w:val="single" w:sz="4" w:space="0" w:color="auto"/>
              <w:left w:val="single" w:sz="4" w:space="0" w:color="auto"/>
              <w:bottom w:val="single" w:sz="4" w:space="0" w:color="auto"/>
              <w:right w:val="single" w:sz="4" w:space="0" w:color="auto"/>
            </w:tcBorders>
            <w:hideMark/>
          </w:tcPr>
          <w:p>
            <w:pPr>
              <w:numPr>
                <w:ilvl w:val="0"/>
                <w:numId w:val="247"/>
              </w:numPr>
              <w:spacing w:after="12" w:line="256" w:lineRule="auto"/>
              <w:ind w:hanging="360"/>
              <w:jc w:val="both"/>
            </w:pPr>
            <w:r>
              <w:t xml:space="preserve">Protéger les appareils contre les menaces telles que les virus et autres malwares. </w:t>
            </w:r>
          </w:p>
          <w:p>
            <w:pPr>
              <w:numPr>
                <w:ilvl w:val="0"/>
                <w:numId w:val="247"/>
              </w:numPr>
              <w:spacing w:after="12" w:line="256" w:lineRule="auto"/>
              <w:ind w:hanging="360"/>
              <w:jc w:val="both"/>
            </w:pPr>
            <w:r>
              <w:t xml:space="preserve">Effectuer régulièrement des sauvegardes.  </w:t>
            </w:r>
          </w:p>
          <w:p>
            <w:pPr>
              <w:numPr>
                <w:ilvl w:val="0"/>
                <w:numId w:val="247"/>
              </w:numPr>
              <w:spacing w:after="13" w:line="256" w:lineRule="auto"/>
              <w:ind w:hanging="360"/>
              <w:jc w:val="both"/>
            </w:pPr>
            <w:r>
              <w:t xml:space="preserve">Évaluer votre politique d'accès (par exemple : existe-t-il un identifiant et mot de passe unique par utilisateur ?). </w:t>
            </w:r>
          </w:p>
          <w:p>
            <w:pPr>
              <w:numPr>
                <w:ilvl w:val="0"/>
                <w:numId w:val="247"/>
              </w:numPr>
              <w:spacing w:after="33"/>
              <w:ind w:hanging="360"/>
              <w:jc w:val="both"/>
            </w:pPr>
            <w:r>
              <w:t xml:space="preserve">Sensibilisez le personnel et les élèves à la reconnaissance des fichiers infectés, à ce qu’il convient de faire avec de tels fichiers et comment procéder à des téléchargements en toute sécurité.  </w:t>
            </w:r>
          </w:p>
          <w:p>
            <w:pPr>
              <w:numPr>
                <w:ilvl w:val="0"/>
                <w:numId w:val="247"/>
              </w:numPr>
              <w:spacing w:after="35" w:line="237" w:lineRule="auto"/>
              <w:ind w:hanging="360"/>
              <w:jc w:val="both"/>
            </w:pPr>
            <w:r>
              <w:t xml:space="preserve">Décider si le personnel et les élèves sont autorisés à utiliser des appareils mobiles ou de téléchargement des fichiers sur les réseaux informatiques de l’école. Bien en fixer les conditions.  </w:t>
            </w:r>
          </w:p>
          <w:p>
            <w:pPr>
              <w:numPr>
                <w:ilvl w:val="0"/>
                <w:numId w:val="247"/>
              </w:numPr>
              <w:spacing w:after="33"/>
              <w:ind w:hanging="360"/>
              <w:jc w:val="both"/>
            </w:pPr>
            <w:r>
              <w:t xml:space="preserve">Appliquer strictement les règles de base concernant la sécurisation au moyen de mots de passe et veiller à ce que les élèves et le personnel les respectent rigoureusement.  </w:t>
            </w:r>
          </w:p>
          <w:p>
            <w:pPr>
              <w:numPr>
                <w:ilvl w:val="0"/>
                <w:numId w:val="247"/>
              </w:numPr>
              <w:spacing w:after="34"/>
              <w:ind w:hanging="360"/>
              <w:jc w:val="both"/>
            </w:pPr>
            <w:r>
              <w:t xml:space="preserve">Autoriser l'utilisation de dispositifs amovibles uniquement dans le cadre des cours et exiger que les enseignants et les élèves scannent tout support amovible contre les malwares avant utilisation.  Leur apprendre à exécuter une telle procédure avec succès.  </w:t>
            </w:r>
          </w:p>
          <w:p>
            <w:pPr>
              <w:numPr>
                <w:ilvl w:val="0"/>
                <w:numId w:val="247"/>
              </w:numPr>
              <w:spacing w:line="256" w:lineRule="auto"/>
              <w:ind w:hanging="360"/>
              <w:jc w:val="both"/>
            </w:pPr>
            <w:r>
              <w:t xml:space="preserve">Éviter d'enregistrer des données d'élèves ou de collègues sur des dispositifs amovibles sauf s'il n'est pas possible de faire autrement. Dans ce cas, coder ou crypter les données à l'aide d'un mot de passe.  </w:t>
            </w:r>
          </w:p>
        </w:tc>
      </w:tr>
    </w:tbl>
    <w:p>
      <w:pPr>
        <w:spacing w:before="240" w:after="177" w:line="256" w:lineRule="auto"/>
        <w:jc w:val="both"/>
        <w:rPr>
          <w:i/>
          <w:u w:val="single"/>
        </w:rPr>
      </w:pPr>
      <w:bookmarkStart w:id="3523" w:name="_Toc14540"/>
      <w:r>
        <w:rPr>
          <w:i/>
          <w:u w:val="single"/>
        </w:rPr>
        <w:t xml:space="preserve">Points d'attention supplémentaires concernant les données à caractère personnel </w:t>
      </w:r>
      <w:bookmarkEnd w:id="3523"/>
    </w:p>
    <w:p>
      <w:pPr>
        <w:numPr>
          <w:ilvl w:val="0"/>
          <w:numId w:val="248"/>
        </w:numPr>
        <w:spacing w:line="276" w:lineRule="auto"/>
        <w:ind w:hanging="360"/>
        <w:jc w:val="both"/>
      </w:pPr>
      <w:r>
        <w:t xml:space="preserve">Attention au hameçonnage (« phishing ») ! </w:t>
      </w:r>
    </w:p>
    <w:p>
      <w:pPr>
        <w:spacing w:line="276" w:lineRule="auto"/>
        <w:ind w:left="720"/>
        <w:jc w:val="both"/>
      </w:pPr>
      <w:r>
        <w:t xml:space="preserve"> </w:t>
      </w:r>
    </w:p>
    <w:p>
      <w:pPr>
        <w:spacing w:line="276" w:lineRule="auto"/>
        <w:ind w:left="730"/>
        <w:jc w:val="both"/>
      </w:pPr>
      <w:r>
        <w:t xml:space="preserve">L’hameçonnage est une fraude en ligne par laquelle le fraudeur amène la victime sur une fausse page Internet. Cela représente l'un des plus grands risques pour la sécurité. En discuter avec le personnel de manière à ce que le risque qu'une personne transfère des données sensibles soit limité. </w:t>
      </w:r>
    </w:p>
    <w:p>
      <w:pPr>
        <w:spacing w:line="276" w:lineRule="auto"/>
        <w:ind w:left="730"/>
      </w:pPr>
    </w:p>
    <w:p>
      <w:pPr>
        <w:numPr>
          <w:ilvl w:val="0"/>
          <w:numId w:val="248"/>
        </w:numPr>
        <w:spacing w:line="276" w:lineRule="auto"/>
        <w:ind w:hanging="360"/>
        <w:jc w:val="both"/>
      </w:pPr>
      <w:r>
        <w:t xml:space="preserve">Ne pas laisser de document sensible sur les imprimantes en libre accès.  </w:t>
      </w:r>
    </w:p>
    <w:p>
      <w:pPr>
        <w:numPr>
          <w:ilvl w:val="0"/>
          <w:numId w:val="248"/>
        </w:numPr>
        <w:spacing w:line="276" w:lineRule="auto"/>
        <w:ind w:hanging="360"/>
        <w:jc w:val="both"/>
      </w:pPr>
      <w:r>
        <w:t xml:space="preserve">Pour le cryptage d'un accès à des données sensibles, utiliser une authentification à deux facteurs, en  pondérant la nécessité, la faisabilité et le coût des solutions.  </w:t>
      </w:r>
    </w:p>
    <w:p>
      <w:pPr>
        <w:numPr>
          <w:ilvl w:val="0"/>
          <w:numId w:val="248"/>
        </w:numPr>
        <w:spacing w:line="276" w:lineRule="auto"/>
        <w:ind w:hanging="360"/>
        <w:jc w:val="both"/>
      </w:pPr>
      <w:r>
        <w:t xml:space="preserve">Conserver les mots de passe dans un endroit sûr. </w:t>
      </w:r>
    </w:p>
    <w:p>
      <w:pPr>
        <w:numPr>
          <w:ilvl w:val="0"/>
          <w:numId w:val="248"/>
        </w:numPr>
        <w:spacing w:line="276" w:lineRule="auto"/>
        <w:ind w:hanging="360"/>
        <w:jc w:val="both"/>
      </w:pPr>
      <w:r>
        <w:t xml:space="preserve">Toujours se déconnecter. </w:t>
      </w:r>
    </w:p>
    <w:p>
      <w:pPr>
        <w:spacing w:line="256" w:lineRule="auto"/>
        <w:ind w:left="705"/>
        <w:jc w:val="both"/>
      </w:pPr>
    </w:p>
    <w:p>
      <w:pPr>
        <w:spacing w:line="256" w:lineRule="auto"/>
        <w:ind w:left="720"/>
        <w:jc w:val="both"/>
      </w:pPr>
    </w:p>
    <w:p>
      <w:pPr>
        <w:spacing w:line="256" w:lineRule="auto"/>
        <w:ind w:left="720"/>
        <w:jc w:val="both"/>
      </w:pPr>
    </w:p>
    <w:p>
      <w:pPr>
        <w:autoSpaceDE w:val="0"/>
        <w:autoSpaceDN w:val="0"/>
        <w:adjustRightInd w:val="0"/>
        <w:contextualSpacing/>
        <w:jc w:val="both"/>
        <w:rPr>
          <w:b/>
          <w:u w:val="single"/>
        </w:rPr>
      </w:pPr>
      <w:bookmarkStart w:id="3524" w:name="_Toc14541"/>
      <w:r>
        <w:rPr>
          <w:b/>
          <w:u w:val="single"/>
        </w:rPr>
        <w:t xml:space="preserve">ÉTAPE 7 - Violations de données à caractère personnel et obligation de notification  </w:t>
      </w:r>
      <w:bookmarkEnd w:id="3524"/>
    </w:p>
    <w:p>
      <w:pPr>
        <w:spacing w:line="256" w:lineRule="auto"/>
        <w:jc w:val="both"/>
      </w:pPr>
    </w:p>
    <w:p>
      <w:pPr>
        <w:spacing w:line="256" w:lineRule="auto"/>
        <w:jc w:val="both"/>
      </w:pPr>
      <w:r>
        <w:t xml:space="preserve">Une fuite de données est une situation dans laquelle des données à caractère personnel risquent d'être rendues publiques de manière non autorisée, perdues, détruites ou altérées.  </w:t>
      </w:r>
    </w:p>
    <w:p>
      <w:pPr>
        <w:spacing w:line="256" w:lineRule="auto"/>
        <w:jc w:val="both"/>
      </w:pPr>
    </w:p>
    <w:p>
      <w:pPr>
        <w:spacing w:after="201"/>
        <w:jc w:val="both"/>
      </w:pPr>
      <w:r>
        <w:t xml:space="preserve">Parmi les exemples de fuites de données, citons :  </w:t>
      </w:r>
    </w:p>
    <w:p>
      <w:pPr>
        <w:numPr>
          <w:ilvl w:val="0"/>
          <w:numId w:val="249"/>
        </w:numPr>
        <w:spacing w:after="5" w:line="247" w:lineRule="auto"/>
        <w:ind w:hanging="360"/>
        <w:jc w:val="both"/>
      </w:pPr>
      <w:r>
        <w:t xml:space="preserve">le vol intentionnel de données par des cybercriminels (hacking, phishing) ; </w:t>
      </w:r>
    </w:p>
    <w:p>
      <w:pPr>
        <w:numPr>
          <w:ilvl w:val="0"/>
          <w:numId w:val="249"/>
        </w:numPr>
        <w:spacing w:after="5" w:line="247" w:lineRule="auto"/>
        <w:ind w:hanging="360"/>
        <w:jc w:val="both"/>
      </w:pPr>
      <w:r>
        <w:t xml:space="preserve">la perte ou le vol de supports amovibles (disque dur externe, clé USB, ordinateur portable...) ; </w:t>
      </w:r>
    </w:p>
    <w:p>
      <w:pPr>
        <w:numPr>
          <w:ilvl w:val="0"/>
          <w:numId w:val="249"/>
        </w:numPr>
        <w:spacing w:after="5" w:line="247" w:lineRule="auto"/>
        <w:ind w:hanging="360"/>
        <w:jc w:val="both"/>
      </w:pPr>
      <w:r>
        <w:t xml:space="preserve">des défaillances techniques. Par exemple : une faille de sécurité dans un logiciel ; </w:t>
      </w:r>
    </w:p>
    <w:p>
      <w:pPr>
        <w:numPr>
          <w:ilvl w:val="0"/>
          <w:numId w:val="249"/>
        </w:numPr>
        <w:spacing w:after="5" w:line="247" w:lineRule="auto"/>
        <w:ind w:hanging="360"/>
        <w:jc w:val="both"/>
      </w:pPr>
      <w:r>
        <w:t xml:space="preserve">la négligence dans l'emploi ou la communication de mots de passe ;  </w:t>
      </w:r>
    </w:p>
    <w:p>
      <w:pPr>
        <w:numPr>
          <w:ilvl w:val="0"/>
          <w:numId w:val="249"/>
        </w:numPr>
        <w:spacing w:after="5" w:line="247" w:lineRule="auto"/>
        <w:ind w:hanging="360"/>
        <w:jc w:val="both"/>
      </w:pPr>
      <w:r>
        <w:t xml:space="preserve">l'envoi accidentel d'un e-mail avec divulgation de données à caractère personnel. </w:t>
      </w:r>
    </w:p>
    <w:p>
      <w:pPr>
        <w:spacing w:line="256" w:lineRule="auto"/>
        <w:ind w:left="720"/>
        <w:jc w:val="both"/>
      </w:pPr>
      <w:r>
        <w:t xml:space="preserve"> </w:t>
      </w:r>
    </w:p>
    <w:tbl>
      <w:tblPr>
        <w:tblStyle w:val="TableGrid"/>
        <w:tblW w:w="9018" w:type="dxa"/>
        <w:tblInd w:w="5" w:type="dxa"/>
        <w:tblBorders>
          <w:top w:val="single" w:sz="4" w:space="0" w:color="auto"/>
          <w:left w:val="single" w:sz="4" w:space="0" w:color="auto"/>
          <w:bottom w:val="single" w:sz="4" w:space="0" w:color="auto"/>
          <w:right w:val="single" w:sz="4" w:space="0" w:color="auto"/>
        </w:tblBorders>
        <w:tblCellMar>
          <w:top w:w="46" w:type="dxa"/>
          <w:left w:w="108" w:type="dxa"/>
          <w:right w:w="60" w:type="dxa"/>
        </w:tblCellMar>
        <w:tblLook w:val="04A0" w:firstRow="1" w:lastRow="0" w:firstColumn="1" w:lastColumn="0" w:noHBand="0" w:noVBand="1"/>
      </w:tblPr>
      <w:tblGrid>
        <w:gridCol w:w="9018"/>
      </w:tblGrid>
      <w:tr>
        <w:trPr>
          <w:trHeight w:val="4201"/>
        </w:trPr>
        <w:tc>
          <w:tcPr>
            <w:tcW w:w="9018" w:type="dxa"/>
          </w:tcPr>
          <w:p>
            <w:pPr>
              <w:spacing w:line="256" w:lineRule="auto"/>
              <w:jc w:val="both"/>
              <w:rPr>
                <w:b/>
                <w:u w:val="single"/>
              </w:rPr>
            </w:pPr>
            <w:r>
              <w:rPr>
                <w:b/>
                <w:u w:val="single"/>
              </w:rPr>
              <w:t xml:space="preserve">MEMO  POUR LES ÉCOLES </w:t>
            </w:r>
          </w:p>
          <w:p>
            <w:pPr>
              <w:spacing w:after="12" w:line="256" w:lineRule="auto"/>
              <w:jc w:val="both"/>
            </w:pPr>
            <w:r>
              <w:t xml:space="preserve"> </w:t>
            </w:r>
          </w:p>
          <w:p>
            <w:pPr>
              <w:numPr>
                <w:ilvl w:val="0"/>
                <w:numId w:val="250"/>
              </w:numPr>
              <w:ind w:hanging="360"/>
              <w:jc w:val="both"/>
            </w:pPr>
            <w:r>
              <w:t xml:space="preserve">Tenir un registre interne des incidents et prévoir une procédure interne afin de détecter, rapporter, analyser et si nécessaire notifier des violations. </w:t>
            </w:r>
          </w:p>
          <w:p>
            <w:pPr>
              <w:spacing w:after="9" w:line="256" w:lineRule="auto"/>
              <w:ind w:left="360"/>
              <w:jc w:val="both"/>
            </w:pPr>
            <w:r>
              <w:t xml:space="preserve"> </w:t>
            </w:r>
          </w:p>
          <w:p>
            <w:pPr>
              <w:numPr>
                <w:ilvl w:val="0"/>
                <w:numId w:val="250"/>
              </w:numPr>
              <w:spacing w:line="256" w:lineRule="auto"/>
              <w:ind w:hanging="360"/>
              <w:jc w:val="both"/>
            </w:pPr>
            <w:r>
              <w:t xml:space="preserve">Journaliser chaque incident en interne. </w:t>
            </w:r>
          </w:p>
          <w:p>
            <w:pPr>
              <w:spacing w:line="256" w:lineRule="auto"/>
              <w:ind w:left="720"/>
              <w:jc w:val="both"/>
            </w:pPr>
            <w:r>
              <w:t xml:space="preserve"> </w:t>
            </w:r>
          </w:p>
          <w:p>
            <w:pPr>
              <w:ind w:left="720" w:right="50"/>
              <w:jc w:val="both"/>
            </w:pPr>
            <w:r>
              <w:t xml:space="preserve">Si l'incident peut provoquer toute forme de dommage à la (aux) personne(s) concernée(s), notifiez l'incident à votre délégué à la protection des données qui peut avertir l'Autorité de protection des données dans les 72 heures. </w:t>
            </w:r>
          </w:p>
          <w:p>
            <w:pPr>
              <w:spacing w:line="237" w:lineRule="auto"/>
              <w:ind w:left="720"/>
              <w:jc w:val="both"/>
            </w:pPr>
            <w:r>
              <w:t xml:space="preserve">En cas de risque élevé pour les droits et libertés, c’est une obligation d’également notifier l'incident à la (aux) personne(s) concernée(s) elle(s)-même(s).  </w:t>
            </w:r>
          </w:p>
          <w:p>
            <w:pPr>
              <w:spacing w:line="256" w:lineRule="auto"/>
              <w:ind w:left="720"/>
              <w:jc w:val="both"/>
            </w:pPr>
          </w:p>
          <w:p>
            <w:pPr>
              <w:spacing w:after="1" w:line="237" w:lineRule="auto"/>
              <w:ind w:left="720" w:right="49"/>
              <w:jc w:val="both"/>
            </w:pPr>
            <w:r>
              <w:t xml:space="preserve">Exemple : une notification à l'Autorité de protection des données et aux personnes concernées est nécessaire en cas de vol de données non cryptées contenant des informations médicales des élèves. </w:t>
            </w:r>
          </w:p>
        </w:tc>
      </w:tr>
    </w:tbl>
    <w:p>
      <w:pPr>
        <w:autoSpaceDE w:val="0"/>
        <w:autoSpaceDN w:val="0"/>
        <w:adjustRightInd w:val="0"/>
        <w:contextualSpacing/>
        <w:jc w:val="both"/>
        <w:rPr>
          <w:b/>
          <w:u w:val="single"/>
        </w:rPr>
      </w:pPr>
      <w:bookmarkStart w:id="3525" w:name="_Toc14542"/>
    </w:p>
    <w:p>
      <w:pPr>
        <w:autoSpaceDE w:val="0"/>
        <w:autoSpaceDN w:val="0"/>
        <w:adjustRightInd w:val="0"/>
        <w:contextualSpacing/>
        <w:jc w:val="both"/>
        <w:rPr>
          <w:b/>
          <w:u w:val="single"/>
        </w:rPr>
      </w:pPr>
    </w:p>
    <w:p>
      <w:pPr>
        <w:autoSpaceDE w:val="0"/>
        <w:autoSpaceDN w:val="0"/>
        <w:adjustRightInd w:val="0"/>
        <w:contextualSpacing/>
        <w:jc w:val="both"/>
        <w:rPr>
          <w:b/>
          <w:u w:val="single"/>
        </w:rPr>
      </w:pPr>
      <w:r>
        <w:rPr>
          <w:b/>
          <w:u w:val="single"/>
        </w:rPr>
        <w:t xml:space="preserve">Vous voulez en savoir plus sur le RGPD ? </w:t>
      </w:r>
      <w:bookmarkEnd w:id="3525"/>
    </w:p>
    <w:p>
      <w:pPr>
        <w:spacing w:after="12" w:line="256" w:lineRule="auto"/>
        <w:jc w:val="both"/>
      </w:pPr>
      <w:r>
        <w:t xml:space="preserve"> </w:t>
      </w:r>
    </w:p>
    <w:p>
      <w:pPr>
        <w:numPr>
          <w:ilvl w:val="0"/>
          <w:numId w:val="251"/>
        </w:numPr>
        <w:spacing w:after="5" w:line="247" w:lineRule="auto"/>
        <w:ind w:hanging="360"/>
        <w:jc w:val="both"/>
      </w:pPr>
      <w:r>
        <w:t xml:space="preserve">L'Autorité de protection des données a conçu un vaste portail comportant un dossier thématique sur le RGPD. Vous pouvez aussi y consulter le plan général par étapes : "RGPD - Préparez-vous en 13 étapes !"   </w:t>
      </w:r>
      <w:hyperlink r:id="rId243" w:history="1">
        <w:r>
          <w:rPr>
            <w:color w:val="365F91" w:themeColor="accent1" w:themeShade="BF"/>
          </w:rPr>
          <w:t xml:space="preserve"> </w:t>
        </w:r>
      </w:hyperlink>
      <w:hyperlink r:id="rId244" w:history="1">
        <w:r>
          <w:rPr>
            <w:color w:val="365F91" w:themeColor="accent1" w:themeShade="BF"/>
          </w:rPr>
          <w:t>https://www.autoriteprotectiondonnees.be/</w:t>
        </w:r>
      </w:hyperlink>
      <w:hyperlink r:id="rId245" w:history="1">
        <w:r>
          <w:t xml:space="preserve"> </w:t>
        </w:r>
      </w:hyperlink>
    </w:p>
    <w:p>
      <w:pPr>
        <w:spacing w:after="12" w:line="256" w:lineRule="auto"/>
        <w:jc w:val="both"/>
      </w:pPr>
      <w:r>
        <w:t xml:space="preserve"> </w:t>
      </w:r>
    </w:p>
    <w:p>
      <w:pPr>
        <w:numPr>
          <w:ilvl w:val="0"/>
          <w:numId w:val="251"/>
        </w:numPr>
        <w:spacing w:after="5" w:line="247" w:lineRule="auto"/>
        <w:ind w:hanging="360"/>
        <w:jc w:val="both"/>
      </w:pPr>
      <w:r>
        <w:t xml:space="preserve">Si vous cherchez des informations et de l'inspiration, le site Internet axé sur l'enseignement de l'Autorité de protection des données, </w:t>
      </w:r>
      <w:hyperlink r:id="rId246" w:history="1">
        <w:r>
          <w:t>www.jedecide.be</w:t>
        </w:r>
      </w:hyperlink>
      <w:hyperlink r:id="rId247" w:history="1">
        <w:r>
          <w:t xml:space="preserve"> </w:t>
        </w:r>
      </w:hyperlink>
      <w:r>
        <w:t xml:space="preserve">constitue un outil utile et une source d'informations, en particulier si vous souhaitez aborder ces thèmes avec les élèves. Le site comporte un volet pour les jeunes ainsi qu'un autre pour les parents et pour l'enseignement.  </w:t>
      </w:r>
    </w:p>
    <w:p>
      <w:pPr>
        <w:spacing w:after="195" w:line="256" w:lineRule="auto"/>
        <w:ind w:left="720"/>
        <w:jc w:val="both"/>
      </w:pPr>
      <w:r>
        <w:t xml:space="preserve"> </w:t>
      </w:r>
    </w:p>
    <w:p>
      <w:pPr>
        <w:numPr>
          <w:ilvl w:val="0"/>
          <w:numId w:val="251"/>
        </w:numPr>
        <w:spacing w:after="5" w:line="247" w:lineRule="auto"/>
        <w:ind w:hanging="360"/>
        <w:jc w:val="both"/>
      </w:pPr>
      <w:r>
        <w:t>Renseignez-vous auprès de votre Fédération de Pouvoirs Organisateurs, adressez-vous pour cela aux personnes de contact au sein de votre organisation.</w:t>
      </w:r>
    </w:p>
    <w:p>
      <w:pPr>
        <w:jc w:val="both"/>
        <w:rPr>
          <w:rFonts w:eastAsia="Times New Roman" w:cs="Arial"/>
          <w:lang w:eastAsia="ar-SA"/>
        </w:rPr>
      </w:pPr>
    </w:p>
    <w:sdt>
      <w:sdtPr>
        <w:rPr>
          <w:rFonts w:asciiTheme="majorHAnsi" w:eastAsiaTheme="minorHAnsi" w:hAnsiTheme="majorHAnsi"/>
          <w:sz w:val="24"/>
          <w:lang w:eastAsia="en-US"/>
        </w:rPr>
        <w:id w:val="231901034"/>
        <w:docPartObj>
          <w:docPartGallery w:val="Cover Pages"/>
          <w:docPartUnique/>
        </w:docPartObj>
      </w:sdtPr>
      <w:sdtEndPr>
        <w:rPr>
          <w:color w:val="00B050"/>
          <w:sz w:val="22"/>
        </w:rPr>
      </w:sdtEndPr>
      <w:sdtContent>
        <w:p>
          <w:pPr>
            <w:pStyle w:val="Sansinterligne"/>
            <w:rPr>
              <w:rFonts w:asciiTheme="majorHAnsi" w:hAnsiTheme="majorHAnsi"/>
            </w:rPr>
          </w:pPr>
        </w:p>
        <w:p>
          <w:pPr>
            <w:pStyle w:val="Titre2"/>
          </w:pPr>
          <w:bookmarkStart w:id="3526" w:name="_Chapitre_24_:"/>
          <w:bookmarkStart w:id="3527" w:name="_Toc477623895"/>
          <w:bookmarkStart w:id="3528" w:name="_Toc477767767"/>
          <w:bookmarkStart w:id="3529" w:name="_Toc18914535"/>
          <w:bookmarkEnd w:id="3526"/>
          <w:r>
            <w:t>Chapitre</w:t>
          </w:r>
          <w:bookmarkEnd w:id="3527"/>
          <w:bookmarkEnd w:id="3528"/>
          <w:r>
            <w:t xml:space="preserve"> 23 : </w:t>
          </w:r>
          <w:bookmarkStart w:id="3530" w:name="_Toc477623896"/>
          <w:bookmarkStart w:id="3531" w:name="_Toc477767768"/>
          <w:r>
            <w:t>Organisation des séjours pédagogiques avec nuitée(s) en Belgique et à l’étranger</w:t>
          </w:r>
          <w:bookmarkEnd w:id="3529"/>
        </w:p>
        <w:p>
          <w:pPr>
            <w:rPr>
              <w:lang w:eastAsia="fr-BE"/>
            </w:rPr>
          </w:pPr>
        </w:p>
        <w:p>
          <w:pPr>
            <w:rPr>
              <w:lang w:eastAsia="fr-BE"/>
            </w:rPr>
          </w:pPr>
        </w:p>
        <w:p>
          <w:pPr>
            <w:jc w:val="both"/>
            <w:rPr>
              <w:lang w:eastAsia="fr-BE"/>
            </w:rPr>
          </w:pPr>
        </w:p>
        <w:p>
          <w:pPr>
            <w:jc w:val="both"/>
            <w:rPr>
              <w:lang w:eastAsia="fr-BE"/>
            </w:rPr>
          </w:pPr>
        </w:p>
        <w:bookmarkEnd w:id="3530"/>
        <w:bookmarkEnd w:id="3531"/>
        <w:p>
          <w:pPr>
            <w:pStyle w:val="Corpsdetexte"/>
            <w:rPr>
              <w:rFonts w:eastAsiaTheme="minorHAnsi"/>
            </w:rPr>
          </w:pPr>
          <w:r>
            <w:rPr>
              <w:rFonts w:eastAsiaTheme="minorHAnsi"/>
            </w:rPr>
            <w:t>Cette nouvelle notion remplace les définitions d’activité extérieure et de classe de dépaysement et de découverte.</w:t>
          </w:r>
        </w:p>
        <w:p>
          <w:pPr>
            <w:pStyle w:val="Corpsdetexte"/>
            <w:rPr>
              <w:rFonts w:eastAsiaTheme="minorHAnsi"/>
            </w:rPr>
          </w:pPr>
        </w:p>
        <w:p>
          <w:pPr>
            <w:pStyle w:val="Corpsdetexte"/>
            <w:rPr>
              <w:rFonts w:eastAsiaTheme="minorHAnsi"/>
            </w:rPr>
          </w:pPr>
          <w:r>
            <w:rPr>
              <w:rFonts w:eastAsiaTheme="minorHAnsi"/>
            </w:rPr>
            <w:t xml:space="preserve">Les mises à jour sont les suivantes : </w:t>
          </w:r>
        </w:p>
        <w:p>
          <w:pPr>
            <w:pStyle w:val="Corpsdetexte"/>
            <w:numPr>
              <w:ilvl w:val="0"/>
              <w:numId w:val="209"/>
            </w:numPr>
            <w:rPr>
              <w:rFonts w:eastAsiaTheme="minorHAnsi"/>
            </w:rPr>
          </w:pPr>
          <w:r>
            <w:rPr>
              <w:rFonts w:eastAsiaTheme="minorHAnsi"/>
            </w:rPr>
            <w:t>la procédure d’introduction des dossiers (déclarations simplifiées et demandes de dérogations) a été révisée : l’ensemble des dossiers doivent parvenir à la Direction générale de l’Enseignement obligatoire ;</w:t>
          </w:r>
        </w:p>
        <w:p>
          <w:pPr>
            <w:pStyle w:val="Corpsdetexte"/>
            <w:numPr>
              <w:ilvl w:val="0"/>
              <w:numId w:val="209"/>
            </w:numPr>
            <w:rPr>
              <w:rFonts w:eastAsiaTheme="minorHAnsi"/>
            </w:rPr>
          </w:pPr>
          <w:r>
            <w:rPr>
              <w:rFonts w:eastAsiaTheme="minorHAnsi"/>
            </w:rPr>
            <w:t>les dossiers remplissant les conditions de la circulaire (pas de dérogations) sont autorisés de manière automatique ;</w:t>
          </w:r>
        </w:p>
        <w:p>
          <w:pPr>
            <w:pStyle w:val="Corpsdetexte"/>
            <w:numPr>
              <w:ilvl w:val="0"/>
              <w:numId w:val="209"/>
            </w:numPr>
            <w:rPr>
              <w:rFonts w:eastAsiaTheme="minorHAnsi"/>
            </w:rPr>
          </w:pPr>
          <w:r>
            <w:rPr>
              <w:rFonts w:eastAsiaTheme="minorHAnsi"/>
            </w:rPr>
            <w:t>les déclarations simplifiées sont introduites par formulaire électronique ;</w:t>
          </w:r>
        </w:p>
        <w:p>
          <w:pPr>
            <w:pStyle w:val="Corpsdetexte"/>
            <w:numPr>
              <w:ilvl w:val="0"/>
              <w:numId w:val="209"/>
            </w:numPr>
            <w:rPr>
              <w:rFonts w:eastAsiaTheme="minorHAnsi"/>
            </w:rPr>
          </w:pPr>
          <w:r>
            <w:rPr>
              <w:rFonts w:eastAsiaTheme="minorHAnsi"/>
            </w:rPr>
            <w:t>le taux minimal de participation a été abaissé à 70% au lieu de 75% ;</w:t>
          </w:r>
        </w:p>
        <w:p>
          <w:pPr>
            <w:pStyle w:val="Corpsdetexte"/>
            <w:numPr>
              <w:ilvl w:val="0"/>
              <w:numId w:val="209"/>
            </w:numPr>
            <w:rPr>
              <w:rFonts w:eastAsiaTheme="minorHAnsi"/>
            </w:rPr>
          </w:pPr>
          <w:r>
            <w:rPr>
              <w:rFonts w:eastAsiaTheme="minorHAnsi"/>
            </w:rPr>
            <w:t>la durée d’un séjour et le temps maximal de séjour durant une année scolaire ont été modifiés : passage à 20 jours de classe au lieu de 30 jours ;</w:t>
          </w:r>
        </w:p>
        <w:p>
          <w:pPr>
            <w:pStyle w:val="Corpsdetexte"/>
            <w:numPr>
              <w:ilvl w:val="0"/>
              <w:numId w:val="209"/>
            </w:numPr>
            <w:rPr>
              <w:rFonts w:eastAsiaTheme="minorHAnsi"/>
            </w:rPr>
          </w:pPr>
          <w:r>
            <w:rPr>
              <w:rFonts w:eastAsiaTheme="minorHAnsi"/>
            </w:rPr>
            <w:t xml:space="preserve">la place du chef d’établissement lors d’un séjour a été précisée : il ne pourra pas faire partie de l’encadrement de base et la durée de chaque visite ne pourra pas excéder 2 jours ouvrables, sauf autorisation motivée du Pouvoir organisateur et communication de l’identité de la personne le remplaçant dans ses fonctions le temps de son absence. Une dérogation en cas de circonstances exceptionnelles a été envisagée ; </w:t>
          </w:r>
        </w:p>
        <w:p>
          <w:pPr>
            <w:pStyle w:val="Corpsdetexte"/>
            <w:numPr>
              <w:ilvl w:val="0"/>
              <w:numId w:val="209"/>
            </w:numPr>
            <w:rPr>
              <w:rFonts w:eastAsiaTheme="minorHAnsi"/>
            </w:rPr>
          </w:pPr>
          <w:r>
            <w:rPr>
              <w:rFonts w:eastAsiaTheme="minorHAnsi"/>
            </w:rPr>
            <w:t>la non-prise en compte d’élèves pour le calcul du taux de participation pour raisons médicales est désormais conditionnée à l’existence d’un certificat médical et non plus d’un dossier médical ;</w:t>
          </w:r>
        </w:p>
        <w:p>
          <w:pPr>
            <w:pStyle w:val="Corpsdetexte"/>
            <w:numPr>
              <w:ilvl w:val="0"/>
              <w:numId w:val="209"/>
            </w:numPr>
            <w:rPr>
              <w:rFonts w:eastAsiaTheme="minorHAnsi"/>
            </w:rPr>
          </w:pPr>
          <w:r>
            <w:rPr>
              <w:rFonts w:eastAsiaTheme="minorHAnsi"/>
            </w:rPr>
            <w:t>il est précisé que les élèves en situation de redoublement (année complémentaire ou maintien) ne peuvent pas être écartés lors du calcul du taux de participation, le projet de séjour devant être adapté au public scolaire ;</w:t>
          </w:r>
        </w:p>
        <w:p>
          <w:pPr>
            <w:pStyle w:val="Corpsdetexte"/>
            <w:numPr>
              <w:ilvl w:val="0"/>
              <w:numId w:val="209"/>
            </w:numPr>
            <w:rPr>
              <w:rFonts w:eastAsiaTheme="minorHAnsi"/>
            </w:rPr>
          </w:pPr>
          <w:r>
            <w:rPr>
              <w:rFonts w:eastAsiaTheme="minorHAnsi"/>
            </w:rPr>
            <w:t>aucune non-participation d’un(e) élève pour des motifs financiers ne pourra être acceptée ;</w:t>
          </w:r>
        </w:p>
        <w:p>
          <w:pPr>
            <w:pStyle w:val="Corpsdetexte"/>
            <w:numPr>
              <w:ilvl w:val="0"/>
              <w:numId w:val="209"/>
            </w:numPr>
            <w:rPr>
              <w:rFonts w:eastAsiaTheme="minorHAnsi"/>
            </w:rPr>
          </w:pPr>
          <w:r>
            <w:rPr>
              <w:rFonts w:eastAsiaTheme="minorHAnsi"/>
            </w:rPr>
            <w:t>les séjours européens (Erasmus +, Leonardo, Comenius, …) ne sont pas soumis à l’autorisation de la Direction générale de l’Enseignement obligatoire ;</w:t>
          </w:r>
        </w:p>
        <w:p>
          <w:pPr>
            <w:pStyle w:val="Corpsdetexte"/>
            <w:numPr>
              <w:ilvl w:val="0"/>
              <w:numId w:val="209"/>
            </w:numPr>
            <w:rPr>
              <w:rFonts w:eastAsiaTheme="minorHAnsi"/>
            </w:rPr>
          </w:pPr>
          <w:r>
            <w:rPr>
              <w:rFonts w:eastAsiaTheme="minorHAnsi"/>
            </w:rPr>
            <w:t xml:space="preserve">la dérogation relative à l’obligation de faire partir toutes les classes d’un même niveau a été supprimée ; </w:t>
          </w:r>
        </w:p>
        <w:p>
          <w:pPr>
            <w:pStyle w:val="Corpsdetexte"/>
            <w:numPr>
              <w:ilvl w:val="0"/>
              <w:numId w:val="209"/>
            </w:numPr>
            <w:rPr>
              <w:rFonts w:eastAsiaTheme="minorHAnsi"/>
            </w:rPr>
          </w:pPr>
          <w:r>
            <w:rPr>
              <w:rFonts w:eastAsiaTheme="minorHAnsi"/>
            </w:rPr>
            <w:t>un volet pédagogique au dossier a été ajouté.</w:t>
          </w:r>
        </w:p>
        <w:p>
          <w:pPr>
            <w:pStyle w:val="Corpsdetexte"/>
            <w:rPr>
              <w:rFonts w:eastAsiaTheme="minorHAnsi"/>
            </w:rPr>
          </w:pPr>
        </w:p>
        <w:p>
          <w:pPr>
            <w:pStyle w:val="Corpsdetexte"/>
            <w:rPr>
              <w:rFonts w:eastAsiaTheme="minorHAnsi"/>
            </w:rPr>
          </w:pPr>
          <w:r>
            <w:rPr>
              <w:rFonts w:eastAsiaTheme="minorHAnsi"/>
            </w:rPr>
            <w:t>Ces changements visent à simplifier la procédure administrative d’autorisation de séjour et à renforcer les liens entre les projets de séjour et les programmes d’études.</w:t>
          </w:r>
        </w:p>
        <w:p>
          <w:pPr>
            <w:jc w:val="both"/>
          </w:pPr>
        </w:p>
        <w:p>
          <w:pPr>
            <w:pStyle w:val="Titre3"/>
          </w:pPr>
          <w:bookmarkStart w:id="3532" w:name="_Toc18914536"/>
          <w:r>
            <w:t>1. Philosophie</w:t>
          </w:r>
          <w:bookmarkEnd w:id="3532"/>
        </w:p>
        <w:p>
          <w:pPr>
            <w:spacing w:line="260" w:lineRule="atLeast"/>
            <w:ind w:left="425"/>
            <w:jc w:val="both"/>
          </w:pPr>
        </w:p>
        <w:p>
          <w:pPr>
            <w:pStyle w:val="Titre4"/>
          </w:pPr>
          <w:r>
            <w:t>1.1. Un investissement à long terme</w:t>
          </w:r>
        </w:p>
        <w:p>
          <w:pPr>
            <w:spacing w:line="260" w:lineRule="atLeast"/>
            <w:ind w:firstLine="425"/>
            <w:jc w:val="both"/>
            <w:rPr>
              <w:u w:val="single"/>
            </w:rPr>
          </w:pPr>
        </w:p>
        <w:p>
          <w:pPr>
            <w:spacing w:line="300" w:lineRule="atLeast"/>
            <w:jc w:val="both"/>
            <w:rPr>
              <w:b/>
            </w:rPr>
          </w:pPr>
          <w:r>
            <w:t>Les séjours pédagogiques avec nuitée(s) sont étroitement liés au projet d’établissement. Pour qu’ils prennent leur pleine valeur, l’aspect pédagogique doit prévaloir sur le caractère distrayant.</w:t>
          </w:r>
        </w:p>
        <w:p>
          <w:pPr>
            <w:spacing w:line="240" w:lineRule="atLeast"/>
            <w:jc w:val="both"/>
            <w:rPr>
              <w:b/>
            </w:rPr>
          </w:pPr>
        </w:p>
        <w:p>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 xml:space="preserve">Ils ne peuvent donc se concevoir comme une simple parenthèse dans la vie d’une école : la préparation du départ, le séjour lui-même ainsi que l’exploitation au retour sont des phases complémentaires dont les résultats doivent être investis dans une action à long terme. </w:t>
          </w:r>
        </w:p>
        <w:p>
          <w:pPr>
            <w:pStyle w:val="Titre4"/>
          </w:pPr>
          <w:r>
            <w:t xml:space="preserve">1.2. Collaboration de toute la communauté éducative </w:t>
          </w:r>
        </w:p>
        <w:p>
          <w:pPr>
            <w:spacing w:line="260" w:lineRule="atLeast"/>
            <w:jc w:val="both"/>
            <w:rPr>
              <w:u w:val="single"/>
            </w:rPr>
          </w:pPr>
        </w:p>
        <w:p>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 xml:space="preserve">Cette action à long terme ne peut être menée à bien sans une collaboration confiante et poursuivie entre enseignants, élèves et parents. </w:t>
          </w:r>
        </w:p>
        <w:p>
          <w:pPr>
            <w:spacing w:line="240" w:lineRule="atLeast"/>
            <w:jc w:val="both"/>
          </w:pPr>
        </w:p>
        <w:p>
          <w:pPr>
            <w:spacing w:line="300" w:lineRule="atLeast"/>
            <w:jc w:val="both"/>
          </w:pPr>
          <w:r>
            <w:t>Motiver les élèves est primordial car c’est, bien souvent, de leur intérêt que dépendent l’accord final des parents et la réussite de l’entreprise.</w:t>
          </w:r>
        </w:p>
        <w:p>
          <w:pPr>
            <w:spacing w:line="240" w:lineRule="atLeast"/>
            <w:jc w:val="both"/>
          </w:pPr>
        </w:p>
        <w:p>
          <w:pPr>
            <w:spacing w:line="300" w:lineRule="atLeast"/>
            <w:jc w:val="both"/>
          </w:pPr>
          <w:r>
            <w:t>L’enseignant(e) doit donc rester à l’écoute des élèves tout au long de la préparation. Il (elle) pourra ainsi relever les objections et les suggestions qui surgiront, et tenter d’y répondre afin d’éviter d’éventuels désistements.</w:t>
          </w:r>
        </w:p>
        <w:p>
          <w:pPr>
            <w:spacing w:line="300" w:lineRule="atLeast"/>
            <w:jc w:val="both"/>
          </w:pPr>
        </w:p>
        <w:p>
          <w:pPr>
            <w:spacing w:line="300" w:lineRule="atLeast"/>
            <w:jc w:val="both"/>
          </w:pPr>
          <w:r>
            <w:t xml:space="preserve">Si le projet de voyage ne permet pas de rassembler un taux de participation suffisant, l’équipe pédagogique peut proposer un projet alternatif plus adapté au public scolaire (par exemple : activités d’une journée, autre destination, …). </w:t>
          </w:r>
        </w:p>
        <w:p>
          <w:pPr>
            <w:spacing w:line="300" w:lineRule="atLeast"/>
            <w:ind w:left="426"/>
            <w:jc w:val="both"/>
          </w:pPr>
        </w:p>
        <w:p>
          <w:pPr>
            <w:spacing w:line="300" w:lineRule="atLeast"/>
            <w:jc w:val="both"/>
          </w:pPr>
          <w:r>
            <w:t>Quant à la sensibilisation des parents à l’intérêt de ces activités, elle commence dès l’arrivée de l’élève à l’école. Des réunions d’information et/ou de concertation sont indispensables.  De même, l’organisation d’actions visant à réduire le coût des séjours et la proposition d’une aide financière aux familles en difficulté peuvent s’avérer nécessaires.</w:t>
          </w:r>
        </w:p>
        <w:p>
          <w:pPr>
            <w:spacing w:line="240" w:lineRule="atLeast"/>
            <w:jc w:val="both"/>
          </w:pPr>
        </w:p>
        <w:p>
          <w:pPr>
            <w:spacing w:line="300" w:lineRule="atLeast"/>
            <w:jc w:val="both"/>
          </w:pPr>
          <w:r>
            <w:t>Là où elles existent, les associations de parents peuvent être associées à cette phase préparatoire.</w:t>
          </w:r>
        </w:p>
        <w:p>
          <w:pPr>
            <w:spacing w:line="220" w:lineRule="atLeast"/>
            <w:jc w:val="both"/>
          </w:pPr>
        </w:p>
        <w:p>
          <w:pPr>
            <w:pStyle w:val="Titre4"/>
          </w:pPr>
          <w:r>
            <w:t>1.3. Lien(s) pédagogique(s)</w:t>
          </w:r>
        </w:p>
        <w:p>
          <w:pPr>
            <w:spacing w:line="260" w:lineRule="atLeast"/>
            <w:jc w:val="both"/>
          </w:pPr>
        </w:p>
        <w:p>
          <w:pPr>
            <w:spacing w:line="300" w:lineRule="atLeast"/>
            <w:jc w:val="both"/>
            <w:rPr>
              <w:b/>
            </w:rPr>
          </w:pPr>
          <w:r>
            <w:rPr>
              <w:b/>
            </w:rPr>
            <w:t>Etant donné que les séjours pédagogiques avec nuitée(s) se déroulent durant le temps scolaire (jours de classe), il va de soi que le programme du voyage doit permettre la réalisation des objectifs d’apprentissage fixés par les programmes d’études.</w:t>
          </w:r>
        </w:p>
        <w:p>
          <w:pPr>
            <w:spacing w:line="260" w:lineRule="atLeast"/>
            <w:jc w:val="both"/>
          </w:pPr>
        </w:p>
        <w:p>
          <w:pPr>
            <w:spacing w:line="300" w:lineRule="atLeast"/>
            <w:jc w:val="both"/>
          </w:pPr>
          <w:r>
            <w:t>Toutefois, la récupération de certaines heures de cours, dans les disciplines non incluses dans l’activité envisagée, est laissée à l’appréciation du chef d’établissement.</w:t>
          </w:r>
        </w:p>
        <w:p>
          <w:pPr>
            <w:jc w:val="both"/>
          </w:pPr>
        </w:p>
        <w:p>
          <w:pPr>
            <w:pStyle w:val="Titre4"/>
          </w:pPr>
          <w:r>
            <w:t>1.4. Penser à ceux qui restent</w:t>
          </w:r>
        </w:p>
        <w:p>
          <w:pPr>
            <w:spacing w:line="300" w:lineRule="atLeast"/>
            <w:jc w:val="both"/>
            <w:rPr>
              <w:u w:val="single"/>
            </w:rPr>
          </w:pPr>
        </w:p>
        <w:p>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L’activité se verrait fort appauvrie si, dès la préparation, elle marginalisait certains membres du groupe. Dès lors, il appartient à l’école, non seulement de dédramatiser la situation de ceux qui restent, mais surtout de s’organiser pour que leur action soit complémentaire à celle des partants.</w:t>
          </w:r>
        </w:p>
        <w:p>
          <w:pPr>
            <w:pStyle w:val="Retraitcorpsdetexte"/>
            <w:spacing w:line="300" w:lineRule="atLeast"/>
            <w:ind w:left="0" w:firstLine="0"/>
            <w:jc w:val="both"/>
            <w:rPr>
              <w:rFonts w:asciiTheme="majorHAnsi" w:hAnsiTheme="majorHAnsi" w:cs="Times New Roman"/>
              <w:szCs w:val="22"/>
            </w:rPr>
          </w:pPr>
        </w:p>
        <w:p>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Leur prise en charge doit être valorisante et réalisée avec le souci constant du respect de leur responsabilité et de leur milieu. La mise en place d’un projet alternatif</w:t>
          </w:r>
          <w:r>
            <w:rPr>
              <w:rStyle w:val="Appelnotedebasdep"/>
              <w:rFonts w:asciiTheme="majorHAnsi" w:hAnsiTheme="majorHAnsi"/>
              <w:szCs w:val="22"/>
            </w:rPr>
            <w:footnoteReference w:id="147"/>
          </w:r>
          <w:r>
            <w:rPr>
              <w:rFonts w:asciiTheme="majorHAnsi" w:hAnsiTheme="majorHAnsi" w:cs="Times New Roman"/>
              <w:szCs w:val="22"/>
            </w:rPr>
            <w:t xml:space="preserve"> à la destination de ces élèves doit être envisagée.</w:t>
          </w:r>
        </w:p>
        <w:p>
          <w:pPr>
            <w:pStyle w:val="Retraitcorpsdetexte"/>
            <w:spacing w:line="300" w:lineRule="atLeast"/>
            <w:ind w:left="0" w:firstLine="0"/>
            <w:rPr>
              <w:rFonts w:asciiTheme="majorHAnsi" w:hAnsiTheme="majorHAnsi" w:cs="Times New Roman"/>
              <w:szCs w:val="22"/>
            </w:rPr>
          </w:pPr>
        </w:p>
        <w:p>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Pour rappel, les élèves qui ne participent pas à un séjour pédagogique avec nuitée(s) sont soumis à la fréquentation scolaire régulière.</w:t>
          </w:r>
        </w:p>
        <w:p>
          <w:pPr>
            <w:pStyle w:val="Retraitcorpsdetexte"/>
            <w:spacing w:line="300" w:lineRule="atLeast"/>
            <w:ind w:left="0" w:firstLine="0"/>
            <w:jc w:val="both"/>
            <w:rPr>
              <w:rFonts w:asciiTheme="majorHAnsi" w:hAnsiTheme="majorHAnsi" w:cs="Times New Roman"/>
              <w:szCs w:val="22"/>
            </w:rPr>
          </w:pPr>
        </w:p>
        <w:p>
          <w:pPr>
            <w:pStyle w:val="Retraitcorpsdetexte"/>
            <w:spacing w:line="300" w:lineRule="atLeast"/>
            <w:ind w:left="0" w:firstLine="0"/>
            <w:jc w:val="both"/>
            <w:rPr>
              <w:rFonts w:asciiTheme="majorHAnsi" w:hAnsiTheme="majorHAnsi" w:cs="Times New Roman"/>
              <w:szCs w:val="22"/>
            </w:rPr>
          </w:pPr>
        </w:p>
        <w:p>
          <w:pPr>
            <w:pStyle w:val="Retraitcorpsdetexte"/>
            <w:spacing w:line="300" w:lineRule="atLeast"/>
            <w:ind w:left="0" w:firstLine="0"/>
            <w:jc w:val="both"/>
            <w:rPr>
              <w:rFonts w:asciiTheme="majorHAnsi" w:hAnsiTheme="majorHAnsi" w:cs="Times New Roman"/>
              <w:szCs w:val="22"/>
            </w:rPr>
          </w:pPr>
        </w:p>
        <w:p>
          <w:pPr>
            <w:pStyle w:val="Titre4"/>
          </w:pPr>
          <w:r>
            <w:t>1.5. Le rôle du chef d’établissement ou de son (sa) délégué(e)</w:t>
          </w:r>
        </w:p>
        <w:p>
          <w:pPr>
            <w:pStyle w:val="Retraitcorpsdetexte"/>
            <w:spacing w:line="300" w:lineRule="atLeast"/>
            <w:ind w:left="0" w:firstLine="0"/>
            <w:jc w:val="both"/>
            <w:rPr>
              <w:rFonts w:asciiTheme="majorHAnsi" w:hAnsiTheme="majorHAnsi" w:cs="Times New Roman"/>
              <w:szCs w:val="22"/>
            </w:rPr>
          </w:pPr>
        </w:p>
        <w:p>
          <w:pPr>
            <w:pStyle w:val="Retraitcorpsdetexte"/>
            <w:numPr>
              <w:ilvl w:val="0"/>
              <w:numId w:val="211"/>
            </w:numPr>
            <w:tabs>
              <w:tab w:val="clear" w:pos="1276"/>
              <w:tab w:val="clear" w:pos="3174"/>
              <w:tab w:val="clear" w:pos="3968"/>
              <w:tab w:val="clear" w:pos="4591"/>
              <w:tab w:val="clear" w:pos="4818"/>
            </w:tabs>
            <w:suppressAutoHyphens w:val="0"/>
            <w:spacing w:line="300" w:lineRule="atLeast"/>
            <w:jc w:val="both"/>
            <w:rPr>
              <w:rFonts w:asciiTheme="majorHAnsi" w:hAnsiTheme="majorHAnsi" w:cs="Times New Roman"/>
              <w:szCs w:val="22"/>
            </w:rPr>
          </w:pPr>
          <w:r>
            <w:rPr>
              <w:rFonts w:asciiTheme="majorHAnsi" w:hAnsiTheme="majorHAnsi" w:cs="Times New Roman"/>
              <w:szCs w:val="22"/>
            </w:rPr>
            <w:t>En tant que responsable de l’établissement, il (elle) se porte garant(e) des qualités morales et professionnelles des accompagnateur(trice)s et de la valeur des activités projetées. Il convient de demander un extrait de casier judiciaire (certificat de bonnes vie et mœurs) pour les accompagnateur(trice)s extérieur(e)s à l’établissement (parents, étudiant(e)s majeur(e)s dont la formation comprend des stages, personnes volontaires, …)</w:t>
          </w:r>
          <w:r>
            <w:rPr>
              <w:rStyle w:val="Appelnotedebasdep"/>
              <w:rFonts w:asciiTheme="majorHAnsi" w:hAnsiTheme="majorHAnsi"/>
              <w:szCs w:val="22"/>
            </w:rPr>
            <w:footnoteReference w:id="148"/>
          </w:r>
          <w:r>
            <w:rPr>
              <w:rFonts w:asciiTheme="majorHAnsi" w:hAnsiTheme="majorHAnsi" w:cs="Times New Roman"/>
              <w:szCs w:val="22"/>
            </w:rPr>
            <w:t>.</w:t>
          </w:r>
        </w:p>
        <w:p>
          <w:pPr>
            <w:pStyle w:val="Retraitcorpsdetexte"/>
            <w:spacing w:line="300" w:lineRule="atLeast"/>
            <w:ind w:left="0"/>
            <w:jc w:val="both"/>
            <w:rPr>
              <w:rFonts w:asciiTheme="majorHAnsi" w:hAnsiTheme="majorHAnsi" w:cs="Times New Roman"/>
              <w:szCs w:val="22"/>
            </w:rPr>
          </w:pPr>
        </w:p>
        <w:p>
          <w:pPr>
            <w:pStyle w:val="Retraitcorpsdetexte"/>
            <w:numPr>
              <w:ilvl w:val="0"/>
              <w:numId w:val="211"/>
            </w:numPr>
            <w:tabs>
              <w:tab w:val="clear" w:pos="1276"/>
              <w:tab w:val="clear" w:pos="3174"/>
              <w:tab w:val="clear" w:pos="3968"/>
              <w:tab w:val="clear" w:pos="4591"/>
              <w:tab w:val="clear" w:pos="4818"/>
            </w:tabs>
            <w:suppressAutoHyphens w:val="0"/>
            <w:spacing w:line="300" w:lineRule="atLeast"/>
            <w:jc w:val="both"/>
            <w:rPr>
              <w:rFonts w:asciiTheme="majorHAnsi" w:hAnsiTheme="majorHAnsi" w:cs="Times New Roman"/>
              <w:szCs w:val="22"/>
            </w:rPr>
          </w:pPr>
          <w:r>
            <w:rPr>
              <w:rFonts w:asciiTheme="majorHAnsi" w:hAnsiTheme="majorHAnsi" w:cs="Times New Roman"/>
              <w:szCs w:val="22"/>
            </w:rPr>
            <w:t>Il (elle) prend les contacts nécessaires avec le lieu d’accueil, juge les capacités d’accueil, la sécurité et l’hygiène de celui-ci et la richesse pédagogique de l’environnement. Le changement régulier de type d’activités, mais aussi de lieu, est conseillé car il permet de continuer à respecter les objectifs des séjours pédagogiques avec nuitées.</w:t>
          </w:r>
        </w:p>
        <w:p>
          <w:pPr>
            <w:pStyle w:val="Retraitcorpsdetexte"/>
            <w:spacing w:line="300" w:lineRule="atLeast"/>
            <w:ind w:left="0"/>
            <w:jc w:val="both"/>
            <w:rPr>
              <w:rFonts w:asciiTheme="majorHAnsi" w:hAnsiTheme="majorHAnsi" w:cs="Times New Roman"/>
              <w:szCs w:val="22"/>
            </w:rPr>
          </w:pPr>
        </w:p>
        <w:p>
          <w:pPr>
            <w:numPr>
              <w:ilvl w:val="0"/>
              <w:numId w:val="211"/>
            </w:numPr>
            <w:spacing w:line="300" w:lineRule="atLeast"/>
            <w:jc w:val="both"/>
          </w:pPr>
          <w:r>
            <w:t>Il (elle) supervise l’organisation du projet et la répartition des tâches en vue d’éviter toute improvisation, et veille à ce que le séjour ne provoque aucune rupture dans les apprentissages prévus par les différents programmes d’études.</w:t>
          </w:r>
        </w:p>
        <w:p>
          <w:pPr>
            <w:spacing w:line="300" w:lineRule="atLeast"/>
            <w:jc w:val="both"/>
          </w:pPr>
        </w:p>
        <w:p>
          <w:pPr>
            <w:numPr>
              <w:ilvl w:val="0"/>
              <w:numId w:val="211"/>
            </w:numPr>
            <w:spacing w:line="300" w:lineRule="atLeast"/>
            <w:jc w:val="both"/>
          </w:pPr>
          <w:r>
            <w:t>Il (elle) supervise la synthèse et l’évaluation de toute l’action et s’assure qu’un bilan précis met en évidence les points faibles, les points forts, ainsi que tous les prolongements possibles. Il (elle) s’emploie à faire connaître dans l’école les différentes informations recueillies lors du séjour, à adapter au cadre scolaire les nouvelles pratiques acquises et à sensibiliser les classes non participantes à la richesse d’une telle expérience.</w:t>
          </w:r>
        </w:p>
        <w:p>
          <w:pPr>
            <w:spacing w:line="300" w:lineRule="atLeast"/>
            <w:ind w:left="720"/>
            <w:jc w:val="both"/>
          </w:pPr>
        </w:p>
        <w:p>
          <w:pPr>
            <w:pStyle w:val="Corpsdetexte"/>
          </w:pPr>
          <w:r>
            <w:t>Attention : Il est à noter que dans l’enseignement subventionné, la décision finale d’organiser un séjour pédagogique avec nuitée(s) appartient au Pouvoir organisateur.</w:t>
          </w:r>
        </w:p>
        <w:p>
          <w:pPr>
            <w:pStyle w:val="Corpsdetexte"/>
          </w:pPr>
        </w:p>
        <w:p/>
        <w:p>
          <w:pPr>
            <w:pStyle w:val="Titre4"/>
          </w:pPr>
          <w:r>
            <w:t>1.6. Temps libre durant les séjours pédagogiques avec nuitée(s)</w:t>
          </w:r>
        </w:p>
        <w:p>
          <w:pPr>
            <w:spacing w:line="300" w:lineRule="atLeast"/>
            <w:jc w:val="both"/>
          </w:pPr>
        </w:p>
        <w:p>
          <w:pPr>
            <w:spacing w:line="300" w:lineRule="atLeast"/>
            <w:jc w:val="both"/>
          </w:pPr>
          <w:r>
            <w:t>La notion de « temps libre » peut être définie comme étant un laps de temps déterminé durant lequel l’encadrement des élèves n’est pas assuré par l’équipe d’accompagnateur(trice)s.</w:t>
          </w:r>
        </w:p>
        <w:p>
          <w:pPr>
            <w:spacing w:line="300" w:lineRule="atLeast"/>
            <w:jc w:val="both"/>
          </w:pPr>
        </w:p>
        <w:p>
          <w:pPr>
            <w:spacing w:line="300" w:lineRule="atLeast"/>
            <w:jc w:val="both"/>
          </w:pPr>
          <w:r>
            <w:t>Si un incident impliquant un élève survient à l’occasion d’un temps libre, il convient de souligner que la responsabilité des accompagnateur(trice)s pourrait être engagée si un défaut de prévoyance était établi.</w:t>
          </w:r>
        </w:p>
        <w:p>
          <w:pPr>
            <w:spacing w:line="300" w:lineRule="atLeast"/>
            <w:jc w:val="both"/>
          </w:pPr>
        </w:p>
        <w:p>
          <w:pPr>
            <w:spacing w:line="300" w:lineRule="atLeast"/>
            <w:jc w:val="both"/>
          </w:pPr>
          <w:r>
            <w:t>Si un temps libre doit être envisagé, il est recommandé, excepté pour les élèves majeur(e)s, d’en informer les parents/responsables légaux et de leur demander une autorisation préalable écrite.</w:t>
          </w:r>
        </w:p>
        <w:p>
          <w:pPr>
            <w:spacing w:line="300" w:lineRule="atLeast"/>
            <w:jc w:val="both"/>
          </w:pPr>
        </w:p>
        <w:p>
          <w:pPr>
            <w:spacing w:line="300" w:lineRule="atLeast"/>
            <w:jc w:val="both"/>
            <w:rPr>
              <w:b/>
            </w:rPr>
          </w:pPr>
          <w:r>
            <w:rPr>
              <w:b/>
            </w:rPr>
            <w:t>Aucun temps libre ne peut être organisé à destination des élèves de l’enseignement maternel et primaire, ordinaire et spécialisé.</w:t>
          </w:r>
        </w:p>
        <w:p>
          <w:pPr>
            <w:spacing w:line="300" w:lineRule="atLeast"/>
            <w:jc w:val="both"/>
          </w:pPr>
        </w:p>
        <w:p>
          <w:pPr>
            <w:pStyle w:val="Titre4"/>
          </w:pPr>
          <w:r>
            <w:t>1.7. D’autres types d’activités</w:t>
          </w:r>
        </w:p>
        <w:p/>
        <w:p>
          <w:pPr>
            <w:spacing w:line="300" w:lineRule="atLeast"/>
            <w:jc w:val="both"/>
          </w:pPr>
          <w:r>
            <w:t>D’autres activités ne sont pas régies par cette circulaire.</w:t>
          </w:r>
        </w:p>
        <w:p>
          <w:pPr>
            <w:spacing w:line="300" w:lineRule="atLeast"/>
            <w:jc w:val="both"/>
          </w:pPr>
          <w:r>
            <w:t>Exemples :</w:t>
          </w:r>
        </w:p>
        <w:p>
          <w:pPr>
            <w:spacing w:line="300" w:lineRule="atLeast"/>
            <w:jc w:val="both"/>
          </w:pPr>
        </w:p>
        <w:p>
          <w:pPr>
            <w:spacing w:line="300" w:lineRule="atLeast"/>
            <w:jc w:val="both"/>
          </w:pPr>
          <w:r>
            <w:t xml:space="preserve">Les activités obligatoires mentionnées dans les programmes (stages en entreprise, …) sont organisées sous la responsabilité du chef d’établissement qu’elles comportent un ou plusieurs jours et </w:t>
          </w:r>
          <w:r>
            <w:rPr>
              <w:u w:val="single"/>
            </w:rPr>
            <w:t>doivent être conformes à la réglementation en vigueur</w:t>
          </w:r>
          <w:r>
            <w:t xml:space="preserve">. Pour toute information, il convient de s’adresser au Service des stages de la Direction générale de l’Enseignement obligatoire : </w:t>
          </w:r>
          <w:hyperlink r:id="rId248" w:history="1">
            <w:r>
              <w:rPr>
                <w:rStyle w:val="Lienhypertexte"/>
              </w:rPr>
              <w:t>http://enseignement.be/index.php?page=26545&amp;se_id=2245</w:t>
            </w:r>
          </w:hyperlink>
          <w:r>
            <w:rPr>
              <w:rStyle w:val="Lienhypertexte"/>
              <w:color w:val="auto"/>
            </w:rPr>
            <w:t xml:space="preserve"> </w:t>
          </w:r>
        </w:p>
        <w:p>
          <w:pPr>
            <w:spacing w:line="300" w:lineRule="atLeast"/>
            <w:jc w:val="both"/>
          </w:pPr>
        </w:p>
        <w:p>
          <w:pPr>
            <w:spacing w:line="300" w:lineRule="atLeast"/>
            <w:jc w:val="both"/>
            <w:rPr>
              <w:u w:val="single"/>
            </w:rPr>
          </w:pPr>
          <w:r>
            <w:t xml:space="preserve">Les séjours organisés dans le cadre de programmes européens (Erasmus +, Leonardo, Comenius, …) ne sont pas soumis à autorisation de la Direction générale de l’Enseignement obligatoire </w:t>
          </w:r>
          <w:r>
            <w:rPr>
              <w:u w:val="single"/>
            </w:rPr>
            <w:t>mais doivent être conformes à la réglementation en vigueur</w:t>
          </w:r>
          <w:r>
            <w:t>.</w:t>
          </w:r>
        </w:p>
        <w:p>
          <w:pPr>
            <w:spacing w:line="300" w:lineRule="atLeast"/>
            <w:jc w:val="both"/>
            <w:rPr>
              <w:u w:val="single"/>
            </w:rPr>
          </w:pPr>
        </w:p>
        <w:p>
          <w:pPr>
            <w:spacing w:line="300" w:lineRule="atLeast"/>
            <w:jc w:val="both"/>
          </w:pPr>
          <w:r>
            <w:t xml:space="preserve">Les activités non explicitement prévues dans cette circulaire et dont la durée ne dépasse pas un jour de cours (y compris les séjours d’un jour de classe se prolongeant sur un week-end ou les congés scolaires) sont également organisées sous la responsabilité du chef d’établissement, sans formalité particulière, pour autant que les documents attestant leur réalisation soient tenus à disposition pour contrôle de l’Inspection. </w:t>
          </w:r>
        </w:p>
        <w:p>
          <w:pPr>
            <w:spacing w:line="300" w:lineRule="atLeast"/>
            <w:jc w:val="both"/>
          </w:pPr>
        </w:p>
        <w:p>
          <w:pPr>
            <w:pStyle w:val="Corpsdetexte"/>
          </w:pPr>
          <w:r>
            <w:t>Les séjours pédagogiques avec nuitée(s) sont des sorties scolaires qui permettent l’organisation d’activités, en lien avec les programmes d’études, en dehors des murs de l’établissement, pour une durée d’au moins 2 jours de classe consécutifs, y compris la nuitée.</w:t>
          </w:r>
        </w:p>
        <w:p>
          <w:pPr>
            <w:spacing w:line="300" w:lineRule="atLeast"/>
            <w:jc w:val="both"/>
          </w:pPr>
        </w:p>
        <w:p>
          <w:pPr>
            <w:pStyle w:val="Titre3"/>
          </w:pPr>
          <w:bookmarkStart w:id="3533" w:name="_Toc18914537"/>
          <w:r>
            <w:t>2. Modalités pratiques d’organisation des séjours pédagogiques avec nuitée(s)</w:t>
          </w:r>
          <w:bookmarkEnd w:id="3533"/>
        </w:p>
        <w:p>
          <w:pPr>
            <w:jc w:val="both"/>
          </w:pPr>
        </w:p>
        <w:p>
          <w:pPr>
            <w:pStyle w:val="Titre4"/>
          </w:pPr>
          <w:r>
            <w:t xml:space="preserve">2.1. Définition </w:t>
          </w:r>
        </w:p>
        <w:p/>
        <w:p>
          <w:pPr>
            <w:spacing w:line="300" w:lineRule="atLeast"/>
            <w:jc w:val="both"/>
          </w:pPr>
          <w:r>
            <w:t>Leur objectif est de mettre en contact les élèves avec un environnement naturel, culturel ou linguistique différent afin de :</w:t>
          </w:r>
        </w:p>
        <w:p>
          <w:pPr>
            <w:pStyle w:val="Paragraphedeliste"/>
            <w:numPr>
              <w:ilvl w:val="0"/>
              <w:numId w:val="212"/>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favoriser les apprentissages ;</w:t>
          </w:r>
        </w:p>
        <w:p>
          <w:pPr>
            <w:pStyle w:val="Paragraphedeliste"/>
            <w:numPr>
              <w:ilvl w:val="0"/>
              <w:numId w:val="212"/>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dynamiser l’enseignement en stimulant la curiosité des jeunes ;</w:t>
          </w:r>
        </w:p>
        <w:p>
          <w:pPr>
            <w:pStyle w:val="Paragraphedeliste"/>
            <w:numPr>
              <w:ilvl w:val="0"/>
              <w:numId w:val="212"/>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développer la faculté de s’adapter au changement.</w:t>
          </w:r>
        </w:p>
        <w:p/>
        <w:p>
          <w:pPr>
            <w:spacing w:line="280" w:lineRule="atLeast"/>
            <w:jc w:val="both"/>
          </w:pPr>
        </w:p>
        <w:p>
          <w:pPr>
            <w:pStyle w:val="Corpsdetexte"/>
          </w:pPr>
          <w:r>
            <w:t xml:space="preserve">Tous les établissements de l’enseignement fondamental et secondaire, ordinaire et spécialisé, organisé ou subventionné par la Fédération Wallonie-Bruxelles, sont concernés par cette circulaire. </w:t>
          </w:r>
        </w:p>
        <w:p>
          <w:pPr>
            <w:pStyle w:val="Corpsdetexte"/>
          </w:pPr>
        </w:p>
        <w:p>
          <w:pPr>
            <w:pStyle w:val="Titre4"/>
          </w:pPr>
          <w:r>
            <w:t xml:space="preserve">2.2. Durée du séjour </w:t>
          </w:r>
        </w:p>
        <w:p>
          <w:pPr>
            <w:jc w:val="both"/>
          </w:pPr>
        </w:p>
        <w:p>
          <w:pPr>
            <w:spacing w:line="300" w:lineRule="atLeast"/>
            <w:jc w:val="both"/>
          </w:pPr>
          <w:r>
            <w:t>La durée d’un séjour pédagogique avec nuitée(s) est au minimum de 2 jours de classe et au maximum de 10 jours de classe et 16 jours calendrier.</w:t>
          </w:r>
        </w:p>
        <w:p>
          <w:pPr>
            <w:spacing w:line="300" w:lineRule="atLeast"/>
            <w:jc w:val="both"/>
          </w:pPr>
          <w:r>
            <w:t>Les durées indiquées comprennent le voyage aller-retour et ne peuvent être scindées.</w:t>
          </w:r>
        </w:p>
        <w:p>
          <w:pPr>
            <w:spacing w:line="300" w:lineRule="atLeast"/>
            <w:jc w:val="both"/>
          </w:pPr>
        </w:p>
        <w:p>
          <w:pPr>
            <w:spacing w:line="300" w:lineRule="atLeast"/>
            <w:jc w:val="both"/>
            <w:rPr>
              <w:b/>
            </w:rPr>
          </w:pPr>
          <w:r>
            <w:rPr>
              <w:b/>
            </w:rPr>
            <w:t>Durant la même année scolaire, un(e) élève ou un(e) enseignant(e) ne pourra partir en séjour pédagogique avec nuitée(s) plus de 20 jours de classe et 30 jours calendrier.</w:t>
          </w:r>
        </w:p>
        <w:p>
          <w:pPr>
            <w:spacing w:line="300" w:lineRule="atLeast"/>
            <w:jc w:val="both"/>
            <w:rPr>
              <w:b/>
            </w:rPr>
          </w:pPr>
        </w:p>
        <w:p>
          <w:pPr>
            <w:spacing w:line="300" w:lineRule="atLeast"/>
            <w:jc w:val="both"/>
            <w:rPr>
              <w:b/>
            </w:rPr>
          </w:pPr>
          <w:r>
            <w:rPr>
              <w:b/>
            </w:rPr>
            <w:t>Aucune dérogation à la durée du séjour n’est possible.</w:t>
          </w:r>
        </w:p>
        <w:p>
          <w:pPr>
            <w:spacing w:line="300" w:lineRule="atLeast"/>
            <w:jc w:val="both"/>
          </w:pPr>
          <w:r>
            <w:t>Cette disposition ne concerne pas le personnel paramédical ou médical.</w:t>
          </w:r>
        </w:p>
        <w:p>
          <w:pPr>
            <w:spacing w:line="260" w:lineRule="atLeast"/>
            <w:jc w:val="both"/>
          </w:pPr>
        </w:p>
        <w:p>
          <w:pPr>
            <w:spacing w:line="260" w:lineRule="atLeast"/>
            <w:jc w:val="both"/>
          </w:pPr>
        </w:p>
        <w:p>
          <w:pPr>
            <w:spacing w:line="260" w:lineRule="atLeast"/>
            <w:jc w:val="both"/>
          </w:pPr>
        </w:p>
        <w:p>
          <w:pPr>
            <w:spacing w:line="260" w:lineRule="atLeast"/>
            <w:jc w:val="both"/>
          </w:pPr>
        </w:p>
        <w:p>
          <w:pPr>
            <w:spacing w:line="260" w:lineRule="atLeast"/>
            <w:jc w:val="both"/>
          </w:pPr>
        </w:p>
        <w:p>
          <w:pPr>
            <w:spacing w:line="260" w:lineRule="atLeast"/>
            <w:jc w:val="both"/>
          </w:pPr>
        </w:p>
        <w:p>
          <w:pPr>
            <w:pStyle w:val="Titre4"/>
          </w:pPr>
          <w:r>
            <w:t>2.3. Frais</w:t>
          </w:r>
        </w:p>
        <w:p>
          <w:pPr>
            <w:spacing w:line="300" w:lineRule="atLeast"/>
            <w:jc w:val="both"/>
          </w:pPr>
          <w:r>
            <w:t>Les coûts engendrés par l’organisation d’une excursion, d’un voyage ou d’une sortie (…) doivent être inscrits dans un décompte périodique</w:t>
          </w:r>
          <w:r>
            <w:rPr>
              <w:rStyle w:val="Appelnotedebasdep"/>
            </w:rPr>
            <w:footnoteReference w:id="149"/>
          </w:r>
          <w:r>
            <w:t>.</w:t>
          </w:r>
        </w:p>
        <w:p>
          <w:pPr>
            <w:spacing w:line="300" w:lineRule="atLeast"/>
            <w:jc w:val="both"/>
          </w:pPr>
        </w:p>
        <w:p>
          <w:pPr>
            <w:spacing w:line="300" w:lineRule="atLeast"/>
            <w:jc w:val="both"/>
          </w:pPr>
          <w:r>
            <w:t xml:space="preserve">Lorsqu’un projet de séjour pédagogique avec nuitée(s) est prévu, il est conseillé d’en informer les parents ou les responsables légaux bien à l’avance.  </w:t>
          </w:r>
        </w:p>
        <w:p>
          <w:pPr>
            <w:spacing w:line="300" w:lineRule="atLeast"/>
            <w:jc w:val="both"/>
          </w:pPr>
        </w:p>
        <w:p>
          <w:pPr>
            <w:spacing w:line="300" w:lineRule="atLeast"/>
            <w:jc w:val="both"/>
          </w:pPr>
          <w:r>
            <w:t>Aucune non-participation pour des motifs financiers ne pourra être acceptée. Un(e) élève ne pourra donc pas être exclu(e) pour des raisons pécuniaires d’un séjour pédagogique avec nuitée(s).</w:t>
          </w:r>
        </w:p>
        <w:p>
          <w:pPr>
            <w:spacing w:line="300" w:lineRule="atLeast"/>
            <w:jc w:val="both"/>
          </w:pPr>
        </w:p>
        <w:p>
          <w:pPr>
            <w:pStyle w:val="Titre3"/>
          </w:pPr>
          <w:bookmarkStart w:id="3534" w:name="_Toc18914538"/>
          <w:r>
            <w:t>3.  Normes d’organisation</w:t>
          </w:r>
          <w:bookmarkEnd w:id="3534"/>
          <w:r>
            <w:t xml:space="preserve"> </w:t>
          </w:r>
        </w:p>
        <w:p>
          <w:pPr>
            <w:spacing w:line="280" w:lineRule="atLeast"/>
            <w:jc w:val="both"/>
          </w:pPr>
        </w:p>
        <w:p>
          <w:pPr>
            <w:pStyle w:val="Titre4"/>
          </w:pPr>
          <w:r>
            <w:t>3.1. Taux de participation des élèves</w:t>
          </w:r>
        </w:p>
        <w:p>
          <w:pPr>
            <w:spacing w:line="280" w:lineRule="atLeast"/>
            <w:jc w:val="both"/>
          </w:pPr>
        </w:p>
        <w:p>
          <w:pPr>
            <w:pStyle w:val="Titre5"/>
          </w:pPr>
          <w:r>
            <w:t>3.1.1. Taux minimum de participation</w:t>
          </w:r>
        </w:p>
        <w:p>
          <w:pPr>
            <w:spacing w:line="300" w:lineRule="atLeast"/>
            <w:jc w:val="both"/>
          </w:pPr>
        </w:p>
        <w:p>
          <w:pPr>
            <w:pStyle w:val="Corpsdetexte"/>
          </w:pPr>
          <w:r>
            <w:t>Pour l’enseignement spécialisé, le taux minimum obligatoire de participation est de 70%.</w:t>
          </w:r>
        </w:p>
        <w:p>
          <w:pPr>
            <w:spacing w:line="300" w:lineRule="atLeast"/>
            <w:jc w:val="both"/>
          </w:pPr>
        </w:p>
        <w:p>
          <w:pPr>
            <w:pStyle w:val="Titre5"/>
          </w:pPr>
          <w:r>
            <w:t xml:space="preserve">3.1.2. Règle générale </w:t>
          </w:r>
        </w:p>
        <w:p>
          <w:pPr>
            <w:spacing w:line="300" w:lineRule="atLeast"/>
            <w:jc w:val="both"/>
          </w:pPr>
        </w:p>
        <w:p>
          <w:pPr>
            <w:spacing w:line="300" w:lineRule="atLeast"/>
            <w:jc w:val="both"/>
          </w:pPr>
          <w:r>
            <w:t>Le taux minimum de participation se calcule sur base de l’ensemble des élèves inscrit(e)s :</w:t>
          </w:r>
        </w:p>
        <w:p>
          <w:pPr>
            <w:pStyle w:val="Paragraphedeliste"/>
            <w:numPr>
              <w:ilvl w:val="0"/>
              <w:numId w:val="210"/>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dans une même classe ;</w:t>
          </w:r>
        </w:p>
        <w:p>
          <w:pPr>
            <w:pStyle w:val="Paragraphedeliste"/>
            <w:numPr>
              <w:ilvl w:val="0"/>
              <w:numId w:val="210"/>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dans les différentes classes qui participent au projet ;</w:t>
          </w:r>
        </w:p>
        <w:p>
          <w:pPr>
            <w:pStyle w:val="Paragraphedeliste"/>
            <w:numPr>
              <w:ilvl w:val="0"/>
              <w:numId w:val="210"/>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dans une option si seule cette option participe.</w:t>
          </w:r>
        </w:p>
        <w:p>
          <w:pPr>
            <w:spacing w:line="280" w:lineRule="atLeast"/>
            <w:jc w:val="both"/>
          </w:pPr>
        </w:p>
        <w:p>
          <w:pPr>
            <w:spacing w:line="300" w:lineRule="atLeast"/>
            <w:jc w:val="both"/>
          </w:pPr>
          <w:r>
            <w:t>Dans une classe verticale, le taux de participant(e)s se calcule :</w:t>
          </w:r>
        </w:p>
        <w:p>
          <w:pPr>
            <w:pStyle w:val="Paragraphedeliste"/>
            <w:numPr>
              <w:ilvl w:val="0"/>
              <w:numId w:val="210"/>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sur base de l’ensemble des élèves inscrit(e)s dans la classe (en cas de départ de l’ensemble de la classe verticale) ;</w:t>
          </w:r>
        </w:p>
        <w:p>
          <w:pPr>
            <w:pStyle w:val="Paragraphedeliste"/>
            <w:numPr>
              <w:ilvl w:val="0"/>
              <w:numId w:val="210"/>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sur base de l’ensemble des élèves inscrit(e)s dans la même année d’étude (en cas de départ d’une partie seulement de la classe verticale).</w:t>
          </w:r>
        </w:p>
        <w:p>
          <w:pPr>
            <w:spacing w:line="300" w:lineRule="atLeast"/>
            <w:jc w:val="both"/>
          </w:pPr>
        </w:p>
        <w:p>
          <w:pPr>
            <w:spacing w:line="300" w:lineRule="atLeast"/>
            <w:jc w:val="both"/>
          </w:pPr>
          <w:r>
            <w:t>Lorsqu’une école comprend plusieurs implantations, le taux de participation peut être calculé distinctement par implantation.</w:t>
          </w:r>
        </w:p>
        <w:p>
          <w:pPr>
            <w:spacing w:line="300" w:lineRule="atLeast"/>
            <w:jc w:val="both"/>
          </w:pPr>
        </w:p>
        <w:p>
          <w:pPr>
            <w:spacing w:line="300" w:lineRule="atLeast"/>
            <w:jc w:val="both"/>
          </w:pPr>
          <w:r>
            <w:t xml:space="preserve">Dans l’enseignement secondaire, </w:t>
          </w:r>
          <w:r>
            <w:rPr>
              <w:u w:val="single"/>
            </w:rPr>
            <w:t>des regroupements</w:t>
          </w:r>
          <w:r>
            <w:t xml:space="preserve"> sont autorisés entre années d’études de même niveau et de sections, options ou formes différentes. Le pourcentage est alors calculé sur base de l’ensemble des participant(e)s potentiel(le)s. </w:t>
          </w:r>
        </w:p>
        <w:p>
          <w:pPr>
            <w:spacing w:line="300" w:lineRule="atLeast"/>
            <w:jc w:val="both"/>
          </w:pPr>
        </w:p>
        <w:p>
          <w:pPr>
            <w:spacing w:line="300" w:lineRule="atLeast"/>
            <w:ind w:left="709" w:firstLine="709"/>
            <w:jc w:val="both"/>
          </w:pPr>
          <w:r>
            <w:rPr>
              <w:rStyle w:val="Titre5Car1"/>
              <w:rFonts w:eastAsiaTheme="minorHAnsi"/>
            </w:rPr>
            <w:t>3.1.3. Dispositions particulières relatives au taux minimum de participation</w:t>
          </w:r>
          <w:r>
            <w:t xml:space="preserve">  [</w:t>
          </w:r>
          <w:r>
            <w:rPr>
              <w:i/>
              <w:u w:val="single"/>
            </w:rPr>
            <w:t>Dérogation pour le taux de participation – voir également point 1.5</w:t>
          </w:r>
          <w:r>
            <w:t>]</w:t>
          </w:r>
        </w:p>
        <w:p>
          <w:pPr>
            <w:spacing w:line="240" w:lineRule="atLeast"/>
          </w:pPr>
        </w:p>
        <w:p>
          <w:pPr>
            <w:spacing w:line="300" w:lineRule="atLeast"/>
            <w:jc w:val="both"/>
          </w:pPr>
          <w:r>
            <w:t>Sur autorisation de la Direction générale de l’Enseignement obligatoire, le minimum obligatoire pourra ne pas être atteint si la non-participation des élèves est justifiée par des circonstances exceptionnelles.</w:t>
          </w:r>
        </w:p>
        <w:p>
          <w:pPr>
            <w:spacing w:line="300" w:lineRule="atLeast"/>
            <w:jc w:val="both"/>
          </w:pPr>
        </w:p>
        <w:p>
          <w:pPr>
            <w:spacing w:line="300" w:lineRule="atLeast"/>
            <w:jc w:val="both"/>
          </w:pPr>
        </w:p>
        <w:p>
          <w:pPr>
            <w:spacing w:line="300" w:lineRule="atLeast"/>
            <w:jc w:val="both"/>
          </w:pPr>
        </w:p>
        <w:p>
          <w:pPr>
            <w:spacing w:line="300" w:lineRule="atLeast"/>
            <w:jc w:val="both"/>
          </w:pPr>
        </w:p>
        <w:p>
          <w:pPr>
            <w:pStyle w:val="Titre5"/>
          </w:pPr>
          <w:r>
            <w:t>3.1.4. Départs échelonnés</w:t>
          </w:r>
        </w:p>
        <w:p>
          <w:pPr>
            <w:pStyle w:val="Retraitcorpsdetexte2"/>
            <w:spacing w:line="300" w:lineRule="atLeast"/>
            <w:ind w:left="2699" w:hanging="2699"/>
            <w:jc w:val="both"/>
            <w:rPr>
              <w:rFonts w:asciiTheme="majorHAnsi" w:hAnsiTheme="majorHAnsi" w:cs="Times New Roman"/>
              <w:szCs w:val="22"/>
              <w:lang w:eastAsia="en-US"/>
            </w:rPr>
          </w:pPr>
        </w:p>
        <w:p>
          <w:pPr>
            <w:pStyle w:val="Retraitcorpsdetexte2"/>
            <w:spacing w:line="300" w:lineRule="atLeast"/>
            <w:ind w:left="0"/>
            <w:jc w:val="both"/>
            <w:rPr>
              <w:rFonts w:asciiTheme="majorHAnsi" w:hAnsiTheme="majorHAnsi" w:cs="Times New Roman"/>
              <w:szCs w:val="22"/>
            </w:rPr>
          </w:pPr>
          <w:r>
            <w:rPr>
              <w:rFonts w:asciiTheme="majorHAnsi" w:hAnsiTheme="majorHAnsi" w:cs="Times New Roman"/>
              <w:szCs w:val="22"/>
            </w:rPr>
            <w:t>Lorsque la capacité d’accueil du lieu choisi ne permet pas d’héberger simultanément tou(te)s les participant(e)s, le chef d’établissement ou son (sa) délégué(e) a la possibilité de scinder l’ensemble des élèves concerné(e)s en différents sous-groupes qui partiront séparément à des dates différentes durant la même année scolaire. Un calendrier de cet échelonnement est à joindre au dossier correspondant au premier départ. Le taux de participation est calculé sur l’ensemble du groupe d’élèves concerné.</w:t>
          </w:r>
        </w:p>
        <w:p>
          <w:pPr>
            <w:spacing w:line="300" w:lineRule="atLeast"/>
            <w:jc w:val="both"/>
          </w:pPr>
        </w:p>
        <w:p>
          <w:pPr>
            <w:pStyle w:val="Titre5"/>
          </w:pPr>
          <w:r>
            <w:t xml:space="preserve">3.1.5. Prise en compte du désistement des élèves </w:t>
          </w:r>
        </w:p>
        <w:p>
          <w:pPr>
            <w:spacing w:line="300" w:lineRule="atLeast"/>
            <w:jc w:val="both"/>
          </w:pPr>
        </w:p>
        <w:p>
          <w:pPr>
            <w:pStyle w:val="Titre6"/>
          </w:pPr>
          <w:r>
            <w:t>3.1.5.1. Elèves non comptabilisé(e)s</w:t>
          </w:r>
        </w:p>
        <w:p>
          <w:pPr>
            <w:spacing w:line="300" w:lineRule="atLeast"/>
            <w:jc w:val="both"/>
            <w:rPr>
              <w:u w:val="single"/>
            </w:rPr>
          </w:pPr>
        </w:p>
        <w:p>
          <w:pPr>
            <w:pStyle w:val="Retraitcorpsdetexte2"/>
            <w:spacing w:line="300" w:lineRule="atLeast"/>
            <w:ind w:left="426" w:hanging="426"/>
            <w:jc w:val="both"/>
            <w:rPr>
              <w:rFonts w:asciiTheme="majorHAnsi" w:hAnsiTheme="majorHAnsi" w:cs="Times New Roman"/>
              <w:b/>
              <w:szCs w:val="22"/>
            </w:rPr>
          </w:pPr>
          <w:r>
            <w:rPr>
              <w:rFonts w:asciiTheme="majorHAnsi" w:hAnsiTheme="majorHAnsi" w:cs="Times New Roman"/>
              <w:b/>
              <w:szCs w:val="22"/>
            </w:rPr>
            <w:t>N’interviennent pas pour le calcul du pourcentage requis :</w:t>
          </w:r>
        </w:p>
        <w:p>
          <w:pPr>
            <w:pStyle w:val="Retraitcorpsdetexte2"/>
            <w:numPr>
              <w:ilvl w:val="0"/>
              <w:numId w:val="210"/>
            </w:numPr>
            <w:suppressAutoHyphens w:val="0"/>
            <w:spacing w:after="0" w:line="300" w:lineRule="atLeast"/>
            <w:jc w:val="both"/>
            <w:rPr>
              <w:rFonts w:asciiTheme="majorHAnsi" w:hAnsiTheme="majorHAnsi"/>
              <w:szCs w:val="22"/>
            </w:rPr>
          </w:pPr>
          <w:r>
            <w:rPr>
              <w:rFonts w:asciiTheme="majorHAnsi" w:hAnsiTheme="majorHAnsi" w:cs="Times New Roman"/>
              <w:szCs w:val="22"/>
            </w:rPr>
            <w:t>les élèves dont le départ ne peut être autorisé en raison de leur certificat médical ;</w:t>
          </w:r>
        </w:p>
        <w:p>
          <w:pPr>
            <w:pStyle w:val="Retraitcorpsdetexte2"/>
            <w:numPr>
              <w:ilvl w:val="0"/>
              <w:numId w:val="210"/>
            </w:numPr>
            <w:suppressAutoHyphens w:val="0"/>
            <w:spacing w:after="0" w:line="300" w:lineRule="atLeast"/>
            <w:jc w:val="both"/>
            <w:rPr>
              <w:rFonts w:asciiTheme="majorHAnsi" w:hAnsiTheme="majorHAnsi"/>
              <w:szCs w:val="22"/>
            </w:rPr>
          </w:pPr>
          <w:r>
            <w:rPr>
              <w:rFonts w:asciiTheme="majorHAnsi" w:hAnsiTheme="majorHAnsi" w:cs="Times New Roman"/>
              <w:szCs w:val="22"/>
            </w:rPr>
            <w:t>les élèves étrangers dont la situation administrative ne permet pas un voyage à l’étranger.</w:t>
          </w:r>
        </w:p>
        <w:p>
          <w:pPr>
            <w:spacing w:line="300" w:lineRule="atLeast"/>
            <w:jc w:val="both"/>
          </w:pPr>
        </w:p>
        <w:p>
          <w:pPr>
            <w:spacing w:line="300" w:lineRule="atLeast"/>
            <w:jc w:val="both"/>
            <w:rPr>
              <w:b/>
            </w:rPr>
          </w:pPr>
          <w:r>
            <w:rPr>
              <w:b/>
            </w:rPr>
            <w:t xml:space="preserve">Attention : les élèves en situation de redoublement (année complémentaire ou maintien) doivent être comptabilisés dans le cadre du calcul du pourcentage. Le redoublement n’est, en effet, pas un motif valable, le projet de séjour devant être adapté au public scolaire. </w:t>
          </w:r>
        </w:p>
        <w:p>
          <w:pPr>
            <w:tabs>
              <w:tab w:val="left" w:pos="6163"/>
            </w:tabs>
            <w:spacing w:line="300" w:lineRule="atLeast"/>
            <w:jc w:val="both"/>
          </w:pPr>
        </w:p>
        <w:p>
          <w:pPr>
            <w:pStyle w:val="Titre6"/>
          </w:pPr>
          <w:r>
            <w:t xml:space="preserve">3.1.5.2. Motifs de non-participation justifiant une dérogation </w:t>
          </w:r>
        </w:p>
        <w:p>
          <w:pPr>
            <w:spacing w:line="300" w:lineRule="atLeast"/>
            <w:jc w:val="both"/>
            <w:rPr>
              <w:u w:val="single"/>
            </w:rPr>
          </w:pPr>
        </w:p>
        <w:p>
          <w:pPr>
            <w:spacing w:line="300" w:lineRule="atLeast"/>
            <w:jc w:val="both"/>
          </w:pPr>
          <w:r>
            <w:t>Les motifs de non-participation permettant l’octroi de la dérogation au taux de participation sont uniquement ceux relevant de circonstances exceptionnelles.</w:t>
          </w:r>
        </w:p>
        <w:p>
          <w:pPr>
            <w:spacing w:line="300" w:lineRule="atLeast"/>
            <w:jc w:val="both"/>
          </w:pPr>
        </w:p>
        <w:p>
          <w:pPr>
            <w:spacing w:line="300" w:lineRule="atLeast"/>
            <w:jc w:val="both"/>
          </w:pPr>
          <w:r>
            <w:t>Les motifs philosophiques liés à la culture ou à la religion ne constituent pas une justification suffisante.</w:t>
          </w:r>
        </w:p>
        <w:p>
          <w:pPr>
            <w:spacing w:line="300" w:lineRule="atLeast"/>
            <w:jc w:val="both"/>
          </w:pPr>
        </w:p>
        <w:p>
          <w:pPr>
            <w:pStyle w:val="Titre6"/>
          </w:pPr>
          <w:r>
            <w:t>3.1.5.3. Participation d’élèves étrangers</w:t>
          </w:r>
        </w:p>
        <w:p>
          <w:pPr>
            <w:spacing w:line="300" w:lineRule="atLeast"/>
            <w:jc w:val="both"/>
            <w:rPr>
              <w:b/>
            </w:rPr>
          </w:pPr>
        </w:p>
        <w:p>
          <w:pPr>
            <w:spacing w:line="300" w:lineRule="atLeast"/>
            <w:jc w:val="both"/>
          </w:pPr>
          <w:r>
            <w:t xml:space="preserve">Sont visés les élèves mineurs et majeurs inscrits dans un établissement scolaire qui séjournent </w:t>
          </w:r>
          <w:r>
            <w:rPr>
              <w:b/>
            </w:rPr>
            <w:t>légalement</w:t>
          </w:r>
          <w:r>
            <w:t xml:space="preserve"> sur le territoire belge.  </w:t>
          </w:r>
        </w:p>
        <w:p>
          <w:pPr>
            <w:spacing w:line="300" w:lineRule="atLeast"/>
            <w:jc w:val="both"/>
          </w:pPr>
        </w:p>
        <w:p>
          <w:pPr>
            <w:spacing w:line="300" w:lineRule="atLeast"/>
            <w:jc w:val="both"/>
            <w:rPr>
              <w:b/>
              <w:i/>
            </w:rPr>
          </w:pPr>
          <w:r>
            <w:rPr>
              <w:b/>
              <w:i/>
            </w:rPr>
            <w:t xml:space="preserve">Les élèves non-UE </w:t>
          </w:r>
        </w:p>
        <w:p>
          <w:pPr>
            <w:spacing w:line="300" w:lineRule="atLeast"/>
            <w:jc w:val="both"/>
          </w:pPr>
        </w:p>
        <w:p>
          <w:pPr>
            <w:spacing w:line="300" w:lineRule="atLeast"/>
            <w:jc w:val="both"/>
          </w:pPr>
          <w:r>
            <w:t xml:space="preserve">1. Télécharger le formulaire vierge de la liste d’écoliers non-UE participant à un voyage scolaire sur : </w:t>
          </w:r>
        </w:p>
        <w:p>
          <w:pPr>
            <w:spacing w:line="300" w:lineRule="atLeast"/>
            <w:jc w:val="both"/>
            <w:rPr>
              <w:rStyle w:val="Lienhypertexte"/>
            </w:rPr>
          </w:pPr>
          <w:hyperlink r:id="rId249" w:history="1">
            <w:r>
              <w:rPr>
                <w:rStyle w:val="Lienhypertexte"/>
              </w:rPr>
              <w:t>https://dofi.ibz.be/sites/dvzoe/FR/Guidedesprocedures/Pages/Voyagesscolaires.aspx</w:t>
            </w:r>
          </w:hyperlink>
          <w:r>
            <w:rPr>
              <w:rStyle w:val="Lienhypertexte"/>
            </w:rPr>
            <w:t>.</w:t>
          </w:r>
        </w:p>
        <w:p>
          <w:pPr>
            <w:spacing w:line="300" w:lineRule="atLeast"/>
          </w:pPr>
        </w:p>
        <w:p>
          <w:pPr>
            <w:spacing w:line="300" w:lineRule="atLeast"/>
            <w:jc w:val="both"/>
          </w:pPr>
          <w:r>
            <w:t>2. Compléter la liste et coller une photo des écoliers ressortissant de pays tiers qui ne possèdent pas de document individuel d’identité ou de voyage.</w:t>
          </w:r>
        </w:p>
        <w:p>
          <w:pPr>
            <w:spacing w:line="300" w:lineRule="atLeast"/>
            <w:jc w:val="both"/>
          </w:pPr>
        </w:p>
        <w:p>
          <w:pPr>
            <w:spacing w:line="300" w:lineRule="atLeast"/>
            <w:jc w:val="both"/>
          </w:pPr>
          <w:r>
            <w:t xml:space="preserve">3. Envoyer la liste dûment complétée (rubriques et photos) à l’Office des Etrangers, qui la paraphe, confirmant ainsi que les écoliers qui y sont mentionnés sont résidents en Belgique et peuvent y revenir sans formalités à l’adresse mail suivante : </w:t>
          </w:r>
          <w:hyperlink r:id="rId250" w:history="1">
            <w:r>
              <w:rPr>
                <w:rStyle w:val="Lienhypertexte"/>
                <w:color w:val="auto"/>
                <w:u w:val="none"/>
              </w:rPr>
              <w:t>asile.administration@ibz.fgov.be</w:t>
            </w:r>
          </w:hyperlink>
          <w:r>
            <w:rPr>
              <w:rStyle w:val="Lienhypertexte"/>
              <w:color w:val="auto"/>
              <w:u w:val="none"/>
            </w:rPr>
            <w:t>.</w:t>
          </w:r>
          <w:r>
            <w:t xml:space="preserve"> </w:t>
          </w:r>
        </w:p>
        <w:p>
          <w:pPr>
            <w:spacing w:line="300" w:lineRule="atLeast"/>
            <w:jc w:val="both"/>
          </w:pPr>
        </w:p>
        <w:p>
          <w:pPr>
            <w:spacing w:line="300" w:lineRule="atLeast"/>
            <w:jc w:val="both"/>
          </w:pPr>
          <w:r>
            <w:t>La liste est valable pendant la durée du voyage scolaire. Durant le voyage, les élèves doivent être également en possession de leur passeport national.</w:t>
          </w:r>
        </w:p>
        <w:p>
          <w:pPr>
            <w:spacing w:line="300" w:lineRule="atLeast"/>
            <w:jc w:val="both"/>
          </w:pPr>
        </w:p>
        <w:p>
          <w:pPr>
            <w:spacing w:line="300" w:lineRule="atLeast"/>
            <w:jc w:val="both"/>
            <w:rPr>
              <w:b/>
              <w:i/>
            </w:rPr>
          </w:pPr>
          <w:r>
            <w:rPr>
              <w:b/>
              <w:i/>
            </w:rPr>
            <w:t xml:space="preserve">Les élèves UE </w:t>
          </w:r>
        </w:p>
        <w:p>
          <w:pPr>
            <w:spacing w:line="300" w:lineRule="atLeast"/>
            <w:jc w:val="both"/>
          </w:pPr>
        </w:p>
        <w:p>
          <w:pPr>
            <w:spacing w:line="300" w:lineRule="atLeast"/>
            <w:jc w:val="both"/>
          </w:pPr>
          <w:r>
            <w:t>Leur départ n’est pas soumis à l’autorisation de l’Office des étrangers. Pendant le voyage, les élèves doivent être en possession d’une carte d’identité nationale ou d’un passeport national.</w:t>
          </w:r>
        </w:p>
        <w:p>
          <w:pPr>
            <w:spacing w:line="300" w:lineRule="atLeast"/>
            <w:jc w:val="both"/>
          </w:pPr>
        </w:p>
        <w:p>
          <w:pPr>
            <w:pStyle w:val="Titre4"/>
          </w:pPr>
          <w:r>
            <w:t>3.2. Normes d’encadrement</w:t>
          </w:r>
        </w:p>
        <w:p>
          <w:pPr>
            <w:spacing w:line="300" w:lineRule="atLeast"/>
            <w:jc w:val="both"/>
            <w:rPr>
              <w:u w:val="single"/>
            </w:rPr>
          </w:pPr>
        </w:p>
        <w:p>
          <w:pPr>
            <w:spacing w:line="300" w:lineRule="atLeast"/>
            <w:jc w:val="both"/>
          </w:pPr>
          <w:r>
            <w:t xml:space="preserve">Le nombre d’accompagnateur(trice)s est laissé à l’appréciation du chef d’établissement ou du Pouvoir organisateur, pour autant que les normes minimales suivantes soient respectées : </w:t>
          </w:r>
        </w:p>
        <w:p>
          <w:pPr>
            <w:spacing w:line="300" w:lineRule="atLeast"/>
            <w:jc w:val="both"/>
          </w:pPr>
        </w:p>
        <w:p>
          <w:pPr>
            <w:spacing w:line="300" w:lineRule="atLeast"/>
            <w:jc w:val="both"/>
          </w:pPr>
          <w:r>
            <w:t>L’équipe compte obligatoirement deux accompagnateur(trice)s pour la première classe. Un(e) de ces accompagnateur(trice)s doit obligatoirement être le(la) titulaire. Toute classe supplémentaire doit être accompagnée par son(sa) titulaire.</w:t>
          </w:r>
        </w:p>
        <w:p>
          <w:pPr>
            <w:spacing w:line="300" w:lineRule="atLeast"/>
            <w:jc w:val="both"/>
          </w:pPr>
        </w:p>
        <w:p>
          <w:pPr>
            <w:spacing w:line="300" w:lineRule="atLeast"/>
            <w:jc w:val="both"/>
            <w:rPr>
              <w:u w:val="single"/>
            </w:rPr>
          </w:pPr>
          <w:r>
            <w:rPr>
              <w:u w:val="single"/>
            </w:rPr>
            <w:t>Pour les types 4 et 5</w:t>
          </w:r>
          <w:r>
            <w:t xml:space="preserve"> : </w:t>
          </w:r>
        </w:p>
        <w:p>
          <w:pPr>
            <w:numPr>
              <w:ilvl w:val="1"/>
              <w:numId w:val="121"/>
            </w:numPr>
            <w:spacing w:line="300" w:lineRule="atLeast"/>
            <w:jc w:val="both"/>
          </w:pPr>
          <w:r>
            <w:t xml:space="preserve">pour les élèves se déplaçant de façon autonome : se référer aux normes prévues ci-dessus ; </w:t>
          </w:r>
        </w:p>
        <w:p>
          <w:pPr>
            <w:numPr>
              <w:ilvl w:val="1"/>
              <w:numId w:val="121"/>
            </w:numPr>
            <w:spacing w:line="300" w:lineRule="atLeast"/>
            <w:jc w:val="both"/>
          </w:pPr>
          <w:r>
            <w:t>pour les élèves ne se déplaçant pas de façon autonome : un(e) accompagnateur(trice) par élève.</w:t>
          </w:r>
        </w:p>
        <w:p>
          <w:pPr>
            <w:spacing w:line="300" w:lineRule="atLeast"/>
            <w:ind w:left="1260"/>
            <w:jc w:val="both"/>
          </w:pPr>
        </w:p>
        <w:p>
          <w:pPr>
            <w:pStyle w:val="Retraitcorpsdetexte"/>
            <w:spacing w:line="300" w:lineRule="atLeast"/>
            <w:ind w:left="0" w:firstLine="0"/>
            <w:jc w:val="both"/>
            <w:rPr>
              <w:rFonts w:asciiTheme="majorHAnsi" w:hAnsiTheme="majorHAnsi" w:cs="Times New Roman"/>
              <w:szCs w:val="22"/>
            </w:rPr>
          </w:pPr>
          <w:r>
            <w:rPr>
              <w:rFonts w:asciiTheme="majorHAnsi" w:hAnsiTheme="majorHAnsi"/>
              <w:szCs w:val="22"/>
            </w:rPr>
            <w:t xml:space="preserve">Une dérogation peut éventuellement être accordée par </w:t>
          </w:r>
          <w:r>
            <w:rPr>
              <w:rFonts w:asciiTheme="majorHAnsi" w:hAnsiTheme="majorHAnsi" w:cs="Times New Roman"/>
              <w:szCs w:val="22"/>
            </w:rPr>
            <w:t xml:space="preserve">la Directrice générale de l’Enseignement obligatoire ou son (sa) délégué(e) </w:t>
          </w:r>
          <w:r>
            <w:rPr>
              <w:rFonts w:asciiTheme="majorHAnsi" w:hAnsiTheme="majorHAnsi"/>
              <w:szCs w:val="22"/>
            </w:rPr>
            <w:t xml:space="preserve">pour </w:t>
          </w:r>
          <w:r>
            <w:rPr>
              <w:rFonts w:asciiTheme="majorHAnsi" w:hAnsiTheme="majorHAnsi" w:cs="Times New Roman"/>
              <w:szCs w:val="22"/>
            </w:rPr>
            <w:t>l’obligation pour un(e) des accompagnateur(trice)s d’être le (la) titulaire ou le (la) Directeur(trice)</w:t>
          </w:r>
          <w:r>
            <w:rPr>
              <w:rFonts w:asciiTheme="majorHAnsi" w:hAnsiTheme="majorHAnsi"/>
              <w:szCs w:val="22"/>
            </w:rPr>
            <w:t xml:space="preserve"> </w:t>
          </w:r>
          <w:r>
            <w:rPr>
              <w:rFonts w:asciiTheme="majorHAnsi" w:hAnsiTheme="majorHAnsi" w:cs="Times New Roman"/>
              <w:szCs w:val="22"/>
            </w:rPr>
            <w:t>avec classe. [</w:t>
          </w:r>
          <w:r>
            <w:rPr>
              <w:rFonts w:asciiTheme="majorHAnsi" w:hAnsiTheme="majorHAnsi" w:cs="Times New Roman"/>
              <w:i/>
              <w:szCs w:val="22"/>
              <w:u w:val="single"/>
            </w:rPr>
            <w:t>Dérogation à l’obligation pour l’un(e) des</w:t>
          </w:r>
          <w:r>
            <w:rPr>
              <w:rFonts w:asciiTheme="majorHAnsi" w:hAnsiTheme="majorHAnsi" w:cs="Times New Roman"/>
              <w:i/>
              <w:szCs w:val="22"/>
            </w:rPr>
            <w:t xml:space="preserve"> </w:t>
          </w:r>
          <w:r>
            <w:rPr>
              <w:rFonts w:asciiTheme="majorHAnsi" w:hAnsiTheme="majorHAnsi" w:cs="Times New Roman"/>
              <w:i/>
              <w:szCs w:val="22"/>
              <w:u w:val="single"/>
            </w:rPr>
            <w:t>accompagnateur(trice)s d’être le (la) titulaire ou le (la) Directeur(trice)</w:t>
          </w:r>
          <w:r>
            <w:rPr>
              <w:rFonts w:asciiTheme="majorHAnsi" w:hAnsiTheme="majorHAnsi"/>
              <w:i/>
              <w:szCs w:val="22"/>
              <w:u w:val="single"/>
            </w:rPr>
            <w:t xml:space="preserve"> </w:t>
          </w:r>
          <w:r>
            <w:rPr>
              <w:rFonts w:asciiTheme="majorHAnsi" w:hAnsiTheme="majorHAnsi" w:cs="Times New Roman"/>
              <w:i/>
              <w:szCs w:val="22"/>
              <w:u w:val="single"/>
            </w:rPr>
            <w:t>avec classe</w:t>
          </w:r>
          <w:r>
            <w:rPr>
              <w:rFonts w:asciiTheme="majorHAnsi" w:hAnsiTheme="majorHAnsi" w:cs="Times New Roman"/>
              <w:szCs w:val="22"/>
            </w:rPr>
            <w:t>]</w:t>
          </w:r>
        </w:p>
        <w:p>
          <w:pPr>
            <w:pStyle w:val="Retraitcorpsdetexte"/>
            <w:spacing w:line="300" w:lineRule="atLeast"/>
            <w:ind w:left="0"/>
            <w:jc w:val="both"/>
            <w:rPr>
              <w:rFonts w:asciiTheme="majorHAnsi" w:hAnsiTheme="majorHAnsi" w:cs="Times New Roman"/>
              <w:szCs w:val="22"/>
            </w:rPr>
          </w:pPr>
        </w:p>
        <w:p>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Il n’existe pas de nombre maximal d’accompagnateur(trice)s. Le chef d’établissement doit toutefois veiller à ne pas désorganiser son établissement scolaire.</w:t>
          </w:r>
        </w:p>
        <w:p>
          <w:pPr>
            <w:spacing w:line="300" w:lineRule="atLeast"/>
            <w:jc w:val="both"/>
          </w:pPr>
        </w:p>
        <w:p>
          <w:pPr>
            <w:pStyle w:val="Titre5"/>
          </w:pPr>
          <w:r>
            <w:t>3.2.1. Catégories d’accompagnateur(trice)s</w:t>
          </w:r>
        </w:p>
        <w:p>
          <w:pPr>
            <w:spacing w:line="300" w:lineRule="atLeast"/>
            <w:jc w:val="both"/>
            <w:rPr>
              <w:u w:val="single"/>
            </w:rPr>
          </w:pPr>
        </w:p>
        <w:p>
          <w:pPr>
            <w:spacing w:line="300" w:lineRule="atLeast"/>
            <w:jc w:val="both"/>
          </w:pPr>
          <w:r>
            <w:t>Pour tous les niveaux et types d’enseignement, les accompagnateur(trice)s susceptibles d’encadrer les classes ou groupes d’élèves seront choisi(e)s, par le chef d’établissement ou le Pouvoir organisateur, parmi les catégories suivantes pour autant qu’ils présentent les qualités requises pour encadrer les enfants dans les meilleures conditions de sécurité :</w:t>
          </w:r>
        </w:p>
        <w:p>
          <w:pPr>
            <w:spacing w:line="260" w:lineRule="atLeast"/>
            <w:ind w:left="1134" w:hanging="425"/>
            <w:jc w:val="both"/>
          </w:pPr>
        </w:p>
        <w:p>
          <w:pPr>
            <w:pStyle w:val="Retraitcorpsdetexte3"/>
            <w:numPr>
              <w:ilvl w:val="1"/>
              <w:numId w:val="121"/>
            </w:numPr>
            <w:suppressAutoHyphens w:val="0"/>
            <w:spacing w:after="0" w:line="300" w:lineRule="atLeast"/>
            <w:jc w:val="both"/>
            <w:rPr>
              <w:rFonts w:asciiTheme="majorHAnsi" w:hAnsiTheme="majorHAnsi"/>
              <w:sz w:val="22"/>
              <w:szCs w:val="22"/>
            </w:rPr>
          </w:pPr>
          <w:r>
            <w:rPr>
              <w:rFonts w:asciiTheme="majorHAnsi" w:hAnsiTheme="majorHAnsi" w:cs="Times New Roman"/>
              <w:sz w:val="22"/>
              <w:szCs w:val="22"/>
            </w:rPr>
            <w:t xml:space="preserve">membres du corps enseignant ; </w:t>
          </w:r>
        </w:p>
        <w:p>
          <w:pPr>
            <w:pStyle w:val="Retraitcorpsdetexte3"/>
            <w:numPr>
              <w:ilvl w:val="1"/>
              <w:numId w:val="121"/>
            </w:numPr>
            <w:suppressAutoHyphens w:val="0"/>
            <w:spacing w:after="0" w:line="300" w:lineRule="atLeast"/>
            <w:jc w:val="both"/>
            <w:rPr>
              <w:rFonts w:asciiTheme="majorHAnsi" w:hAnsiTheme="majorHAnsi"/>
              <w:sz w:val="22"/>
              <w:szCs w:val="22"/>
            </w:rPr>
          </w:pPr>
          <w:r>
            <w:rPr>
              <w:rFonts w:asciiTheme="majorHAnsi" w:hAnsiTheme="majorHAnsi"/>
              <w:sz w:val="22"/>
              <w:szCs w:val="22"/>
            </w:rPr>
            <w:t>autres membres du personnel de l’établissement (personnel paramédical, auxiliaire d’éducation, personnel administratif, personnel ouvrier, ACS, APE, …) ;</w:t>
          </w:r>
        </w:p>
        <w:p>
          <w:pPr>
            <w:pStyle w:val="Retraitcorpsdetexte3"/>
            <w:numPr>
              <w:ilvl w:val="1"/>
              <w:numId w:val="121"/>
            </w:numPr>
            <w:suppressAutoHyphens w:val="0"/>
            <w:spacing w:after="0" w:line="300" w:lineRule="atLeast"/>
            <w:jc w:val="both"/>
            <w:rPr>
              <w:rFonts w:asciiTheme="majorHAnsi" w:hAnsiTheme="majorHAnsi"/>
              <w:sz w:val="22"/>
              <w:szCs w:val="22"/>
            </w:rPr>
          </w:pPr>
          <w:r>
            <w:rPr>
              <w:rFonts w:asciiTheme="majorHAnsi" w:hAnsiTheme="majorHAnsi"/>
              <w:sz w:val="22"/>
              <w:szCs w:val="22"/>
            </w:rPr>
            <w:t xml:space="preserve">étudiant(e)s majeur(e)s (enseignement pédagogique ou social, puériculteur(trice)s, …) dont la formation comprend des stages ; </w:t>
          </w:r>
        </w:p>
        <w:p>
          <w:pPr>
            <w:pStyle w:val="Retraitcorpsdetexte3"/>
            <w:numPr>
              <w:ilvl w:val="1"/>
              <w:numId w:val="121"/>
            </w:numPr>
            <w:suppressAutoHyphens w:val="0"/>
            <w:spacing w:after="0" w:line="300" w:lineRule="atLeast"/>
            <w:jc w:val="both"/>
            <w:rPr>
              <w:rFonts w:asciiTheme="majorHAnsi" w:hAnsiTheme="majorHAnsi"/>
              <w:sz w:val="22"/>
              <w:szCs w:val="22"/>
            </w:rPr>
          </w:pPr>
          <w:r>
            <w:rPr>
              <w:rFonts w:asciiTheme="majorHAnsi" w:hAnsiTheme="majorHAnsi"/>
              <w:sz w:val="22"/>
              <w:szCs w:val="22"/>
            </w:rPr>
            <w:t xml:space="preserve">éducateur(trice)s ou moniteur(trice)s A.D.E.P.S., personnel pédagogique des centres de dépaysement ; </w:t>
          </w:r>
        </w:p>
        <w:p>
          <w:pPr>
            <w:pStyle w:val="Retraitcorpsdetexte3"/>
            <w:numPr>
              <w:ilvl w:val="1"/>
              <w:numId w:val="121"/>
            </w:numPr>
            <w:suppressAutoHyphens w:val="0"/>
            <w:spacing w:after="0" w:line="300" w:lineRule="atLeast"/>
            <w:ind w:left="1259" w:hanging="357"/>
            <w:jc w:val="both"/>
            <w:rPr>
              <w:rFonts w:asciiTheme="majorHAnsi" w:hAnsiTheme="majorHAnsi"/>
              <w:sz w:val="22"/>
              <w:szCs w:val="22"/>
            </w:rPr>
          </w:pPr>
          <w:r>
            <w:rPr>
              <w:rFonts w:asciiTheme="majorHAnsi" w:hAnsiTheme="majorHAnsi"/>
              <w:sz w:val="22"/>
              <w:szCs w:val="22"/>
            </w:rPr>
            <w:t>membres du personnel du centre P.M.S. ;</w:t>
          </w:r>
        </w:p>
        <w:p>
          <w:pPr>
            <w:pStyle w:val="Retraitcorpsdetexte3"/>
            <w:numPr>
              <w:ilvl w:val="1"/>
              <w:numId w:val="121"/>
            </w:numPr>
            <w:suppressAutoHyphens w:val="0"/>
            <w:spacing w:after="0" w:line="300" w:lineRule="atLeast"/>
            <w:ind w:left="1259" w:hanging="357"/>
            <w:jc w:val="both"/>
            <w:rPr>
              <w:rFonts w:asciiTheme="majorHAnsi" w:hAnsiTheme="majorHAnsi"/>
              <w:sz w:val="22"/>
              <w:szCs w:val="22"/>
            </w:rPr>
          </w:pPr>
          <w:r>
            <w:rPr>
              <w:rFonts w:asciiTheme="majorHAnsi" w:hAnsiTheme="majorHAnsi"/>
              <w:sz w:val="22"/>
              <w:szCs w:val="22"/>
            </w:rPr>
            <w:t xml:space="preserve">parents ou autres personnes volontaires présentant les qualités requises pour encadrer les enfants dans les meilleures conditions de sécurité.  </w:t>
          </w:r>
        </w:p>
        <w:p>
          <w:pPr>
            <w:pStyle w:val="Retraitcorpsdetexte3"/>
            <w:spacing w:line="300" w:lineRule="atLeast"/>
            <w:jc w:val="both"/>
            <w:rPr>
              <w:rFonts w:asciiTheme="majorHAnsi" w:hAnsiTheme="majorHAnsi" w:cs="Times New Roman"/>
              <w:b/>
              <w:sz w:val="22"/>
              <w:szCs w:val="22"/>
              <w:u w:val="single"/>
            </w:rPr>
          </w:pPr>
        </w:p>
        <w:p>
          <w:pPr>
            <w:spacing w:line="300" w:lineRule="atLeast"/>
            <w:jc w:val="both"/>
          </w:pPr>
          <w:r>
            <w:t xml:space="preserve">La liste complète de ces personnes doit être annexée au dossier. </w:t>
          </w:r>
        </w:p>
        <w:p>
          <w:pPr>
            <w:spacing w:line="300" w:lineRule="atLeast"/>
            <w:jc w:val="both"/>
          </w:pPr>
        </w:p>
        <w:p>
          <w:pPr>
            <w:spacing w:line="300" w:lineRule="atLeast"/>
            <w:jc w:val="both"/>
          </w:pPr>
          <w:r>
            <w:t xml:space="preserve">En ce qui concerne les parents, les étudiant(e)s majeur(e)s dont la formation comprend des stages, les personnes volontaires, …, un partenariat avec le Pouvoir organisateur doit être conclu. Leur certificat de bonne vie et mœurs est joint à la convention. </w:t>
          </w:r>
        </w:p>
        <w:p>
          <w:pPr>
            <w:jc w:val="both"/>
            <w:rPr>
              <w:rFonts w:cs="Arial"/>
            </w:rPr>
          </w:pPr>
        </w:p>
        <w:p>
          <w:pPr>
            <w:spacing w:line="300" w:lineRule="atLeast"/>
            <w:jc w:val="both"/>
            <w:rPr>
              <w:rFonts w:cs="Arial"/>
            </w:rPr>
          </w:pPr>
          <w:r>
            <w:rPr>
              <w:rFonts w:cs="Arial"/>
            </w:rPr>
            <w:t xml:space="preserve">On peut faire appel à du personnel semblable pour agrémenter les activités des élèves non participant(e)s, dans le cadre d’un horaire souple, contrastant avec les habitudes scolaires. </w:t>
          </w:r>
        </w:p>
        <w:p>
          <w:pPr>
            <w:spacing w:line="300" w:lineRule="atLeast"/>
            <w:ind w:left="993"/>
            <w:jc w:val="both"/>
          </w:pPr>
        </w:p>
        <w:p>
          <w:pPr>
            <w:spacing w:line="300" w:lineRule="atLeast"/>
            <w:jc w:val="both"/>
            <w:rPr>
              <w:b/>
            </w:rPr>
          </w:pPr>
          <w:r>
            <w:rPr>
              <w:b/>
            </w:rPr>
            <w:t xml:space="preserve">Le chef d’établissement, à l’exception du (de la) Directeur(trice) avec classe, ne fait pas partie des personnes susceptibles d’encadrer les classes ou groupes d’élèves, </w:t>
          </w:r>
          <w:r>
            <w:rPr>
              <w:spacing w:val="-4"/>
            </w:rPr>
            <w:t xml:space="preserve"> </w:t>
          </w:r>
          <w:r>
            <w:rPr>
              <w:b/>
              <w:spacing w:val="-4"/>
            </w:rPr>
            <w:t>sauf autorisation motivée du Pouvoir organisateur et communication de l’identité de la personne le remplaçant dans ses fonctions le temps de son absence.</w:t>
          </w:r>
        </w:p>
        <w:p>
          <w:pPr>
            <w:spacing w:line="300" w:lineRule="atLeast"/>
            <w:jc w:val="both"/>
            <w:rPr>
              <w:b/>
            </w:rPr>
          </w:pPr>
        </w:p>
        <w:p>
          <w:pPr>
            <w:spacing w:line="300" w:lineRule="atLeast"/>
            <w:jc w:val="both"/>
          </w:pPr>
          <w:r>
            <w:t xml:space="preserve">Il est seulement autorisé à rendre visite aux </w:t>
          </w:r>
          <w:r>
            <w:rPr>
              <w:b/>
              <w:u w:val="single"/>
            </w:rPr>
            <w:t>séjours pédagogiques avec nuitée(s)</w:t>
          </w:r>
          <w:r>
            <w:t xml:space="preserve">. </w:t>
          </w:r>
        </w:p>
        <w:p>
          <w:pPr>
            <w:spacing w:line="300" w:lineRule="atLeast"/>
            <w:jc w:val="both"/>
          </w:pPr>
        </w:p>
        <w:p>
          <w:pPr>
            <w:spacing w:line="300" w:lineRule="atLeast"/>
            <w:jc w:val="both"/>
          </w:pPr>
          <w:r>
            <w:rPr>
              <w:b/>
            </w:rPr>
            <w:t>La durée de chaque visite</w:t>
          </w:r>
          <w:r>
            <w:t xml:space="preserve"> ne peut pas excéder 2 jours ouvrables, sauf autorisation motivée du Pouvoir organisateur. Une visite de plus de deux jours ne peut s’effectuer qu’une seule fois durant l’année scolaire.</w:t>
          </w:r>
        </w:p>
        <w:p>
          <w:pPr>
            <w:spacing w:line="300" w:lineRule="atLeast"/>
            <w:jc w:val="both"/>
          </w:pPr>
        </w:p>
        <w:p>
          <w:pPr>
            <w:spacing w:line="300" w:lineRule="atLeast"/>
            <w:jc w:val="both"/>
          </w:pPr>
          <w:r>
            <w:t xml:space="preserve">A l’autorisation du Pouvoir organisateur, doit être joint l’identité de la personne le remplaçant dans ses fonctions le temps de son absence. </w:t>
          </w:r>
        </w:p>
        <w:p>
          <w:pPr>
            <w:spacing w:line="300" w:lineRule="atLeast"/>
            <w:jc w:val="both"/>
          </w:pPr>
        </w:p>
        <w:p>
          <w:pPr>
            <w:spacing w:line="300" w:lineRule="atLeast"/>
            <w:jc w:val="both"/>
          </w:pPr>
          <w:r>
            <w:t>Une dérogation peut éventuellement être accordée par la Direction générale de l’Enseignement obligatoire pour permettre au chef d’établissement d’être comptabilisé au niveau de l’encadrement des classes ou groupes d’élèves. La demande de dérogation doit :</w:t>
          </w:r>
        </w:p>
        <w:p>
          <w:pPr>
            <w:pStyle w:val="Paragraphedeliste"/>
            <w:numPr>
              <w:ilvl w:val="0"/>
              <w:numId w:val="213"/>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être motivée par le Pouvoir organisateur ;</w:t>
          </w:r>
        </w:p>
        <w:p>
          <w:pPr>
            <w:pStyle w:val="Paragraphedeliste"/>
            <w:numPr>
              <w:ilvl w:val="0"/>
              <w:numId w:val="213"/>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résulter de circonstances exceptionnelles ;</w:t>
          </w:r>
        </w:p>
        <w:p>
          <w:pPr>
            <w:pStyle w:val="Paragraphedeliste"/>
            <w:numPr>
              <w:ilvl w:val="0"/>
              <w:numId w:val="213"/>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préciser l’identité de la personne remplaçant le chef d’établissement dans ses fonctions le temps de son absence.</w:t>
          </w:r>
        </w:p>
        <w:p>
          <w:pPr>
            <w:spacing w:line="300" w:lineRule="atLeast"/>
            <w:jc w:val="both"/>
          </w:pPr>
          <w:r>
            <w:t xml:space="preserve">Cette dérogation ne peut être accordée qu’une seule fois par année scolaire. </w:t>
          </w:r>
        </w:p>
        <w:p>
          <w:pPr>
            <w:spacing w:line="300" w:lineRule="atLeast"/>
            <w:jc w:val="both"/>
          </w:pPr>
          <w:r>
            <w:t>[</w:t>
          </w:r>
          <w:r>
            <w:rPr>
              <w:i/>
              <w:u w:val="single"/>
            </w:rPr>
            <w:t>Dérogation visant à permettre au chef d’établissement d’être comptabilisé au niveau de l’encadrement</w:t>
          </w:r>
          <w:r>
            <w:t>]</w:t>
          </w:r>
        </w:p>
        <w:p>
          <w:pPr>
            <w:spacing w:line="300" w:lineRule="atLeast"/>
            <w:jc w:val="both"/>
          </w:pPr>
        </w:p>
        <w:p>
          <w:pPr>
            <w:pStyle w:val="Titre5"/>
          </w:pPr>
          <w:r>
            <w:t>3.2.2. Organisation du transport</w:t>
          </w:r>
        </w:p>
        <w:p>
          <w:pPr>
            <w:spacing w:line="300" w:lineRule="atLeast"/>
            <w:jc w:val="both"/>
            <w:rPr>
              <w:u w:val="single"/>
            </w:rPr>
          </w:pPr>
        </w:p>
        <w:p>
          <w:pPr>
            <w:spacing w:line="300" w:lineRule="atLeast"/>
            <w:jc w:val="both"/>
          </w:pPr>
          <w:r>
            <w:t>Les normes d’encadrement s’appliquent également durant les temps de transport.</w:t>
          </w:r>
        </w:p>
        <w:p>
          <w:pPr>
            <w:spacing w:line="300" w:lineRule="atLeast"/>
          </w:pPr>
        </w:p>
        <w:p>
          <w:pPr>
            <w:spacing w:line="300" w:lineRule="atLeast"/>
            <w:jc w:val="both"/>
          </w:pPr>
          <w:r>
            <w:t>Lorsque l’établissement n’organise pas le transport jusqu’au lieu de séjour (lors d’une retraite, d’un stage, …), il doit impérativement obtenir l’autorisation des responsables légaux.</w:t>
          </w:r>
        </w:p>
        <w:p>
          <w:pPr>
            <w:spacing w:line="300" w:lineRule="atLeast"/>
            <w:jc w:val="both"/>
          </w:pPr>
        </w:p>
        <w:p>
          <w:pPr>
            <w:spacing w:line="300" w:lineRule="atLeast"/>
            <w:jc w:val="both"/>
          </w:pPr>
          <w:r>
            <w:t>Pour un séjour en dehors de la Belgique, l’établissement doit obligatoirement organiser le transport.</w:t>
          </w:r>
        </w:p>
        <w:p>
          <w:pPr>
            <w:jc w:val="both"/>
          </w:pPr>
        </w:p>
        <w:p>
          <w:pPr>
            <w:jc w:val="both"/>
          </w:pPr>
        </w:p>
        <w:p>
          <w:pPr>
            <w:jc w:val="both"/>
          </w:pPr>
        </w:p>
        <w:p>
          <w:pPr>
            <w:jc w:val="both"/>
          </w:pPr>
        </w:p>
        <w:p>
          <w:pPr>
            <w:jc w:val="both"/>
          </w:pPr>
        </w:p>
        <w:p>
          <w:pPr>
            <w:jc w:val="both"/>
          </w:pPr>
        </w:p>
        <w:p>
          <w:pPr>
            <w:jc w:val="both"/>
          </w:pPr>
        </w:p>
        <w:p>
          <w:pPr>
            <w:pStyle w:val="Titre3"/>
          </w:pPr>
          <w:bookmarkStart w:id="3535" w:name="_Toc18914539"/>
          <w:r>
            <w:t>4. Procédure d’introduction des demandes</w:t>
          </w:r>
          <w:bookmarkEnd w:id="3535"/>
        </w:p>
        <w:p>
          <w:pPr>
            <w:spacing w:line="300" w:lineRule="atLeast"/>
            <w:jc w:val="both"/>
            <w:rPr>
              <w:i/>
            </w:rPr>
          </w:pPr>
        </w:p>
        <w:p>
          <w:pPr>
            <w:pStyle w:val="Titre4"/>
          </w:pPr>
          <w:r>
            <w:t>4.1. Procédure</w:t>
          </w:r>
        </w:p>
        <w:p>
          <w:pPr>
            <w:spacing w:line="300" w:lineRule="atLeast"/>
            <w:jc w:val="both"/>
            <w:rPr>
              <w:i/>
            </w:rPr>
          </w:pPr>
        </w:p>
        <w:p>
          <w:pPr>
            <w:spacing w:line="300" w:lineRule="atLeast"/>
            <w:jc w:val="both"/>
            <w:rPr>
              <w:i/>
            </w:rPr>
          </w:pPr>
          <w:r>
            <w:rPr>
              <w:i/>
            </w:rPr>
            <w:t>Tout séjour pédagogique avec nuitée(s), quel que soit le niveau et le type d’enseignement,  doit faire l’objet d’une déclaration préalable auprès de la Direction générale de l’Enseignement obligatoire.</w:t>
          </w:r>
        </w:p>
        <w:p>
          <w:pPr>
            <w:spacing w:line="300" w:lineRule="atLeast"/>
            <w:jc w:val="both"/>
          </w:pPr>
        </w:p>
        <w:p>
          <w:pPr>
            <w:spacing w:line="300" w:lineRule="atLeast"/>
            <w:jc w:val="both"/>
            <w:rPr>
              <w:u w:val="single"/>
            </w:rPr>
          </w:pPr>
          <w:r>
            <w:rPr>
              <w:u w:val="single"/>
            </w:rPr>
            <w:t>° Si le dossier ne comprend pas de demande de dérogation (toutes les conditions sont remplies)</w:t>
          </w:r>
          <w:r>
            <w:t> :</w:t>
          </w:r>
        </w:p>
        <w:p>
          <w:pPr>
            <w:spacing w:line="300" w:lineRule="atLeast"/>
            <w:jc w:val="both"/>
          </w:pPr>
        </w:p>
        <w:p>
          <w:pPr>
            <w:spacing w:line="300" w:lineRule="atLeast"/>
            <w:jc w:val="both"/>
          </w:pPr>
          <w:r>
            <w:t>Une déclaration simplifiée est introduite via un formulaire électronique.</w:t>
          </w:r>
        </w:p>
        <w:p>
          <w:pPr>
            <w:spacing w:line="300" w:lineRule="atLeast"/>
            <w:jc w:val="both"/>
          </w:pPr>
        </w:p>
        <w:p>
          <w:pPr>
            <w:spacing w:line="300" w:lineRule="atLeast"/>
            <w:jc w:val="both"/>
          </w:pPr>
          <w:r>
            <w:t xml:space="preserve">Le chef d’établissement ou le Pouvoir organisateur s’engage à respecter l’ensemble des conditions de la circulaire. </w:t>
          </w:r>
        </w:p>
        <w:p>
          <w:pPr>
            <w:spacing w:line="300" w:lineRule="atLeast"/>
            <w:jc w:val="both"/>
          </w:pPr>
        </w:p>
        <w:p>
          <w:pPr>
            <w:spacing w:line="300" w:lineRule="atLeast"/>
            <w:jc w:val="both"/>
          </w:pPr>
          <w:r>
            <w:rPr>
              <w:b/>
            </w:rPr>
            <w:t>L’établissement doit toutefois conserver un exemplaire du formulaire électronique complété (version pdf) et le tenir à disposition de la Direction générale de l’Enseignement obligatoire ainsi que de l’Inspection.</w:t>
          </w:r>
          <w:r>
            <w:t xml:space="preserve"> L’autorisation est automatique, sous réserve que la Direction générale de l’Enseignement obligatoire ait accusé réception du dossier.</w:t>
          </w:r>
        </w:p>
        <w:p>
          <w:pPr>
            <w:spacing w:line="300" w:lineRule="atLeast"/>
            <w:jc w:val="both"/>
          </w:pPr>
        </w:p>
        <w:p>
          <w:pPr>
            <w:spacing w:line="300" w:lineRule="atLeast"/>
            <w:jc w:val="both"/>
            <w:rPr>
              <w:b/>
            </w:rPr>
          </w:pPr>
          <w:r>
            <w:rPr>
              <w:b/>
              <w:u w:val="single"/>
            </w:rPr>
            <w:t>ATTENTION</w:t>
          </w:r>
          <w:r>
            <w:rPr>
              <w:b/>
            </w:rPr>
            <w:t> : En l’absence d’accusé de réception de la déclaration simplifiée dans les 3 jours ouvrables, le chef d’établissement prend contact avec la Direction générale de l’Enseignement obligatoire.</w:t>
          </w:r>
        </w:p>
        <w:p>
          <w:pPr>
            <w:spacing w:line="300" w:lineRule="atLeast"/>
            <w:jc w:val="both"/>
          </w:pPr>
        </w:p>
        <w:p>
          <w:pPr>
            <w:spacing w:line="300" w:lineRule="atLeast"/>
            <w:jc w:val="both"/>
            <w:rPr>
              <w:u w:val="single"/>
            </w:rPr>
          </w:pPr>
          <w:r>
            <w:rPr>
              <w:u w:val="single"/>
            </w:rPr>
            <w:t>° Si le dossier comprend une (ou plusieurs) demande(s) de dérogation</w:t>
          </w:r>
          <w:r>
            <w:t> :</w:t>
          </w:r>
        </w:p>
        <w:p>
          <w:pPr>
            <w:spacing w:line="300" w:lineRule="atLeast"/>
            <w:jc w:val="both"/>
          </w:pPr>
        </w:p>
        <w:p>
          <w:pPr>
            <w:spacing w:line="300" w:lineRule="atLeast"/>
            <w:jc w:val="both"/>
          </w:pPr>
          <w:r>
            <w:t>La demande de dérogation se fait au moyen des annexes I, II, III, IV. L’octroi de la (ou des) dérogation(s) demandée(s) entraîne l’autorisation du séjour.</w:t>
          </w:r>
        </w:p>
        <w:p>
          <w:pPr>
            <w:spacing w:line="300" w:lineRule="atLeast"/>
            <w:jc w:val="both"/>
          </w:pPr>
        </w:p>
        <w:p>
          <w:pPr>
            <w:spacing w:line="300" w:lineRule="atLeast"/>
            <w:jc w:val="both"/>
            <w:rPr>
              <w:b/>
              <w:u w:val="single"/>
            </w:rPr>
          </w:pPr>
          <w:r>
            <w:rPr>
              <w:b/>
              <w:u w:val="single"/>
            </w:rPr>
            <w:t>ATTENTION</w:t>
          </w:r>
          <w:r>
            <w:rPr>
              <w:b/>
            </w:rPr>
            <w:t> : Aussi longtemps qu’une dérogation n’est pas accordée, le départ n’est pas autorisé et la demande d’autorisation doit donc être considérée comme refusée.</w:t>
          </w:r>
        </w:p>
        <w:p>
          <w:pPr>
            <w:spacing w:line="300" w:lineRule="atLeast"/>
            <w:jc w:val="both"/>
            <w:rPr>
              <w:b/>
              <w:u w:val="single"/>
            </w:rPr>
          </w:pPr>
        </w:p>
        <w:p>
          <w:pPr>
            <w:spacing w:line="300" w:lineRule="atLeast"/>
            <w:jc w:val="both"/>
            <w:rPr>
              <w:u w:val="single"/>
            </w:rPr>
          </w:pPr>
          <w:r>
            <w:rPr>
              <w:b/>
              <w:u w:val="single"/>
            </w:rPr>
            <w:t>Remarque</w:t>
          </w:r>
          <w:r>
            <w:rPr>
              <w:b/>
            </w:rPr>
            <w:t> :</w:t>
          </w:r>
          <w:r>
            <w:t xml:space="preserve"> </w:t>
          </w:r>
          <w:r>
            <w:rPr>
              <w:b/>
            </w:rPr>
            <w:t>Les réservations et/ou les versements d’acomptes ne pourront constituer un élément influençant la décision de la Direction générale de l’Enseignement obligatoire. Ces démarches sont donc entreprises sous l’entière responsabilité du chef d’établissement.</w:t>
          </w:r>
          <w:r>
            <w:t xml:space="preserve"> </w:t>
          </w:r>
        </w:p>
        <w:p>
          <w:pPr>
            <w:spacing w:line="300" w:lineRule="atLeast"/>
            <w:jc w:val="both"/>
            <w:rPr>
              <w:b/>
            </w:rPr>
          </w:pPr>
        </w:p>
        <w:p>
          <w:pPr>
            <w:spacing w:line="300" w:lineRule="atLeast"/>
            <w:jc w:val="both"/>
            <w:rPr>
              <w:u w:val="single"/>
            </w:rPr>
          </w:pPr>
          <w:r>
            <w:t xml:space="preserve">L’attention du chef d’établissement doit être attirée sur le fait qu’un séjour pédagogique avec nuitée(s) non autorisé par l’instance compétente ou organisée alors que l’autorisation n’a pas encore été accordée, est susceptible d’engendrer un refus d’intervention ou de couverture en cas de sinistre de la part de la compagnie d’assurance.  </w:t>
          </w:r>
        </w:p>
        <w:p>
          <w:pPr>
            <w:spacing w:line="300" w:lineRule="atLeast"/>
          </w:pPr>
        </w:p>
        <w:p>
          <w:pPr>
            <w:pStyle w:val="Titre4"/>
          </w:pPr>
          <w:r>
            <w:t>4.2. Par qui ?</w:t>
          </w:r>
        </w:p>
        <w:p>
          <w:pPr>
            <w:spacing w:line="300" w:lineRule="atLeast"/>
            <w:ind w:left="426"/>
            <w:jc w:val="both"/>
          </w:pPr>
        </w:p>
        <w:p>
          <w:pPr>
            <w:spacing w:line="300" w:lineRule="atLeast"/>
            <w:jc w:val="both"/>
          </w:pPr>
          <w:r>
            <w:t xml:space="preserve">Par le chef d’établissement organisant le départ. </w:t>
          </w:r>
        </w:p>
        <w:p>
          <w:pPr>
            <w:spacing w:line="300" w:lineRule="atLeast"/>
            <w:jc w:val="both"/>
          </w:pPr>
          <w:r>
            <w:t>Pour l’enseignement subventionné, le visa du représentant du Pouvoir organisateur est obligatoire. Néanmoins, le principe de confiance est appliqué. Le chef d’établissement peut donc attester sur l’honneur qu’il a obtenu ce visa.</w:t>
          </w:r>
        </w:p>
        <w:p>
          <w:pPr>
            <w:spacing w:line="300" w:lineRule="atLeast"/>
            <w:jc w:val="both"/>
          </w:pPr>
        </w:p>
        <w:p>
          <w:pPr>
            <w:spacing w:line="300" w:lineRule="atLeast"/>
            <w:jc w:val="both"/>
          </w:pPr>
        </w:p>
        <w:p>
          <w:pPr>
            <w:pStyle w:val="Titre4"/>
          </w:pPr>
          <w:r>
            <w:t>4.3. Quand ?</w:t>
          </w:r>
        </w:p>
        <w:p>
          <w:pPr>
            <w:spacing w:line="300" w:lineRule="atLeast"/>
            <w:ind w:left="426"/>
            <w:jc w:val="both"/>
          </w:pPr>
        </w:p>
        <w:p>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Les déclarations simplifiées doivent parvenir au plus tard un mois avant le départ.</w:t>
          </w:r>
        </w:p>
        <w:p>
          <w:pPr>
            <w:pStyle w:val="Retraitcorpsdetexte"/>
            <w:spacing w:line="300" w:lineRule="atLeast"/>
            <w:ind w:left="0" w:firstLine="0"/>
            <w:jc w:val="both"/>
            <w:rPr>
              <w:rFonts w:asciiTheme="majorHAnsi" w:hAnsiTheme="majorHAnsi" w:cs="Times New Roman"/>
              <w:szCs w:val="22"/>
            </w:rPr>
          </w:pPr>
        </w:p>
        <w:p>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Un accusé de réception est adressé par la Direction générale de l’Enseignement obligatoire dans les 3 jours ouvrables.</w:t>
          </w:r>
        </w:p>
        <w:p>
          <w:pPr>
            <w:pStyle w:val="Retraitcorpsdetexte"/>
            <w:spacing w:line="300" w:lineRule="atLeast"/>
            <w:ind w:left="0" w:firstLine="0"/>
            <w:jc w:val="both"/>
            <w:rPr>
              <w:rFonts w:asciiTheme="majorHAnsi" w:hAnsiTheme="majorHAnsi" w:cs="Times New Roman"/>
              <w:szCs w:val="22"/>
            </w:rPr>
          </w:pPr>
        </w:p>
        <w:p>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 xml:space="preserve">Les demandes de dérogation doivent parvenir au plus tard deux mois avant le départ, à l’exception de la demande de dérogation pour le délai d’introduction du dossier. </w:t>
          </w:r>
        </w:p>
        <w:p>
          <w:pPr>
            <w:pStyle w:val="Retraitcorpsdetexte"/>
            <w:spacing w:line="300" w:lineRule="atLeast"/>
            <w:ind w:left="0"/>
            <w:jc w:val="both"/>
            <w:rPr>
              <w:rFonts w:asciiTheme="majorHAnsi" w:hAnsiTheme="majorHAnsi" w:cs="Times New Roman"/>
              <w:szCs w:val="22"/>
            </w:rPr>
          </w:pPr>
        </w:p>
        <w:p>
          <w:pPr>
            <w:pStyle w:val="Retraitcorpsdetexte"/>
            <w:spacing w:line="300" w:lineRule="atLeast"/>
            <w:ind w:left="0" w:firstLine="0"/>
            <w:jc w:val="both"/>
            <w:rPr>
              <w:rFonts w:asciiTheme="majorHAnsi" w:hAnsiTheme="majorHAnsi" w:cs="Times New Roman"/>
              <w:b/>
              <w:szCs w:val="22"/>
            </w:rPr>
          </w:pPr>
          <w:r>
            <w:rPr>
              <w:rFonts w:asciiTheme="majorHAnsi" w:hAnsiTheme="majorHAnsi" w:cs="Times New Roman"/>
              <w:szCs w:val="22"/>
            </w:rPr>
            <w:t>La Direction générale de l’Enseignement obligatoire rend sa décision dans les trente jours calendrier (à la date de l’envoi du dossier).</w:t>
          </w:r>
          <w:r>
            <w:rPr>
              <w:rFonts w:asciiTheme="majorHAnsi" w:hAnsiTheme="majorHAnsi" w:cs="Times New Roman"/>
              <w:b/>
              <w:szCs w:val="22"/>
            </w:rPr>
            <w:t xml:space="preserve"> </w:t>
          </w:r>
        </w:p>
        <w:p>
          <w:pPr>
            <w:pStyle w:val="Retraitcorpsdetexte"/>
            <w:spacing w:line="300" w:lineRule="atLeast"/>
            <w:ind w:left="0" w:firstLine="0"/>
            <w:jc w:val="both"/>
            <w:rPr>
              <w:rFonts w:asciiTheme="majorHAnsi" w:hAnsiTheme="majorHAnsi" w:cs="Times New Roman"/>
              <w:b/>
              <w:szCs w:val="22"/>
            </w:rPr>
          </w:pPr>
        </w:p>
        <w:p>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Exception : en cas de départ avant le 1</w:t>
          </w:r>
          <w:r>
            <w:rPr>
              <w:rFonts w:asciiTheme="majorHAnsi" w:hAnsiTheme="majorHAnsi" w:cs="Times New Roman"/>
              <w:szCs w:val="22"/>
              <w:vertAlign w:val="superscript"/>
            </w:rPr>
            <w:t>er</w:t>
          </w:r>
          <w:r>
            <w:rPr>
              <w:rFonts w:asciiTheme="majorHAnsi" w:hAnsiTheme="majorHAnsi" w:cs="Times New Roman"/>
              <w:szCs w:val="22"/>
            </w:rPr>
            <w:t xml:space="preserve"> octobre, les demandes de dérogation et les déclarations simplifiées doivent être introduites au plus tard une semaine avant le départ. </w:t>
          </w:r>
        </w:p>
        <w:p>
          <w:pPr>
            <w:pStyle w:val="Retraitcorpsdetexte"/>
            <w:spacing w:line="300" w:lineRule="atLeast"/>
            <w:ind w:left="0" w:firstLine="0"/>
            <w:jc w:val="both"/>
            <w:rPr>
              <w:rFonts w:asciiTheme="majorHAnsi" w:hAnsiTheme="majorHAnsi" w:cs="Times New Roman"/>
              <w:szCs w:val="22"/>
            </w:rPr>
          </w:pPr>
        </w:p>
        <w:p>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Le chef d’établissement a la possibilité de déroger au délai d’introduction des documents en faisant valoir des circonstances exceptionnelles (maladie, changement de direction, …). [</w:t>
          </w:r>
          <w:r>
            <w:rPr>
              <w:rFonts w:asciiTheme="majorHAnsi" w:hAnsiTheme="majorHAnsi" w:cs="Times New Roman"/>
              <w:i/>
              <w:szCs w:val="22"/>
              <w:u w:val="single"/>
            </w:rPr>
            <w:t>Dérogation pour le délai d’introduction du dossier</w:t>
          </w:r>
          <w:r>
            <w:rPr>
              <w:rFonts w:asciiTheme="majorHAnsi" w:hAnsiTheme="majorHAnsi" w:cs="Times New Roman"/>
              <w:szCs w:val="22"/>
            </w:rPr>
            <w:t>]</w:t>
          </w:r>
        </w:p>
        <w:p>
          <w:pPr>
            <w:pStyle w:val="Retraitcorpsdetexte"/>
            <w:spacing w:line="300" w:lineRule="atLeast"/>
            <w:ind w:left="0" w:firstLine="0"/>
            <w:jc w:val="both"/>
            <w:rPr>
              <w:rFonts w:asciiTheme="majorHAnsi" w:hAnsiTheme="majorHAnsi" w:cs="Times New Roman"/>
              <w:szCs w:val="22"/>
            </w:rPr>
          </w:pPr>
        </w:p>
        <w:p>
          <w:pPr>
            <w:pStyle w:val="Titre4"/>
          </w:pPr>
          <w:r>
            <w:t>4.4. Comment ?</w:t>
          </w:r>
        </w:p>
        <w:p>
          <w:pPr>
            <w:spacing w:line="300" w:lineRule="atLeast"/>
            <w:jc w:val="both"/>
          </w:pPr>
        </w:p>
        <w:p>
          <w:pPr>
            <w:spacing w:line="300" w:lineRule="atLeast"/>
            <w:jc w:val="both"/>
          </w:pPr>
          <w:r>
            <w:t xml:space="preserve">Les déclarations simplifiées sont transmises via le formulaire électronique suivant : </w:t>
          </w:r>
          <w:hyperlink r:id="rId251" w:history="1">
            <w:r>
              <w:rPr>
                <w:rStyle w:val="Lienhypertexte"/>
              </w:rPr>
              <w:t>www.formulaire.cfwb.be/?declarationspn</w:t>
            </w:r>
          </w:hyperlink>
          <w:r>
            <w:rPr>
              <w:rStyle w:val="Lienhypertexte"/>
            </w:rPr>
            <w:t>.</w:t>
          </w:r>
        </w:p>
        <w:p>
          <w:pPr>
            <w:spacing w:line="300" w:lineRule="atLeast"/>
            <w:jc w:val="both"/>
          </w:pPr>
        </w:p>
        <w:p>
          <w:pPr>
            <w:spacing w:line="300" w:lineRule="atLeast"/>
            <w:jc w:val="both"/>
          </w:pPr>
          <w:r>
            <w:t xml:space="preserve">Les demandes de dérogation sont transmises par </w:t>
          </w:r>
          <w:r>
            <w:rPr>
              <w:b/>
            </w:rPr>
            <w:t>courriel</w:t>
          </w:r>
          <w:r>
            <w:t xml:space="preserve"> à </w:t>
          </w:r>
          <w:hyperlink r:id="rId252" w:history="1">
            <w:r>
              <w:rPr>
                <w:rStyle w:val="Lienhypertexte"/>
              </w:rPr>
              <w:t>derogation.spn@cfwb.be</w:t>
            </w:r>
          </w:hyperlink>
          <w:r>
            <w:t xml:space="preserve">. </w:t>
          </w:r>
        </w:p>
        <w:p>
          <w:pPr>
            <w:spacing w:line="300" w:lineRule="atLeast"/>
            <w:jc w:val="both"/>
          </w:pPr>
        </w:p>
        <w:p>
          <w:pPr>
            <w:spacing w:line="300" w:lineRule="atLeast"/>
            <w:jc w:val="both"/>
          </w:pPr>
          <w:r>
            <w:t>Les dérogations sont octroyées ou refusées par la Directrice générale de l’Enseignement obligatoire ou son (sa) délégué(e).</w:t>
          </w:r>
        </w:p>
        <w:p>
          <w:pPr>
            <w:spacing w:line="300" w:lineRule="atLeast"/>
            <w:jc w:val="both"/>
          </w:pPr>
        </w:p>
        <w:p>
          <w:pPr>
            <w:pStyle w:val="Titre4"/>
          </w:pPr>
          <w:r>
            <w:t>4.5. Modifications dans la déclaration ou dans la demande de dérogation</w:t>
          </w:r>
        </w:p>
        <w:p>
          <w:pPr>
            <w:spacing w:line="300" w:lineRule="atLeast"/>
            <w:jc w:val="both"/>
          </w:pPr>
          <w:r>
            <w:t xml:space="preserve"> </w:t>
          </w:r>
        </w:p>
        <w:p>
          <w:pPr>
            <w:spacing w:line="300" w:lineRule="atLeast"/>
            <w:jc w:val="both"/>
          </w:pPr>
          <w:r>
            <w:t xml:space="preserve">Si un évènement intervient, venant à modifier la déclaration simplifiée et/ou la demande de dérogation, le chef d’établissement est tenu d’en informer la Direction générale de l’Enseignement obligatoire. </w:t>
          </w:r>
        </w:p>
        <w:p>
          <w:pPr>
            <w:spacing w:line="300" w:lineRule="atLeast"/>
          </w:pPr>
        </w:p>
        <w:p>
          <w:pPr>
            <w:pStyle w:val="Titre3"/>
          </w:pPr>
          <w:bookmarkStart w:id="3536" w:name="_Toc18914540"/>
          <w:r>
            <w:t>5. Dispositions diverses</w:t>
          </w:r>
          <w:bookmarkEnd w:id="3536"/>
        </w:p>
        <w:p>
          <w:pPr>
            <w:pStyle w:val="En-tte"/>
            <w:spacing w:line="300" w:lineRule="atLeast"/>
            <w:rPr>
              <w:rFonts w:asciiTheme="majorHAnsi" w:hAnsiTheme="majorHAnsi"/>
              <w:szCs w:val="22"/>
              <w:u w:val="single"/>
            </w:rPr>
          </w:pPr>
        </w:p>
        <w:p>
          <w:pPr>
            <w:pStyle w:val="Titre4"/>
          </w:pPr>
          <w:r>
            <w:t>5.1. Séjours en dehors de la Belgique</w:t>
          </w:r>
        </w:p>
        <w:p>
          <w:pPr>
            <w:pStyle w:val="En-tte"/>
            <w:spacing w:line="300" w:lineRule="atLeast"/>
            <w:rPr>
              <w:rFonts w:asciiTheme="majorHAnsi" w:hAnsiTheme="majorHAnsi"/>
              <w:szCs w:val="22"/>
            </w:rPr>
          </w:pPr>
        </w:p>
        <w:p>
          <w:pPr>
            <w:pStyle w:val="En-tte"/>
            <w:spacing w:line="300" w:lineRule="atLeast"/>
            <w:rPr>
              <w:rFonts w:asciiTheme="majorHAnsi" w:hAnsiTheme="majorHAnsi"/>
              <w:szCs w:val="22"/>
            </w:rPr>
          </w:pPr>
          <w:r>
            <w:rPr>
              <w:rFonts w:asciiTheme="majorHAnsi" w:hAnsiTheme="majorHAnsi"/>
              <w:szCs w:val="22"/>
            </w:rPr>
            <w:t xml:space="preserve">Les coordonnées de tous les postes diplomatiques belges (ambassades, consulats généraux et consulats honoraires) sont disponibles sur le site </w:t>
          </w:r>
          <w:hyperlink r:id="rId253" w:history="1">
            <w:r>
              <w:rPr>
                <w:rStyle w:val="Lienhypertexte"/>
                <w:rFonts w:asciiTheme="majorHAnsi" w:hAnsiTheme="majorHAnsi"/>
                <w:color w:val="auto"/>
                <w:szCs w:val="22"/>
                <w:u w:val="none"/>
              </w:rPr>
              <w:t>www.diplomatie.belgium.be</w:t>
            </w:r>
          </w:hyperlink>
          <w:r>
            <w:rPr>
              <w:rFonts w:asciiTheme="majorHAnsi" w:hAnsiTheme="majorHAnsi"/>
              <w:szCs w:val="22"/>
            </w:rPr>
            <w:t xml:space="preserve">. </w:t>
          </w:r>
        </w:p>
        <w:p>
          <w:pPr>
            <w:pStyle w:val="En-tte"/>
            <w:spacing w:line="300" w:lineRule="atLeast"/>
            <w:rPr>
              <w:rFonts w:asciiTheme="majorHAnsi" w:hAnsiTheme="majorHAnsi"/>
              <w:szCs w:val="22"/>
            </w:rPr>
          </w:pPr>
        </w:p>
        <w:p>
          <w:pPr>
            <w:pStyle w:val="En-tte"/>
            <w:spacing w:line="300" w:lineRule="atLeast"/>
            <w:jc w:val="both"/>
            <w:rPr>
              <w:rFonts w:asciiTheme="majorHAnsi" w:hAnsiTheme="majorHAnsi"/>
              <w:szCs w:val="22"/>
            </w:rPr>
          </w:pPr>
          <w:r>
            <w:rPr>
              <w:rFonts w:asciiTheme="majorHAnsi" w:hAnsiTheme="majorHAnsi"/>
              <w:szCs w:val="22"/>
            </w:rPr>
            <w:t>Il est impératif que lors de tout voyage scolaire, les responsables du groupe aient en leur possession ces coordonnées afin de pouvoir contacter nos consuls en cas de nécessité.</w:t>
          </w:r>
        </w:p>
        <w:p>
          <w:pPr>
            <w:pStyle w:val="En-tte"/>
            <w:spacing w:line="300" w:lineRule="atLeast"/>
            <w:jc w:val="both"/>
            <w:rPr>
              <w:rFonts w:asciiTheme="majorHAnsi" w:hAnsiTheme="majorHAnsi"/>
              <w:szCs w:val="22"/>
            </w:rPr>
          </w:pPr>
        </w:p>
        <w:p>
          <w:pPr>
            <w:pStyle w:val="En-tte"/>
            <w:spacing w:line="300" w:lineRule="atLeast"/>
            <w:jc w:val="both"/>
            <w:rPr>
              <w:rFonts w:asciiTheme="majorHAnsi" w:hAnsiTheme="majorHAnsi"/>
              <w:szCs w:val="22"/>
            </w:rPr>
          </w:pPr>
          <w:r>
            <w:rPr>
              <w:rFonts w:asciiTheme="majorHAnsi" w:hAnsiTheme="majorHAnsi"/>
              <w:szCs w:val="22"/>
            </w:rPr>
            <w:t>Il est indispensable, en cas de problème, de les contacter.</w:t>
          </w:r>
        </w:p>
        <w:p>
          <w:pPr>
            <w:pStyle w:val="En-tte"/>
            <w:spacing w:line="300" w:lineRule="atLeast"/>
            <w:jc w:val="both"/>
            <w:rPr>
              <w:rFonts w:asciiTheme="majorHAnsi" w:hAnsiTheme="majorHAnsi"/>
              <w:szCs w:val="22"/>
            </w:rPr>
          </w:pPr>
        </w:p>
        <w:p>
          <w:pPr>
            <w:pStyle w:val="En-tte"/>
            <w:spacing w:line="300" w:lineRule="atLeast"/>
            <w:jc w:val="both"/>
            <w:rPr>
              <w:rFonts w:asciiTheme="majorHAnsi" w:hAnsiTheme="majorHAnsi"/>
              <w:szCs w:val="22"/>
            </w:rPr>
          </w:pPr>
          <w:r>
            <w:rPr>
              <w:rFonts w:asciiTheme="majorHAnsi" w:hAnsiTheme="majorHAnsi"/>
              <w:szCs w:val="22"/>
            </w:rPr>
            <w:t xml:space="preserve">De plus, le service « Assistance aux belges » peut être contacté jour et nuit au +32.2/501.81.11 ou à l’adresse mail </w:t>
          </w:r>
          <w:hyperlink r:id="rId254" w:history="1">
            <w:r>
              <w:rPr>
                <w:rStyle w:val="Lienhypertexte"/>
                <w:rFonts w:asciiTheme="majorHAnsi" w:eastAsiaTheme="minorHAnsi" w:hAnsiTheme="majorHAnsi"/>
                <w:szCs w:val="22"/>
                <w:lang w:eastAsia="en-US"/>
              </w:rPr>
              <w:t>c1mail@diplobel.fed.be</w:t>
            </w:r>
          </w:hyperlink>
          <w:r>
            <w:rPr>
              <w:rFonts w:asciiTheme="majorHAnsi" w:hAnsiTheme="majorHAnsi"/>
              <w:szCs w:val="22"/>
            </w:rPr>
            <w:t xml:space="preserve">. </w:t>
          </w:r>
        </w:p>
        <w:p>
          <w:pPr>
            <w:pStyle w:val="En-tte"/>
            <w:spacing w:line="300" w:lineRule="atLeast"/>
            <w:jc w:val="both"/>
            <w:rPr>
              <w:rFonts w:asciiTheme="majorHAnsi" w:hAnsiTheme="majorHAnsi"/>
              <w:szCs w:val="22"/>
            </w:rPr>
          </w:pPr>
        </w:p>
        <w:p>
          <w:pPr>
            <w:pStyle w:val="Titre4"/>
          </w:pPr>
          <w:r>
            <w:t>5.2. Assurances</w:t>
          </w:r>
        </w:p>
        <w:p>
          <w:pPr>
            <w:spacing w:line="300" w:lineRule="atLeast"/>
            <w:jc w:val="both"/>
          </w:pPr>
        </w:p>
        <w:p>
          <w:pPr>
            <w:pStyle w:val="Retraitcorpsdetexte3"/>
            <w:spacing w:line="300" w:lineRule="atLeast"/>
            <w:ind w:left="0"/>
            <w:jc w:val="both"/>
            <w:rPr>
              <w:rFonts w:asciiTheme="majorHAnsi" w:hAnsiTheme="majorHAnsi" w:cs="Times New Roman"/>
              <w:b/>
              <w:sz w:val="22"/>
              <w:szCs w:val="22"/>
              <w:u w:val="single"/>
            </w:rPr>
          </w:pPr>
          <w:r>
            <w:rPr>
              <w:rFonts w:asciiTheme="majorHAnsi" w:hAnsiTheme="majorHAnsi" w:cs="Times New Roman"/>
              <w:b/>
              <w:sz w:val="22"/>
              <w:szCs w:val="22"/>
              <w:u w:val="single"/>
            </w:rPr>
            <w:t xml:space="preserve">Il incombe au chef d’établissement ou Pouvoir organisateur de prendre les précautions indispensables en matière d’assurance. </w:t>
          </w:r>
        </w:p>
        <w:p>
          <w:pPr>
            <w:spacing w:line="300" w:lineRule="atLeast"/>
            <w:jc w:val="both"/>
          </w:pPr>
        </w:p>
        <w:p>
          <w:pPr>
            <w:spacing w:line="300" w:lineRule="atLeast"/>
            <w:jc w:val="both"/>
          </w:pPr>
          <w:r>
            <w:t xml:space="preserve">Concernant les accidents des membres du personnel, il est possible de s’adresser à la Direction des Accidents du Travail du Personnel de l’Enseignement par courriel : </w:t>
          </w:r>
          <w:hyperlink r:id="rId255" w:history="1">
            <w:r>
              <w:rPr>
                <w:rStyle w:val="Lienhypertexte"/>
              </w:rPr>
              <w:t>accidents.travail.enseignement@cfwb.be</w:t>
            </w:r>
          </w:hyperlink>
          <w:r>
            <w:t>.</w:t>
          </w:r>
        </w:p>
        <w:p>
          <w:pPr>
            <w:spacing w:line="300" w:lineRule="atLeast"/>
            <w:jc w:val="both"/>
          </w:pPr>
        </w:p>
        <w:p>
          <w:pPr>
            <w:spacing w:line="300" w:lineRule="atLeast"/>
            <w:jc w:val="both"/>
          </w:pPr>
          <w:r>
            <w:t xml:space="preserve">Pour toute question relative à l’assurance du réseau Wallonie-Bruxelles Enseignement, il est possible de s’adresser au Centre d’expertise juridique du Ministère de la Fédération Wallonie-Bruxelles, par courriel à l’adresse suivante : </w:t>
          </w:r>
          <w:hyperlink r:id="rId256" w:history="1">
            <w:r>
              <w:rPr>
                <w:rStyle w:val="Lienhypertexte"/>
              </w:rPr>
              <w:t>cej_juridique@cfwb.be</w:t>
            </w:r>
          </w:hyperlink>
          <w:r>
            <w:t>.</w:t>
          </w:r>
        </w:p>
        <w:p>
          <w:pPr>
            <w:spacing w:line="300" w:lineRule="atLeast"/>
            <w:jc w:val="both"/>
          </w:pPr>
        </w:p>
        <w:p>
          <w:pPr>
            <w:pStyle w:val="Titre4"/>
          </w:pPr>
          <w:r>
            <w:t>5.3. Dispositions pour les enfants accompagnés d’adultes autres que leurs parents</w:t>
          </w:r>
        </w:p>
        <w:p>
          <w:pPr>
            <w:spacing w:line="300" w:lineRule="atLeast"/>
            <w:jc w:val="both"/>
          </w:pPr>
        </w:p>
        <w:p>
          <w:pPr>
            <w:spacing w:line="300" w:lineRule="atLeast"/>
            <w:jc w:val="both"/>
          </w:pPr>
          <w:r>
            <w:t>Il n'existe pas de formulaires ni de procédures belges ou internationales qui fixent les règles en matière d'autorisation parentale pour le voyage de mineurs. Cependant, toute participation aux activités doit être soumise à l’accord parental.</w:t>
          </w:r>
        </w:p>
        <w:p>
          <w:pPr>
            <w:spacing w:line="300" w:lineRule="atLeast"/>
            <w:jc w:val="both"/>
          </w:pPr>
        </w:p>
        <w:p>
          <w:pPr>
            <w:spacing w:line="300" w:lineRule="atLeast"/>
            <w:jc w:val="both"/>
          </w:pPr>
          <w:r>
            <w:t>Pour tout séjour à l’étranger, une pièce d’identité (carte d’identité ou Kids-ID pour les enfants de moins de 12 ans ou passeport) par élève est nécessaire.</w:t>
          </w:r>
        </w:p>
        <w:p>
          <w:pPr>
            <w:spacing w:line="300" w:lineRule="atLeast"/>
            <w:jc w:val="both"/>
          </w:pPr>
        </w:p>
        <w:p>
          <w:pPr>
            <w:spacing w:line="300" w:lineRule="atLeast"/>
            <w:jc w:val="both"/>
          </w:pPr>
          <w:r>
            <w:t>Afin d’éviter tout problème, il conviendra, lors de chaque voyage, de s’informer auprès de l’Ambassade ou du Consulat du pays de destination pour ce qui concerne les documents indispensables au voyage.</w:t>
          </w:r>
        </w:p>
        <w:p>
          <w:pPr>
            <w:spacing w:line="300" w:lineRule="atLeast"/>
            <w:jc w:val="both"/>
          </w:pPr>
        </w:p>
        <w:p>
          <w:pPr>
            <w:rPr>
              <w:color w:val="00B050"/>
            </w:rPr>
          </w:pPr>
          <w:r>
            <w:rPr>
              <w:color w:val="00B050"/>
            </w:rPr>
            <w:br w:type="page"/>
          </w:r>
        </w:p>
        <w:p>
          <w:pPr>
            <w:jc w:val="both"/>
            <w:rPr>
              <w:color w:val="00B050"/>
            </w:rPr>
          </w:pPr>
        </w:p>
        <w:p>
          <w:pPr>
            <w:pStyle w:val="Titre3"/>
          </w:pPr>
          <w:bookmarkStart w:id="3537" w:name="_Toc18914541"/>
          <w:r>
            <w:t>6. Synthèse</w:t>
          </w:r>
          <w:bookmarkEnd w:id="3537"/>
        </w:p>
        <w:p>
          <w:pPr>
            <w:pStyle w:val="En-tte"/>
            <w:tabs>
              <w:tab w:val="clear" w:pos="4536"/>
              <w:tab w:val="clear" w:pos="9072"/>
            </w:tabs>
            <w:spacing w:line="300" w:lineRule="atLeast"/>
            <w:jc w:val="both"/>
            <w:rPr>
              <w:rFonts w:asciiTheme="majorHAnsi" w:hAnsiTheme="majorHAnsi" w:cs="Calibri"/>
              <w:szCs w:val="22"/>
            </w:rPr>
          </w:pPr>
        </w:p>
        <w:p>
          <w:pPr>
            <w:pStyle w:val="En-tte"/>
            <w:tabs>
              <w:tab w:val="clear" w:pos="4536"/>
              <w:tab w:val="clear" w:pos="9072"/>
            </w:tabs>
            <w:spacing w:line="300" w:lineRule="atLeast"/>
            <w:jc w:val="both"/>
            <w:rPr>
              <w:rFonts w:asciiTheme="majorHAnsi" w:hAnsiTheme="majorHAnsi" w:cs="Calibri"/>
              <w:b/>
              <w:szCs w:val="22"/>
            </w:rPr>
          </w:pPr>
          <w:r>
            <w:rPr>
              <w:rFonts w:asciiTheme="majorHAnsi" w:hAnsiTheme="majorHAnsi" w:cs="Calibri"/>
              <w:b/>
              <w:i/>
              <w:szCs w:val="22"/>
              <w:u w:val="single"/>
            </w:rPr>
            <w:t>Cas de figure n°1</w:t>
          </w:r>
          <w:r>
            <w:rPr>
              <w:rFonts w:asciiTheme="majorHAnsi" w:hAnsiTheme="majorHAnsi" w:cs="Calibri"/>
              <w:b/>
              <w:i/>
              <w:szCs w:val="22"/>
            </w:rPr>
            <w:t xml:space="preserve"> :</w:t>
          </w:r>
          <w:r>
            <w:rPr>
              <w:rFonts w:asciiTheme="majorHAnsi" w:hAnsiTheme="majorHAnsi" w:cs="Calibri"/>
              <w:b/>
              <w:szCs w:val="22"/>
            </w:rPr>
            <w:t xml:space="preserve"> dossier ne nécessitant pas de dérogation (toutes les conditions sont remplies).</w:t>
          </w:r>
        </w:p>
        <w:p>
          <w:pPr>
            <w:pStyle w:val="En-tte"/>
            <w:tabs>
              <w:tab w:val="clear" w:pos="4536"/>
              <w:tab w:val="clear" w:pos="9072"/>
            </w:tabs>
            <w:spacing w:line="300" w:lineRule="atLeast"/>
            <w:jc w:val="both"/>
            <w:rPr>
              <w:rFonts w:asciiTheme="majorHAnsi" w:hAnsiTheme="majorHAnsi" w:cs="Calibri"/>
              <w:szCs w:val="22"/>
            </w:rPr>
          </w:pPr>
        </w:p>
        <w:p>
          <w:pPr>
            <w:spacing w:line="300" w:lineRule="atLeast"/>
            <w:jc w:val="both"/>
          </w:pPr>
          <w:r>
            <w:rPr>
              <w:rFonts w:cs="Calibri"/>
            </w:rPr>
            <w:t xml:space="preserve">1. Remplir la déclaration simplifiée via le formulaire électronique suivant : </w:t>
          </w:r>
          <w:hyperlink r:id="rId257" w:history="1">
            <w:r>
              <w:rPr>
                <w:rStyle w:val="Lienhypertexte"/>
              </w:rPr>
              <w:t>www.formulaire.cfwb.be/?declarationspn</w:t>
            </w:r>
          </w:hyperlink>
          <w:r>
            <w:rPr>
              <w:rStyle w:val="Lienhypertexte"/>
              <w:rFonts w:cs="Calibri"/>
              <w:color w:val="auto"/>
              <w:u w:val="none"/>
            </w:rPr>
            <w:t>.</w:t>
          </w:r>
        </w:p>
        <w:p>
          <w:pPr>
            <w:pStyle w:val="En-tte"/>
            <w:tabs>
              <w:tab w:val="clear" w:pos="4536"/>
              <w:tab w:val="clear" w:pos="9072"/>
            </w:tabs>
            <w:spacing w:line="300" w:lineRule="atLeast"/>
            <w:jc w:val="both"/>
            <w:rPr>
              <w:rFonts w:asciiTheme="majorHAnsi" w:hAnsiTheme="majorHAnsi" w:cs="Calibri"/>
              <w:szCs w:val="22"/>
            </w:rPr>
          </w:pPr>
        </w:p>
        <w:p>
          <w:pPr>
            <w:pStyle w:val="En-tte"/>
            <w:numPr>
              <w:ilvl w:val="0"/>
              <w:numId w:val="214"/>
            </w:numPr>
            <w:tabs>
              <w:tab w:val="clear" w:pos="4536"/>
              <w:tab w:val="clear" w:pos="9072"/>
            </w:tabs>
            <w:suppressAutoHyphens w:val="0"/>
            <w:spacing w:line="300" w:lineRule="atLeast"/>
            <w:jc w:val="both"/>
            <w:rPr>
              <w:rFonts w:asciiTheme="majorHAnsi" w:hAnsiTheme="majorHAnsi" w:cs="Calibri"/>
              <w:b/>
              <w:szCs w:val="22"/>
            </w:rPr>
          </w:pPr>
          <w:r>
            <w:rPr>
              <w:rFonts w:asciiTheme="majorHAnsi" w:hAnsiTheme="majorHAnsi" w:cs="Calibri"/>
              <w:b/>
              <w:szCs w:val="22"/>
            </w:rPr>
            <w:t>Accusé de réception délivré par la Direction générale de l’Enseignement obligatoire= AUTORISATION automatique.</w:t>
          </w:r>
        </w:p>
        <w:p>
          <w:pPr>
            <w:pStyle w:val="En-tte"/>
            <w:tabs>
              <w:tab w:val="clear" w:pos="4536"/>
              <w:tab w:val="clear" w:pos="9072"/>
            </w:tabs>
            <w:spacing w:line="300" w:lineRule="atLeast"/>
            <w:jc w:val="both"/>
            <w:rPr>
              <w:rFonts w:asciiTheme="majorHAnsi" w:hAnsiTheme="majorHAnsi" w:cs="Calibri"/>
              <w:szCs w:val="22"/>
            </w:rPr>
          </w:pPr>
        </w:p>
        <w:p>
          <w:pPr>
            <w:pStyle w:val="En-tte"/>
            <w:tabs>
              <w:tab w:val="clear" w:pos="4536"/>
              <w:tab w:val="clear" w:pos="9072"/>
            </w:tabs>
            <w:spacing w:line="300" w:lineRule="atLeast"/>
            <w:jc w:val="both"/>
            <w:rPr>
              <w:rFonts w:asciiTheme="majorHAnsi" w:hAnsiTheme="majorHAnsi" w:cs="Calibri"/>
              <w:szCs w:val="22"/>
            </w:rPr>
          </w:pPr>
        </w:p>
        <w:p>
          <w:pPr>
            <w:pStyle w:val="En-tte"/>
            <w:tabs>
              <w:tab w:val="clear" w:pos="4536"/>
              <w:tab w:val="clear" w:pos="9072"/>
            </w:tabs>
            <w:spacing w:line="300" w:lineRule="atLeast"/>
            <w:jc w:val="both"/>
            <w:rPr>
              <w:rFonts w:asciiTheme="majorHAnsi" w:hAnsiTheme="majorHAnsi" w:cs="Calibri"/>
              <w:b/>
              <w:szCs w:val="22"/>
            </w:rPr>
          </w:pPr>
          <w:r>
            <w:rPr>
              <w:rFonts w:asciiTheme="majorHAnsi" w:hAnsiTheme="majorHAnsi" w:cs="Calibri"/>
              <w:b/>
              <w:i/>
              <w:szCs w:val="22"/>
              <w:u w:val="single"/>
            </w:rPr>
            <w:t>Cas de figure n°2</w:t>
          </w:r>
          <w:r>
            <w:rPr>
              <w:rFonts w:asciiTheme="majorHAnsi" w:hAnsiTheme="majorHAnsi" w:cs="Calibri"/>
              <w:b/>
              <w:i/>
              <w:szCs w:val="22"/>
            </w:rPr>
            <w:t> :</w:t>
          </w:r>
          <w:r>
            <w:rPr>
              <w:rFonts w:asciiTheme="majorHAnsi" w:hAnsiTheme="majorHAnsi" w:cs="Calibri"/>
              <w:b/>
              <w:szCs w:val="22"/>
            </w:rPr>
            <w:t xml:space="preserve"> dossier nécessitant une (ou des) dérogation(s).</w:t>
          </w:r>
        </w:p>
        <w:p>
          <w:pPr>
            <w:pStyle w:val="En-tte"/>
            <w:tabs>
              <w:tab w:val="clear" w:pos="4536"/>
              <w:tab w:val="clear" w:pos="9072"/>
              <w:tab w:val="left" w:pos="1526"/>
            </w:tabs>
            <w:spacing w:line="300" w:lineRule="atLeast"/>
            <w:jc w:val="both"/>
            <w:rPr>
              <w:rFonts w:asciiTheme="majorHAnsi" w:hAnsiTheme="majorHAnsi" w:cs="Calibri"/>
              <w:szCs w:val="22"/>
            </w:rPr>
          </w:pPr>
          <w:r>
            <w:rPr>
              <w:rFonts w:asciiTheme="majorHAnsi" w:hAnsiTheme="majorHAnsi" w:cs="Calibri"/>
              <w:szCs w:val="22"/>
            </w:rPr>
            <w:tab/>
          </w:r>
        </w:p>
        <w:p>
          <w:pPr>
            <w:pStyle w:val="En-tte"/>
            <w:tabs>
              <w:tab w:val="clear" w:pos="4536"/>
              <w:tab w:val="clear" w:pos="9072"/>
            </w:tabs>
            <w:spacing w:line="300" w:lineRule="atLeast"/>
            <w:jc w:val="both"/>
            <w:rPr>
              <w:rFonts w:asciiTheme="majorHAnsi" w:hAnsiTheme="majorHAnsi" w:cs="Calibri"/>
              <w:szCs w:val="22"/>
            </w:rPr>
          </w:pPr>
          <w:r>
            <w:rPr>
              <w:rFonts w:asciiTheme="majorHAnsi" w:hAnsiTheme="majorHAnsi" w:cs="Calibri"/>
              <w:szCs w:val="22"/>
            </w:rPr>
            <w:t>1. Compléter la demande de dérogation(s) (Annexes I, II, III, IV).</w:t>
          </w:r>
        </w:p>
        <w:p>
          <w:pPr>
            <w:pStyle w:val="En-tte"/>
            <w:tabs>
              <w:tab w:val="clear" w:pos="4536"/>
              <w:tab w:val="clear" w:pos="9072"/>
            </w:tabs>
            <w:spacing w:line="300" w:lineRule="atLeast"/>
            <w:jc w:val="both"/>
            <w:rPr>
              <w:rFonts w:asciiTheme="majorHAnsi" w:hAnsiTheme="majorHAnsi" w:cs="Calibri"/>
              <w:szCs w:val="22"/>
            </w:rPr>
          </w:pPr>
        </w:p>
        <w:p>
          <w:pPr>
            <w:pStyle w:val="En-tte"/>
            <w:tabs>
              <w:tab w:val="clear" w:pos="4536"/>
              <w:tab w:val="clear" w:pos="9072"/>
            </w:tabs>
            <w:spacing w:line="300" w:lineRule="atLeast"/>
            <w:jc w:val="both"/>
            <w:rPr>
              <w:rFonts w:asciiTheme="majorHAnsi" w:hAnsiTheme="majorHAnsi" w:cs="Calibri"/>
              <w:szCs w:val="22"/>
            </w:rPr>
          </w:pPr>
          <w:r>
            <w:rPr>
              <w:rFonts w:asciiTheme="majorHAnsi" w:hAnsiTheme="majorHAnsi" w:cs="Calibri"/>
              <w:szCs w:val="22"/>
            </w:rPr>
            <w:t>2. Via l’adresse mail administrative de l’établissement, envoyer le dossier, à </w:t>
          </w:r>
          <w:hyperlink r:id="rId258" w:history="1">
            <w:r>
              <w:rPr>
                <w:rStyle w:val="Lienhypertexte"/>
                <w:rFonts w:asciiTheme="majorHAnsi" w:eastAsiaTheme="minorHAnsi" w:hAnsiTheme="majorHAnsi"/>
                <w:szCs w:val="22"/>
                <w:lang w:eastAsia="en-US"/>
              </w:rPr>
              <w:t>derogation.spn@cfwb.be</w:t>
            </w:r>
          </w:hyperlink>
          <w:r>
            <w:rPr>
              <w:rStyle w:val="Lienhypertexte"/>
              <w:rFonts w:asciiTheme="majorHAnsi" w:hAnsiTheme="majorHAnsi" w:cs="Calibri"/>
              <w:color w:val="auto"/>
              <w:szCs w:val="22"/>
              <w:u w:val="none"/>
            </w:rPr>
            <w:t xml:space="preserve">.   </w:t>
          </w:r>
          <w:r>
            <w:rPr>
              <w:rFonts w:asciiTheme="majorHAnsi" w:hAnsiTheme="majorHAnsi" w:cs="Calibri"/>
              <w:szCs w:val="22"/>
            </w:rPr>
            <w:t xml:space="preserve"> </w:t>
          </w:r>
        </w:p>
        <w:p>
          <w:pPr>
            <w:pStyle w:val="En-tte"/>
            <w:tabs>
              <w:tab w:val="clear" w:pos="4536"/>
              <w:tab w:val="clear" w:pos="9072"/>
            </w:tabs>
            <w:spacing w:line="300" w:lineRule="atLeast"/>
            <w:jc w:val="both"/>
            <w:rPr>
              <w:rFonts w:asciiTheme="majorHAnsi" w:hAnsiTheme="majorHAnsi" w:cs="Calibri"/>
              <w:szCs w:val="22"/>
            </w:rPr>
          </w:pPr>
        </w:p>
        <w:p>
          <w:pPr>
            <w:pStyle w:val="En-tte"/>
            <w:numPr>
              <w:ilvl w:val="0"/>
              <w:numId w:val="214"/>
            </w:numPr>
            <w:tabs>
              <w:tab w:val="clear" w:pos="4536"/>
              <w:tab w:val="clear" w:pos="9072"/>
            </w:tabs>
            <w:suppressAutoHyphens w:val="0"/>
            <w:spacing w:line="300" w:lineRule="atLeast"/>
            <w:jc w:val="both"/>
            <w:rPr>
              <w:rFonts w:asciiTheme="majorHAnsi" w:hAnsiTheme="majorHAnsi" w:cs="Calibri"/>
              <w:b/>
              <w:szCs w:val="22"/>
            </w:rPr>
          </w:pPr>
          <w:r>
            <w:rPr>
              <w:rFonts w:asciiTheme="majorHAnsi" w:hAnsiTheme="majorHAnsi" w:cs="Calibri"/>
              <w:b/>
              <w:szCs w:val="22"/>
            </w:rPr>
            <w:t>Décision de la Direction générale de l’Enseignement obligatoire = octroi ou refus de l’autorisation de départ.</w:t>
          </w:r>
        </w:p>
        <w:p>
          <w:pPr>
            <w:pStyle w:val="En-tte"/>
            <w:tabs>
              <w:tab w:val="clear" w:pos="4536"/>
              <w:tab w:val="clear" w:pos="9072"/>
            </w:tabs>
            <w:spacing w:line="300" w:lineRule="atLeast"/>
            <w:ind w:left="720"/>
            <w:jc w:val="both"/>
            <w:rPr>
              <w:rFonts w:asciiTheme="majorHAnsi" w:hAnsiTheme="majorHAnsi" w:cs="Calibri"/>
              <w:b/>
              <w:szCs w:val="22"/>
            </w:rPr>
          </w:pPr>
        </w:p>
        <w:p>
          <w:pPr>
            <w:pStyle w:val="En-tte"/>
            <w:tabs>
              <w:tab w:val="clear" w:pos="4536"/>
              <w:tab w:val="clear" w:pos="9072"/>
            </w:tabs>
            <w:spacing w:line="300" w:lineRule="atLeast"/>
            <w:ind w:left="720"/>
            <w:jc w:val="both"/>
            <w:rPr>
              <w:rFonts w:asciiTheme="majorHAnsi" w:hAnsiTheme="majorHAnsi" w:cs="Calibri"/>
              <w:b/>
              <w:szCs w:val="22"/>
            </w:rPr>
          </w:pPr>
        </w:p>
        <w:p>
          <w:pPr>
            <w:pStyle w:val="En-tte"/>
            <w:tabs>
              <w:tab w:val="clear" w:pos="4536"/>
              <w:tab w:val="clear" w:pos="9072"/>
            </w:tabs>
            <w:spacing w:line="300" w:lineRule="atLeast"/>
            <w:jc w:val="both"/>
            <w:rPr>
              <w:rFonts w:asciiTheme="majorHAnsi" w:hAnsiTheme="majorHAnsi" w:cs="Calibri"/>
              <w:szCs w:val="22"/>
            </w:rPr>
          </w:pPr>
          <w:r>
            <w:rPr>
              <w:rFonts w:asciiTheme="majorHAnsi" w:hAnsiTheme="majorHAnsi" w:cs="Calibri"/>
              <w:szCs w:val="22"/>
              <w:u w:val="single"/>
            </w:rPr>
            <w:t>Rappel des différentes dérogations possibles</w:t>
          </w:r>
          <w:r>
            <w:rPr>
              <w:rFonts w:asciiTheme="majorHAnsi" w:hAnsiTheme="majorHAnsi" w:cs="Calibri"/>
              <w:szCs w:val="22"/>
            </w:rPr>
            <w:t> :</w:t>
          </w:r>
        </w:p>
        <w:p>
          <w:pPr>
            <w:pStyle w:val="En-tte"/>
            <w:tabs>
              <w:tab w:val="clear" w:pos="4536"/>
              <w:tab w:val="clear" w:pos="9072"/>
            </w:tabs>
            <w:spacing w:line="300" w:lineRule="atLeast"/>
            <w:jc w:val="both"/>
            <w:rPr>
              <w:rFonts w:asciiTheme="majorHAnsi" w:hAnsiTheme="majorHAnsi" w:cs="Calibri"/>
              <w:szCs w:val="22"/>
              <w:u w:val="single"/>
            </w:rPr>
          </w:pPr>
        </w:p>
        <w:p>
          <w:pPr>
            <w:pStyle w:val="En-tte"/>
            <w:numPr>
              <w:ilvl w:val="0"/>
              <w:numId w:val="215"/>
            </w:numPr>
            <w:tabs>
              <w:tab w:val="clear" w:pos="4536"/>
              <w:tab w:val="clear" w:pos="9072"/>
            </w:tabs>
            <w:suppressAutoHyphens w:val="0"/>
            <w:spacing w:line="300" w:lineRule="atLeast"/>
            <w:jc w:val="both"/>
            <w:rPr>
              <w:rFonts w:asciiTheme="majorHAnsi" w:hAnsiTheme="majorHAnsi" w:cs="Calibri"/>
              <w:szCs w:val="22"/>
            </w:rPr>
          </w:pPr>
          <w:r>
            <w:rPr>
              <w:rFonts w:asciiTheme="majorHAnsi" w:hAnsiTheme="majorHAnsi" w:cs="Calibri"/>
              <w:b/>
              <w:szCs w:val="22"/>
            </w:rPr>
            <w:t>Dérogation pour le délai d’introduction du dossier :</w:t>
          </w:r>
          <w:r>
            <w:rPr>
              <w:rFonts w:asciiTheme="majorHAnsi" w:hAnsiTheme="majorHAnsi"/>
              <w:szCs w:val="22"/>
            </w:rPr>
            <w:t xml:space="preserve"> </w:t>
          </w:r>
          <w:r>
            <w:rPr>
              <w:rFonts w:asciiTheme="majorHAnsi" w:hAnsiTheme="majorHAnsi" w:cs="Calibri"/>
              <w:szCs w:val="22"/>
            </w:rPr>
            <w:t>tous les niveaux.</w:t>
          </w:r>
        </w:p>
        <w:p>
          <w:pPr>
            <w:pStyle w:val="En-tte"/>
            <w:tabs>
              <w:tab w:val="clear" w:pos="4536"/>
              <w:tab w:val="clear" w:pos="9072"/>
            </w:tabs>
            <w:spacing w:line="300" w:lineRule="atLeast"/>
            <w:ind w:left="720"/>
            <w:jc w:val="both"/>
            <w:rPr>
              <w:rFonts w:asciiTheme="majorHAnsi" w:hAnsiTheme="majorHAnsi" w:cs="Calibri"/>
              <w:szCs w:val="22"/>
            </w:rPr>
          </w:pPr>
        </w:p>
        <w:p>
          <w:pPr>
            <w:pStyle w:val="En-tte"/>
            <w:numPr>
              <w:ilvl w:val="0"/>
              <w:numId w:val="215"/>
            </w:numPr>
            <w:tabs>
              <w:tab w:val="clear" w:pos="4536"/>
              <w:tab w:val="clear" w:pos="9072"/>
            </w:tabs>
            <w:suppressAutoHyphens w:val="0"/>
            <w:spacing w:line="300" w:lineRule="atLeast"/>
            <w:jc w:val="both"/>
            <w:rPr>
              <w:rFonts w:asciiTheme="majorHAnsi" w:hAnsiTheme="majorHAnsi" w:cs="Calibri"/>
              <w:szCs w:val="22"/>
            </w:rPr>
          </w:pPr>
          <w:r>
            <w:rPr>
              <w:rFonts w:asciiTheme="majorHAnsi" w:hAnsiTheme="majorHAnsi" w:cs="Calibri"/>
              <w:b/>
              <w:szCs w:val="22"/>
            </w:rPr>
            <w:t>Dérogation pour le taux de participation</w:t>
          </w:r>
          <w:r>
            <w:rPr>
              <w:rFonts w:asciiTheme="majorHAnsi" w:hAnsiTheme="majorHAnsi" w:cs="Calibri"/>
              <w:szCs w:val="22"/>
            </w:rPr>
            <w:t> : tous les niveaux.</w:t>
          </w:r>
        </w:p>
        <w:p>
          <w:pPr>
            <w:pStyle w:val="En-tte"/>
            <w:tabs>
              <w:tab w:val="clear" w:pos="4536"/>
              <w:tab w:val="clear" w:pos="9072"/>
            </w:tabs>
            <w:spacing w:line="300" w:lineRule="atLeast"/>
            <w:jc w:val="both"/>
            <w:rPr>
              <w:rFonts w:asciiTheme="majorHAnsi" w:hAnsiTheme="majorHAnsi" w:cs="Calibri"/>
              <w:szCs w:val="22"/>
            </w:rPr>
          </w:pPr>
        </w:p>
        <w:p>
          <w:pPr>
            <w:pStyle w:val="En-tte"/>
            <w:numPr>
              <w:ilvl w:val="0"/>
              <w:numId w:val="215"/>
            </w:numPr>
            <w:tabs>
              <w:tab w:val="clear" w:pos="4536"/>
              <w:tab w:val="clear" w:pos="9072"/>
            </w:tabs>
            <w:suppressAutoHyphens w:val="0"/>
            <w:spacing w:line="300" w:lineRule="atLeast"/>
            <w:ind w:left="714" w:hanging="357"/>
            <w:jc w:val="both"/>
            <w:rPr>
              <w:rFonts w:asciiTheme="majorHAnsi" w:hAnsiTheme="majorHAnsi" w:cs="Calibri"/>
              <w:szCs w:val="22"/>
            </w:rPr>
          </w:pPr>
          <w:r>
            <w:rPr>
              <w:rFonts w:asciiTheme="majorHAnsi" w:hAnsiTheme="majorHAnsi" w:cs="Calibri"/>
              <w:b/>
              <w:szCs w:val="22"/>
            </w:rPr>
            <w:t>Dérogation à l’obligation pour l’un(e) des accompagnateur(trice)s d’être le (la) titulaire ou le (la) Directeur(trice) avec classe</w:t>
          </w:r>
          <w:r>
            <w:rPr>
              <w:rFonts w:asciiTheme="majorHAnsi" w:hAnsiTheme="majorHAnsi" w:cs="Calibri"/>
              <w:szCs w:val="22"/>
            </w:rPr>
            <w:t> : enseignement fondamental, ordinaire et spécialisé, uniquement.</w:t>
          </w:r>
        </w:p>
        <w:p>
          <w:pPr>
            <w:pStyle w:val="Paragraphedeliste"/>
            <w:jc w:val="both"/>
            <w:rPr>
              <w:rFonts w:asciiTheme="majorHAnsi" w:hAnsiTheme="majorHAnsi" w:cs="Calibri"/>
              <w:sz w:val="22"/>
              <w:szCs w:val="22"/>
            </w:rPr>
          </w:pPr>
        </w:p>
        <w:p>
          <w:pPr>
            <w:pStyle w:val="Paragraphedeliste"/>
            <w:numPr>
              <w:ilvl w:val="0"/>
              <w:numId w:val="215"/>
            </w:numPr>
            <w:suppressAutoHyphens w:val="0"/>
            <w:spacing w:line="300" w:lineRule="atLeast"/>
            <w:contextualSpacing/>
            <w:jc w:val="both"/>
            <w:rPr>
              <w:rFonts w:asciiTheme="majorHAnsi" w:hAnsiTheme="majorHAnsi"/>
              <w:sz w:val="22"/>
              <w:szCs w:val="22"/>
            </w:rPr>
          </w:pPr>
          <w:r>
            <w:rPr>
              <w:rFonts w:asciiTheme="majorHAnsi" w:hAnsiTheme="majorHAnsi"/>
              <w:b/>
              <w:sz w:val="22"/>
              <w:szCs w:val="22"/>
            </w:rPr>
            <w:t>Dérogation visant à permettre au chef d’établissement d’être comptabilisé au niveau de l’encadrement</w:t>
          </w:r>
          <w:r>
            <w:rPr>
              <w:rFonts w:asciiTheme="majorHAnsi" w:hAnsiTheme="majorHAnsi"/>
              <w:sz w:val="22"/>
              <w:szCs w:val="22"/>
            </w:rPr>
            <w:t> : tous les niveaux.</w:t>
          </w:r>
        </w:p>
        <w:p>
          <w:pPr>
            <w:pStyle w:val="En-tte"/>
            <w:tabs>
              <w:tab w:val="clear" w:pos="4536"/>
              <w:tab w:val="clear" w:pos="9072"/>
            </w:tabs>
            <w:spacing w:line="300" w:lineRule="atLeast"/>
            <w:jc w:val="both"/>
            <w:rPr>
              <w:rFonts w:ascii="Verdana" w:hAnsi="Verdana" w:cs="Calibri"/>
              <w:sz w:val="20"/>
            </w:rPr>
          </w:pPr>
        </w:p>
        <w:p>
          <w:pPr>
            <w:pStyle w:val="En-tte"/>
            <w:tabs>
              <w:tab w:val="clear" w:pos="4536"/>
              <w:tab w:val="clear" w:pos="9072"/>
            </w:tabs>
            <w:spacing w:line="300" w:lineRule="atLeast"/>
            <w:jc w:val="both"/>
            <w:rPr>
              <w:rFonts w:ascii="Verdana" w:hAnsi="Verdana" w:cs="Calibri"/>
              <w:sz w:val="20"/>
            </w:rPr>
          </w:pPr>
        </w:p>
        <w:p>
          <w:pPr>
            <w:pStyle w:val="Titre3"/>
          </w:pPr>
          <w:bookmarkStart w:id="3538" w:name="_Toc18914542"/>
          <w:r>
            <w:t>7. Annexes</w:t>
          </w:r>
          <w:bookmarkEnd w:id="3538"/>
        </w:p>
        <w:p>
          <w:pPr>
            <w:rPr>
              <w:rFonts w:ascii="Verdana" w:hAnsi="Verdana" w:cs="Calibri"/>
              <w:sz w:val="20"/>
              <w:szCs w:val="20"/>
            </w:rPr>
          </w:pPr>
        </w:p>
        <w:p>
          <w:pPr>
            <w:rPr>
              <w:rFonts w:ascii="Verdana" w:hAnsi="Verdana" w:cs="Calibri"/>
              <w:sz w:val="20"/>
              <w:szCs w:val="20"/>
            </w:rPr>
          </w:pPr>
          <w:r>
            <w:rPr>
              <w:rFonts w:ascii="Verdana" w:hAnsi="Verdana" w:cs="Calibri"/>
              <w:sz w:val="20"/>
              <w:szCs w:val="20"/>
            </w:rPr>
            <w:br w:type="page"/>
          </w:r>
        </w:p>
        <w:p>
          <w:pPr>
            <w:pStyle w:val="Titre4"/>
          </w:pPr>
          <w:r>
            <w:t>ANNEXE I</w:t>
          </w:r>
        </w:p>
        <w:p/>
        <w:p>
          <w:pPr>
            <w:pBdr>
              <w:top w:val="single" w:sz="4" w:space="1" w:color="auto"/>
              <w:left w:val="single" w:sz="4" w:space="4" w:color="auto"/>
              <w:bottom w:val="single" w:sz="4" w:space="1" w:color="auto"/>
              <w:right w:val="single" w:sz="4" w:space="4" w:color="auto"/>
            </w:pBdr>
            <w:jc w:val="center"/>
            <w:rPr>
              <w:rFonts w:ascii="Calibri" w:hAnsi="Calibri" w:cs="Calibri"/>
              <w:b/>
              <w:u w:val="single"/>
            </w:rPr>
          </w:pPr>
          <w:r>
            <w:rPr>
              <w:rFonts w:ascii="Calibri" w:hAnsi="Calibri" w:cs="Calibri"/>
              <w:b/>
              <w:u w:val="single"/>
            </w:rPr>
            <w:t>SEJOUR PEDAGOGIQUE AVEC NUITEE(S)</w:t>
          </w:r>
        </w:p>
        <w:p>
          <w:pPr>
            <w:pBdr>
              <w:top w:val="single" w:sz="4" w:space="1" w:color="auto"/>
              <w:left w:val="single" w:sz="4" w:space="4" w:color="auto"/>
              <w:bottom w:val="single" w:sz="4" w:space="1" w:color="auto"/>
              <w:right w:val="single" w:sz="4" w:space="4" w:color="auto"/>
            </w:pBdr>
            <w:jc w:val="center"/>
            <w:rPr>
              <w:rFonts w:ascii="Calibri" w:hAnsi="Calibri" w:cs="Calibri"/>
              <w:b/>
              <w:u w:val="single"/>
            </w:rPr>
          </w:pPr>
        </w:p>
        <w:p>
          <w:pPr>
            <w:rPr>
              <w:rFonts w:ascii="Calibri" w:hAnsi="Calibri" w:cs="Calibri"/>
            </w:rPr>
          </w:pPr>
        </w:p>
        <w:p>
          <w:pPr>
            <w:spacing w:line="280" w:lineRule="atLeast"/>
            <w:rPr>
              <w:rFonts w:ascii="Calibri" w:hAnsi="Calibri" w:cs="Calibri"/>
            </w:rPr>
          </w:pPr>
          <w:r>
            <w:rPr>
              <w:rFonts w:ascii="Calibri" w:hAnsi="Calibri" w:cs="Calibri"/>
            </w:rPr>
            <w:t>Etablissement demandeur :</w:t>
          </w:r>
        </w:p>
        <w:p>
          <w:pPr>
            <w:tabs>
              <w:tab w:val="left" w:pos="0"/>
              <w:tab w:val="right" w:leader="dot" w:pos="9072"/>
            </w:tabs>
            <w:spacing w:line="280" w:lineRule="atLeast"/>
            <w:rPr>
              <w:rFonts w:ascii="Calibri" w:hAnsi="Calibri" w:cs="Calibri"/>
            </w:rPr>
          </w:pPr>
          <w:r>
            <w:rPr>
              <w:rFonts w:ascii="Calibri" w:hAnsi="Calibri" w:cs="Calibri"/>
            </w:rPr>
            <w:t xml:space="preserve">N° Fase :                                </w:t>
          </w:r>
        </w:p>
        <w:p>
          <w:pPr>
            <w:tabs>
              <w:tab w:val="left" w:pos="0"/>
              <w:tab w:val="right" w:leader="dot" w:pos="9072"/>
            </w:tabs>
            <w:spacing w:line="280" w:lineRule="atLeast"/>
            <w:rPr>
              <w:rFonts w:ascii="Calibri" w:hAnsi="Calibri" w:cs="Calibri"/>
            </w:rPr>
          </w:pPr>
          <w:r>
            <w:rPr>
              <w:rFonts w:ascii="Calibri" w:hAnsi="Calibri" w:cs="Calibri"/>
            </w:rPr>
            <w:t>Adresse complète :</w:t>
          </w:r>
        </w:p>
        <w:p>
          <w:pPr>
            <w:tabs>
              <w:tab w:val="left" w:pos="0"/>
              <w:tab w:val="right" w:leader="dot" w:pos="9072"/>
            </w:tabs>
            <w:spacing w:line="280" w:lineRule="atLeast"/>
            <w:rPr>
              <w:rFonts w:ascii="Calibri" w:hAnsi="Calibri" w:cs="Calibri"/>
            </w:rPr>
          </w:pPr>
        </w:p>
        <w:p>
          <w:pPr>
            <w:tabs>
              <w:tab w:val="left" w:pos="0"/>
              <w:tab w:val="right" w:leader="dot" w:pos="9072"/>
            </w:tabs>
            <w:spacing w:line="280" w:lineRule="atLeast"/>
            <w:rPr>
              <w:rFonts w:ascii="Calibri" w:hAnsi="Calibri" w:cs="Calibri"/>
            </w:rPr>
          </w:pPr>
          <w:r>
            <w:rPr>
              <w:rFonts w:ascii="Calibri" w:hAnsi="Calibri" w:cs="Calibri"/>
            </w:rPr>
            <w:t xml:space="preserve">E-mail : </w:t>
          </w:r>
        </w:p>
        <w:p>
          <w:pPr>
            <w:tabs>
              <w:tab w:val="left" w:pos="0"/>
              <w:tab w:val="right" w:leader="dot" w:pos="5103"/>
              <w:tab w:val="right" w:leader="dot" w:pos="9072"/>
            </w:tabs>
            <w:spacing w:line="280" w:lineRule="atLeast"/>
            <w:rPr>
              <w:rFonts w:ascii="Calibri" w:hAnsi="Calibri" w:cs="Calibri"/>
            </w:rPr>
          </w:pPr>
        </w:p>
        <w:p>
          <w:pPr>
            <w:tabs>
              <w:tab w:val="left" w:pos="0"/>
              <w:tab w:val="right" w:leader="dot" w:pos="5103"/>
              <w:tab w:val="right" w:leader="dot" w:pos="9072"/>
            </w:tabs>
            <w:spacing w:line="280" w:lineRule="atLeast"/>
            <w:rPr>
              <w:rFonts w:ascii="Calibri" w:hAnsi="Calibri" w:cs="Calibri"/>
            </w:rPr>
          </w:pPr>
          <w:r>
            <w:rPr>
              <w:rFonts w:ascii="Calibri" w:hAnsi="Calibri" w:cs="Calibri"/>
            </w:rPr>
            <w:t xml:space="preserve">N° de téléphone :                                                                       </w:t>
          </w:r>
        </w:p>
        <w:p>
          <w:pPr>
            <w:tabs>
              <w:tab w:val="left" w:pos="0"/>
              <w:tab w:val="right" w:leader="dot" w:pos="5103"/>
              <w:tab w:val="right" w:leader="dot" w:pos="9072"/>
            </w:tabs>
            <w:rPr>
              <w:rFonts w:ascii="Calibri" w:hAnsi="Calibri" w:cs="Calibri"/>
              <w:sz w:val="16"/>
              <w:szCs w:val="16"/>
            </w:rPr>
          </w:pPr>
        </w:p>
        <w:p>
          <w:pPr>
            <w:pBdr>
              <w:top w:val="single" w:sz="4" w:space="1" w:color="auto"/>
              <w:left w:val="single" w:sz="4" w:space="4" w:color="auto"/>
              <w:bottom w:val="single" w:sz="4" w:space="1" w:color="auto"/>
              <w:right w:val="single" w:sz="4" w:space="4" w:color="auto"/>
            </w:pBdr>
            <w:tabs>
              <w:tab w:val="left" w:pos="0"/>
              <w:tab w:val="right" w:leader="dot" w:pos="5103"/>
              <w:tab w:val="right" w:leader="dot" w:pos="9072"/>
            </w:tabs>
            <w:spacing w:line="240" w:lineRule="atLeast"/>
            <w:rPr>
              <w:rFonts w:ascii="Calibri" w:hAnsi="Calibri" w:cs="Calibri"/>
            </w:rPr>
          </w:pPr>
          <w:r>
            <w:rPr>
              <w:rFonts w:ascii="Calibri" w:hAnsi="Calibri" w:cs="Calibri"/>
              <w:u w:val="single"/>
            </w:rPr>
            <w:t>Type et niveau d’enseignement</w:t>
          </w:r>
          <w:r>
            <w:rPr>
              <w:rFonts w:ascii="Calibri" w:hAnsi="Calibri" w:cs="Calibri"/>
            </w:rPr>
            <w:t> :</w:t>
          </w:r>
        </w:p>
        <w:p>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rPr>
          </w:pPr>
          <w:r>
            <w:rPr>
              <w:rFonts w:ascii="Calibri" w:hAnsi="Calibri" w:cs="Calibri"/>
            </w:rPr>
            <w:t xml:space="preserve">Année d’études ou phase : </w:t>
          </w:r>
        </w:p>
        <w:p>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rPr>
          </w:pPr>
          <w:r>
            <w:rPr>
              <w:rFonts w:ascii="Calibri" w:hAnsi="Calibri" w:cs="Calibri"/>
            </w:rPr>
            <w:t>Type, maturité</w:t>
          </w:r>
          <w:r>
            <w:rPr>
              <w:rFonts w:ascii="Calibri" w:hAnsi="Calibri" w:cs="Calibri"/>
              <w:color w:val="FF00FF"/>
            </w:rPr>
            <w:t xml:space="preserve"> </w:t>
          </w:r>
          <w:r>
            <w:rPr>
              <w:rFonts w:ascii="Calibri" w:hAnsi="Calibri" w:cs="Calibri"/>
            </w:rPr>
            <w:t>et forme (enseignement spécialisé) :</w:t>
          </w:r>
        </w:p>
        <w:p>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sz w:val="16"/>
              <w:szCs w:val="16"/>
            </w:rPr>
          </w:pPr>
        </w:p>
        <w:p>
          <w:pPr>
            <w:pBdr>
              <w:top w:val="single" w:sz="4" w:space="1" w:color="auto"/>
              <w:left w:val="single" w:sz="4" w:space="3" w:color="auto"/>
              <w:bottom w:val="single" w:sz="4" w:space="1" w:color="auto"/>
              <w:right w:val="single" w:sz="4" w:space="4" w:color="auto"/>
            </w:pBdr>
            <w:spacing w:line="240" w:lineRule="atLeast"/>
            <w:rPr>
              <w:rFonts w:ascii="Calibri" w:hAnsi="Calibri" w:cs="Calibri"/>
              <w:i/>
              <w:u w:val="single"/>
            </w:rPr>
          </w:pPr>
          <w:r>
            <w:rPr>
              <w:rFonts w:ascii="Calibri" w:hAnsi="Calibri" w:cs="Calibri"/>
              <w:i/>
              <w:u w:val="single"/>
            </w:rPr>
            <w:t>Type de classe organisée</w:t>
          </w:r>
          <w:r>
            <w:rPr>
              <w:rFonts w:ascii="Calibri" w:hAnsi="Calibri" w:cs="Calibri"/>
              <w:i/>
            </w:rPr>
            <w:t> :</w:t>
          </w:r>
        </w:p>
        <w:p>
          <w:pPr>
            <w:pBdr>
              <w:top w:val="single" w:sz="4" w:space="1" w:color="auto"/>
              <w:left w:val="single" w:sz="4" w:space="3" w:color="auto"/>
              <w:bottom w:val="single" w:sz="4" w:space="1" w:color="auto"/>
              <w:right w:val="single" w:sz="4" w:space="4" w:color="auto"/>
            </w:pBdr>
            <w:spacing w:line="240" w:lineRule="atLeast"/>
            <w:rPr>
              <w:rFonts w:ascii="Calibri" w:hAnsi="Calibri" w:cs="Calibri"/>
              <w:i/>
              <w:sz w:val="16"/>
              <w:szCs w:val="16"/>
              <w:u w:val="single"/>
            </w:rPr>
          </w:pPr>
        </w:p>
        <w:p>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left" w:pos="8165"/>
            </w:tabs>
            <w:spacing w:line="240" w:lineRule="atLeast"/>
            <w:rPr>
              <w:rFonts w:ascii="Calibri" w:hAnsi="Calibri" w:cs="Calibri"/>
            </w:rPr>
          </w:pPr>
          <w:r>
            <w:rPr>
              <w:rFonts w:ascii="Calibri" w:hAnsi="Calibri" w:cs="Calibri"/>
            </w:rPr>
            <w:t>Classe de mer</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rPr>
            <w:t xml:space="preserve">                                 </w:t>
          </w:r>
          <w:r>
            <w:rPr>
              <w:rFonts w:ascii="Calibri" w:hAnsi="Calibri" w:cs="Calibri"/>
            </w:rPr>
            <w:tab/>
            <w:t xml:space="preserve">Classe de ville  </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p>
        <w:p>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rPr>
          </w:pPr>
          <w:r>
            <w:rPr>
              <w:rFonts w:ascii="Calibri" w:hAnsi="Calibri" w:cs="Calibri"/>
            </w:rPr>
            <w:t>Classe de neige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rPr>
            <w:tab/>
            <w:t>Classe citoyenne ou culturelle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p>
        <w:p>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rPr>
          </w:pPr>
          <w:r>
            <w:rPr>
              <w:rFonts w:ascii="Calibri" w:hAnsi="Calibri" w:cs="Calibri"/>
            </w:rPr>
            <w:t>Classe verte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rPr>
            <w:tab/>
            <w:t>Classe sportive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p>
        <w:p>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rPr>
          </w:pPr>
          <w:r>
            <w:rPr>
              <w:rFonts w:ascii="Calibri" w:hAnsi="Calibri" w:cs="Calibri"/>
            </w:rPr>
            <w:t>Classe linguistique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rPr>
            <w:tab/>
            <w:t>Retraite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p>
        <w:p>
          <w:pPr>
            <w:pBdr>
              <w:top w:val="single" w:sz="4" w:space="1" w:color="auto"/>
              <w:left w:val="single" w:sz="4" w:space="3" w:color="auto"/>
              <w:bottom w:val="single" w:sz="4" w:space="1" w:color="auto"/>
              <w:right w:val="single" w:sz="4" w:space="4" w:color="auto"/>
            </w:pBdr>
            <w:tabs>
              <w:tab w:val="left" w:pos="1701"/>
              <w:tab w:val="left" w:pos="2160"/>
              <w:tab w:val="right" w:leader="dot" w:pos="2381"/>
              <w:tab w:val="left" w:pos="4678"/>
            </w:tabs>
            <w:spacing w:line="240" w:lineRule="atLeast"/>
            <w:rPr>
              <w:rFonts w:ascii="Calibri" w:hAnsi="Calibri" w:cs="Calibri"/>
            </w:rPr>
          </w:pPr>
          <w:r>
            <w:rPr>
              <w:rFonts w:ascii="Calibri" w:hAnsi="Calibri" w:cs="Calibri"/>
            </w:rPr>
            <w:t>Autre (spécifier) :</w:t>
          </w:r>
          <w:r>
            <w:rPr>
              <w:rFonts w:ascii="Calibri" w:hAnsi="Calibri" w:cs="Calibri"/>
            </w:rPr>
            <w:tab/>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p>
        <w:p>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rPr>
          </w:pPr>
        </w:p>
        <w:p>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rPr>
          </w:pPr>
          <w:r>
            <w:rPr>
              <w:rFonts w:ascii="Calibri" w:hAnsi="Calibri" w:cs="Calibri"/>
            </w:rPr>
            <w:t xml:space="preserve">Nombre d’élèves participant(e)s : </w:t>
          </w:r>
          <w:r>
            <w:rPr>
              <w:rFonts w:ascii="Calibri" w:hAnsi="Calibri" w:cs="Calibri"/>
            </w:rPr>
            <w:tab/>
            <w:t>Nombre d’élèves non-participant(e)s :                       Soit :           % de participation</w:t>
          </w:r>
        </w:p>
        <w:p>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rPr>
          </w:pPr>
          <w:r>
            <w:rPr>
              <w:rFonts w:ascii="Calibri" w:hAnsi="Calibri" w:cs="Calibri"/>
            </w:rPr>
            <w:t xml:space="preserve">          </w:t>
          </w:r>
          <w:r>
            <w:rPr>
              <w:rFonts w:ascii="Calibri" w:hAnsi="Calibri" w:cs="Calibri"/>
            </w:rPr>
            <w:tab/>
            <w:t xml:space="preserve"> </w:t>
          </w:r>
        </w:p>
        <w:p>
          <w:pPr>
            <w:pBdr>
              <w:top w:val="single" w:sz="4" w:space="1" w:color="auto"/>
              <w:left w:val="single" w:sz="4" w:space="4" w:color="auto"/>
              <w:bottom w:val="single" w:sz="4" w:space="1" w:color="auto"/>
              <w:right w:val="single" w:sz="4" w:space="4" w:color="auto"/>
            </w:pBdr>
            <w:tabs>
              <w:tab w:val="left" w:pos="1452"/>
              <w:tab w:val="right" w:leader="dot" w:pos="3402"/>
            </w:tabs>
            <w:spacing w:line="240" w:lineRule="atLeast"/>
            <w:rPr>
              <w:rFonts w:ascii="Calibri" w:hAnsi="Calibri" w:cs="Calibri"/>
            </w:rPr>
          </w:pPr>
          <w:r>
            <w:rPr>
              <w:rFonts w:ascii="Calibri" w:hAnsi="Calibri" w:cs="Calibri"/>
            </w:rPr>
            <w:tab/>
          </w:r>
        </w:p>
        <w:p>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Calibri" w:hAnsi="Calibri" w:cs="Calibri"/>
            </w:rPr>
            <w:t>Date de départ</w:t>
          </w:r>
          <w:r>
            <w:rPr>
              <w:rStyle w:val="Appelnotedebasdep"/>
              <w:rFonts w:ascii="Calibri" w:hAnsi="Calibri" w:cs="Calibri"/>
            </w:rPr>
            <w:footnoteReference w:id="150"/>
          </w:r>
          <w:r>
            <w:rPr>
              <w:rFonts w:ascii="Calibri" w:hAnsi="Calibri" w:cs="Calibri"/>
            </w:rPr>
            <w:t xml:space="preserve"> : </w:t>
          </w:r>
          <w:r>
            <w:rPr>
              <w:rFonts w:ascii="Calibri" w:hAnsi="Calibri" w:cs="Calibri"/>
            </w:rPr>
            <w:tab/>
          </w:r>
          <w:r>
            <w:rPr>
              <w:rFonts w:ascii="Calibri" w:hAnsi="Calibri" w:cs="Calibri"/>
            </w:rPr>
            <w:tab/>
          </w:r>
          <w:r>
            <w:rPr>
              <w:rFonts w:ascii="Calibri" w:hAnsi="Calibri" w:cs="Calibri"/>
            </w:rPr>
            <w:tab/>
            <w:t xml:space="preserve">                          Date de retour : </w:t>
          </w:r>
          <w:r>
            <w:rPr>
              <w:rFonts w:ascii="Calibri" w:hAnsi="Calibri" w:cs="Calibri"/>
            </w:rPr>
            <w:tab/>
          </w:r>
        </w:p>
        <w:p>
          <w:pPr>
            <w:pBdr>
              <w:top w:val="single" w:sz="4" w:space="1" w:color="auto"/>
              <w:left w:val="single" w:sz="4" w:space="4" w:color="auto"/>
              <w:bottom w:val="single" w:sz="4" w:space="1" w:color="auto"/>
              <w:right w:val="single" w:sz="4" w:space="4" w:color="auto"/>
            </w:pBdr>
            <w:spacing w:line="240" w:lineRule="atLeast"/>
            <w:rPr>
              <w:rFonts w:ascii="Calibri" w:hAnsi="Calibri" w:cs="Calibri"/>
              <w:i/>
              <w:sz w:val="16"/>
              <w:szCs w:val="16"/>
              <w:u w:val="single"/>
            </w:rPr>
          </w:pPr>
        </w:p>
        <w:p>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rPr>
            <w:t xml:space="preserve">Dérogation pour le délai d’introduction du dossier (justification à annexer à la présente)                                                    </w:t>
          </w:r>
        </w:p>
        <w:p>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rPr>
            <w:t xml:space="preserve">Dérogation pour le taux de participation (justification à annexer à la présente)    </w:t>
          </w:r>
        </w:p>
        <w:p>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rPr>
            <w:t>Dérogation à l’obligation pour l’un(e) des accompagnateur(trice)s d’être le (la) titulaire ou le (la) Directeur(trice) avec classe (enseignement fondamental ordinaire et spécialisé) (justification à annexer à la présente)</w:t>
          </w:r>
        </w:p>
        <w:p>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Calibri" w:hAnsi="Calibri" w:cs="Calibri"/>
            </w:rPr>
            <w:t xml:space="preserve"> </w:t>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rPr>
            <w:t xml:space="preserve">Dérogation visant à permettre au chef d’établissement d’être comptabilisé au niveau de l’encadrement (justification à annexer à la présente)    </w:t>
          </w:r>
        </w:p>
        <w:p>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p>
        <w:p>
          <w:pPr>
            <w:pBdr>
              <w:top w:val="single" w:sz="4" w:space="1" w:color="auto"/>
              <w:left w:val="single" w:sz="4" w:space="4" w:color="auto"/>
              <w:bottom w:val="single" w:sz="4" w:space="1" w:color="auto"/>
              <w:right w:val="single" w:sz="4" w:space="4" w:color="auto"/>
            </w:pBdr>
            <w:spacing w:line="240" w:lineRule="atLeast"/>
            <w:rPr>
              <w:rFonts w:ascii="Calibri" w:hAnsi="Calibri" w:cs="Calibri"/>
              <w:i/>
              <w:u w:val="single"/>
            </w:rPr>
          </w:pPr>
          <w:r>
            <w:rPr>
              <w:rFonts w:ascii="Calibri" w:hAnsi="Calibri" w:cs="Calibri"/>
              <w:i/>
              <w:u w:val="single"/>
            </w:rPr>
            <w:t>Adresse complète du lieu de séjour</w:t>
          </w:r>
          <w:r>
            <w:rPr>
              <w:rFonts w:ascii="Calibri" w:hAnsi="Calibri" w:cs="Calibri"/>
              <w:i/>
            </w:rPr>
            <w:t> :</w:t>
          </w:r>
        </w:p>
        <w:p>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p>
        <w:p>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p>
        <w:p>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Calibri" w:hAnsi="Calibri" w:cs="Calibri"/>
            </w:rPr>
          </w:pPr>
          <w:r>
            <w:rPr>
              <w:rFonts w:ascii="Calibri" w:hAnsi="Calibri" w:cs="Calibri"/>
            </w:rPr>
            <w:sym w:font="Wingdings 2" w:char="F050"/>
          </w:r>
          <w:r>
            <w:rPr>
              <w:rFonts w:ascii="Calibri" w:hAnsi="Calibri" w:cs="Calibri"/>
            </w:rPr>
            <w:t xml:space="preserve"> Je certifie que les coûts engendrés par ce séjour pédagogique avec nuitée(s) sont inscrits dans le décompte périodique.</w:t>
          </w:r>
        </w:p>
        <w:p>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Calibri" w:hAnsi="Calibri" w:cs="Calibri"/>
            </w:rPr>
          </w:pPr>
          <w:r>
            <w:rPr>
              <w:rFonts w:ascii="Calibri" w:hAnsi="Calibri" w:cs="Calibri"/>
            </w:rPr>
            <w:sym w:font="Wingdings 2" w:char="F050"/>
          </w:r>
          <w:r>
            <w:rPr>
              <w:rFonts w:ascii="Calibri" w:hAnsi="Calibri" w:cs="Calibri"/>
            </w:rPr>
            <w:t xml:space="preserve"> Je certifie avoir obtenu (pour l’enseignement subventionné) l’autorisation pour ce séjour du Pouvoir organisateur.</w:t>
          </w:r>
        </w:p>
        <w:p>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p>
        <w:p>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r>
            <w:rPr>
              <w:rFonts w:ascii="Calibri" w:hAnsi="Calibri" w:cs="Calibri"/>
            </w:rPr>
            <w:t>Demande introduite le :</w:t>
          </w:r>
        </w:p>
        <w:p>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r>
            <w:rPr>
              <w:rFonts w:ascii="Calibri" w:hAnsi="Calibri" w:cs="Calibri"/>
            </w:rPr>
            <w:t>Signature du chef d’établissement :</w:t>
          </w:r>
        </w:p>
        <w:p>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Calibri" w:hAnsi="Calibri" w:cs="Calibri"/>
              <w:sz w:val="20"/>
              <w:szCs w:val="20"/>
            </w:rPr>
          </w:pPr>
        </w:p>
        <w:p>
          <w:r>
            <w:br w:type="page"/>
          </w:r>
        </w:p>
        <w:p>
          <w:pPr>
            <w:pStyle w:val="Titre4"/>
          </w:pPr>
          <w:r>
            <w:t>ANNEXE II</w:t>
          </w:r>
        </w:p>
        <w:p>
          <w:pPr>
            <w:tabs>
              <w:tab w:val="left" w:pos="1605"/>
              <w:tab w:val="right" w:pos="9072"/>
            </w:tabs>
            <w:rPr>
              <w:rFonts w:ascii="Calibri" w:hAnsi="Calibri" w:cs="Calibri"/>
            </w:rPr>
          </w:pPr>
        </w:p>
        <w:p>
          <w:pPr>
            <w:tabs>
              <w:tab w:val="left" w:pos="1605"/>
              <w:tab w:val="right" w:pos="9072"/>
            </w:tabs>
            <w:rPr>
              <w:rFonts w:ascii="Calibri" w:hAnsi="Calibri" w:cs="Calibri"/>
            </w:rPr>
          </w:pPr>
          <w:r>
            <w:rPr>
              <w:rFonts w:ascii="Calibri" w:hAnsi="Calibri" w:cs="Calibri"/>
            </w:rPr>
            <w:t>Etablissement (n° FASE) :</w:t>
          </w:r>
        </w:p>
        <w:p>
          <w:pPr>
            <w:tabs>
              <w:tab w:val="left" w:pos="1605"/>
              <w:tab w:val="right" w:pos="9072"/>
            </w:tabs>
            <w:jc w:val="center"/>
            <w:rPr>
              <w:rFonts w:ascii="Calibri" w:hAnsi="Calibri" w:cs="Calibri"/>
              <w:b/>
              <w:u w:val="single"/>
            </w:rPr>
          </w:pPr>
        </w:p>
        <w:p>
          <w:pPr>
            <w:tabs>
              <w:tab w:val="left" w:pos="1605"/>
              <w:tab w:val="right" w:pos="9072"/>
            </w:tabs>
            <w:jc w:val="center"/>
            <w:rPr>
              <w:rFonts w:ascii="Calibri" w:hAnsi="Calibri" w:cs="Calibri"/>
              <w:b/>
              <w:u w:val="single"/>
            </w:rPr>
          </w:pPr>
          <w:r>
            <w:rPr>
              <w:rFonts w:ascii="Calibri" w:hAnsi="Calibri" w:cs="Calibri"/>
              <w:b/>
              <w:u w:val="single"/>
            </w:rPr>
            <w:t>PARTICIPATION</w:t>
          </w:r>
        </w:p>
        <w:p>
          <w:pPr>
            <w:tabs>
              <w:tab w:val="left" w:pos="1605"/>
              <w:tab w:val="right" w:pos="9072"/>
            </w:tabs>
            <w:jc w:val="center"/>
            <w:rPr>
              <w:rFonts w:ascii="Calibri" w:hAnsi="Calibri" w:cs="Calibri"/>
              <w:b/>
              <w:u w:val="single"/>
            </w:rPr>
          </w:pPr>
        </w:p>
        <w:p>
          <w:pPr>
            <w:tabs>
              <w:tab w:val="left" w:pos="1605"/>
              <w:tab w:val="right" w:pos="9072"/>
            </w:tabs>
            <w:jc w:val="center"/>
            <w:rPr>
              <w:rFonts w:ascii="Calibri" w:hAnsi="Calibri" w:cs="Calibri"/>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4"/>
            <w:gridCol w:w="1265"/>
            <w:gridCol w:w="1237"/>
            <w:gridCol w:w="1134"/>
            <w:gridCol w:w="1134"/>
            <w:gridCol w:w="1134"/>
            <w:gridCol w:w="1134"/>
          </w:tblGrid>
          <w:tr>
            <w:trPr>
              <w:trHeight w:val="402"/>
            </w:trPr>
            <w:tc>
              <w:tcPr>
                <w:tcW w:w="2004" w:type="dxa"/>
                <w:vMerge w:val="restart"/>
                <w:vAlign w:val="center"/>
              </w:tcPr>
              <w:p>
                <w:pPr>
                  <w:jc w:val="center"/>
                  <w:rPr>
                    <w:rFonts w:ascii="Calibri" w:hAnsi="Calibri" w:cs="Calibri"/>
                    <w:b/>
                  </w:rPr>
                </w:pPr>
                <w:r>
                  <w:rPr>
                    <w:rFonts w:ascii="Calibri" w:hAnsi="Calibri" w:cs="Calibri"/>
                    <w:b/>
                  </w:rPr>
                  <w:t>Année d’études ou Degré de maturité forme, phase</w:t>
                </w:r>
              </w:p>
            </w:tc>
            <w:tc>
              <w:tcPr>
                <w:tcW w:w="2502" w:type="dxa"/>
                <w:gridSpan w:val="2"/>
                <w:vAlign w:val="center"/>
              </w:tcPr>
              <w:p>
                <w:pPr>
                  <w:jc w:val="center"/>
                  <w:rPr>
                    <w:rFonts w:ascii="Calibri" w:hAnsi="Calibri" w:cs="Calibri"/>
                    <w:b/>
                  </w:rPr>
                </w:pPr>
                <w:r>
                  <w:rPr>
                    <w:rFonts w:ascii="Calibri" w:hAnsi="Calibri" w:cs="Calibri"/>
                    <w:b/>
                  </w:rPr>
                  <w:t>Total élèves</w:t>
                </w:r>
              </w:p>
            </w:tc>
            <w:tc>
              <w:tcPr>
                <w:tcW w:w="2268" w:type="dxa"/>
                <w:gridSpan w:val="2"/>
                <w:vAlign w:val="center"/>
              </w:tcPr>
              <w:p>
                <w:pPr>
                  <w:jc w:val="center"/>
                  <w:rPr>
                    <w:rFonts w:ascii="Calibri" w:hAnsi="Calibri" w:cs="Calibri"/>
                    <w:b/>
                  </w:rPr>
                </w:pPr>
                <w:r>
                  <w:rPr>
                    <w:rFonts w:ascii="Calibri" w:hAnsi="Calibri" w:cs="Calibri"/>
                    <w:b/>
                  </w:rPr>
                  <w:t>Total participant(e)s</w:t>
                </w:r>
              </w:p>
            </w:tc>
            <w:tc>
              <w:tcPr>
                <w:tcW w:w="1134" w:type="dxa"/>
                <w:gridSpan w:val="2"/>
                <w:vAlign w:val="center"/>
              </w:tcPr>
              <w:p>
                <w:pPr>
                  <w:jc w:val="center"/>
                  <w:rPr>
                    <w:rFonts w:ascii="Calibri" w:hAnsi="Calibri" w:cs="Calibri"/>
                    <w:b/>
                  </w:rPr>
                </w:pPr>
                <w:r>
                  <w:rPr>
                    <w:rFonts w:ascii="Calibri" w:hAnsi="Calibri" w:cs="Calibri"/>
                    <w:b/>
                  </w:rPr>
                  <w:t xml:space="preserve">Total non- </w:t>
                </w:r>
              </w:p>
              <w:p>
                <w:pPr>
                  <w:jc w:val="center"/>
                  <w:rPr>
                    <w:rFonts w:ascii="Calibri" w:hAnsi="Calibri" w:cs="Calibri"/>
                    <w:b/>
                  </w:rPr>
                </w:pPr>
                <w:r>
                  <w:rPr>
                    <w:rFonts w:ascii="Calibri" w:hAnsi="Calibri" w:cs="Calibri"/>
                    <w:b/>
                  </w:rPr>
                  <w:t>participant(e)s</w:t>
                </w:r>
              </w:p>
            </w:tc>
          </w:tr>
          <w:tr>
            <w:trPr>
              <w:trHeight w:val="402"/>
            </w:trPr>
            <w:tc>
              <w:tcPr>
                <w:tcW w:w="2004" w:type="dxa"/>
                <w:vMerge/>
                <w:vAlign w:val="center"/>
              </w:tcPr>
              <w:p>
                <w:pPr>
                  <w:jc w:val="center"/>
                  <w:rPr>
                    <w:rFonts w:ascii="Calibri" w:hAnsi="Calibri" w:cs="Calibri"/>
                    <w:b/>
                  </w:rPr>
                </w:pPr>
              </w:p>
            </w:tc>
            <w:tc>
              <w:tcPr>
                <w:tcW w:w="1265" w:type="dxa"/>
                <w:vAlign w:val="center"/>
              </w:tcPr>
              <w:p>
                <w:pPr>
                  <w:jc w:val="center"/>
                  <w:rPr>
                    <w:rFonts w:ascii="Calibri" w:hAnsi="Calibri" w:cs="Calibri"/>
                    <w:b/>
                  </w:rPr>
                </w:pPr>
                <w:r>
                  <w:rPr>
                    <w:rFonts w:ascii="Calibri" w:hAnsi="Calibri" w:cs="Calibri"/>
                    <w:b/>
                  </w:rPr>
                  <w:t>Filles</w:t>
                </w:r>
              </w:p>
            </w:tc>
            <w:tc>
              <w:tcPr>
                <w:tcW w:w="1237" w:type="dxa"/>
                <w:vAlign w:val="center"/>
              </w:tcPr>
              <w:p>
                <w:pPr>
                  <w:jc w:val="center"/>
                  <w:rPr>
                    <w:rFonts w:ascii="Calibri" w:hAnsi="Calibri" w:cs="Calibri"/>
                    <w:b/>
                  </w:rPr>
                </w:pPr>
                <w:r>
                  <w:rPr>
                    <w:rFonts w:ascii="Calibri" w:hAnsi="Calibri" w:cs="Calibri"/>
                    <w:b/>
                  </w:rPr>
                  <w:t>Garçons</w:t>
                </w:r>
              </w:p>
            </w:tc>
            <w:tc>
              <w:tcPr>
                <w:tcW w:w="1134" w:type="dxa"/>
                <w:vAlign w:val="center"/>
              </w:tcPr>
              <w:p>
                <w:pPr>
                  <w:jc w:val="center"/>
                  <w:rPr>
                    <w:rFonts w:ascii="Calibri" w:hAnsi="Calibri" w:cs="Calibri"/>
                    <w:b/>
                  </w:rPr>
                </w:pPr>
                <w:r>
                  <w:rPr>
                    <w:rFonts w:ascii="Calibri" w:hAnsi="Calibri" w:cs="Calibri"/>
                    <w:b/>
                  </w:rPr>
                  <w:t>Filles</w:t>
                </w:r>
              </w:p>
            </w:tc>
            <w:tc>
              <w:tcPr>
                <w:tcW w:w="1134" w:type="dxa"/>
                <w:vAlign w:val="center"/>
              </w:tcPr>
              <w:p>
                <w:pPr>
                  <w:jc w:val="center"/>
                  <w:rPr>
                    <w:rFonts w:ascii="Calibri" w:hAnsi="Calibri" w:cs="Calibri"/>
                    <w:b/>
                  </w:rPr>
                </w:pPr>
                <w:r>
                  <w:rPr>
                    <w:rFonts w:ascii="Calibri" w:hAnsi="Calibri" w:cs="Calibri"/>
                    <w:b/>
                  </w:rPr>
                  <w:t>Garçons</w:t>
                </w:r>
              </w:p>
            </w:tc>
            <w:tc>
              <w:tcPr>
                <w:tcW w:w="1134" w:type="dxa"/>
                <w:vAlign w:val="center"/>
              </w:tcPr>
              <w:p>
                <w:pPr>
                  <w:jc w:val="center"/>
                  <w:rPr>
                    <w:rFonts w:ascii="Calibri" w:hAnsi="Calibri" w:cs="Calibri"/>
                    <w:b/>
                  </w:rPr>
                </w:pPr>
                <w:r>
                  <w:rPr>
                    <w:rFonts w:ascii="Calibri" w:hAnsi="Calibri" w:cs="Calibri"/>
                    <w:b/>
                  </w:rPr>
                  <w:t>Filles</w:t>
                </w:r>
              </w:p>
            </w:tc>
            <w:tc>
              <w:tcPr>
                <w:tcW w:w="1134" w:type="dxa"/>
                <w:vAlign w:val="center"/>
              </w:tcPr>
              <w:p>
                <w:pPr>
                  <w:jc w:val="center"/>
                  <w:rPr>
                    <w:rFonts w:ascii="Calibri" w:hAnsi="Calibri" w:cs="Calibri"/>
                    <w:b/>
                  </w:rPr>
                </w:pPr>
                <w:r>
                  <w:rPr>
                    <w:rFonts w:ascii="Calibri" w:hAnsi="Calibri" w:cs="Calibri"/>
                    <w:b/>
                  </w:rPr>
                  <w:t>Garçons</w:t>
                </w:r>
              </w:p>
            </w:tc>
          </w:tr>
          <w:tr>
            <w:trPr>
              <w:trHeight w:val="510"/>
            </w:trPr>
            <w:tc>
              <w:tcPr>
                <w:tcW w:w="2004" w:type="dxa"/>
                <w:vAlign w:val="center"/>
              </w:tcPr>
              <w:p>
                <w:pPr>
                  <w:jc w:val="center"/>
                  <w:rPr>
                    <w:rFonts w:ascii="Calibri" w:hAnsi="Calibri" w:cs="Calibri"/>
                  </w:rPr>
                </w:pPr>
                <w:r>
                  <w:rPr>
                    <w:rFonts w:ascii="Calibri" w:hAnsi="Calibri" w:cs="Calibri"/>
                  </w:rPr>
                  <w:t>Classe ….</w:t>
                </w:r>
              </w:p>
            </w:tc>
            <w:tc>
              <w:tcPr>
                <w:tcW w:w="1265" w:type="dxa"/>
              </w:tcPr>
              <w:p>
                <w:pPr>
                  <w:rPr>
                    <w:rFonts w:ascii="Calibri" w:hAnsi="Calibri" w:cs="Calibri"/>
                  </w:rPr>
                </w:pPr>
              </w:p>
            </w:tc>
            <w:tc>
              <w:tcPr>
                <w:tcW w:w="1237"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r>
          <w:tr>
            <w:trPr>
              <w:trHeight w:val="510"/>
            </w:trPr>
            <w:tc>
              <w:tcPr>
                <w:tcW w:w="2004" w:type="dxa"/>
                <w:vAlign w:val="center"/>
              </w:tcPr>
              <w:p>
                <w:pPr>
                  <w:jc w:val="center"/>
                  <w:rPr>
                    <w:rFonts w:ascii="Calibri" w:hAnsi="Calibri" w:cs="Calibri"/>
                  </w:rPr>
                </w:pPr>
                <w:r>
                  <w:rPr>
                    <w:rFonts w:ascii="Calibri" w:hAnsi="Calibri" w:cs="Calibri"/>
                  </w:rPr>
                  <w:t>Classe ….</w:t>
                </w:r>
              </w:p>
            </w:tc>
            <w:tc>
              <w:tcPr>
                <w:tcW w:w="1265" w:type="dxa"/>
              </w:tcPr>
              <w:p>
                <w:pPr>
                  <w:rPr>
                    <w:rFonts w:ascii="Calibri" w:hAnsi="Calibri" w:cs="Calibri"/>
                  </w:rPr>
                </w:pPr>
              </w:p>
            </w:tc>
            <w:tc>
              <w:tcPr>
                <w:tcW w:w="1237"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r>
          <w:tr>
            <w:trPr>
              <w:trHeight w:val="510"/>
            </w:trPr>
            <w:tc>
              <w:tcPr>
                <w:tcW w:w="2004" w:type="dxa"/>
                <w:vAlign w:val="center"/>
              </w:tcPr>
              <w:p>
                <w:pPr>
                  <w:jc w:val="center"/>
                  <w:rPr>
                    <w:rFonts w:ascii="Calibri" w:hAnsi="Calibri" w:cs="Calibri"/>
                  </w:rPr>
                </w:pPr>
                <w:r>
                  <w:rPr>
                    <w:rFonts w:ascii="Calibri" w:hAnsi="Calibri" w:cs="Calibri"/>
                  </w:rPr>
                  <w:t>Classe ….</w:t>
                </w:r>
              </w:p>
            </w:tc>
            <w:tc>
              <w:tcPr>
                <w:tcW w:w="1265" w:type="dxa"/>
              </w:tcPr>
              <w:p>
                <w:pPr>
                  <w:rPr>
                    <w:rFonts w:ascii="Calibri" w:hAnsi="Calibri" w:cs="Calibri"/>
                  </w:rPr>
                </w:pPr>
              </w:p>
            </w:tc>
            <w:tc>
              <w:tcPr>
                <w:tcW w:w="1237"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r>
          <w:tr>
            <w:trPr>
              <w:trHeight w:val="510"/>
            </w:trPr>
            <w:tc>
              <w:tcPr>
                <w:tcW w:w="2004" w:type="dxa"/>
                <w:vAlign w:val="center"/>
              </w:tcPr>
              <w:p>
                <w:pPr>
                  <w:jc w:val="center"/>
                  <w:rPr>
                    <w:rFonts w:ascii="Calibri" w:hAnsi="Calibri" w:cs="Calibri"/>
                  </w:rPr>
                </w:pPr>
                <w:r>
                  <w:rPr>
                    <w:rFonts w:ascii="Calibri" w:hAnsi="Calibri" w:cs="Calibri"/>
                  </w:rPr>
                  <w:t>Classe ….</w:t>
                </w:r>
              </w:p>
            </w:tc>
            <w:tc>
              <w:tcPr>
                <w:tcW w:w="1265" w:type="dxa"/>
              </w:tcPr>
              <w:p>
                <w:pPr>
                  <w:rPr>
                    <w:rFonts w:ascii="Calibri" w:hAnsi="Calibri" w:cs="Calibri"/>
                  </w:rPr>
                </w:pPr>
              </w:p>
            </w:tc>
            <w:tc>
              <w:tcPr>
                <w:tcW w:w="1237"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r>
          <w:tr>
            <w:trPr>
              <w:trHeight w:val="510"/>
            </w:trPr>
            <w:tc>
              <w:tcPr>
                <w:tcW w:w="2004" w:type="dxa"/>
                <w:vAlign w:val="center"/>
              </w:tcPr>
              <w:p>
                <w:pPr>
                  <w:rPr>
                    <w:rFonts w:ascii="Calibri" w:hAnsi="Calibri" w:cs="Calibri"/>
                    <w:b/>
                  </w:rPr>
                </w:pPr>
                <w:r>
                  <w:rPr>
                    <w:rFonts w:ascii="Calibri" w:hAnsi="Calibri" w:cs="Calibri"/>
                    <w:b/>
                  </w:rPr>
                  <w:t xml:space="preserve">         TOTAUX</w:t>
                </w:r>
              </w:p>
            </w:tc>
            <w:tc>
              <w:tcPr>
                <w:tcW w:w="1265" w:type="dxa"/>
              </w:tcPr>
              <w:p>
                <w:pPr>
                  <w:rPr>
                    <w:rFonts w:ascii="Calibri" w:hAnsi="Calibri" w:cs="Calibri"/>
                  </w:rPr>
                </w:pPr>
              </w:p>
            </w:tc>
            <w:tc>
              <w:tcPr>
                <w:tcW w:w="1237"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r>
        </w:tbl>
        <w:p>
          <w:pPr>
            <w:rPr>
              <w:rFonts w:ascii="Calibri" w:hAnsi="Calibri" w:cs="Calibri"/>
              <w:sz w:val="16"/>
              <w:szCs w:val="16"/>
            </w:rPr>
          </w:pPr>
        </w:p>
        <w:p>
          <w:pPr>
            <w:tabs>
              <w:tab w:val="right" w:pos="9072"/>
            </w:tabs>
            <w:rPr>
              <w:rFonts w:ascii="Calibri" w:hAnsi="Calibri" w:cs="Calibri"/>
            </w:rPr>
          </w:pPr>
          <w:r>
            <w:rPr>
              <w:rFonts w:ascii="Calibri" w:hAnsi="Calibri" w:cs="Calibri"/>
            </w:rPr>
            <w:tab/>
            <w:t>Soit :         % de participation</w:t>
          </w:r>
        </w:p>
        <w:p>
          <w:pPr>
            <w:tabs>
              <w:tab w:val="right" w:pos="9072"/>
            </w:tabs>
            <w:rPr>
              <w:rFonts w:ascii="Calibri" w:hAnsi="Calibri"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trPr>
              <w:trHeight w:val="312"/>
            </w:trPr>
            <w:tc>
              <w:tcPr>
                <w:tcW w:w="3070" w:type="dxa"/>
                <w:vMerge w:val="restart"/>
                <w:vAlign w:val="center"/>
              </w:tcPr>
              <w:p>
                <w:pPr>
                  <w:tabs>
                    <w:tab w:val="right" w:pos="9072"/>
                  </w:tabs>
                  <w:jc w:val="center"/>
                  <w:rPr>
                    <w:rFonts w:ascii="Calibri" w:hAnsi="Calibri" w:cs="Calibri"/>
                    <w:b/>
                  </w:rPr>
                </w:pPr>
                <w:r>
                  <w:rPr>
                    <w:rFonts w:ascii="Calibri" w:hAnsi="Calibri" w:cs="Calibri"/>
                    <w:b/>
                  </w:rPr>
                  <w:t>Elève(s) non-participant(es)</w:t>
                </w:r>
              </w:p>
            </w:tc>
            <w:tc>
              <w:tcPr>
                <w:tcW w:w="3071" w:type="dxa"/>
              </w:tcPr>
              <w:p>
                <w:pPr>
                  <w:tabs>
                    <w:tab w:val="right" w:pos="9072"/>
                  </w:tabs>
                  <w:jc w:val="center"/>
                  <w:rPr>
                    <w:rFonts w:ascii="Calibri" w:hAnsi="Calibri" w:cs="Calibri"/>
                  </w:rPr>
                </w:pPr>
                <w:r>
                  <w:rPr>
                    <w:rFonts w:ascii="Calibri" w:hAnsi="Calibri" w:cs="Calibri"/>
                  </w:rPr>
                  <w:t>Nom et prénom</w:t>
                </w:r>
              </w:p>
            </w:tc>
            <w:tc>
              <w:tcPr>
                <w:tcW w:w="3071" w:type="dxa"/>
              </w:tcPr>
              <w:p>
                <w:pPr>
                  <w:tabs>
                    <w:tab w:val="right" w:pos="9072"/>
                  </w:tabs>
                  <w:jc w:val="center"/>
                  <w:rPr>
                    <w:rFonts w:ascii="Calibri" w:hAnsi="Calibri" w:cs="Calibri"/>
                  </w:rPr>
                </w:pPr>
                <w:r>
                  <w:rPr>
                    <w:rFonts w:ascii="Calibri" w:hAnsi="Calibri" w:cs="Calibri"/>
                  </w:rPr>
                  <w:t>Motif de non-participation</w:t>
                </w:r>
              </w:p>
            </w:tc>
          </w:tr>
          <w:tr>
            <w:trPr>
              <w:trHeight w:val="312"/>
            </w:trPr>
            <w:tc>
              <w:tcPr>
                <w:tcW w:w="3070" w:type="dxa"/>
                <w:vMerge/>
              </w:tcPr>
              <w:p>
                <w:pPr>
                  <w:tabs>
                    <w:tab w:val="right" w:pos="9072"/>
                  </w:tabs>
                  <w:rPr>
                    <w:rFonts w:ascii="Calibri" w:hAnsi="Calibri" w:cs="Calibri"/>
                    <w:sz w:val="16"/>
                    <w:szCs w:val="16"/>
                  </w:rPr>
                </w:pPr>
              </w:p>
            </w:tc>
            <w:tc>
              <w:tcPr>
                <w:tcW w:w="3071" w:type="dxa"/>
              </w:tcPr>
              <w:p>
                <w:pPr>
                  <w:tabs>
                    <w:tab w:val="right" w:pos="9072"/>
                  </w:tabs>
                  <w:rPr>
                    <w:rFonts w:ascii="Calibri" w:hAnsi="Calibri" w:cs="Calibri"/>
                    <w:sz w:val="16"/>
                    <w:szCs w:val="16"/>
                  </w:rPr>
                </w:pPr>
              </w:p>
            </w:tc>
            <w:tc>
              <w:tcPr>
                <w:tcW w:w="3071" w:type="dxa"/>
              </w:tcPr>
              <w:p>
                <w:pPr>
                  <w:tabs>
                    <w:tab w:val="right" w:pos="9072"/>
                  </w:tabs>
                  <w:rPr>
                    <w:rFonts w:ascii="Calibri" w:hAnsi="Calibri" w:cs="Calibri"/>
                    <w:sz w:val="16"/>
                    <w:szCs w:val="16"/>
                  </w:rPr>
                </w:pPr>
              </w:p>
            </w:tc>
          </w:tr>
          <w:tr>
            <w:trPr>
              <w:trHeight w:val="312"/>
            </w:trPr>
            <w:tc>
              <w:tcPr>
                <w:tcW w:w="3070" w:type="dxa"/>
                <w:vMerge/>
              </w:tcPr>
              <w:p>
                <w:pPr>
                  <w:tabs>
                    <w:tab w:val="right" w:pos="9072"/>
                  </w:tabs>
                  <w:rPr>
                    <w:rFonts w:ascii="Calibri" w:hAnsi="Calibri" w:cs="Calibri"/>
                    <w:sz w:val="16"/>
                    <w:szCs w:val="16"/>
                  </w:rPr>
                </w:pPr>
              </w:p>
            </w:tc>
            <w:tc>
              <w:tcPr>
                <w:tcW w:w="3071" w:type="dxa"/>
              </w:tcPr>
              <w:p>
                <w:pPr>
                  <w:tabs>
                    <w:tab w:val="right" w:pos="9072"/>
                  </w:tabs>
                  <w:rPr>
                    <w:rFonts w:ascii="Calibri" w:hAnsi="Calibri" w:cs="Calibri"/>
                    <w:sz w:val="16"/>
                    <w:szCs w:val="16"/>
                  </w:rPr>
                </w:pPr>
              </w:p>
            </w:tc>
            <w:tc>
              <w:tcPr>
                <w:tcW w:w="3071" w:type="dxa"/>
              </w:tcPr>
              <w:p>
                <w:pPr>
                  <w:tabs>
                    <w:tab w:val="right" w:pos="9072"/>
                  </w:tabs>
                  <w:rPr>
                    <w:rFonts w:ascii="Calibri" w:hAnsi="Calibri" w:cs="Calibri"/>
                    <w:sz w:val="16"/>
                    <w:szCs w:val="16"/>
                  </w:rPr>
                </w:pPr>
              </w:p>
            </w:tc>
          </w:tr>
          <w:tr>
            <w:trPr>
              <w:trHeight w:val="312"/>
            </w:trPr>
            <w:tc>
              <w:tcPr>
                <w:tcW w:w="3070" w:type="dxa"/>
                <w:vMerge/>
              </w:tcPr>
              <w:p>
                <w:pPr>
                  <w:tabs>
                    <w:tab w:val="right" w:pos="9072"/>
                  </w:tabs>
                  <w:rPr>
                    <w:rFonts w:ascii="Calibri" w:hAnsi="Calibri" w:cs="Calibri"/>
                    <w:sz w:val="16"/>
                    <w:szCs w:val="16"/>
                  </w:rPr>
                </w:pPr>
              </w:p>
            </w:tc>
            <w:tc>
              <w:tcPr>
                <w:tcW w:w="3071" w:type="dxa"/>
              </w:tcPr>
              <w:p>
                <w:pPr>
                  <w:tabs>
                    <w:tab w:val="right" w:pos="9072"/>
                  </w:tabs>
                  <w:rPr>
                    <w:rFonts w:ascii="Calibri" w:hAnsi="Calibri" w:cs="Calibri"/>
                    <w:sz w:val="16"/>
                    <w:szCs w:val="16"/>
                  </w:rPr>
                </w:pPr>
              </w:p>
            </w:tc>
            <w:tc>
              <w:tcPr>
                <w:tcW w:w="3071" w:type="dxa"/>
              </w:tcPr>
              <w:p>
                <w:pPr>
                  <w:tabs>
                    <w:tab w:val="right" w:pos="9072"/>
                  </w:tabs>
                  <w:rPr>
                    <w:rFonts w:ascii="Calibri" w:hAnsi="Calibri" w:cs="Calibri"/>
                    <w:sz w:val="16"/>
                    <w:szCs w:val="16"/>
                  </w:rPr>
                </w:pPr>
              </w:p>
            </w:tc>
          </w:tr>
        </w:tbl>
        <w:p>
          <w:pPr>
            <w:tabs>
              <w:tab w:val="right" w:pos="9072"/>
            </w:tabs>
            <w:jc w:val="center"/>
            <w:rPr>
              <w:rFonts w:ascii="Calibri" w:hAnsi="Calibri" w:cs="Calibri"/>
              <w:sz w:val="16"/>
              <w:szCs w:val="16"/>
            </w:rPr>
          </w:pPr>
        </w:p>
        <w:p>
          <w:pPr>
            <w:jc w:val="center"/>
            <w:rPr>
              <w:rFonts w:ascii="Calibri" w:hAnsi="Calibri" w:cs="Calibri"/>
              <w:b/>
              <w:u w:val="single"/>
            </w:rPr>
          </w:pPr>
        </w:p>
        <w:p>
          <w:pPr>
            <w:jc w:val="center"/>
            <w:rPr>
              <w:rFonts w:ascii="Calibri" w:hAnsi="Calibri" w:cs="Calibri"/>
              <w:b/>
              <w:u w:val="single"/>
            </w:rPr>
          </w:pPr>
        </w:p>
        <w:p>
          <w:pPr>
            <w:rPr>
              <w:rFonts w:ascii="Calibri" w:hAnsi="Calibri" w:cs="Calibri"/>
              <w:u w:val="single"/>
            </w:rPr>
          </w:pPr>
          <w:r>
            <w:rPr>
              <w:rFonts w:ascii="Calibri" w:hAnsi="Calibri" w:cs="Calibri"/>
              <w:u w:val="single"/>
            </w:rPr>
            <w:t>COORDONNEES COMPLETES</w:t>
          </w:r>
          <w:r>
            <w:rPr>
              <w:rFonts w:ascii="Calibri" w:hAnsi="Calibri" w:cs="Calibri"/>
            </w:rPr>
            <w:t> :</w:t>
          </w:r>
        </w:p>
        <w:p>
          <w:pPr>
            <w:rPr>
              <w:rFonts w:ascii="Calibri" w:hAnsi="Calibri" w:cs="Calibri"/>
              <w:u w:val="single"/>
            </w:rPr>
          </w:pPr>
        </w:p>
        <w:p>
          <w:pPr>
            <w:rPr>
              <w:rFonts w:ascii="Calibri" w:hAnsi="Calibri" w:cs="Calibri"/>
            </w:rPr>
          </w:pPr>
          <w:r>
            <w:rPr>
              <w:rFonts w:ascii="Calibri" w:hAnsi="Calibri" w:cs="Calibri"/>
            </w:rPr>
            <w:t xml:space="preserve">du </w:t>
          </w:r>
          <w:r>
            <w:rPr>
              <w:rFonts w:ascii="Calibri" w:hAnsi="Calibri" w:cs="Calibri"/>
              <w:b/>
            </w:rPr>
            <w:t>médecin local </w:t>
          </w:r>
          <w:r>
            <w:rPr>
              <w:rFonts w:ascii="Calibri" w:hAnsi="Calibri" w:cs="Calibri"/>
            </w:rPr>
            <w:t>:</w:t>
          </w:r>
        </w:p>
        <w:p>
          <w:pPr>
            <w:tabs>
              <w:tab w:val="left" w:pos="567"/>
              <w:tab w:val="right" w:leader="dot" w:pos="3060"/>
            </w:tabs>
            <w:rPr>
              <w:rFonts w:ascii="Calibri" w:hAnsi="Calibri" w:cs="Calibri"/>
            </w:rPr>
          </w:pPr>
          <w:r>
            <w:rPr>
              <w:rFonts w:ascii="Calibri" w:hAnsi="Calibri" w:cs="Calibri"/>
            </w:rPr>
            <w:t>Nom :</w:t>
          </w:r>
          <w:r>
            <w:rPr>
              <w:rFonts w:ascii="Calibri" w:hAnsi="Calibri" w:cs="Calibri"/>
            </w:rPr>
            <w:tab/>
          </w:r>
        </w:p>
        <w:p>
          <w:pPr>
            <w:tabs>
              <w:tab w:val="left" w:pos="851"/>
              <w:tab w:val="right" w:leader="dot" w:pos="3060"/>
            </w:tabs>
            <w:rPr>
              <w:rFonts w:ascii="Calibri" w:hAnsi="Calibri" w:cs="Calibri"/>
            </w:rPr>
          </w:pPr>
          <w:r>
            <w:rPr>
              <w:rFonts w:ascii="Calibri" w:hAnsi="Calibri" w:cs="Calibri"/>
            </w:rPr>
            <w:t>Prénom :</w:t>
          </w:r>
          <w:r>
            <w:rPr>
              <w:rFonts w:ascii="Calibri" w:hAnsi="Calibri" w:cs="Calibri"/>
            </w:rPr>
            <w:tab/>
          </w:r>
        </w:p>
        <w:p>
          <w:pPr>
            <w:tabs>
              <w:tab w:val="left" w:pos="851"/>
              <w:tab w:val="right" w:leader="dot" w:pos="3060"/>
            </w:tabs>
            <w:rPr>
              <w:rFonts w:ascii="Calibri" w:hAnsi="Calibri" w:cs="Calibri"/>
            </w:rPr>
          </w:pPr>
          <w:r>
            <w:rPr>
              <w:rFonts w:ascii="Calibri" w:hAnsi="Calibri" w:cs="Calibri"/>
            </w:rPr>
            <w:t>Adresse :</w:t>
          </w:r>
          <w:r>
            <w:rPr>
              <w:rFonts w:ascii="Calibri" w:hAnsi="Calibri" w:cs="Calibri"/>
            </w:rPr>
            <w:tab/>
          </w:r>
        </w:p>
        <w:p>
          <w:pPr>
            <w:rPr>
              <w:rFonts w:ascii="Calibri" w:hAnsi="Calibri" w:cs="Calibri"/>
            </w:rPr>
          </w:pPr>
        </w:p>
        <w:p>
          <w:pPr>
            <w:tabs>
              <w:tab w:val="left" w:pos="1134"/>
              <w:tab w:val="right" w:leader="dot" w:pos="3060"/>
            </w:tabs>
            <w:rPr>
              <w:rFonts w:ascii="Calibri" w:hAnsi="Calibri" w:cs="Calibri"/>
            </w:rPr>
          </w:pPr>
          <w:r>
            <w:rPr>
              <w:rFonts w:ascii="Calibri" w:hAnsi="Calibri" w:cs="Calibri"/>
            </w:rPr>
            <w:t>Téléphone :</w:t>
          </w:r>
          <w:r>
            <w:rPr>
              <w:rFonts w:ascii="Calibri" w:hAnsi="Calibri" w:cs="Calibri"/>
            </w:rPr>
            <w:tab/>
          </w:r>
        </w:p>
        <w:p>
          <w:pPr>
            <w:tabs>
              <w:tab w:val="left" w:pos="1605"/>
            </w:tabs>
            <w:rPr>
              <w:rFonts w:ascii="Calibri" w:hAnsi="Calibri" w:cs="Calibri"/>
              <w:sz w:val="28"/>
              <w:szCs w:val="28"/>
            </w:rPr>
          </w:pPr>
          <w:r>
            <w:rPr>
              <w:rFonts w:ascii="Calibri" w:hAnsi="Calibri" w:cs="Calibri"/>
              <w:sz w:val="28"/>
              <w:szCs w:val="28"/>
            </w:rPr>
            <w:tab/>
          </w:r>
        </w:p>
        <w:p>
          <w:pPr>
            <w:tabs>
              <w:tab w:val="left" w:pos="1605"/>
            </w:tabs>
            <w:rPr>
              <w:rFonts w:ascii="Calibri" w:hAnsi="Calibri" w:cs="Calibri"/>
              <w:b/>
            </w:rPr>
          </w:pPr>
          <w:r>
            <w:rPr>
              <w:rFonts w:ascii="Calibri" w:hAnsi="Calibri" w:cs="Calibri"/>
            </w:rPr>
            <w:t xml:space="preserve">du </w:t>
          </w:r>
          <w:r>
            <w:rPr>
              <w:rFonts w:ascii="Calibri" w:hAnsi="Calibri" w:cs="Calibri"/>
              <w:b/>
            </w:rPr>
            <w:t>Centre hospitalier le plus proche :</w:t>
          </w:r>
        </w:p>
        <w:p>
          <w:pPr>
            <w:tabs>
              <w:tab w:val="left" w:pos="567"/>
              <w:tab w:val="right" w:leader="dot" w:pos="3060"/>
            </w:tabs>
            <w:rPr>
              <w:rFonts w:ascii="Calibri" w:hAnsi="Calibri" w:cs="Calibri"/>
            </w:rPr>
          </w:pPr>
          <w:r>
            <w:rPr>
              <w:rFonts w:ascii="Calibri" w:hAnsi="Calibri" w:cs="Calibri"/>
            </w:rPr>
            <w:t>Dénomination :</w:t>
          </w:r>
        </w:p>
        <w:p>
          <w:pPr>
            <w:tabs>
              <w:tab w:val="left" w:pos="851"/>
              <w:tab w:val="right" w:leader="dot" w:pos="3060"/>
            </w:tabs>
            <w:rPr>
              <w:rFonts w:ascii="Calibri" w:hAnsi="Calibri" w:cs="Calibri"/>
            </w:rPr>
          </w:pPr>
          <w:r>
            <w:rPr>
              <w:rFonts w:ascii="Calibri" w:hAnsi="Calibri" w:cs="Calibri"/>
            </w:rPr>
            <w:t>Adresse :</w:t>
          </w:r>
          <w:r>
            <w:rPr>
              <w:rFonts w:ascii="Calibri" w:hAnsi="Calibri" w:cs="Calibri"/>
            </w:rPr>
            <w:tab/>
          </w:r>
        </w:p>
        <w:p>
          <w:pPr>
            <w:rPr>
              <w:rFonts w:ascii="Calibri" w:hAnsi="Calibri" w:cs="Calibri"/>
            </w:rPr>
          </w:pPr>
        </w:p>
        <w:p>
          <w:pPr>
            <w:tabs>
              <w:tab w:val="left" w:pos="1134"/>
              <w:tab w:val="right" w:leader="dot" w:pos="3060"/>
            </w:tabs>
            <w:rPr>
              <w:rFonts w:ascii="Calibri" w:hAnsi="Calibri" w:cs="Calibri"/>
            </w:rPr>
          </w:pPr>
          <w:r>
            <w:rPr>
              <w:rFonts w:ascii="Calibri" w:hAnsi="Calibri" w:cs="Calibri"/>
            </w:rPr>
            <w:t>Téléphone :</w:t>
          </w:r>
          <w:r>
            <w:rPr>
              <w:rFonts w:ascii="Calibri" w:hAnsi="Calibri" w:cs="Calibri"/>
            </w:rPr>
            <w:tab/>
          </w:r>
        </w:p>
        <w:p>
          <w:pPr>
            <w:tabs>
              <w:tab w:val="left" w:pos="1134"/>
              <w:tab w:val="right" w:leader="dot" w:pos="3060"/>
            </w:tabs>
            <w:rPr>
              <w:rFonts w:ascii="Calibri" w:hAnsi="Calibri" w:cs="Calibri"/>
            </w:rPr>
          </w:pPr>
        </w:p>
        <w:p>
          <w:pPr>
            <w:tabs>
              <w:tab w:val="left" w:pos="1134"/>
              <w:tab w:val="right" w:leader="dot" w:pos="3060"/>
            </w:tabs>
            <w:rPr>
              <w:rFonts w:ascii="Calibri" w:hAnsi="Calibri" w:cs="Calibri"/>
              <w:b/>
              <w:u w:val="single"/>
            </w:rPr>
          </w:pPr>
          <w:r>
            <w:rPr>
              <w:rFonts w:ascii="Calibri" w:hAnsi="Calibri" w:cs="Calibri"/>
              <w:u w:val="single"/>
            </w:rPr>
            <w:t>Contrat d’assurance(s) complémentaire(s) [Société, n° du (des) contrat(s)]:</w:t>
          </w:r>
          <w:r>
            <w:rPr>
              <w:rFonts w:ascii="Calibri" w:hAnsi="Calibri" w:cs="Calibri"/>
              <w:b/>
              <w:u w:val="single"/>
            </w:rPr>
            <w:t xml:space="preserve"> </w:t>
          </w:r>
        </w:p>
        <w:p>
          <w:pPr>
            <w:tabs>
              <w:tab w:val="left" w:pos="1605"/>
              <w:tab w:val="right" w:pos="9072"/>
            </w:tabs>
            <w:rPr>
              <w:rFonts w:ascii="Calibri" w:hAnsi="Calibri" w:cs="Calibri"/>
              <w:b/>
            </w:rPr>
          </w:pPr>
        </w:p>
        <w:p>
          <w:pPr>
            <w:tabs>
              <w:tab w:val="left" w:pos="1605"/>
              <w:tab w:val="right" w:pos="9072"/>
            </w:tabs>
            <w:rPr>
              <w:rFonts w:ascii="Calibri" w:hAnsi="Calibri" w:cs="Calibri"/>
              <w:b/>
            </w:rPr>
          </w:pPr>
        </w:p>
        <w:p>
          <w:pPr>
            <w:tabs>
              <w:tab w:val="left" w:pos="1605"/>
              <w:tab w:val="right" w:pos="9072"/>
            </w:tabs>
            <w:rPr>
              <w:rFonts w:ascii="Calibri" w:hAnsi="Calibri" w:cs="Calibri"/>
              <w:u w:val="single"/>
            </w:rPr>
          </w:pPr>
          <w:r>
            <w:rPr>
              <w:rFonts w:ascii="Calibri" w:hAnsi="Calibri" w:cs="Calibri"/>
              <w:u w:val="single"/>
            </w:rPr>
            <w:t>Coordonnées de l’Ambassade/Consulat belge à l’étranger :</w:t>
          </w:r>
        </w:p>
        <w:p>
          <w:pPr>
            <w:tabs>
              <w:tab w:val="left" w:pos="1605"/>
              <w:tab w:val="right" w:pos="9072"/>
            </w:tabs>
            <w:rPr>
              <w:rFonts w:ascii="Calibri" w:hAnsi="Calibri" w:cs="Calibri"/>
              <w:b/>
            </w:rPr>
          </w:pPr>
        </w:p>
        <w:p>
          <w:pPr>
            <w:tabs>
              <w:tab w:val="left" w:pos="1605"/>
              <w:tab w:val="right" w:pos="9072"/>
            </w:tabs>
            <w:rPr>
              <w:rFonts w:ascii="Calibri" w:hAnsi="Calibri" w:cs="Calibri"/>
              <w:b/>
            </w:rPr>
          </w:pPr>
        </w:p>
        <w:p>
          <w:pPr>
            <w:tabs>
              <w:tab w:val="left" w:pos="1605"/>
              <w:tab w:val="right" w:pos="9072"/>
            </w:tabs>
            <w:rPr>
              <w:rFonts w:ascii="Calibri" w:hAnsi="Calibri" w:cs="Calibri"/>
              <w:b/>
            </w:rPr>
          </w:pPr>
        </w:p>
        <w:p>
          <w:pPr>
            <w:rPr>
              <w:rFonts w:ascii="Calibri" w:hAnsi="Calibri" w:cs="Calibri"/>
              <w:b/>
            </w:rPr>
          </w:pPr>
          <w:r>
            <w:rPr>
              <w:rFonts w:ascii="Calibri" w:hAnsi="Calibri" w:cs="Calibri"/>
              <w:b/>
            </w:rPr>
            <w:br w:type="page"/>
          </w:r>
        </w:p>
        <w:p>
          <w:pPr>
            <w:pStyle w:val="Titre4"/>
          </w:pPr>
          <w:r>
            <w:t>ANNEXE III</w:t>
          </w:r>
        </w:p>
        <w:p>
          <w:pPr>
            <w:tabs>
              <w:tab w:val="left" w:pos="1605"/>
              <w:tab w:val="right" w:pos="9072"/>
            </w:tabs>
            <w:rPr>
              <w:rFonts w:ascii="Calibri" w:hAnsi="Calibri" w:cs="Calibri"/>
              <w:b/>
            </w:rPr>
          </w:pPr>
        </w:p>
        <w:p>
          <w:pPr>
            <w:tabs>
              <w:tab w:val="left" w:pos="1605"/>
              <w:tab w:val="right" w:pos="9072"/>
            </w:tabs>
            <w:rPr>
              <w:rFonts w:ascii="Calibri" w:hAnsi="Calibri" w:cs="Calibri"/>
            </w:rPr>
          </w:pPr>
          <w:r>
            <w:rPr>
              <w:rFonts w:ascii="Calibri" w:hAnsi="Calibri" w:cs="Calibri"/>
            </w:rPr>
            <w:t>Etablissement (n° FASE) :</w:t>
          </w:r>
        </w:p>
        <w:p>
          <w:pPr>
            <w:tabs>
              <w:tab w:val="left" w:pos="1605"/>
              <w:tab w:val="right" w:pos="9072"/>
            </w:tabs>
            <w:jc w:val="center"/>
            <w:rPr>
              <w:rFonts w:ascii="Calibri" w:hAnsi="Calibri" w:cs="Calibri"/>
              <w:b/>
              <w:u w:val="single"/>
            </w:rPr>
          </w:pPr>
          <w:r>
            <w:rPr>
              <w:rFonts w:ascii="Calibri" w:hAnsi="Calibri" w:cs="Calibri"/>
              <w:b/>
              <w:u w:val="single"/>
            </w:rPr>
            <w:t>ENCADREMENT</w:t>
          </w:r>
        </w:p>
        <w:p>
          <w:pPr>
            <w:tabs>
              <w:tab w:val="left" w:pos="0"/>
              <w:tab w:val="right" w:leader="dot" w:pos="9072"/>
            </w:tabs>
            <w:spacing w:line="360" w:lineRule="auto"/>
            <w:rPr>
              <w:rFonts w:ascii="Calibri" w:hAnsi="Calibri" w:cs="Calibr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1800"/>
            <w:gridCol w:w="2160"/>
            <w:gridCol w:w="2804"/>
          </w:tblGrid>
          <w:tr>
            <w:trPr>
              <w:trHeight w:val="390"/>
            </w:trPr>
            <w:tc>
              <w:tcPr>
                <w:tcW w:w="2448" w:type="dxa"/>
                <w:vAlign w:val="center"/>
              </w:tcPr>
              <w:p>
                <w:pPr>
                  <w:tabs>
                    <w:tab w:val="left" w:pos="0"/>
                    <w:tab w:val="right" w:leader="dot" w:pos="9072"/>
                  </w:tabs>
                  <w:spacing w:line="360" w:lineRule="auto"/>
                  <w:jc w:val="center"/>
                  <w:rPr>
                    <w:rFonts w:ascii="Calibri" w:hAnsi="Calibri" w:cs="Calibri"/>
                    <w:b/>
                  </w:rPr>
                </w:pPr>
                <w:r>
                  <w:rPr>
                    <w:rFonts w:ascii="Calibri" w:hAnsi="Calibri" w:cs="Calibri"/>
                    <w:b/>
                  </w:rPr>
                  <w:t>Nom - Prénom</w:t>
                </w:r>
              </w:p>
            </w:tc>
            <w:tc>
              <w:tcPr>
                <w:tcW w:w="1800" w:type="dxa"/>
                <w:vAlign w:val="center"/>
              </w:tcPr>
              <w:p>
                <w:pPr>
                  <w:tabs>
                    <w:tab w:val="left" w:pos="0"/>
                    <w:tab w:val="right" w:leader="dot" w:pos="9072"/>
                  </w:tabs>
                  <w:jc w:val="center"/>
                  <w:rPr>
                    <w:rFonts w:ascii="Calibri" w:hAnsi="Calibri" w:cs="Calibri"/>
                    <w:b/>
                  </w:rPr>
                </w:pPr>
                <w:r>
                  <w:rPr>
                    <w:rFonts w:ascii="Calibri" w:hAnsi="Calibri" w:cs="Calibri"/>
                    <w:b/>
                  </w:rPr>
                  <w:t>Fonction</w:t>
                </w:r>
              </w:p>
              <w:p>
                <w:pPr>
                  <w:tabs>
                    <w:tab w:val="left" w:pos="0"/>
                    <w:tab w:val="right" w:leader="dot" w:pos="9072"/>
                  </w:tabs>
                  <w:jc w:val="center"/>
                  <w:rPr>
                    <w:rFonts w:ascii="Calibri" w:hAnsi="Calibri" w:cs="Calibri"/>
                  </w:rPr>
                </w:pPr>
                <w:r>
                  <w:rPr>
                    <w:rFonts w:ascii="Calibri" w:hAnsi="Calibri" w:cs="Calibri"/>
                  </w:rPr>
                  <w:t>(préciser si titulaire de classe)</w:t>
                </w:r>
              </w:p>
            </w:tc>
            <w:tc>
              <w:tcPr>
                <w:tcW w:w="2160" w:type="dxa"/>
                <w:vAlign w:val="center"/>
              </w:tcPr>
              <w:p>
                <w:pPr>
                  <w:tabs>
                    <w:tab w:val="left" w:pos="0"/>
                    <w:tab w:val="right" w:leader="dot" w:pos="9072"/>
                  </w:tabs>
                  <w:spacing w:line="360" w:lineRule="auto"/>
                  <w:jc w:val="center"/>
                  <w:rPr>
                    <w:rFonts w:ascii="Calibri" w:hAnsi="Calibri" w:cs="Calibri"/>
                    <w:b/>
                  </w:rPr>
                </w:pPr>
                <w:r>
                  <w:rPr>
                    <w:rFonts w:ascii="Calibri" w:hAnsi="Calibri" w:cs="Calibri"/>
                    <w:b/>
                  </w:rPr>
                  <w:t>Année d’études</w:t>
                </w:r>
              </w:p>
              <w:p>
                <w:pPr>
                  <w:tabs>
                    <w:tab w:val="left" w:pos="0"/>
                    <w:tab w:val="right" w:leader="dot" w:pos="9072"/>
                  </w:tabs>
                  <w:spacing w:line="360" w:lineRule="auto"/>
                  <w:jc w:val="center"/>
                  <w:rPr>
                    <w:rFonts w:ascii="Calibri" w:hAnsi="Calibri" w:cs="Calibri"/>
                    <w:b/>
                  </w:rPr>
                </w:pPr>
                <w:r>
                  <w:rPr>
                    <w:rFonts w:ascii="Calibri" w:hAnsi="Calibri" w:cs="Calibri"/>
                    <w:b/>
                  </w:rPr>
                  <w:t>Degré de maturité, forme, phase</w:t>
                </w:r>
              </w:p>
            </w:tc>
            <w:tc>
              <w:tcPr>
                <w:tcW w:w="2804" w:type="dxa"/>
                <w:vAlign w:val="center"/>
              </w:tcPr>
              <w:p>
                <w:pPr>
                  <w:tabs>
                    <w:tab w:val="left" w:pos="0"/>
                    <w:tab w:val="right" w:leader="dot" w:pos="9072"/>
                  </w:tabs>
                  <w:jc w:val="center"/>
                  <w:rPr>
                    <w:rFonts w:ascii="Calibri" w:hAnsi="Calibri" w:cs="Calibri"/>
                    <w:b/>
                    <w:sz w:val="16"/>
                    <w:szCs w:val="16"/>
                  </w:rPr>
                </w:pPr>
              </w:p>
              <w:p>
                <w:pPr>
                  <w:tabs>
                    <w:tab w:val="left" w:pos="0"/>
                    <w:tab w:val="right" w:leader="dot" w:pos="9072"/>
                  </w:tabs>
                  <w:jc w:val="center"/>
                  <w:rPr>
                    <w:rFonts w:ascii="Calibri" w:hAnsi="Calibri" w:cs="Calibri"/>
                  </w:rPr>
                </w:pPr>
                <w:r>
                  <w:rPr>
                    <w:rFonts w:ascii="Calibri" w:hAnsi="Calibri" w:cs="Calibri"/>
                    <w:b/>
                  </w:rPr>
                  <w:t xml:space="preserve">Temps de présence </w:t>
                </w:r>
                <w:r>
                  <w:rPr>
                    <w:rFonts w:ascii="Calibri" w:hAnsi="Calibri" w:cs="Calibri"/>
                  </w:rPr>
                  <w:t xml:space="preserve"> </w:t>
                </w:r>
              </w:p>
              <w:p>
                <w:pPr>
                  <w:tabs>
                    <w:tab w:val="left" w:pos="0"/>
                    <w:tab w:val="right" w:leader="dot" w:pos="9072"/>
                  </w:tabs>
                  <w:jc w:val="center"/>
                  <w:rPr>
                    <w:rFonts w:ascii="Calibri" w:hAnsi="Calibri" w:cs="Calibri"/>
                  </w:rPr>
                </w:pPr>
                <w:r>
                  <w:rPr>
                    <w:rFonts w:ascii="Calibri" w:hAnsi="Calibri" w:cs="Calibri"/>
                  </w:rPr>
                  <w:t>[indiquer la (les) date(s) de présence de l’accompagnateur(trice)]</w:t>
                </w:r>
              </w:p>
              <w:p>
                <w:pPr>
                  <w:tabs>
                    <w:tab w:val="left" w:pos="0"/>
                    <w:tab w:val="right" w:leader="dot" w:pos="9072"/>
                  </w:tabs>
                  <w:jc w:val="center"/>
                  <w:rPr>
                    <w:rFonts w:ascii="Calibri" w:hAnsi="Calibri" w:cs="Calibri"/>
                    <w:sz w:val="16"/>
                    <w:szCs w:val="16"/>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1. Responsable du groupe</w:t>
                </w:r>
              </w:p>
              <w:p>
                <w:pPr>
                  <w:tabs>
                    <w:tab w:val="left" w:pos="0"/>
                    <w:tab w:val="right" w:leader="dot" w:pos="9072"/>
                  </w:tabs>
                  <w:spacing w:line="360" w:lineRule="auto"/>
                  <w:rPr>
                    <w:rFonts w:ascii="Calibri" w:hAnsi="Calibri" w:cs="Calibri"/>
                  </w:rPr>
                </w:pP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2.</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3.</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4.</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5.</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6.</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7.</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8.</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9.</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10.</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11.</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12.</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bl>
        <w:p>
          <w:pPr>
            <w:pStyle w:val="Titre4"/>
          </w:pPr>
          <w:r>
            <w:rPr>
              <w:rFonts w:ascii="Calibri" w:hAnsi="Calibri"/>
            </w:rPr>
            <w:br w:type="page"/>
          </w:r>
          <w:r>
            <w:t>ANNEXE IV</w:t>
          </w:r>
        </w:p>
        <w:p>
          <w:pPr>
            <w:spacing w:line="360" w:lineRule="auto"/>
            <w:rPr>
              <w:rFonts w:ascii="Calibri" w:hAnsi="Calibri" w:cs="Calibri"/>
            </w:rPr>
          </w:pPr>
        </w:p>
        <w:p>
          <w:pPr>
            <w:tabs>
              <w:tab w:val="left" w:pos="1605"/>
              <w:tab w:val="right" w:pos="9072"/>
            </w:tabs>
            <w:rPr>
              <w:rFonts w:ascii="Calibri" w:hAnsi="Calibri" w:cs="Calibri"/>
            </w:rPr>
          </w:pPr>
          <w:r>
            <w:rPr>
              <w:rFonts w:ascii="Calibri" w:hAnsi="Calibri" w:cs="Calibri"/>
            </w:rPr>
            <w:t>Etablissement (n° FASE) :</w:t>
          </w:r>
        </w:p>
        <w:p>
          <w:pPr>
            <w:spacing w:line="360" w:lineRule="auto"/>
            <w:rPr>
              <w:rFonts w:ascii="Calibri" w:hAnsi="Calibri" w:cs="Calibri"/>
            </w:rPr>
          </w:pPr>
        </w:p>
        <w:p>
          <w:pPr>
            <w:pBdr>
              <w:top w:val="single" w:sz="4" w:space="1" w:color="auto"/>
              <w:left w:val="single" w:sz="4" w:space="0" w:color="auto"/>
              <w:bottom w:val="single" w:sz="4" w:space="1" w:color="auto"/>
              <w:right w:val="single" w:sz="4" w:space="4" w:color="auto"/>
            </w:pBdr>
            <w:jc w:val="center"/>
            <w:rPr>
              <w:rFonts w:ascii="Calibri" w:hAnsi="Calibri" w:cs="Calibri"/>
              <w:b/>
            </w:rPr>
          </w:pPr>
          <w:r>
            <w:rPr>
              <w:rFonts w:ascii="Calibri" w:hAnsi="Calibri" w:cs="Calibri"/>
              <w:b/>
            </w:rPr>
            <w:t>SEJOUR PEDAGOGIQUE AVEC NUITEE(S)</w:t>
          </w:r>
        </w:p>
        <w:p>
          <w:pPr>
            <w:pBdr>
              <w:top w:val="single" w:sz="4" w:space="1" w:color="auto"/>
              <w:left w:val="single" w:sz="4" w:space="0" w:color="auto"/>
              <w:bottom w:val="single" w:sz="4" w:space="1" w:color="auto"/>
              <w:right w:val="single" w:sz="4" w:space="4" w:color="auto"/>
            </w:pBdr>
            <w:jc w:val="center"/>
            <w:rPr>
              <w:rFonts w:ascii="Calibri" w:hAnsi="Calibri" w:cs="Calibri"/>
              <w:b/>
              <w:sz w:val="18"/>
              <w:szCs w:val="18"/>
            </w:rPr>
          </w:pPr>
          <w:r>
            <w:rPr>
              <w:rFonts w:ascii="Calibri" w:hAnsi="Calibri" w:cs="Calibri"/>
              <w:b/>
            </w:rPr>
            <w:t>Renseignements complémentaires d’ordre pédagogique</w:t>
          </w:r>
        </w:p>
        <w:p>
          <w:pPr>
            <w:rPr>
              <w:rFonts w:ascii="Calibri" w:hAnsi="Calibri" w:cs="Calibri"/>
            </w:rPr>
          </w:pPr>
        </w:p>
        <w:p>
          <w:pPr>
            <w:rPr>
              <w:rFonts w:ascii="Calibri" w:hAnsi="Calibri" w:cs="Calibri"/>
            </w:rPr>
          </w:pPr>
        </w:p>
        <w:p>
          <w:pPr>
            <w:shd w:val="clear" w:color="auto" w:fill="D9D9D9"/>
            <w:jc w:val="center"/>
            <w:rPr>
              <w:rFonts w:ascii="Calibri" w:hAnsi="Calibri" w:cs="Calibri"/>
              <w:b/>
            </w:rPr>
          </w:pPr>
          <w:r>
            <w:rPr>
              <w:rFonts w:ascii="Calibri" w:hAnsi="Calibri" w:cs="Calibri"/>
              <w:b/>
            </w:rPr>
            <w:t>OBJECTIFS GENERAUX DU SEJOUR</w:t>
          </w:r>
        </w:p>
        <w:p>
          <w:pPr>
            <w:rPr>
              <w:rFonts w:ascii="Calibri" w:hAnsi="Calibri" w:cs="Calibri"/>
            </w:rPr>
          </w:pPr>
        </w:p>
        <w:p>
          <w:pPr>
            <w:rPr>
              <w:rFonts w:ascii="Calibri" w:hAnsi="Calibri" w:cs="Calibri"/>
            </w:rPr>
          </w:pPr>
          <w:r>
            <w:rPr>
              <w:rFonts w:ascii="Calibri" w:hAnsi="Calibri" w:cs="Calibri"/>
            </w:rPr>
            <w:t>Indiquez ci-dessous les objectifs principaux que vous poursuivez en proposant ce séjour aux élèves concernés :</w:t>
          </w:r>
        </w:p>
        <w:p>
          <w:pPr>
            <w:rPr>
              <w:rFonts w:ascii="Calibri" w:hAnsi="Calibri" w:cs="Calibri"/>
            </w:rPr>
          </w:pPr>
          <w:r>
            <w:rPr>
              <w:rFonts w:ascii="Calibri" w:hAnsi="Calibri" w:cs="Calibri"/>
            </w:rPr>
            <w:t>…</w:t>
          </w:r>
        </w:p>
        <w:p>
          <w:pPr>
            <w:rPr>
              <w:rFonts w:ascii="Calibri" w:hAnsi="Calibri" w:cs="Calibri"/>
            </w:rPr>
          </w:pPr>
          <w:r>
            <w:rPr>
              <w:rFonts w:ascii="Calibri" w:hAnsi="Calibri" w:cs="Calibri"/>
            </w:rPr>
            <w:t>…</w:t>
          </w:r>
        </w:p>
        <w:p>
          <w:pPr>
            <w:pStyle w:val="Paragraphedeliste"/>
            <w:rPr>
              <w:rFonts w:ascii="Calibri" w:hAnsi="Calibri" w:cs="Calibri"/>
              <w:szCs w:val="22"/>
            </w:rPr>
          </w:pPr>
        </w:p>
        <w:p>
          <w:pPr>
            <w:rPr>
              <w:rFonts w:ascii="Calibri" w:hAnsi="Calibri" w:cs="Calibri"/>
            </w:rPr>
          </w:pPr>
        </w:p>
        <w:p>
          <w:pPr>
            <w:jc w:val="center"/>
            <w:rPr>
              <w:rFonts w:ascii="Calibri" w:hAnsi="Calibri" w:cs="Calibri"/>
            </w:rPr>
          </w:pPr>
        </w:p>
        <w:p>
          <w:pPr>
            <w:shd w:val="clear" w:color="auto" w:fill="D9D9D9"/>
            <w:jc w:val="center"/>
            <w:rPr>
              <w:rFonts w:ascii="Calibri" w:hAnsi="Calibri" w:cs="Calibri"/>
              <w:b/>
            </w:rPr>
          </w:pPr>
          <w:r>
            <w:rPr>
              <w:rFonts w:ascii="Calibri" w:hAnsi="Calibri" w:cs="Calibri"/>
              <w:b/>
            </w:rPr>
            <w:t>COMPETENCES DEVELOPPEES</w:t>
          </w:r>
        </w:p>
        <w:p>
          <w:pPr>
            <w:shd w:val="clear" w:color="auto" w:fill="D9D9D9"/>
            <w:jc w:val="center"/>
            <w:rPr>
              <w:rFonts w:ascii="Calibri" w:hAnsi="Calibri" w:cs="Calibri"/>
              <w:b/>
            </w:rPr>
          </w:pPr>
          <w:r>
            <w:rPr>
              <w:rFonts w:ascii="Calibri" w:hAnsi="Calibri" w:cs="Calibri"/>
              <w:b/>
            </w:rPr>
            <w:t>DANS LE CADRE DU SEJOUR PEDAGOGIQUE AVEC NUITEE(S)</w:t>
          </w:r>
        </w:p>
        <w:p>
          <w:pPr>
            <w:rPr>
              <w:rFonts w:ascii="Calibri" w:hAnsi="Calibri" w:cs="Calibri"/>
            </w:rPr>
          </w:pPr>
        </w:p>
        <w:p>
          <w:pPr>
            <w:rPr>
              <w:rFonts w:ascii="Calibri" w:hAnsi="Calibri" w:cs="Calibri"/>
            </w:rPr>
          </w:pPr>
          <w:r>
            <w:rPr>
              <w:rFonts w:ascii="Calibri" w:hAnsi="Calibri" w:cs="Calibri"/>
            </w:rPr>
            <w:t>Quelles sont les compétences développées dans les matières que vous rencontrerez lors de ce séjour ?</w:t>
          </w:r>
        </w:p>
        <w:p>
          <w:pPr>
            <w:rPr>
              <w:rFonts w:ascii="Calibri" w:hAnsi="Calibri" w:cs="Calibri"/>
            </w:rPr>
          </w:pPr>
        </w:p>
        <w:p>
          <w:pPr>
            <w:pStyle w:val="Paragraphedeliste"/>
            <w:numPr>
              <w:ilvl w:val="0"/>
              <w:numId w:val="216"/>
            </w:numPr>
            <w:suppressAutoHyphens w:val="0"/>
            <w:contextualSpacing/>
            <w:rPr>
              <w:rFonts w:ascii="Calibri" w:hAnsi="Calibri" w:cs="Calibri"/>
              <w:szCs w:val="22"/>
            </w:rPr>
          </w:pPr>
          <w:r>
            <w:rPr>
              <w:rFonts w:ascii="Calibri" w:hAnsi="Calibri" w:cs="Calibri"/>
              <w:szCs w:val="22"/>
            </w:rPr>
            <w:t>Compétences disciplinaires développées :</w:t>
          </w:r>
        </w:p>
        <w:p>
          <w:pPr>
            <w:ind w:firstLine="709"/>
            <w:rPr>
              <w:rFonts w:ascii="Calibri" w:hAnsi="Calibri" w:cs="Calibri"/>
            </w:rPr>
          </w:pPr>
          <w:r>
            <w:rPr>
              <w:rFonts w:ascii="Calibri" w:hAnsi="Calibri" w:cs="Calibri"/>
            </w:rPr>
            <w:t>…</w:t>
          </w:r>
        </w:p>
        <w:p>
          <w:pPr>
            <w:ind w:firstLine="709"/>
            <w:rPr>
              <w:rFonts w:ascii="Calibri" w:hAnsi="Calibri" w:cs="Calibri"/>
            </w:rPr>
          </w:pPr>
          <w:r>
            <w:rPr>
              <w:rFonts w:ascii="Calibri" w:hAnsi="Calibri" w:cs="Calibri"/>
            </w:rPr>
            <w:t>…</w:t>
          </w:r>
        </w:p>
        <w:p>
          <w:pPr>
            <w:rPr>
              <w:rFonts w:ascii="Calibri" w:hAnsi="Calibri" w:cs="Calibri"/>
            </w:rPr>
          </w:pPr>
        </w:p>
        <w:p>
          <w:pPr>
            <w:pStyle w:val="Paragraphedeliste"/>
            <w:numPr>
              <w:ilvl w:val="0"/>
              <w:numId w:val="216"/>
            </w:numPr>
            <w:suppressAutoHyphens w:val="0"/>
            <w:contextualSpacing/>
            <w:rPr>
              <w:rFonts w:ascii="Calibri" w:hAnsi="Calibri" w:cs="Calibri"/>
              <w:szCs w:val="22"/>
            </w:rPr>
          </w:pPr>
          <w:r>
            <w:rPr>
              <w:rFonts w:ascii="Calibri" w:hAnsi="Calibri" w:cs="Calibri"/>
              <w:szCs w:val="22"/>
            </w:rPr>
            <w:t>Compétences interdisciplinaires développées :</w:t>
          </w:r>
        </w:p>
        <w:p>
          <w:pPr>
            <w:ind w:firstLine="709"/>
            <w:rPr>
              <w:rFonts w:ascii="Calibri" w:hAnsi="Calibri" w:cs="Calibri"/>
            </w:rPr>
          </w:pPr>
          <w:r>
            <w:rPr>
              <w:rFonts w:ascii="Calibri" w:hAnsi="Calibri" w:cs="Calibri"/>
            </w:rPr>
            <w:t>…</w:t>
          </w:r>
        </w:p>
        <w:p>
          <w:pPr>
            <w:ind w:firstLine="709"/>
            <w:rPr>
              <w:rFonts w:ascii="Calibri" w:hAnsi="Calibri" w:cs="Calibri"/>
            </w:rPr>
          </w:pPr>
          <w:r>
            <w:rPr>
              <w:rFonts w:ascii="Calibri" w:hAnsi="Calibri" w:cs="Calibri"/>
            </w:rPr>
            <w:t>…</w:t>
          </w:r>
        </w:p>
        <w:p>
          <w:pPr>
            <w:rPr>
              <w:rFonts w:ascii="Calibri" w:hAnsi="Calibri" w:cs="Calibri"/>
            </w:rPr>
          </w:pPr>
        </w:p>
        <w:p>
          <w:pPr>
            <w:pStyle w:val="Paragraphedeliste"/>
            <w:numPr>
              <w:ilvl w:val="0"/>
              <w:numId w:val="216"/>
            </w:numPr>
            <w:suppressAutoHyphens w:val="0"/>
            <w:contextualSpacing/>
            <w:rPr>
              <w:rFonts w:ascii="Calibri" w:hAnsi="Calibri" w:cs="Calibri"/>
              <w:szCs w:val="22"/>
            </w:rPr>
          </w:pPr>
          <w:r>
            <w:rPr>
              <w:rFonts w:ascii="Calibri" w:hAnsi="Calibri" w:cs="Calibri"/>
              <w:szCs w:val="22"/>
            </w:rPr>
            <w:t>Compétences transversales développées :</w:t>
          </w:r>
        </w:p>
        <w:p>
          <w:pPr>
            <w:ind w:firstLine="709"/>
            <w:rPr>
              <w:rFonts w:ascii="Calibri" w:hAnsi="Calibri" w:cs="Calibri"/>
            </w:rPr>
          </w:pPr>
          <w:r>
            <w:rPr>
              <w:rFonts w:ascii="Calibri" w:hAnsi="Calibri" w:cs="Calibri"/>
            </w:rPr>
            <w:t>…</w:t>
          </w:r>
        </w:p>
        <w:p>
          <w:pPr>
            <w:ind w:left="709"/>
            <w:rPr>
              <w:rFonts w:ascii="Calibri" w:hAnsi="Calibri" w:cs="Calibri"/>
            </w:rPr>
          </w:pPr>
          <w:r>
            <w:rPr>
              <w:rFonts w:ascii="Calibri" w:hAnsi="Calibri" w:cs="Calibri"/>
            </w:rPr>
            <w:t>…</w:t>
          </w:r>
        </w:p>
        <w:p>
          <w:pPr>
            <w:rPr>
              <w:rFonts w:ascii="Calibri" w:hAnsi="Calibri" w:cs="Calibri"/>
            </w:rPr>
          </w:pPr>
        </w:p>
        <w:p/>
      </w:sdtContent>
    </w:sdt>
    <w:sdt>
      <w:sdtPr>
        <w:id w:val="1098141821"/>
        <w:docPartObj>
          <w:docPartGallery w:val="Cover Pages"/>
          <w:docPartUnique/>
        </w:docPartObj>
      </w:sdtPr>
      <w:sdtContent>
        <w:p/>
        <w:p>
          <w:r>
            <w:br w:type="page"/>
          </w:r>
        </w:p>
        <w:p/>
      </w:sdtContent>
    </w:sdt>
    <w:sdt>
      <w:sdtPr>
        <w:rPr>
          <w:caps/>
        </w:rPr>
        <w:id w:val="1035547279"/>
        <w:docPartObj>
          <w:docPartGallery w:val="Cover Pages"/>
          <w:docPartUnique/>
        </w:docPartObj>
      </w:sdtPr>
      <w:sdtEndPr>
        <w:rPr>
          <w:caps w:val="0"/>
        </w:rPr>
      </w:sdtEndPr>
      <w:sdtContent>
        <w:p/>
        <w:p>
          <w:pPr>
            <w:rPr>
              <w:rFonts w:eastAsiaTheme="minorEastAsia"/>
              <w:lang w:eastAsia="fr-BE"/>
            </w:rPr>
          </w:pPr>
        </w:p>
        <w:p>
          <w:pPr>
            <w:pStyle w:val="Sansinterligne"/>
            <w:rPr>
              <w:rFonts w:asciiTheme="majorHAnsi" w:hAnsiTheme="majorHAnsi"/>
            </w:rPr>
          </w:pPr>
        </w:p>
        <w:p>
          <w:pPr>
            <w:pStyle w:val="Titre1"/>
            <w:rPr>
              <w:color w:val="7030A0"/>
            </w:rPr>
          </w:pPr>
          <w:bookmarkStart w:id="3539" w:name="_Toc477624068"/>
          <w:bookmarkStart w:id="3540" w:name="_Toc477767951"/>
          <w:bookmarkStart w:id="3541" w:name="_Toc18914543"/>
          <w:r>
            <w:rPr>
              <w:color w:val="7030A0"/>
            </w:rPr>
            <w:t>INDEX</w:t>
          </w:r>
          <w:bookmarkEnd w:id="3539"/>
          <w:bookmarkEnd w:id="3540"/>
          <w:bookmarkEnd w:id="3541"/>
        </w:p>
        <w:p>
          <w:pPr>
            <w:pStyle w:val="Sansinterligne"/>
            <w:jc w:val="center"/>
            <w:rPr>
              <w:rFonts w:asciiTheme="majorHAnsi" w:eastAsiaTheme="majorEastAsia" w:hAnsiTheme="majorHAnsi" w:cstheme="majorBidi"/>
              <w:caps/>
              <w:color w:val="7030A0"/>
            </w:rPr>
          </w:pPr>
        </w:p>
        <w:p>
          <w:pPr>
            <w:pStyle w:val="Sansinterligne"/>
            <w:jc w:val="center"/>
            <w:rPr>
              <w:rFonts w:asciiTheme="majorHAnsi" w:eastAsiaTheme="majorEastAsia" w:hAnsiTheme="majorHAnsi" w:cstheme="majorBidi"/>
              <w:caps/>
              <w:color w:val="7030A0"/>
            </w:rPr>
          </w:pPr>
        </w:p>
        <w:p>
          <w:pPr>
            <w:pStyle w:val="Sansinterligne"/>
            <w:jc w:val="center"/>
            <w:rPr>
              <w:rFonts w:asciiTheme="majorHAnsi" w:eastAsiaTheme="majorEastAsia" w:hAnsiTheme="majorHAnsi" w:cstheme="majorBidi"/>
              <w:caps/>
              <w:color w:val="7030A0"/>
            </w:rPr>
          </w:pPr>
        </w:p>
        <w:p>
          <w:pPr>
            <w:pStyle w:val="Sansinterligne"/>
            <w:jc w:val="center"/>
            <w:rPr>
              <w:rFonts w:asciiTheme="majorHAnsi" w:eastAsiaTheme="majorEastAsia" w:hAnsiTheme="majorHAnsi" w:cstheme="majorBidi"/>
              <w:caps/>
              <w:color w:val="7030A0"/>
            </w:rPr>
          </w:pPr>
        </w:p>
        <w:p/>
        <w:p>
          <w:pPr>
            <w:pStyle w:val="Titre2"/>
          </w:pPr>
          <w:bookmarkStart w:id="3542" w:name="_INDEX_I_:"/>
          <w:bookmarkStart w:id="3543" w:name="_Toc477624069"/>
          <w:bookmarkStart w:id="3544" w:name="_Toc477767952"/>
          <w:bookmarkStart w:id="3545" w:name="_Toc18914544"/>
          <w:bookmarkEnd w:id="3542"/>
          <w:r>
            <w:t>INDEX I</w:t>
          </w:r>
          <w:bookmarkStart w:id="3546" w:name="_Toc477624070"/>
          <w:bookmarkStart w:id="3547" w:name="_Toc477767953"/>
          <w:bookmarkEnd w:id="3543"/>
          <w:bookmarkEnd w:id="3544"/>
          <w:r>
            <w:t> : Les personnes-ressources de la Direction générale de l’Enseignement obligatoire pour les établissements d’Enseignement spécialisé</w:t>
          </w:r>
          <w:bookmarkEnd w:id="3546"/>
          <w:bookmarkEnd w:id="3547"/>
          <w:bookmarkEnd w:id="3545"/>
        </w:p>
        <w:p/>
        <w:p/>
      </w:sdtContent>
    </w:sdt>
    <w:p/>
    <w:p/>
    <w:p/>
    <w:p>
      <w:pPr>
        <w:pStyle w:val="Titre3"/>
      </w:pPr>
      <w:bookmarkStart w:id="3548" w:name="_1._Direction_générale"/>
      <w:bookmarkStart w:id="3549" w:name="_Toc18914545"/>
      <w:bookmarkEnd w:id="3548"/>
      <w:r>
        <w:t>1. Direction générale de l’enseignement obligatoire</w:t>
      </w:r>
      <w:bookmarkEnd w:id="3549"/>
    </w:p>
    <w:p>
      <w:pPr>
        <w:rPr>
          <w:b/>
        </w:rPr>
      </w:pPr>
    </w:p>
    <w:p>
      <w:pPr>
        <w:rPr>
          <w:b/>
        </w:rPr>
      </w:pPr>
      <w:r>
        <w:rPr>
          <w:b/>
        </w:rPr>
        <w:t xml:space="preserve"> Monsieur Fabrice AERTS-BANCKEN, Directeur général</w:t>
      </w:r>
    </w:p>
    <w:p>
      <w:pPr>
        <w:pBdr>
          <w:right w:val="single" w:sz="4" w:space="4" w:color="auto"/>
        </w:pBdr>
      </w:pPr>
    </w:p>
    <w:p>
      <w:pPr>
        <w:pBdr>
          <w:right w:val="single" w:sz="4" w:space="4" w:color="auto"/>
        </w:pBdr>
      </w:pPr>
      <w:r>
        <w:t>Adresse : 3ème étage, rue Adolphe Lavallée 1 à 1080 BRUXELLES</w:t>
      </w:r>
    </w:p>
    <w:p>
      <w:pPr>
        <w:pBdr>
          <w:right w:val="single" w:sz="4" w:space="4" w:color="auto"/>
        </w:pBdr>
      </w:pPr>
    </w:p>
    <w:p>
      <w:pPr>
        <w:pBdr>
          <w:right w:val="single" w:sz="4" w:space="4" w:color="auto"/>
        </w:pBdr>
      </w:pPr>
      <w:r>
        <w:t xml:space="preserve">Secrétariat : 02/690.83.00  </w:t>
      </w:r>
    </w:p>
    <w:p/>
    <w:p>
      <w:pPr>
        <w:pStyle w:val="Titre3"/>
      </w:pPr>
      <w:bookmarkStart w:id="3550" w:name="_Toc18914546"/>
      <w:r>
        <w:t>2. Service général de l’enseignement fondamental ordinaire et de l’enseignement spécialisé</w:t>
      </w:r>
      <w:bookmarkEnd w:id="3550"/>
    </w:p>
    <w:p>
      <w:pPr>
        <w:rPr>
          <w:b/>
        </w:rPr>
      </w:pPr>
    </w:p>
    <w:p>
      <w:pPr>
        <w:rPr>
          <w:b/>
        </w:rPr>
      </w:pPr>
      <w:r>
        <w:rPr>
          <w:b/>
        </w:rPr>
        <w:t>Monsieur Pierre ERCOLINI, Directeur général adjoint</w:t>
      </w:r>
    </w:p>
    <w:p/>
    <w:p>
      <w:r>
        <w:t>Adresse : 2ème étage, rue Adolphe Lavallée 1 à 1080 BRUXELLES</w:t>
      </w:r>
    </w:p>
    <w:p/>
    <w:p>
      <w:r>
        <w:t>Secrétariat :</w:t>
      </w:r>
    </w:p>
    <w:p>
      <w:r>
        <w:t>Anne-Françoise FOSSION</w:t>
      </w:r>
      <w:r>
        <w:tab/>
        <w:t>Tél : 02/690.83.93 - Fax : 02/690.85.77</w:t>
      </w:r>
    </w:p>
    <w:p/>
    <w:p>
      <w:pPr>
        <w:pStyle w:val="Titre3"/>
      </w:pPr>
      <w:bookmarkStart w:id="3551" w:name="_Toc18914547"/>
      <w:r>
        <w:t>3. Direction des Affaires générales et de l’Enseignement spécialisé</w:t>
      </w:r>
      <w:bookmarkEnd w:id="3551"/>
    </w:p>
    <w:p>
      <w:pPr>
        <w:rPr>
          <w:b/>
        </w:rPr>
      </w:pPr>
    </w:p>
    <w:p>
      <w:pPr>
        <w:rPr>
          <w:b/>
        </w:rPr>
      </w:pPr>
      <w:r>
        <w:rPr>
          <w:b/>
        </w:rPr>
        <w:t>Monsieur William FUCHS, Directeur</w:t>
      </w:r>
    </w:p>
    <w:p/>
    <w:p>
      <w:r>
        <w:t>Adresse : 2ème étage, rue Adolphe Lavallée 1 à  1080 BRUXELLES</w:t>
      </w:r>
    </w:p>
    <w:p>
      <w:r>
        <w:t>Tél : 02/690.83.94 – Fax : 02/690.85.77</w:t>
      </w:r>
    </w:p>
    <w:p/>
    <w:p>
      <w:pPr>
        <w:pBdr>
          <w:top w:val="single" w:sz="4" w:space="1" w:color="auto"/>
          <w:left w:val="single" w:sz="4" w:space="4" w:color="auto"/>
          <w:bottom w:val="single" w:sz="4" w:space="1" w:color="auto"/>
          <w:right w:val="single" w:sz="4" w:space="4" w:color="auto"/>
        </w:pBdr>
        <w:rPr>
          <w:b/>
        </w:rPr>
      </w:pPr>
      <w:r>
        <w:rPr>
          <w:b/>
        </w:rPr>
        <w:t xml:space="preserve">Pour toutes questions relatives à l’enseignement spécialisé, vous pouvez envoyer un mail à l’adresse suivante : </w:t>
      </w:r>
      <w:r>
        <w:rPr>
          <w:b/>
          <w:color w:val="0000FF"/>
        </w:rPr>
        <w:t>enseignement_specialise@cfwb.be</w:t>
      </w:r>
      <w:r>
        <w:rPr>
          <w:b/>
        </w:rPr>
        <w:t xml:space="preserve">     </w:t>
      </w:r>
    </w:p>
    <w:p/>
    <w:p>
      <w:pPr>
        <w:pBdr>
          <w:top w:val="single" w:sz="4" w:space="1" w:color="auto"/>
          <w:left w:val="single" w:sz="4" w:space="4" w:color="auto"/>
          <w:bottom w:val="single" w:sz="4" w:space="1" w:color="auto"/>
          <w:right w:val="single" w:sz="4" w:space="4" w:color="auto"/>
        </w:pBdr>
        <w:jc w:val="center"/>
        <w:rPr>
          <w:b/>
          <w:color w:val="FF0000"/>
        </w:rPr>
      </w:pPr>
      <w:r>
        <w:t xml:space="preserve">Les numéros de téléphone du bâtiment 1, rue Adolphe Lavallée commencent tous par </w:t>
      </w:r>
      <w:r>
        <w:rPr>
          <w:b/>
          <w:color w:val="FF0000"/>
        </w:rPr>
        <w:t>02/690…</w:t>
      </w:r>
    </w:p>
    <w:p>
      <w:pPr>
        <w:pBdr>
          <w:top w:val="single" w:sz="4" w:space="1" w:color="auto"/>
          <w:left w:val="single" w:sz="4" w:space="4" w:color="auto"/>
          <w:bottom w:val="single" w:sz="4" w:space="1" w:color="auto"/>
          <w:right w:val="single" w:sz="4" w:space="4" w:color="auto"/>
        </w:pBdr>
        <w:jc w:val="center"/>
      </w:pPr>
      <w:r>
        <w:t xml:space="preserve">Procédure commune pour adresser un mail à tous les agents : </w:t>
      </w:r>
      <w:hyperlink r:id="rId259" w:history="1">
        <w:r>
          <w:rPr>
            <w:rStyle w:val="Lienhypertexte"/>
            <w:rFonts w:cs="Arial"/>
          </w:rPr>
          <w:t>prenom.nom@cfwb.be</w:t>
        </w:r>
      </w:hyperlink>
      <w:r>
        <w:t xml:space="preserve"> </w:t>
      </w:r>
    </w:p>
    <w:p>
      <w:pPr>
        <w:pBdr>
          <w:top w:val="single" w:sz="4" w:space="1" w:color="auto"/>
          <w:left w:val="single" w:sz="4" w:space="4" w:color="auto"/>
          <w:bottom w:val="single" w:sz="4" w:space="1" w:color="auto"/>
          <w:right w:val="single" w:sz="4" w:space="4" w:color="auto"/>
        </w:pBdr>
        <w:jc w:val="center"/>
      </w:pPr>
      <w:r>
        <w:t>(Le tout en minuscule et sans accent).</w:t>
      </w:r>
      <w:r>
        <w:br w:type="page"/>
      </w:r>
    </w:p>
    <w:p>
      <w:pPr>
        <w:pStyle w:val="Titre3"/>
      </w:pPr>
      <w:bookmarkStart w:id="3552" w:name="_Matières_traitées_par"/>
      <w:bookmarkStart w:id="3553" w:name="_Toc18914548"/>
      <w:bookmarkEnd w:id="3552"/>
      <w:r>
        <w:t xml:space="preserve">4. </w:t>
      </w:r>
      <w:bookmarkStart w:id="3554" w:name="_Toc453314256"/>
      <w:bookmarkStart w:id="3555" w:name="_Toc454980291"/>
      <w:r>
        <w:t>Matières traitées par les agent(e)s de la Direction des Affaires générales et de l’Enseignement spécialisé</w:t>
      </w:r>
      <w:bookmarkEnd w:id="3554"/>
      <w:bookmarkEnd w:id="3555"/>
      <w:bookmarkEnd w:id="3553"/>
    </w:p>
    <w:p>
      <w:r>
        <w:rPr>
          <w:noProof/>
          <w:lang w:eastAsia="fr-BE"/>
        </w:rPr>
        <mc:AlternateContent>
          <mc:Choice Requires="wps">
            <w:drawing>
              <wp:anchor distT="0" distB="0" distL="114300" distR="114300" simplePos="0" relativeHeight="252057600" behindDoc="0" locked="0" layoutInCell="1" allowOverlap="1">
                <wp:simplePos x="0" y="0"/>
                <wp:positionH relativeFrom="column">
                  <wp:posOffset>6532336</wp:posOffset>
                </wp:positionH>
                <wp:positionV relativeFrom="paragraph">
                  <wp:posOffset>193221</wp:posOffset>
                </wp:positionV>
                <wp:extent cx="0" cy="8020595"/>
                <wp:effectExtent l="0" t="0" r="19050" b="19050"/>
                <wp:wrapNone/>
                <wp:docPr id="4941" name="Connecteur droit 4941"/>
                <wp:cNvGraphicFramePr/>
                <a:graphic xmlns:a="http://schemas.openxmlformats.org/drawingml/2006/main">
                  <a:graphicData uri="http://schemas.microsoft.com/office/word/2010/wordprocessingShape">
                    <wps:wsp>
                      <wps:cNvCnPr/>
                      <wps:spPr>
                        <a:xfrm>
                          <a:off x="0" y="0"/>
                          <a:ext cx="0" cy="802059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475C20B" id="Connecteur droit 4941" o:spid="_x0000_s1026" style="position:absolute;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4.35pt,15.2pt" to="514.35pt,64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" strokecolor="black [3040]"/>
            </w:pict>
          </mc:Fallback>
        </mc:AlternateContent>
      </w:r>
    </w:p>
    <w:tbl>
      <w:tblPr>
        <w:tblW w:w="10032" w:type="dxa"/>
        <w:tblInd w:w="108" w:type="dxa"/>
        <w:tblLayout w:type="fixed"/>
        <w:tblLook w:val="0000" w:firstRow="0" w:lastRow="0" w:firstColumn="0" w:lastColumn="0" w:noHBand="0" w:noVBand="0"/>
      </w:tblPr>
      <w:tblGrid>
        <w:gridCol w:w="4500"/>
        <w:gridCol w:w="2588"/>
        <w:gridCol w:w="1588"/>
        <w:gridCol w:w="1356"/>
      </w:tblGrid>
      <w:tr>
        <w:trPr>
          <w:trHeight w:val="517"/>
          <w:tblHeader/>
        </w:trPr>
        <w:tc>
          <w:tcPr>
            <w:tcW w:w="4500" w:type="dxa"/>
            <w:tcBorders>
              <w:top w:val="single" w:sz="4" w:space="0" w:color="000000"/>
              <w:left w:val="single" w:sz="4" w:space="0" w:color="000000"/>
              <w:bottom w:val="single" w:sz="4" w:space="0" w:color="000000"/>
            </w:tcBorders>
            <w:shd w:val="clear" w:color="auto" w:fill="0099FF"/>
            <w:vAlign w:val="center"/>
          </w:tcPr>
          <w:p>
            <w:pPr>
              <w:tabs>
                <w:tab w:val="left" w:pos="1134"/>
              </w:tabs>
              <w:snapToGrid w:val="0"/>
              <w:jc w:val="center"/>
              <w:rPr>
                <w:b/>
              </w:rPr>
            </w:pPr>
            <w:r>
              <w:rPr>
                <w:b/>
              </w:rPr>
              <w:t>Matière</w:t>
            </w:r>
          </w:p>
        </w:tc>
        <w:tc>
          <w:tcPr>
            <w:tcW w:w="2588" w:type="dxa"/>
            <w:tcBorders>
              <w:top w:val="single" w:sz="4" w:space="0" w:color="000000"/>
              <w:left w:val="single" w:sz="4" w:space="0" w:color="000000"/>
              <w:bottom w:val="single" w:sz="4" w:space="0" w:color="000000"/>
            </w:tcBorders>
            <w:shd w:val="clear" w:color="auto" w:fill="0099FF"/>
            <w:vAlign w:val="center"/>
          </w:tcPr>
          <w:p>
            <w:pPr>
              <w:snapToGrid w:val="0"/>
              <w:jc w:val="center"/>
              <w:rPr>
                <w:b/>
                <w:bCs/>
              </w:rPr>
            </w:pPr>
            <w:r>
              <w:rPr>
                <w:b/>
                <w:bCs/>
              </w:rPr>
              <w:t>Personne de contact</w:t>
            </w:r>
          </w:p>
        </w:tc>
        <w:tc>
          <w:tcPr>
            <w:tcW w:w="1588" w:type="dxa"/>
            <w:tcBorders>
              <w:top w:val="single" w:sz="4" w:space="0" w:color="000000"/>
              <w:left w:val="single" w:sz="4" w:space="0" w:color="000000"/>
              <w:bottom w:val="single" w:sz="4" w:space="0" w:color="000000"/>
            </w:tcBorders>
            <w:shd w:val="clear" w:color="auto" w:fill="0099FF"/>
            <w:vAlign w:val="center"/>
          </w:tcPr>
          <w:p>
            <w:pPr>
              <w:tabs>
                <w:tab w:val="left" w:pos="1134"/>
              </w:tabs>
              <w:snapToGrid w:val="0"/>
              <w:jc w:val="center"/>
              <w:rPr>
                <w:b/>
                <w:bCs/>
              </w:rPr>
            </w:pPr>
            <w:r>
              <w:rPr>
                <w:b/>
                <w:bCs/>
              </w:rPr>
              <w:t>Tél</w:t>
            </w:r>
          </w:p>
        </w:tc>
        <w:tc>
          <w:tcPr>
            <w:tcW w:w="1356" w:type="dxa"/>
            <w:tcBorders>
              <w:top w:val="single" w:sz="4" w:space="0" w:color="000000"/>
              <w:left w:val="single" w:sz="4" w:space="0" w:color="000000"/>
              <w:bottom w:val="single" w:sz="4" w:space="0" w:color="000000"/>
              <w:right w:val="single" w:sz="4" w:space="0" w:color="000000"/>
            </w:tcBorders>
            <w:shd w:val="clear" w:color="auto" w:fill="0099FF"/>
            <w:vAlign w:val="center"/>
          </w:tcPr>
          <w:p>
            <w:pPr>
              <w:tabs>
                <w:tab w:val="left" w:pos="1134"/>
              </w:tabs>
              <w:snapToGrid w:val="0"/>
              <w:jc w:val="center"/>
              <w:rPr>
                <w:b/>
                <w:bCs/>
              </w:rPr>
            </w:pPr>
            <w:r>
              <w:rPr>
                <w:b/>
                <w:bCs/>
              </w:rPr>
              <w:t>Fax</w:t>
            </w:r>
          </w:p>
        </w:tc>
      </w:tr>
      <w:tr>
        <w:trPr>
          <w:trHeight w:val="373"/>
        </w:trPr>
        <w:tc>
          <w:tcPr>
            <w:tcW w:w="4500" w:type="dxa"/>
            <w:tcBorders>
              <w:top w:val="single" w:sz="4" w:space="0" w:color="000000"/>
              <w:left w:val="single" w:sz="4" w:space="0" w:color="000000"/>
              <w:bottom w:val="single" w:sz="4" w:space="0" w:color="000000"/>
            </w:tcBorders>
            <w:vAlign w:val="center"/>
          </w:tcPr>
          <w:p>
            <w:pPr>
              <w:tabs>
                <w:tab w:val="left" w:pos="1134"/>
              </w:tabs>
              <w:snapToGrid w:val="0"/>
              <w:ind w:firstLine="75"/>
            </w:pPr>
            <w:r>
              <w:t>Organisation générale du spécialisé</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rPr>
                <w:lang w:val="en-GB"/>
              </w:rPr>
            </w:pPr>
            <w:r>
              <w:rPr>
                <w:lang w:val="en-GB"/>
              </w:rPr>
              <w:t>William FUCHS</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rPr>
                <w:lang w:val="en-GB"/>
              </w:rPr>
            </w:pPr>
            <w:r>
              <w:rPr>
                <w:lang w:val="en-GB"/>
              </w:rPr>
              <w:t>83.94</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rPr>
                <w:lang w:val="en-GB"/>
              </w:rPr>
            </w:pPr>
            <w:r>
              <w:rPr>
                <w:lang w:val="en-GB"/>
              </w:rPr>
              <w:t>85.77</w:t>
            </w:r>
          </w:p>
        </w:tc>
      </w:tr>
      <w:tr>
        <w:trPr>
          <w:trHeight w:val="350"/>
        </w:trPr>
        <w:tc>
          <w:tcPr>
            <w:tcW w:w="4500" w:type="dxa"/>
            <w:tcBorders>
              <w:top w:val="single" w:sz="4" w:space="0" w:color="000000"/>
              <w:left w:val="single" w:sz="4" w:space="0" w:color="000000"/>
              <w:bottom w:val="single" w:sz="4" w:space="0" w:color="000000"/>
            </w:tcBorders>
            <w:vAlign w:val="center"/>
          </w:tcPr>
          <w:p>
            <w:pPr>
              <w:tabs>
                <w:tab w:val="left" w:pos="1134"/>
              </w:tabs>
              <w:snapToGrid w:val="0"/>
              <w:rPr>
                <w:lang w:val="en-GB"/>
              </w:rPr>
            </w:pPr>
            <w:r>
              <w:rPr>
                <w:lang w:val="en-GB"/>
              </w:rPr>
              <w:t>Législation</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rPr>
                <w:lang w:val="en-GB"/>
              </w:rPr>
            </w:pPr>
            <w:r>
              <w:rPr>
                <w:lang w:val="en-GB"/>
              </w:rPr>
              <w:t>William FUCHS</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83.94</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85.77</w:t>
            </w:r>
          </w:p>
        </w:tc>
      </w:tr>
      <w:tr>
        <w:trPr>
          <w:trHeight w:val="663"/>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Calcul et contrôle de l’encadrement</w:t>
            </w:r>
          </w:p>
        </w:tc>
        <w:tc>
          <w:tcPr>
            <w:tcW w:w="2588" w:type="dxa"/>
            <w:tcBorders>
              <w:top w:val="single" w:sz="4" w:space="0" w:color="000000"/>
              <w:left w:val="single" w:sz="4" w:space="0" w:color="000000"/>
              <w:bottom w:val="single" w:sz="4" w:space="0" w:color="000000"/>
            </w:tcBorders>
            <w:vAlign w:val="center"/>
          </w:tcPr>
          <w:p>
            <w:r>
              <w:t>Isabelle THOMAS</w:t>
            </w:r>
          </w:p>
          <w:p>
            <w:pPr>
              <w:snapToGrid w:val="0"/>
            </w:pPr>
            <w:r>
              <w:t>Noémie SOMME</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88.92</w:t>
            </w:r>
          </w:p>
          <w:p>
            <w:pPr>
              <w:tabs>
                <w:tab w:val="left" w:pos="1134"/>
              </w:tabs>
              <w:snapToGrid w:val="0"/>
              <w:jc w:val="center"/>
            </w:pPr>
            <w:r>
              <w:t>84.01</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spacing w:before="120"/>
              <w:jc w:val="center"/>
            </w:pPr>
            <w:r>
              <w:t>88.05</w:t>
            </w:r>
          </w:p>
          <w:p>
            <w:pPr>
              <w:tabs>
                <w:tab w:val="left" w:pos="1134"/>
              </w:tabs>
              <w:snapToGrid w:val="0"/>
              <w:jc w:val="center"/>
            </w:pPr>
          </w:p>
        </w:tc>
      </w:tr>
      <w:tr>
        <w:trPr>
          <w:trHeight w:val="544"/>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Rationalisation - Programmation</w:t>
            </w:r>
          </w:p>
        </w:tc>
        <w:tc>
          <w:tcPr>
            <w:tcW w:w="2588" w:type="dxa"/>
            <w:tcBorders>
              <w:top w:val="single" w:sz="4" w:space="0" w:color="000000"/>
              <w:left w:val="single" w:sz="4" w:space="0" w:color="000000"/>
              <w:bottom w:val="single" w:sz="4" w:space="0" w:color="000000"/>
            </w:tcBorders>
            <w:vAlign w:val="center"/>
          </w:tcPr>
          <w:p>
            <w:r>
              <w:t>Véronique ROMBAUT</w:t>
            </w:r>
          </w:p>
          <w:p>
            <w:r>
              <w:t>Isabelle THOMAS</w:t>
            </w:r>
          </w:p>
          <w:p>
            <w:r>
              <w:t>Noémie SOMME</w:t>
            </w:r>
          </w:p>
        </w:tc>
        <w:tc>
          <w:tcPr>
            <w:tcW w:w="1588" w:type="dxa"/>
            <w:tcBorders>
              <w:top w:val="single" w:sz="4" w:space="0" w:color="000000"/>
              <w:left w:val="single" w:sz="4" w:space="0" w:color="000000"/>
              <w:bottom w:val="single" w:sz="4" w:space="0" w:color="000000"/>
            </w:tcBorders>
            <w:vAlign w:val="center"/>
          </w:tcPr>
          <w:p>
            <w:pPr>
              <w:tabs>
                <w:tab w:val="left" w:pos="1134"/>
              </w:tabs>
              <w:jc w:val="center"/>
            </w:pPr>
            <w:r>
              <w:t>83.99</w:t>
            </w:r>
          </w:p>
          <w:p>
            <w:pPr>
              <w:tabs>
                <w:tab w:val="left" w:pos="1134"/>
              </w:tabs>
              <w:jc w:val="center"/>
            </w:pPr>
            <w:r>
              <w:t>88.92</w:t>
            </w:r>
          </w:p>
          <w:p>
            <w:pPr>
              <w:tabs>
                <w:tab w:val="left" w:pos="1134"/>
              </w:tabs>
              <w:jc w:val="center"/>
            </w:pPr>
            <w:r>
              <w:t>84.01</w:t>
            </w:r>
          </w:p>
        </w:tc>
        <w:tc>
          <w:tcPr>
            <w:tcW w:w="1356" w:type="dxa"/>
            <w:tcBorders>
              <w:top w:val="single" w:sz="4" w:space="0" w:color="000000"/>
              <w:left w:val="single" w:sz="4" w:space="0" w:color="000000"/>
              <w:bottom w:val="single" w:sz="4" w:space="0" w:color="000000"/>
              <w:right w:val="single" w:sz="4" w:space="0" w:color="000000"/>
            </w:tcBorders>
            <w:shd w:val="clear" w:color="auto" w:fill="auto"/>
            <w:vAlign w:val="center"/>
          </w:tcPr>
          <w:p>
            <w:pPr>
              <w:spacing w:after="100" w:afterAutospacing="1"/>
              <w:jc w:val="center"/>
            </w:pPr>
            <w:r>
              <w:t>85.99</w:t>
            </w:r>
          </w:p>
          <w:p>
            <w:pPr>
              <w:spacing w:after="100" w:afterAutospacing="1"/>
              <w:jc w:val="center"/>
            </w:pPr>
            <w:r>
              <w:t>88.05</w:t>
            </w:r>
          </w:p>
        </w:tc>
      </w:tr>
      <w:tr>
        <w:trPr>
          <w:trHeight w:val="639"/>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Transfert de reliquat</w:t>
            </w:r>
          </w:p>
        </w:tc>
        <w:tc>
          <w:tcPr>
            <w:tcW w:w="2588" w:type="dxa"/>
            <w:tcBorders>
              <w:top w:val="single" w:sz="4" w:space="0" w:color="000000"/>
              <w:left w:val="single" w:sz="4" w:space="0" w:color="000000"/>
              <w:bottom w:val="single" w:sz="4" w:space="0" w:color="000000"/>
            </w:tcBorders>
            <w:vAlign w:val="center"/>
          </w:tcPr>
          <w:p>
            <w:r>
              <w:t>Véronique ROMBAUT</w:t>
            </w:r>
          </w:p>
          <w:p>
            <w:r>
              <w:t>Isabelle THOMAS</w:t>
            </w:r>
          </w:p>
          <w:p>
            <w:pPr>
              <w:snapToGrid w:val="0"/>
            </w:pPr>
            <w:r>
              <w:t>Noémie SOMME</w:t>
            </w:r>
          </w:p>
        </w:tc>
        <w:tc>
          <w:tcPr>
            <w:tcW w:w="1588" w:type="dxa"/>
            <w:tcBorders>
              <w:top w:val="single" w:sz="4" w:space="0" w:color="000000"/>
              <w:left w:val="single" w:sz="4" w:space="0" w:color="000000"/>
              <w:bottom w:val="single" w:sz="4" w:space="0" w:color="000000"/>
            </w:tcBorders>
            <w:vAlign w:val="center"/>
          </w:tcPr>
          <w:p>
            <w:pPr>
              <w:tabs>
                <w:tab w:val="left" w:pos="1134"/>
              </w:tabs>
              <w:jc w:val="center"/>
            </w:pPr>
            <w:r>
              <w:t>83.99</w:t>
            </w:r>
          </w:p>
          <w:p>
            <w:pPr>
              <w:tabs>
                <w:tab w:val="left" w:pos="1134"/>
              </w:tabs>
              <w:jc w:val="center"/>
            </w:pPr>
            <w:r>
              <w:t>88.92</w:t>
            </w:r>
          </w:p>
          <w:p>
            <w:pPr>
              <w:tabs>
                <w:tab w:val="left" w:pos="1134"/>
              </w:tabs>
              <w:snapToGrid w:val="0"/>
              <w:jc w:val="center"/>
            </w:pPr>
            <w:r>
              <w:t>84.01</w:t>
            </w:r>
          </w:p>
        </w:tc>
        <w:tc>
          <w:tcPr>
            <w:tcW w:w="1356" w:type="dxa"/>
            <w:tcBorders>
              <w:top w:val="single" w:sz="4" w:space="0" w:color="000000"/>
              <w:left w:val="single" w:sz="4" w:space="0" w:color="000000"/>
              <w:bottom w:val="single" w:sz="4" w:space="0" w:color="000000"/>
              <w:right w:val="single" w:sz="4" w:space="0" w:color="000000"/>
            </w:tcBorders>
            <w:vAlign w:val="center"/>
          </w:tcPr>
          <w:p>
            <w:pPr>
              <w:jc w:val="center"/>
            </w:pPr>
            <w:r>
              <w:t>88.05</w:t>
            </w:r>
          </w:p>
        </w:tc>
      </w:tr>
      <w:tr>
        <w:trPr>
          <w:trHeight w:val="413"/>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Pédagogies adaptées</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Christine WILLEMS</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84.11</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p>
        </w:tc>
      </w:tr>
      <w:tr>
        <w:trPr>
          <w:trHeight w:val="405"/>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Admission aux subventions</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Véronique ROMBAUT</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83.99</w:t>
            </w:r>
          </w:p>
        </w:tc>
        <w:tc>
          <w:tcPr>
            <w:tcW w:w="1356" w:type="dxa"/>
            <w:tcBorders>
              <w:top w:val="single" w:sz="4" w:space="0" w:color="000000"/>
              <w:left w:val="single" w:sz="4" w:space="0" w:color="000000"/>
              <w:bottom w:val="single" w:sz="4" w:space="0" w:color="000000"/>
              <w:right w:val="single" w:sz="4" w:space="0" w:color="000000"/>
            </w:tcBorders>
            <w:vAlign w:val="center"/>
          </w:tcPr>
          <w:p>
            <w:pPr>
              <w:jc w:val="center"/>
            </w:pPr>
            <w:r>
              <w:t>85.99</w:t>
            </w:r>
          </w:p>
        </w:tc>
      </w:tr>
      <w:tr>
        <w:trPr>
          <w:trHeight w:val="1636"/>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Gestion des populations scolaires</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Christine WILLEMS</w:t>
            </w:r>
          </w:p>
          <w:p>
            <w:pPr>
              <w:tabs>
                <w:tab w:val="left" w:pos="1134"/>
              </w:tabs>
            </w:pPr>
            <w:r>
              <w:t>Véronique ROMBAUT</w:t>
            </w:r>
          </w:p>
          <w:p>
            <w:r>
              <w:t>Isabelle THOMAS</w:t>
            </w:r>
          </w:p>
          <w:p>
            <w:pPr>
              <w:tabs>
                <w:tab w:val="left" w:pos="1134"/>
              </w:tabs>
            </w:pPr>
            <w:r>
              <w:t>Noémie SOMME</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84.11</w:t>
            </w:r>
          </w:p>
          <w:p>
            <w:pPr>
              <w:tabs>
                <w:tab w:val="left" w:pos="1134"/>
              </w:tabs>
              <w:jc w:val="center"/>
            </w:pPr>
            <w:r>
              <w:t>83.99</w:t>
            </w:r>
          </w:p>
          <w:p>
            <w:pPr>
              <w:tabs>
                <w:tab w:val="left" w:pos="1134"/>
              </w:tabs>
              <w:snapToGrid w:val="0"/>
              <w:jc w:val="center"/>
            </w:pPr>
            <w:r>
              <w:t>88.92</w:t>
            </w:r>
          </w:p>
          <w:p>
            <w:pPr>
              <w:tabs>
                <w:tab w:val="left" w:pos="1134"/>
              </w:tabs>
              <w:jc w:val="center"/>
            </w:pPr>
            <w:r>
              <w:t>84.01</w:t>
            </w:r>
          </w:p>
        </w:tc>
        <w:tc>
          <w:tcPr>
            <w:tcW w:w="1356"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center"/>
            </w:pPr>
          </w:p>
          <w:p>
            <w:pPr>
              <w:tabs>
                <w:tab w:val="left" w:pos="1134"/>
              </w:tabs>
              <w:snapToGrid w:val="0"/>
              <w:jc w:val="center"/>
            </w:pPr>
            <w:r>
              <w:t>85.90</w:t>
            </w:r>
          </w:p>
          <w:p>
            <w:pPr>
              <w:tabs>
                <w:tab w:val="left" w:pos="1134"/>
              </w:tabs>
              <w:snapToGrid w:val="0"/>
              <w:jc w:val="center"/>
            </w:pPr>
            <w:r>
              <w:t>85.99</w:t>
            </w:r>
          </w:p>
          <w:p>
            <w:pPr>
              <w:tabs>
                <w:tab w:val="left" w:pos="1134"/>
              </w:tabs>
              <w:snapToGrid w:val="0"/>
              <w:jc w:val="center"/>
            </w:pPr>
            <w:r>
              <w:t>88.05</w:t>
            </w:r>
          </w:p>
        </w:tc>
      </w:tr>
      <w:tr>
        <w:trPr>
          <w:trHeight w:val="426"/>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Assistance transfert données électroniques</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Christine WILLEMS</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84.11</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p>
        </w:tc>
      </w:tr>
      <w:tr>
        <w:trPr>
          <w:trHeight w:val="1088"/>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Intégrations (enseignement subventionné)</w:t>
            </w:r>
          </w:p>
          <w:p>
            <w:pPr>
              <w:tabs>
                <w:tab w:val="left" w:pos="1134"/>
              </w:tabs>
              <w:snapToGrid w:val="0"/>
            </w:pPr>
          </w:p>
          <w:p>
            <w:pPr>
              <w:tabs>
                <w:tab w:val="left" w:pos="1134"/>
              </w:tabs>
              <w:snapToGrid w:val="0"/>
            </w:pPr>
            <w:r>
              <w:t>Intégrations (enseignement organisé)</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Stéphanie PIRSOUL</w:t>
            </w:r>
          </w:p>
          <w:p>
            <w:pPr>
              <w:tabs>
                <w:tab w:val="left" w:pos="1134"/>
              </w:tabs>
              <w:snapToGrid w:val="0"/>
            </w:pPr>
            <w:r>
              <w:t>Alae-Eddine ASBAGUI</w:t>
            </w:r>
          </w:p>
          <w:p>
            <w:pPr>
              <w:tabs>
                <w:tab w:val="left" w:pos="1134"/>
              </w:tabs>
              <w:snapToGrid w:val="0"/>
            </w:pPr>
          </w:p>
          <w:p>
            <w:pPr>
              <w:tabs>
                <w:tab w:val="left" w:pos="1134"/>
              </w:tabs>
              <w:snapToGrid w:val="0"/>
            </w:pPr>
            <w:r>
              <w:t>Christine WILLEMS</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84.07</w:t>
            </w:r>
          </w:p>
          <w:p>
            <w:pPr>
              <w:tabs>
                <w:tab w:val="left" w:pos="1134"/>
              </w:tabs>
              <w:snapToGrid w:val="0"/>
              <w:jc w:val="center"/>
            </w:pPr>
            <w:r>
              <w:t>86.20</w:t>
            </w:r>
          </w:p>
          <w:p>
            <w:pPr>
              <w:tabs>
                <w:tab w:val="left" w:pos="1134"/>
              </w:tabs>
              <w:snapToGrid w:val="0"/>
              <w:jc w:val="center"/>
            </w:pPr>
          </w:p>
          <w:p>
            <w:pPr>
              <w:tabs>
                <w:tab w:val="left" w:pos="1134"/>
              </w:tabs>
              <w:snapToGrid w:val="0"/>
              <w:jc w:val="center"/>
            </w:pPr>
            <w:r>
              <w:t>84.11</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p>
        </w:tc>
      </w:tr>
      <w:tr>
        <w:trPr>
          <w:trHeight w:val="641"/>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Changements d’école</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Claudia LEFRERE</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84.00</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85.99</w:t>
            </w:r>
          </w:p>
        </w:tc>
      </w:tr>
      <w:tr>
        <w:trPr>
          <w:trHeight w:val="641"/>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Formation en cours de carrière</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Esther RUSURA</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88.96</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85.77</w:t>
            </w:r>
          </w:p>
        </w:tc>
      </w:tr>
      <w:tr>
        <w:trPr>
          <w:trHeight w:val="641"/>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Formation initiale des Directeurs</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Esther RUSURA</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88.96</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85.77</w:t>
            </w:r>
          </w:p>
        </w:tc>
      </w:tr>
      <w:tr>
        <w:trPr>
          <w:trHeight w:val="1028"/>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Plaintes (établissements organisés ET subventionnés par la Fédération Wallonie-Bruxelles)</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rPr>
                <w:lang w:val="fr-FR"/>
              </w:rPr>
            </w:pPr>
            <w:r>
              <w:rPr>
                <w:lang w:val="fr-FR"/>
              </w:rPr>
              <w:t>Daphné JOIE</w:t>
            </w:r>
          </w:p>
          <w:p>
            <w:pPr>
              <w:tabs>
                <w:tab w:val="left" w:pos="1134"/>
              </w:tabs>
              <w:snapToGrid w:val="0"/>
            </w:pPr>
            <w:r>
              <w:t>Françoise FERET</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86.28</w:t>
            </w:r>
          </w:p>
          <w:p>
            <w:pPr>
              <w:tabs>
                <w:tab w:val="left" w:pos="1134"/>
              </w:tabs>
              <w:snapToGrid w:val="0"/>
              <w:jc w:val="center"/>
            </w:pPr>
            <w:r>
              <w:t>83.97</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r>
              <w:br/>
              <w:t>85.77</w:t>
            </w:r>
          </w:p>
        </w:tc>
      </w:tr>
      <w:tr>
        <w:trPr>
          <w:trHeight w:val="1068"/>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Secrétariat du Conseil Supérieur, du Conseil Général.</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Patrick MALCOTTE</w:t>
            </w:r>
          </w:p>
          <w:p>
            <w:pPr>
              <w:tabs>
                <w:tab w:val="left" w:pos="1134"/>
              </w:tabs>
              <w:snapToGrid w:val="0"/>
            </w:pPr>
            <w:r>
              <w:t>(chargé de mission)</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84.27</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p>
        </w:tc>
      </w:tr>
      <w:tr>
        <w:tc>
          <w:tcPr>
            <w:tcW w:w="4500" w:type="dxa"/>
            <w:tcBorders>
              <w:top w:val="single" w:sz="4" w:space="0" w:color="000000"/>
              <w:left w:val="single" w:sz="4" w:space="0" w:color="000000"/>
              <w:bottom w:val="single" w:sz="4" w:space="0" w:color="000000"/>
            </w:tcBorders>
            <w:vAlign w:val="center"/>
          </w:tcPr>
          <w:p>
            <w:pPr>
              <w:tabs>
                <w:tab w:val="left" w:pos="1310"/>
              </w:tabs>
              <w:snapToGrid w:val="0"/>
            </w:pPr>
            <w:r>
              <w:t>Secrétariat des Commissions Consultatives et du Conseil de recours</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Nathalie DUJARDIN</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88.59</w:t>
            </w:r>
          </w:p>
          <w:p>
            <w:pPr>
              <w:tabs>
                <w:tab w:val="left" w:pos="1134"/>
              </w:tabs>
              <w:snapToGrid w:val="0"/>
              <w:jc w:val="center"/>
              <w:rPr>
                <w:w w:val="90"/>
              </w:rPr>
            </w:pPr>
            <w:r>
              <w:rPr>
                <w:w w:val="90"/>
              </w:rPr>
              <w:t>0472/94.31.95</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p>
        </w:tc>
      </w:tr>
      <w:tr>
        <w:trPr>
          <w:trHeight w:val="395"/>
        </w:trPr>
        <w:tc>
          <w:tcPr>
            <w:tcW w:w="4500" w:type="dxa"/>
            <w:tcBorders>
              <w:top w:val="single" w:sz="4" w:space="0" w:color="000000"/>
              <w:left w:val="single" w:sz="4" w:space="0" w:color="000000"/>
              <w:bottom w:val="single" w:sz="4" w:space="0" w:color="000000"/>
            </w:tcBorders>
            <w:vAlign w:val="center"/>
          </w:tcPr>
          <w:p>
            <w:pPr>
              <w:tabs>
                <w:tab w:val="left" w:pos="1134"/>
              </w:tabs>
              <w:snapToGrid w:val="0"/>
              <w:rPr>
                <w:color w:val="000000"/>
              </w:rPr>
            </w:pPr>
            <w:r>
              <w:rPr>
                <w:color w:val="000000"/>
              </w:rPr>
              <w:t>Stages</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rPr>
                <w:color w:val="000000"/>
              </w:rPr>
            </w:pPr>
            <w:r>
              <w:rPr>
                <w:color w:val="000000"/>
              </w:rPr>
              <w:t>Christine WILLEMS</w:t>
            </w:r>
          </w:p>
          <w:p>
            <w:pPr>
              <w:tabs>
                <w:tab w:val="left" w:pos="1134"/>
              </w:tabs>
              <w:snapToGrid w:val="0"/>
              <w:rPr>
                <w:color w:val="000000"/>
              </w:rPr>
            </w:pPr>
            <w:r>
              <w:rPr>
                <w:color w:val="000000"/>
              </w:rPr>
              <w:t>Véronique ROMBAUT</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84.11</w:t>
            </w:r>
          </w:p>
          <w:p>
            <w:pPr>
              <w:tabs>
                <w:tab w:val="left" w:pos="1134"/>
              </w:tabs>
              <w:snapToGrid w:val="0"/>
              <w:jc w:val="center"/>
            </w:pPr>
            <w:r>
              <w:t>83.99</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p>
        </w:tc>
      </w:tr>
    </w:tbl>
    <w:p>
      <w:pPr>
        <w:tabs>
          <w:tab w:val="left" w:pos="1134"/>
        </w:tabs>
      </w:pPr>
    </w:p>
    <w:p>
      <w:pPr>
        <w:rPr>
          <w:b/>
          <w:u w:val="single"/>
        </w:rPr>
      </w:pPr>
      <w:r>
        <w:br w:type="page"/>
      </w:r>
    </w:p>
    <w:p>
      <w:pPr>
        <w:pStyle w:val="Titre3"/>
      </w:pPr>
      <w:bookmarkStart w:id="3556" w:name="_Toc18914549"/>
      <w:r>
        <w:t xml:space="preserve">5. </w:t>
      </w:r>
      <w:bookmarkStart w:id="3557" w:name="_Toc453314257"/>
      <w:bookmarkStart w:id="3558" w:name="_Toc454980292"/>
      <w:r>
        <w:t>Budget</w:t>
      </w:r>
      <w:bookmarkEnd w:id="3557"/>
      <w:bookmarkEnd w:id="3558"/>
      <w:bookmarkEnd w:id="3556"/>
    </w:p>
    <w:p>
      <w:pPr>
        <w:tabs>
          <w:tab w:val="left" w:pos="1134"/>
        </w:tabs>
        <w:rPr>
          <w:b/>
          <w:bCs/>
        </w:rPr>
      </w:pPr>
    </w:p>
    <w:tbl>
      <w:tblPr>
        <w:tblW w:w="9817" w:type="dxa"/>
        <w:tblInd w:w="108" w:type="dxa"/>
        <w:tblLayout w:type="fixed"/>
        <w:tblLook w:val="0000" w:firstRow="0" w:lastRow="0" w:firstColumn="0" w:lastColumn="0" w:noHBand="0" w:noVBand="0"/>
      </w:tblPr>
      <w:tblGrid>
        <w:gridCol w:w="4536"/>
        <w:gridCol w:w="2552"/>
        <w:gridCol w:w="1588"/>
        <w:gridCol w:w="1141"/>
      </w:tblGrid>
      <w:tr>
        <w:trPr>
          <w:trHeight w:val="671"/>
        </w:trPr>
        <w:tc>
          <w:tcPr>
            <w:tcW w:w="4536" w:type="dxa"/>
            <w:tcBorders>
              <w:top w:val="single" w:sz="4" w:space="0" w:color="000000"/>
              <w:left w:val="single" w:sz="4" w:space="0" w:color="000000"/>
              <w:bottom w:val="single" w:sz="4" w:space="0" w:color="000000"/>
            </w:tcBorders>
            <w:shd w:val="clear" w:color="auto" w:fill="0099FF"/>
            <w:vAlign w:val="center"/>
          </w:tcPr>
          <w:p>
            <w:pPr>
              <w:tabs>
                <w:tab w:val="left" w:pos="1134"/>
              </w:tabs>
              <w:snapToGrid w:val="0"/>
              <w:jc w:val="center"/>
              <w:rPr>
                <w:b/>
              </w:rPr>
            </w:pPr>
            <w:r>
              <w:rPr>
                <w:b/>
              </w:rPr>
              <w:t>Matière</w:t>
            </w:r>
          </w:p>
        </w:tc>
        <w:tc>
          <w:tcPr>
            <w:tcW w:w="2552" w:type="dxa"/>
            <w:tcBorders>
              <w:top w:val="single" w:sz="4" w:space="0" w:color="000000"/>
              <w:left w:val="single" w:sz="4" w:space="0" w:color="000000"/>
              <w:bottom w:val="single" w:sz="4" w:space="0" w:color="000000"/>
            </w:tcBorders>
            <w:shd w:val="clear" w:color="auto" w:fill="0099FF"/>
            <w:vAlign w:val="center"/>
          </w:tcPr>
          <w:p>
            <w:pPr>
              <w:snapToGrid w:val="0"/>
              <w:jc w:val="center"/>
              <w:rPr>
                <w:b/>
                <w:bCs/>
              </w:rPr>
            </w:pPr>
            <w:r>
              <w:rPr>
                <w:b/>
                <w:bCs/>
              </w:rPr>
              <w:t>Personne de contact</w:t>
            </w:r>
          </w:p>
        </w:tc>
        <w:tc>
          <w:tcPr>
            <w:tcW w:w="1588" w:type="dxa"/>
            <w:tcBorders>
              <w:top w:val="single" w:sz="4" w:space="0" w:color="000000"/>
              <w:left w:val="single" w:sz="4" w:space="0" w:color="000000"/>
              <w:bottom w:val="single" w:sz="4" w:space="0" w:color="000000"/>
            </w:tcBorders>
            <w:shd w:val="clear" w:color="auto" w:fill="0099FF"/>
            <w:vAlign w:val="center"/>
          </w:tcPr>
          <w:p>
            <w:pPr>
              <w:tabs>
                <w:tab w:val="left" w:pos="1134"/>
              </w:tabs>
              <w:snapToGrid w:val="0"/>
              <w:jc w:val="center"/>
              <w:rPr>
                <w:b/>
                <w:bCs/>
              </w:rPr>
            </w:pPr>
            <w:r>
              <w:rPr>
                <w:b/>
                <w:bCs/>
              </w:rPr>
              <w:t>Tél</w:t>
            </w:r>
          </w:p>
        </w:tc>
        <w:tc>
          <w:tcPr>
            <w:tcW w:w="1141" w:type="dxa"/>
            <w:tcBorders>
              <w:top w:val="single" w:sz="4" w:space="0" w:color="000000"/>
              <w:left w:val="single" w:sz="4" w:space="0" w:color="000000"/>
              <w:bottom w:val="single" w:sz="4" w:space="0" w:color="000000"/>
              <w:right w:val="single" w:sz="4" w:space="0" w:color="000000"/>
            </w:tcBorders>
            <w:shd w:val="clear" w:color="auto" w:fill="0099FF"/>
            <w:vAlign w:val="center"/>
          </w:tcPr>
          <w:p>
            <w:pPr>
              <w:tabs>
                <w:tab w:val="left" w:pos="1134"/>
              </w:tabs>
              <w:snapToGrid w:val="0"/>
              <w:jc w:val="center"/>
              <w:rPr>
                <w:b/>
                <w:bCs/>
              </w:rPr>
            </w:pPr>
            <w:r>
              <w:rPr>
                <w:b/>
                <w:bCs/>
              </w:rPr>
              <w:t>Fax</w:t>
            </w:r>
          </w:p>
        </w:tc>
      </w:tr>
      <w:tr>
        <w:trPr>
          <w:trHeight w:val="600"/>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Subventions de fonctionnement</w:t>
            </w:r>
          </w:p>
        </w:tc>
        <w:tc>
          <w:tcPr>
            <w:tcW w:w="2552" w:type="dxa"/>
            <w:tcBorders>
              <w:top w:val="single" w:sz="4" w:space="0" w:color="000000"/>
              <w:left w:val="single" w:sz="4" w:space="0" w:color="000000"/>
              <w:bottom w:val="single" w:sz="4" w:space="0" w:color="000000"/>
            </w:tcBorders>
            <w:vAlign w:val="center"/>
          </w:tcPr>
          <w:p>
            <w:pPr>
              <w:tabs>
                <w:tab w:val="left" w:pos="1134"/>
              </w:tabs>
              <w:snapToGrid w:val="0"/>
            </w:pPr>
            <w:r>
              <w:t>Véronique ROMBAUT</w:t>
            </w:r>
          </w:p>
          <w:p>
            <w:pPr>
              <w:tabs>
                <w:tab w:val="left" w:pos="1134"/>
              </w:tabs>
            </w:pPr>
            <w:r>
              <w:t>Laurent MORCRETTE</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83.99</w:t>
            </w:r>
          </w:p>
          <w:p>
            <w:pPr>
              <w:tabs>
                <w:tab w:val="left" w:pos="1134"/>
              </w:tabs>
              <w:jc w:val="center"/>
            </w:pPr>
            <w:r>
              <w:t>84.02</w:t>
            </w:r>
          </w:p>
        </w:tc>
        <w:tc>
          <w:tcPr>
            <w:tcW w:w="1141" w:type="dxa"/>
            <w:tcBorders>
              <w:top w:val="single" w:sz="4" w:space="0" w:color="000000"/>
              <w:left w:val="single" w:sz="4" w:space="0" w:color="000000"/>
              <w:bottom w:val="single" w:sz="4" w:space="0" w:color="000000"/>
              <w:right w:val="single" w:sz="4" w:space="0" w:color="000000"/>
            </w:tcBorders>
            <w:vAlign w:val="center"/>
          </w:tcPr>
          <w:p>
            <w:pPr>
              <w:tabs>
                <w:tab w:val="left" w:pos="1134"/>
              </w:tabs>
              <w:jc w:val="center"/>
            </w:pPr>
            <w:r>
              <w:t>85.99</w:t>
            </w:r>
          </w:p>
        </w:tc>
      </w:tr>
      <w:tr>
        <w:trPr>
          <w:trHeight w:val="602"/>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Subventions pour surveillances de midi</w:t>
            </w:r>
          </w:p>
        </w:tc>
        <w:tc>
          <w:tcPr>
            <w:tcW w:w="2552" w:type="dxa"/>
            <w:tcBorders>
              <w:top w:val="single" w:sz="4" w:space="0" w:color="000000"/>
              <w:left w:val="single" w:sz="4" w:space="0" w:color="000000"/>
              <w:bottom w:val="single" w:sz="4" w:space="0" w:color="000000"/>
            </w:tcBorders>
            <w:vAlign w:val="center"/>
          </w:tcPr>
          <w:p>
            <w:pPr>
              <w:tabs>
                <w:tab w:val="left" w:pos="1134"/>
              </w:tabs>
              <w:snapToGrid w:val="0"/>
              <w:rPr>
                <w:color w:val="000000"/>
                <w:lang w:val="fr-FR"/>
              </w:rPr>
            </w:pPr>
            <w:r>
              <w:rPr>
                <w:color w:val="000000"/>
                <w:lang w:val="fr-FR"/>
              </w:rPr>
              <w:t>Marie BORMANN</w:t>
            </w:r>
          </w:p>
          <w:p>
            <w:pPr>
              <w:tabs>
                <w:tab w:val="left" w:pos="1134"/>
              </w:tabs>
              <w:snapToGrid w:val="0"/>
              <w:rPr>
                <w:color w:val="000000"/>
                <w:lang w:val="fr-FR"/>
              </w:rPr>
            </w:pPr>
            <w:r>
              <w:rPr>
                <w:color w:val="000000"/>
                <w:lang w:val="fr-FR"/>
              </w:rPr>
              <w:t>Véronique ROMBAUT</w:t>
            </w:r>
          </w:p>
          <w:p>
            <w:pPr>
              <w:tabs>
                <w:tab w:val="left" w:pos="1134"/>
              </w:tabs>
            </w:pPr>
            <w:r>
              <w:t>Laurent MORCRETTE</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rPr>
                <w:color w:val="000000"/>
              </w:rPr>
            </w:pPr>
            <w:r>
              <w:rPr>
                <w:color w:val="000000"/>
              </w:rPr>
              <w:t>02/413.26.36</w:t>
            </w:r>
          </w:p>
          <w:p>
            <w:pPr>
              <w:tabs>
                <w:tab w:val="left" w:pos="1134"/>
              </w:tabs>
              <w:snapToGrid w:val="0"/>
              <w:jc w:val="center"/>
              <w:rPr>
                <w:color w:val="000000"/>
              </w:rPr>
            </w:pPr>
            <w:r>
              <w:rPr>
                <w:color w:val="000000"/>
              </w:rPr>
              <w:t>83.99</w:t>
            </w:r>
          </w:p>
          <w:p>
            <w:pPr>
              <w:tabs>
                <w:tab w:val="left" w:pos="1134"/>
              </w:tabs>
              <w:jc w:val="center"/>
            </w:pPr>
            <w:r>
              <w:t>84.02</w:t>
            </w:r>
          </w:p>
        </w:tc>
        <w:tc>
          <w:tcPr>
            <w:tcW w:w="1141"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p>
        </w:tc>
      </w:tr>
    </w:tbl>
    <w:p>
      <w:pPr>
        <w:tabs>
          <w:tab w:val="left" w:pos="1134"/>
        </w:tabs>
      </w:pPr>
    </w:p>
    <w:p>
      <w:pPr>
        <w:pStyle w:val="Titre3"/>
      </w:pPr>
      <w:bookmarkStart w:id="3559" w:name="_Toc18914550"/>
      <w:r>
        <w:t xml:space="preserve">6. </w:t>
      </w:r>
      <w:bookmarkStart w:id="3560" w:name="_Toc453314258"/>
      <w:bookmarkStart w:id="3561" w:name="_Toc454980293"/>
      <w:r>
        <w:t>Demandes de dérogation</w:t>
      </w:r>
      <w:bookmarkEnd w:id="3560"/>
      <w:bookmarkEnd w:id="3561"/>
      <w:bookmarkEnd w:id="3559"/>
    </w:p>
    <w:p>
      <w:pPr>
        <w:tabs>
          <w:tab w:val="left" w:pos="1134"/>
        </w:tabs>
        <w:rPr>
          <w:b/>
          <w:caps/>
          <w:color w:val="0000FF"/>
        </w:rPr>
      </w:pPr>
    </w:p>
    <w:tbl>
      <w:tblPr>
        <w:tblW w:w="9959" w:type="dxa"/>
        <w:tblInd w:w="108" w:type="dxa"/>
        <w:tblLayout w:type="fixed"/>
        <w:tblLook w:val="0000" w:firstRow="0" w:lastRow="0" w:firstColumn="0" w:lastColumn="0" w:noHBand="0" w:noVBand="0"/>
      </w:tblPr>
      <w:tblGrid>
        <w:gridCol w:w="4536"/>
        <w:gridCol w:w="2552"/>
        <w:gridCol w:w="1730"/>
        <w:gridCol w:w="1141"/>
      </w:tblGrid>
      <w:tr>
        <w:trPr>
          <w:trHeight w:val="680"/>
        </w:trPr>
        <w:tc>
          <w:tcPr>
            <w:tcW w:w="4536" w:type="dxa"/>
            <w:tcBorders>
              <w:top w:val="single" w:sz="4" w:space="0" w:color="000000"/>
              <w:left w:val="single" w:sz="4" w:space="0" w:color="000000"/>
              <w:bottom w:val="single" w:sz="4" w:space="0" w:color="000000"/>
            </w:tcBorders>
            <w:shd w:val="clear" w:color="auto" w:fill="0099FF"/>
            <w:vAlign w:val="center"/>
          </w:tcPr>
          <w:p>
            <w:pPr>
              <w:tabs>
                <w:tab w:val="left" w:pos="1134"/>
              </w:tabs>
              <w:snapToGrid w:val="0"/>
              <w:jc w:val="center"/>
              <w:rPr>
                <w:b/>
              </w:rPr>
            </w:pPr>
            <w:r>
              <w:rPr>
                <w:b/>
              </w:rPr>
              <w:t>Matière</w:t>
            </w:r>
          </w:p>
        </w:tc>
        <w:tc>
          <w:tcPr>
            <w:tcW w:w="2552" w:type="dxa"/>
            <w:tcBorders>
              <w:top w:val="single" w:sz="4" w:space="0" w:color="000000"/>
              <w:left w:val="single" w:sz="4" w:space="0" w:color="000000"/>
              <w:bottom w:val="single" w:sz="4" w:space="0" w:color="000000"/>
            </w:tcBorders>
            <w:shd w:val="clear" w:color="auto" w:fill="0099FF"/>
            <w:vAlign w:val="center"/>
          </w:tcPr>
          <w:p>
            <w:pPr>
              <w:snapToGrid w:val="0"/>
              <w:jc w:val="center"/>
              <w:rPr>
                <w:b/>
                <w:bCs/>
              </w:rPr>
            </w:pPr>
            <w:r>
              <w:rPr>
                <w:b/>
                <w:bCs/>
              </w:rPr>
              <w:t>Personne de contact</w:t>
            </w:r>
          </w:p>
        </w:tc>
        <w:tc>
          <w:tcPr>
            <w:tcW w:w="1730" w:type="dxa"/>
            <w:tcBorders>
              <w:top w:val="single" w:sz="4" w:space="0" w:color="000000"/>
              <w:left w:val="single" w:sz="4" w:space="0" w:color="000000"/>
              <w:bottom w:val="single" w:sz="4" w:space="0" w:color="000000"/>
            </w:tcBorders>
            <w:shd w:val="clear" w:color="auto" w:fill="0099FF"/>
            <w:vAlign w:val="center"/>
          </w:tcPr>
          <w:p>
            <w:pPr>
              <w:tabs>
                <w:tab w:val="left" w:pos="1134"/>
              </w:tabs>
              <w:snapToGrid w:val="0"/>
              <w:jc w:val="center"/>
              <w:rPr>
                <w:b/>
                <w:bCs/>
              </w:rPr>
            </w:pPr>
            <w:r>
              <w:rPr>
                <w:b/>
                <w:bCs/>
              </w:rPr>
              <w:t>Tél</w:t>
            </w:r>
          </w:p>
        </w:tc>
        <w:tc>
          <w:tcPr>
            <w:tcW w:w="1141" w:type="dxa"/>
            <w:tcBorders>
              <w:top w:val="single" w:sz="4" w:space="0" w:color="000000"/>
              <w:left w:val="single" w:sz="4" w:space="0" w:color="000000"/>
              <w:bottom w:val="single" w:sz="4" w:space="0" w:color="000000"/>
              <w:right w:val="single" w:sz="4" w:space="0" w:color="000000"/>
            </w:tcBorders>
            <w:shd w:val="clear" w:color="auto" w:fill="0099FF"/>
            <w:vAlign w:val="center"/>
          </w:tcPr>
          <w:p>
            <w:pPr>
              <w:tabs>
                <w:tab w:val="left" w:pos="1134"/>
              </w:tabs>
              <w:snapToGrid w:val="0"/>
              <w:jc w:val="center"/>
              <w:rPr>
                <w:b/>
                <w:bCs/>
              </w:rPr>
            </w:pPr>
            <w:r>
              <w:rPr>
                <w:b/>
                <w:bCs/>
              </w:rPr>
              <w:t>Fax</w:t>
            </w:r>
          </w:p>
        </w:tc>
      </w:tr>
      <w:tr>
        <w:trPr>
          <w:trHeight w:val="397"/>
        </w:trPr>
        <w:tc>
          <w:tcPr>
            <w:tcW w:w="4536" w:type="dxa"/>
            <w:tcBorders>
              <w:top w:val="single" w:sz="4" w:space="0" w:color="000000"/>
              <w:left w:val="single" w:sz="4" w:space="0" w:color="000000"/>
              <w:bottom w:val="single" w:sz="4" w:space="0" w:color="000000"/>
            </w:tcBorders>
            <w:vAlign w:val="center"/>
          </w:tcPr>
          <w:p>
            <w:pPr>
              <w:snapToGrid w:val="0"/>
            </w:pPr>
            <w:r>
              <w:t>0,25 %</w:t>
            </w:r>
          </w:p>
        </w:tc>
        <w:tc>
          <w:tcPr>
            <w:tcW w:w="2552" w:type="dxa"/>
            <w:tcBorders>
              <w:top w:val="single" w:sz="4" w:space="0" w:color="000000"/>
              <w:left w:val="single" w:sz="4" w:space="0" w:color="000000"/>
            </w:tcBorders>
            <w:vAlign w:val="center"/>
          </w:tcPr>
          <w:p>
            <w:pPr>
              <w:tabs>
                <w:tab w:val="left" w:pos="1134"/>
              </w:tabs>
              <w:snapToGrid w:val="0"/>
            </w:pPr>
            <w:r>
              <w:t>Christine WILLEMS</w:t>
            </w:r>
          </w:p>
        </w:tc>
        <w:tc>
          <w:tcPr>
            <w:tcW w:w="1730" w:type="dxa"/>
            <w:tcBorders>
              <w:top w:val="single" w:sz="4" w:space="0" w:color="000000"/>
              <w:left w:val="single" w:sz="4" w:space="0" w:color="000000"/>
            </w:tcBorders>
            <w:vAlign w:val="center"/>
          </w:tcPr>
          <w:p>
            <w:pPr>
              <w:tabs>
                <w:tab w:val="left" w:pos="1134"/>
              </w:tabs>
              <w:snapToGrid w:val="0"/>
              <w:jc w:val="center"/>
            </w:pPr>
            <w:r>
              <w:t>84.11</w:t>
            </w:r>
          </w:p>
        </w:tc>
        <w:tc>
          <w:tcPr>
            <w:tcW w:w="1141" w:type="dxa"/>
            <w:tcBorders>
              <w:top w:val="single" w:sz="4" w:space="0" w:color="000000"/>
              <w:left w:val="single" w:sz="4" w:space="0" w:color="000000"/>
              <w:right w:val="single" w:sz="4" w:space="0" w:color="000000"/>
            </w:tcBorders>
            <w:vAlign w:val="center"/>
          </w:tcPr>
          <w:p>
            <w:pPr>
              <w:tabs>
                <w:tab w:val="left" w:pos="1134"/>
              </w:tabs>
              <w:snapToGrid w:val="0"/>
              <w:jc w:val="center"/>
            </w:pPr>
            <w:r>
              <w:t>85.90</w:t>
            </w:r>
          </w:p>
        </w:tc>
      </w:tr>
      <w:tr>
        <w:trPr>
          <w:trHeight w:val="343"/>
        </w:trPr>
        <w:tc>
          <w:tcPr>
            <w:tcW w:w="4536" w:type="dxa"/>
            <w:tcBorders>
              <w:top w:val="single" w:sz="4" w:space="0" w:color="000000"/>
              <w:left w:val="single" w:sz="4" w:space="0" w:color="000000"/>
              <w:bottom w:val="single" w:sz="2" w:space="0" w:color="auto"/>
            </w:tcBorders>
            <w:vAlign w:val="center"/>
          </w:tcPr>
          <w:p>
            <w:pPr>
              <w:snapToGrid w:val="0"/>
            </w:pPr>
            <w:r>
              <w:t>Paramédical</w:t>
            </w:r>
          </w:p>
        </w:tc>
        <w:tc>
          <w:tcPr>
            <w:tcW w:w="2552" w:type="dxa"/>
            <w:vMerge w:val="restart"/>
            <w:tcBorders>
              <w:top w:val="single" w:sz="4" w:space="0" w:color="000000"/>
              <w:left w:val="single" w:sz="4" w:space="0" w:color="000000"/>
            </w:tcBorders>
            <w:vAlign w:val="center"/>
          </w:tcPr>
          <w:p>
            <w:r>
              <w:t>Véronique ROMBAUT</w:t>
            </w:r>
          </w:p>
        </w:tc>
        <w:tc>
          <w:tcPr>
            <w:tcW w:w="1730" w:type="dxa"/>
            <w:vMerge w:val="restart"/>
            <w:tcBorders>
              <w:top w:val="single" w:sz="4" w:space="0" w:color="000000"/>
              <w:left w:val="single" w:sz="4" w:space="0" w:color="000000"/>
            </w:tcBorders>
            <w:vAlign w:val="center"/>
          </w:tcPr>
          <w:p>
            <w:pPr>
              <w:tabs>
                <w:tab w:val="left" w:pos="1134"/>
              </w:tabs>
              <w:jc w:val="center"/>
            </w:pPr>
            <w:r>
              <w:t>83.99</w:t>
            </w:r>
          </w:p>
        </w:tc>
        <w:tc>
          <w:tcPr>
            <w:tcW w:w="1141" w:type="dxa"/>
            <w:vMerge w:val="restart"/>
            <w:tcBorders>
              <w:top w:val="single" w:sz="4" w:space="0" w:color="000000"/>
              <w:left w:val="single" w:sz="4" w:space="0" w:color="000000"/>
              <w:right w:val="single" w:sz="4" w:space="0" w:color="000000"/>
            </w:tcBorders>
            <w:vAlign w:val="center"/>
          </w:tcPr>
          <w:p>
            <w:pPr>
              <w:jc w:val="center"/>
            </w:pPr>
            <w:r>
              <w:t>88.05</w:t>
            </w:r>
          </w:p>
        </w:tc>
      </w:tr>
      <w:tr>
        <w:trPr>
          <w:trHeight w:val="390"/>
        </w:trPr>
        <w:tc>
          <w:tcPr>
            <w:tcW w:w="4536" w:type="dxa"/>
            <w:tcBorders>
              <w:top w:val="single" w:sz="2" w:space="0" w:color="auto"/>
              <w:left w:val="single" w:sz="4" w:space="0" w:color="000000"/>
              <w:bottom w:val="single" w:sz="4" w:space="0" w:color="000000"/>
            </w:tcBorders>
            <w:vAlign w:val="center"/>
          </w:tcPr>
          <w:p>
            <w:pPr>
              <w:snapToGrid w:val="0"/>
            </w:pPr>
            <w:r>
              <w:t>Recouvrement de la qualité d’élève régulier</w:t>
            </w:r>
          </w:p>
        </w:tc>
        <w:tc>
          <w:tcPr>
            <w:tcW w:w="2552" w:type="dxa"/>
            <w:vMerge/>
            <w:tcBorders>
              <w:left w:val="single" w:sz="4" w:space="0" w:color="000000"/>
              <w:bottom w:val="single" w:sz="4" w:space="0" w:color="auto"/>
            </w:tcBorders>
            <w:vAlign w:val="center"/>
          </w:tcPr>
          <w:p/>
        </w:tc>
        <w:tc>
          <w:tcPr>
            <w:tcW w:w="1730" w:type="dxa"/>
            <w:vMerge/>
            <w:tcBorders>
              <w:left w:val="single" w:sz="4" w:space="0" w:color="000000"/>
              <w:bottom w:val="single" w:sz="4" w:space="0" w:color="auto"/>
            </w:tcBorders>
            <w:vAlign w:val="center"/>
          </w:tcPr>
          <w:p>
            <w:pPr>
              <w:tabs>
                <w:tab w:val="left" w:pos="1134"/>
              </w:tabs>
              <w:jc w:val="center"/>
            </w:pPr>
          </w:p>
        </w:tc>
        <w:tc>
          <w:tcPr>
            <w:tcW w:w="1141" w:type="dxa"/>
            <w:vMerge/>
            <w:tcBorders>
              <w:left w:val="single" w:sz="4" w:space="0" w:color="000000"/>
              <w:bottom w:val="single" w:sz="4" w:space="0" w:color="auto"/>
              <w:right w:val="single" w:sz="4" w:space="0" w:color="000000"/>
            </w:tcBorders>
            <w:vAlign w:val="center"/>
          </w:tcPr>
          <w:p>
            <w:pPr>
              <w:jc w:val="center"/>
            </w:pPr>
          </w:p>
        </w:tc>
      </w:tr>
      <w:tr>
        <w:trPr>
          <w:trHeight w:val="377"/>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Agé de moins de 2 ans et demi</w:t>
            </w:r>
          </w:p>
        </w:tc>
        <w:tc>
          <w:tcPr>
            <w:tcW w:w="2552" w:type="dxa"/>
            <w:vMerge w:val="restart"/>
            <w:tcBorders>
              <w:left w:val="single" w:sz="4" w:space="0" w:color="000000"/>
            </w:tcBorders>
            <w:vAlign w:val="center"/>
          </w:tcPr>
          <w:p>
            <w:pPr>
              <w:tabs>
                <w:tab w:val="left" w:pos="1134"/>
              </w:tabs>
              <w:snapToGrid w:val="0"/>
            </w:pPr>
            <w:r>
              <w:rPr>
                <w:lang w:val="nl-NL"/>
              </w:rPr>
              <w:t>Alae-Eddine ASGAGUI</w:t>
            </w:r>
          </w:p>
          <w:p>
            <w:pPr>
              <w:tabs>
                <w:tab w:val="left" w:pos="1134"/>
              </w:tabs>
              <w:snapToGrid w:val="0"/>
            </w:pPr>
          </w:p>
        </w:tc>
        <w:tc>
          <w:tcPr>
            <w:tcW w:w="1730" w:type="dxa"/>
            <w:vMerge w:val="restart"/>
            <w:tcBorders>
              <w:left w:val="single" w:sz="4" w:space="0" w:color="000000"/>
            </w:tcBorders>
            <w:vAlign w:val="center"/>
          </w:tcPr>
          <w:p>
            <w:pPr>
              <w:tabs>
                <w:tab w:val="left" w:pos="1134"/>
              </w:tabs>
              <w:snapToGrid w:val="0"/>
              <w:jc w:val="center"/>
            </w:pPr>
            <w:r>
              <w:t>86.20</w:t>
            </w:r>
          </w:p>
          <w:p>
            <w:pPr>
              <w:tabs>
                <w:tab w:val="left" w:pos="1134"/>
              </w:tabs>
              <w:snapToGrid w:val="0"/>
              <w:jc w:val="center"/>
            </w:pPr>
          </w:p>
        </w:tc>
        <w:tc>
          <w:tcPr>
            <w:tcW w:w="1141" w:type="dxa"/>
            <w:vMerge w:val="restart"/>
            <w:tcBorders>
              <w:left w:val="single" w:sz="4" w:space="0" w:color="000000"/>
              <w:right w:val="single" w:sz="4" w:space="0" w:color="000000"/>
            </w:tcBorders>
            <w:vAlign w:val="center"/>
          </w:tcPr>
          <w:p>
            <w:pPr>
              <w:tabs>
                <w:tab w:val="left" w:pos="1134"/>
              </w:tabs>
              <w:snapToGrid w:val="0"/>
              <w:jc w:val="center"/>
            </w:pPr>
            <w:r>
              <w:t>88.05</w:t>
            </w:r>
          </w:p>
          <w:p>
            <w:pPr>
              <w:tabs>
                <w:tab w:val="left" w:pos="1134"/>
              </w:tabs>
              <w:snapToGrid w:val="0"/>
              <w:jc w:val="center"/>
            </w:pPr>
          </w:p>
        </w:tc>
      </w:tr>
      <w:tr>
        <w:trPr>
          <w:trHeight w:val="377"/>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Agé de moins de 5 ans</w:t>
            </w:r>
          </w:p>
        </w:tc>
        <w:tc>
          <w:tcPr>
            <w:tcW w:w="2552" w:type="dxa"/>
            <w:vMerge/>
            <w:tcBorders>
              <w:left w:val="single" w:sz="4" w:space="0" w:color="000000"/>
            </w:tcBorders>
            <w:vAlign w:val="center"/>
          </w:tcPr>
          <w:p>
            <w:pPr>
              <w:tabs>
                <w:tab w:val="left" w:pos="1134"/>
              </w:tabs>
              <w:snapToGrid w:val="0"/>
            </w:pPr>
          </w:p>
        </w:tc>
        <w:tc>
          <w:tcPr>
            <w:tcW w:w="1730" w:type="dxa"/>
            <w:vMerge/>
            <w:tcBorders>
              <w:left w:val="single" w:sz="4" w:space="0" w:color="000000"/>
            </w:tcBorders>
            <w:vAlign w:val="center"/>
          </w:tcPr>
          <w:p>
            <w:pPr>
              <w:tabs>
                <w:tab w:val="left" w:pos="1134"/>
              </w:tabs>
              <w:snapToGrid w:val="0"/>
              <w:jc w:val="center"/>
            </w:pPr>
          </w:p>
        </w:tc>
        <w:tc>
          <w:tcPr>
            <w:tcW w:w="1141" w:type="dxa"/>
            <w:vMerge/>
            <w:tcBorders>
              <w:left w:val="single" w:sz="4" w:space="0" w:color="000000"/>
              <w:right w:val="single" w:sz="4" w:space="0" w:color="000000"/>
            </w:tcBorders>
            <w:vAlign w:val="center"/>
          </w:tcPr>
          <w:p>
            <w:pPr>
              <w:tabs>
                <w:tab w:val="left" w:pos="1134"/>
              </w:tabs>
              <w:snapToGrid w:val="0"/>
              <w:jc w:val="center"/>
            </w:pPr>
          </w:p>
        </w:tc>
      </w:tr>
      <w:tr>
        <w:trPr>
          <w:trHeight w:val="377"/>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Forme 4 (article 63)</w:t>
            </w:r>
          </w:p>
        </w:tc>
        <w:tc>
          <w:tcPr>
            <w:tcW w:w="2552" w:type="dxa"/>
            <w:vMerge/>
            <w:tcBorders>
              <w:left w:val="single" w:sz="4" w:space="0" w:color="000000"/>
              <w:bottom w:val="single" w:sz="4" w:space="0" w:color="000000"/>
            </w:tcBorders>
            <w:vAlign w:val="center"/>
          </w:tcPr>
          <w:p>
            <w:pPr>
              <w:tabs>
                <w:tab w:val="left" w:pos="1134"/>
              </w:tabs>
              <w:snapToGrid w:val="0"/>
            </w:pPr>
          </w:p>
        </w:tc>
        <w:tc>
          <w:tcPr>
            <w:tcW w:w="1730" w:type="dxa"/>
            <w:vMerge/>
            <w:tcBorders>
              <w:left w:val="single" w:sz="4" w:space="0" w:color="000000"/>
              <w:bottom w:val="single" w:sz="4" w:space="0" w:color="000000"/>
            </w:tcBorders>
            <w:vAlign w:val="center"/>
          </w:tcPr>
          <w:p>
            <w:pPr>
              <w:tabs>
                <w:tab w:val="left" w:pos="1134"/>
              </w:tabs>
              <w:snapToGrid w:val="0"/>
              <w:jc w:val="center"/>
            </w:pPr>
          </w:p>
        </w:tc>
        <w:tc>
          <w:tcPr>
            <w:tcW w:w="1141" w:type="dxa"/>
            <w:vMerge/>
            <w:tcBorders>
              <w:left w:val="single" w:sz="4" w:space="0" w:color="000000"/>
              <w:bottom w:val="single" w:sz="4" w:space="0" w:color="000000"/>
              <w:right w:val="single" w:sz="4" w:space="0" w:color="000000"/>
            </w:tcBorders>
            <w:vAlign w:val="center"/>
          </w:tcPr>
          <w:p>
            <w:pPr>
              <w:tabs>
                <w:tab w:val="left" w:pos="1134"/>
              </w:tabs>
              <w:snapToGrid w:val="0"/>
              <w:jc w:val="center"/>
            </w:pPr>
          </w:p>
        </w:tc>
      </w:tr>
      <w:tr>
        <w:trPr>
          <w:trHeight w:val="377"/>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Agé de plus de 21 ans</w:t>
            </w:r>
            <w:r>
              <w:rPr>
                <w:b/>
              </w:rPr>
              <w:t xml:space="preserve"> non</w:t>
            </w:r>
            <w:r>
              <w:t xml:space="preserve"> pédagogique</w:t>
            </w:r>
          </w:p>
        </w:tc>
        <w:tc>
          <w:tcPr>
            <w:tcW w:w="2552" w:type="dxa"/>
            <w:vMerge w:val="restart"/>
            <w:tcBorders>
              <w:left w:val="single" w:sz="4" w:space="0" w:color="000000"/>
            </w:tcBorders>
            <w:vAlign w:val="center"/>
          </w:tcPr>
          <w:p>
            <w:pPr>
              <w:tabs>
                <w:tab w:val="left" w:pos="1134"/>
              </w:tabs>
              <w:snapToGrid w:val="0"/>
              <w:rPr>
                <w:lang w:val="nl-NL"/>
              </w:rPr>
            </w:pPr>
            <w:r>
              <w:rPr>
                <w:lang w:val="nl-NL"/>
              </w:rPr>
              <w:t>Alae-Eddine ASBAGUI</w:t>
            </w:r>
          </w:p>
          <w:p>
            <w:pPr>
              <w:tabs>
                <w:tab w:val="left" w:pos="1134"/>
              </w:tabs>
              <w:snapToGrid w:val="0"/>
            </w:pPr>
          </w:p>
        </w:tc>
        <w:tc>
          <w:tcPr>
            <w:tcW w:w="1730" w:type="dxa"/>
            <w:vMerge w:val="restart"/>
            <w:tcBorders>
              <w:left w:val="single" w:sz="4" w:space="0" w:color="000000"/>
            </w:tcBorders>
            <w:vAlign w:val="center"/>
          </w:tcPr>
          <w:p>
            <w:pPr>
              <w:tabs>
                <w:tab w:val="left" w:pos="1134"/>
              </w:tabs>
              <w:snapToGrid w:val="0"/>
              <w:jc w:val="center"/>
            </w:pPr>
            <w:r>
              <w:t>86.20</w:t>
            </w:r>
          </w:p>
          <w:p>
            <w:pPr>
              <w:tabs>
                <w:tab w:val="left" w:pos="1134"/>
              </w:tabs>
              <w:snapToGrid w:val="0"/>
              <w:jc w:val="center"/>
            </w:pPr>
          </w:p>
        </w:tc>
        <w:tc>
          <w:tcPr>
            <w:tcW w:w="1141" w:type="dxa"/>
            <w:vMerge w:val="restart"/>
            <w:tcBorders>
              <w:left w:val="single" w:sz="4" w:space="0" w:color="000000"/>
              <w:right w:val="single" w:sz="4" w:space="0" w:color="000000"/>
            </w:tcBorders>
            <w:vAlign w:val="center"/>
          </w:tcPr>
          <w:p>
            <w:pPr>
              <w:tabs>
                <w:tab w:val="left" w:pos="1134"/>
              </w:tabs>
              <w:snapToGrid w:val="0"/>
              <w:jc w:val="center"/>
            </w:pPr>
            <w:r>
              <w:t>88.05</w:t>
            </w:r>
          </w:p>
        </w:tc>
      </w:tr>
      <w:tr>
        <w:trPr>
          <w:trHeight w:val="515"/>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Agé de plus de 21 ans pédagogique</w:t>
            </w:r>
          </w:p>
        </w:tc>
        <w:tc>
          <w:tcPr>
            <w:tcW w:w="2552" w:type="dxa"/>
            <w:vMerge/>
            <w:tcBorders>
              <w:left w:val="single" w:sz="4" w:space="0" w:color="000000"/>
              <w:bottom w:val="single" w:sz="4" w:space="0" w:color="000000"/>
            </w:tcBorders>
            <w:vAlign w:val="center"/>
          </w:tcPr>
          <w:p>
            <w:pPr>
              <w:tabs>
                <w:tab w:val="left" w:pos="1134"/>
              </w:tabs>
              <w:snapToGrid w:val="0"/>
            </w:pPr>
          </w:p>
        </w:tc>
        <w:tc>
          <w:tcPr>
            <w:tcW w:w="1730" w:type="dxa"/>
            <w:vMerge/>
            <w:tcBorders>
              <w:left w:val="single" w:sz="4" w:space="0" w:color="000000"/>
              <w:bottom w:val="single" w:sz="4" w:space="0" w:color="000000"/>
            </w:tcBorders>
            <w:vAlign w:val="center"/>
          </w:tcPr>
          <w:p>
            <w:pPr>
              <w:tabs>
                <w:tab w:val="left" w:pos="1134"/>
              </w:tabs>
              <w:snapToGrid w:val="0"/>
              <w:jc w:val="center"/>
              <w:rPr>
                <w:color w:val="000000"/>
              </w:rPr>
            </w:pPr>
          </w:p>
        </w:tc>
        <w:tc>
          <w:tcPr>
            <w:tcW w:w="1141" w:type="dxa"/>
            <w:vMerge/>
            <w:tcBorders>
              <w:left w:val="single" w:sz="4" w:space="0" w:color="000000"/>
              <w:bottom w:val="single" w:sz="4" w:space="0" w:color="000000"/>
              <w:right w:val="single" w:sz="4" w:space="0" w:color="000000"/>
            </w:tcBorders>
            <w:vAlign w:val="center"/>
          </w:tcPr>
          <w:p>
            <w:pPr>
              <w:tabs>
                <w:tab w:val="left" w:pos="1134"/>
              </w:tabs>
              <w:snapToGrid w:val="0"/>
              <w:jc w:val="center"/>
            </w:pPr>
          </w:p>
        </w:tc>
      </w:tr>
      <w:tr>
        <w:trPr>
          <w:trHeight w:val="967"/>
        </w:trPr>
        <w:tc>
          <w:tcPr>
            <w:tcW w:w="4536" w:type="dxa"/>
            <w:tcBorders>
              <w:top w:val="single" w:sz="4" w:space="0" w:color="000000"/>
              <w:left w:val="single" w:sz="4" w:space="0" w:color="000000"/>
              <w:bottom w:val="single" w:sz="4" w:space="0" w:color="000000"/>
            </w:tcBorders>
            <w:vAlign w:val="center"/>
          </w:tcPr>
          <w:p>
            <w:pPr>
              <w:tabs>
                <w:tab w:val="left" w:pos="1134"/>
              </w:tabs>
              <w:snapToGrid w:val="0"/>
              <w:rPr>
                <w:color w:val="000000"/>
              </w:rPr>
            </w:pPr>
            <w:r>
              <w:rPr>
                <w:color w:val="000000"/>
              </w:rPr>
              <w:t>Jour de fermeture exceptionnel</w:t>
            </w:r>
          </w:p>
        </w:tc>
        <w:tc>
          <w:tcPr>
            <w:tcW w:w="2552" w:type="dxa"/>
            <w:tcBorders>
              <w:left w:val="single" w:sz="4" w:space="0" w:color="000000"/>
              <w:bottom w:val="single" w:sz="4" w:space="0" w:color="000000"/>
            </w:tcBorders>
            <w:vAlign w:val="center"/>
          </w:tcPr>
          <w:p>
            <w:pPr>
              <w:tabs>
                <w:tab w:val="left" w:pos="1134"/>
              </w:tabs>
              <w:snapToGrid w:val="0"/>
            </w:pPr>
            <w:r>
              <w:t>Véronique ROMBAUT</w:t>
            </w:r>
          </w:p>
        </w:tc>
        <w:tc>
          <w:tcPr>
            <w:tcW w:w="1730" w:type="dxa"/>
            <w:tcBorders>
              <w:left w:val="single" w:sz="4" w:space="0" w:color="000000"/>
              <w:bottom w:val="single" w:sz="4" w:space="0" w:color="000000"/>
            </w:tcBorders>
            <w:vAlign w:val="center"/>
          </w:tcPr>
          <w:p>
            <w:pPr>
              <w:tabs>
                <w:tab w:val="left" w:pos="1134"/>
              </w:tabs>
              <w:snapToGrid w:val="0"/>
              <w:jc w:val="center"/>
            </w:pPr>
            <w:r>
              <w:t>83.99</w:t>
            </w:r>
          </w:p>
        </w:tc>
        <w:tc>
          <w:tcPr>
            <w:tcW w:w="1141" w:type="dxa"/>
            <w:tcBorders>
              <w:left w:val="single" w:sz="4" w:space="0" w:color="000000"/>
              <w:bottom w:val="single" w:sz="4" w:space="0" w:color="000000"/>
              <w:right w:val="single" w:sz="4" w:space="0" w:color="000000"/>
            </w:tcBorders>
            <w:vAlign w:val="center"/>
          </w:tcPr>
          <w:p>
            <w:pPr>
              <w:tabs>
                <w:tab w:val="left" w:pos="1134"/>
              </w:tabs>
              <w:snapToGrid w:val="0"/>
              <w:jc w:val="center"/>
            </w:pPr>
            <w:r>
              <w:t>85.99</w:t>
            </w:r>
          </w:p>
        </w:tc>
      </w:tr>
    </w:tbl>
    <w:p>
      <w:pPr>
        <w:tabs>
          <w:tab w:val="left" w:pos="1134"/>
        </w:tabs>
      </w:pPr>
    </w:p>
    <w:p>
      <w:pPr>
        <w:pStyle w:val="Titre3"/>
      </w:pPr>
      <w:bookmarkStart w:id="3562" w:name="_Toc18914551"/>
      <w:r>
        <w:t xml:space="preserve">7. </w:t>
      </w:r>
      <w:bookmarkStart w:id="3563" w:name="_Toc453314259"/>
      <w:bookmarkStart w:id="3564" w:name="_Toc454980294"/>
      <w:r>
        <w:t>Enseignement secondaire spécialisé</w:t>
      </w:r>
      <w:bookmarkEnd w:id="3563"/>
      <w:bookmarkEnd w:id="3564"/>
      <w:bookmarkEnd w:id="3562"/>
    </w:p>
    <w:p>
      <w:pPr>
        <w:tabs>
          <w:tab w:val="left" w:pos="1134"/>
        </w:tabs>
        <w:rPr>
          <w:b/>
          <w:caps/>
          <w:color w:val="0000FF"/>
        </w:rPr>
      </w:pPr>
    </w:p>
    <w:tbl>
      <w:tblPr>
        <w:tblW w:w="9817" w:type="dxa"/>
        <w:tblInd w:w="108" w:type="dxa"/>
        <w:tblLayout w:type="fixed"/>
        <w:tblLook w:val="0000" w:firstRow="0" w:lastRow="0" w:firstColumn="0" w:lastColumn="0" w:noHBand="0" w:noVBand="0"/>
      </w:tblPr>
      <w:tblGrid>
        <w:gridCol w:w="4536"/>
        <w:gridCol w:w="2439"/>
        <w:gridCol w:w="1701"/>
        <w:gridCol w:w="1141"/>
      </w:tblGrid>
      <w:tr>
        <w:trPr>
          <w:trHeight w:val="255"/>
        </w:trPr>
        <w:tc>
          <w:tcPr>
            <w:tcW w:w="4536" w:type="dxa"/>
            <w:tcBorders>
              <w:top w:val="single" w:sz="4" w:space="0" w:color="000000"/>
              <w:left w:val="single" w:sz="4" w:space="0" w:color="000000"/>
              <w:bottom w:val="single" w:sz="4" w:space="0" w:color="000000"/>
            </w:tcBorders>
            <w:shd w:val="clear" w:color="auto" w:fill="0099FF"/>
            <w:vAlign w:val="center"/>
          </w:tcPr>
          <w:p>
            <w:pPr>
              <w:tabs>
                <w:tab w:val="left" w:pos="1134"/>
              </w:tabs>
              <w:snapToGrid w:val="0"/>
              <w:jc w:val="center"/>
              <w:rPr>
                <w:b/>
              </w:rPr>
            </w:pPr>
            <w:r>
              <w:rPr>
                <w:b/>
              </w:rPr>
              <w:t>Matière</w:t>
            </w:r>
          </w:p>
        </w:tc>
        <w:tc>
          <w:tcPr>
            <w:tcW w:w="2439" w:type="dxa"/>
            <w:tcBorders>
              <w:top w:val="single" w:sz="4" w:space="0" w:color="000000"/>
              <w:left w:val="single" w:sz="4" w:space="0" w:color="000000"/>
              <w:bottom w:val="single" w:sz="4" w:space="0" w:color="000000"/>
            </w:tcBorders>
            <w:shd w:val="clear" w:color="auto" w:fill="0099FF"/>
            <w:vAlign w:val="center"/>
          </w:tcPr>
          <w:p>
            <w:pPr>
              <w:snapToGrid w:val="0"/>
              <w:ind w:right="-108"/>
              <w:jc w:val="center"/>
              <w:rPr>
                <w:b/>
                <w:bCs/>
              </w:rPr>
            </w:pPr>
            <w:r>
              <w:rPr>
                <w:b/>
                <w:bCs/>
              </w:rPr>
              <w:t>Personne de contact</w:t>
            </w:r>
          </w:p>
        </w:tc>
        <w:tc>
          <w:tcPr>
            <w:tcW w:w="1701" w:type="dxa"/>
            <w:tcBorders>
              <w:top w:val="single" w:sz="4" w:space="0" w:color="000000"/>
              <w:left w:val="single" w:sz="4" w:space="0" w:color="000000"/>
              <w:bottom w:val="single" w:sz="4" w:space="0" w:color="000000"/>
            </w:tcBorders>
            <w:shd w:val="clear" w:color="auto" w:fill="0099FF"/>
            <w:vAlign w:val="center"/>
          </w:tcPr>
          <w:p>
            <w:pPr>
              <w:tabs>
                <w:tab w:val="left" w:pos="1134"/>
              </w:tabs>
              <w:snapToGrid w:val="0"/>
              <w:jc w:val="center"/>
              <w:rPr>
                <w:b/>
                <w:bCs/>
              </w:rPr>
            </w:pPr>
            <w:r>
              <w:rPr>
                <w:b/>
                <w:bCs/>
              </w:rPr>
              <w:t>Tél</w:t>
            </w:r>
          </w:p>
        </w:tc>
        <w:tc>
          <w:tcPr>
            <w:tcW w:w="1141" w:type="dxa"/>
            <w:tcBorders>
              <w:top w:val="single" w:sz="4" w:space="0" w:color="000000"/>
              <w:left w:val="single" w:sz="4" w:space="0" w:color="000000"/>
              <w:bottom w:val="single" w:sz="4" w:space="0" w:color="000000"/>
              <w:right w:val="single" w:sz="4" w:space="0" w:color="000000"/>
            </w:tcBorders>
            <w:shd w:val="clear" w:color="auto" w:fill="0099FF"/>
            <w:vAlign w:val="center"/>
          </w:tcPr>
          <w:p>
            <w:pPr>
              <w:tabs>
                <w:tab w:val="left" w:pos="1134"/>
              </w:tabs>
              <w:snapToGrid w:val="0"/>
              <w:jc w:val="center"/>
              <w:rPr>
                <w:b/>
                <w:bCs/>
              </w:rPr>
            </w:pPr>
            <w:r>
              <w:rPr>
                <w:b/>
                <w:bCs/>
              </w:rPr>
              <w:t>Fax</w:t>
            </w:r>
          </w:p>
        </w:tc>
      </w:tr>
      <w:tr>
        <w:trPr>
          <w:trHeight w:val="387"/>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Structures du secondaire</w:t>
            </w:r>
          </w:p>
        </w:tc>
        <w:tc>
          <w:tcPr>
            <w:tcW w:w="2439" w:type="dxa"/>
            <w:tcBorders>
              <w:top w:val="single" w:sz="4" w:space="0" w:color="000000"/>
              <w:left w:val="single" w:sz="4" w:space="0" w:color="000000"/>
              <w:bottom w:val="single" w:sz="4" w:space="0" w:color="000000"/>
            </w:tcBorders>
            <w:vAlign w:val="center"/>
          </w:tcPr>
          <w:p>
            <w:pPr>
              <w:snapToGrid w:val="0"/>
            </w:pPr>
            <w:r>
              <w:t>Christine WILLEMS</w:t>
            </w:r>
          </w:p>
        </w:tc>
        <w:tc>
          <w:tcPr>
            <w:tcW w:w="1701" w:type="dxa"/>
            <w:tcBorders>
              <w:top w:val="single" w:sz="4" w:space="0" w:color="000000"/>
              <w:left w:val="single" w:sz="4" w:space="0" w:color="000000"/>
              <w:bottom w:val="single" w:sz="4" w:space="0" w:color="000000"/>
            </w:tcBorders>
            <w:vAlign w:val="center"/>
          </w:tcPr>
          <w:p>
            <w:pPr>
              <w:tabs>
                <w:tab w:val="left" w:pos="1134"/>
              </w:tabs>
              <w:snapToGrid w:val="0"/>
              <w:jc w:val="center"/>
            </w:pPr>
            <w:r>
              <w:t>84.11</w:t>
            </w:r>
          </w:p>
        </w:tc>
        <w:tc>
          <w:tcPr>
            <w:tcW w:w="1141" w:type="dxa"/>
            <w:tcBorders>
              <w:top w:val="single" w:sz="4" w:space="0" w:color="000000"/>
              <w:left w:val="single" w:sz="4" w:space="0" w:color="000000"/>
              <w:bottom w:val="single" w:sz="4" w:space="0" w:color="000000"/>
              <w:right w:val="single" w:sz="4" w:space="0" w:color="000000"/>
            </w:tcBorders>
            <w:vAlign w:val="center"/>
          </w:tcPr>
          <w:p>
            <w:pPr>
              <w:snapToGrid w:val="0"/>
              <w:jc w:val="center"/>
            </w:pPr>
            <w:r>
              <w:t>85.90</w:t>
            </w:r>
          </w:p>
        </w:tc>
      </w:tr>
      <w:tr>
        <w:trPr>
          <w:trHeight w:val="369"/>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Grilles-horaire</w:t>
            </w:r>
          </w:p>
        </w:tc>
        <w:tc>
          <w:tcPr>
            <w:tcW w:w="2439" w:type="dxa"/>
            <w:tcBorders>
              <w:top w:val="single" w:sz="4" w:space="0" w:color="000000"/>
              <w:left w:val="single" w:sz="4" w:space="0" w:color="000000"/>
              <w:bottom w:val="single" w:sz="4" w:space="0" w:color="000000"/>
            </w:tcBorders>
            <w:vAlign w:val="center"/>
          </w:tcPr>
          <w:p>
            <w:pPr>
              <w:tabs>
                <w:tab w:val="left" w:pos="1134"/>
              </w:tabs>
              <w:snapToGrid w:val="0"/>
            </w:pPr>
            <w:r>
              <w:t>Christine WILLEMS</w:t>
            </w:r>
          </w:p>
        </w:tc>
        <w:tc>
          <w:tcPr>
            <w:tcW w:w="1701" w:type="dxa"/>
            <w:tcBorders>
              <w:top w:val="single" w:sz="4" w:space="0" w:color="000000"/>
              <w:left w:val="single" w:sz="4" w:space="0" w:color="000000"/>
              <w:bottom w:val="single" w:sz="4" w:space="0" w:color="000000"/>
            </w:tcBorders>
            <w:vAlign w:val="center"/>
          </w:tcPr>
          <w:p>
            <w:pPr>
              <w:tabs>
                <w:tab w:val="left" w:pos="1134"/>
              </w:tabs>
              <w:snapToGrid w:val="0"/>
              <w:jc w:val="center"/>
            </w:pPr>
            <w:r>
              <w:t>84.11</w:t>
            </w:r>
          </w:p>
        </w:tc>
        <w:tc>
          <w:tcPr>
            <w:tcW w:w="1141"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p>
        </w:tc>
      </w:tr>
      <w:tr>
        <w:trPr>
          <w:trHeight w:val="843"/>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Composition des jurys de qualification, procès-verbaux et certificats de qualification de la forme 3</w:t>
            </w:r>
          </w:p>
        </w:tc>
        <w:tc>
          <w:tcPr>
            <w:tcW w:w="2439" w:type="dxa"/>
            <w:tcBorders>
              <w:top w:val="single" w:sz="4" w:space="0" w:color="000000"/>
              <w:left w:val="single" w:sz="4" w:space="0" w:color="000000"/>
              <w:bottom w:val="single" w:sz="4" w:space="0" w:color="000000"/>
            </w:tcBorders>
            <w:vAlign w:val="center"/>
          </w:tcPr>
          <w:p>
            <w:pPr>
              <w:tabs>
                <w:tab w:val="left" w:pos="1134"/>
              </w:tabs>
              <w:snapToGrid w:val="0"/>
              <w:rPr>
                <w:lang w:val="nl-NL"/>
              </w:rPr>
            </w:pPr>
            <w:r>
              <w:t>Marie BORMANN</w:t>
            </w:r>
          </w:p>
        </w:tc>
        <w:tc>
          <w:tcPr>
            <w:tcW w:w="1701" w:type="dxa"/>
            <w:tcBorders>
              <w:top w:val="single" w:sz="4" w:space="0" w:color="000000"/>
              <w:left w:val="single" w:sz="4" w:space="0" w:color="000000"/>
              <w:bottom w:val="single" w:sz="4" w:space="0" w:color="000000"/>
            </w:tcBorders>
            <w:vAlign w:val="center"/>
          </w:tcPr>
          <w:p>
            <w:pPr>
              <w:tabs>
                <w:tab w:val="left" w:pos="1336"/>
              </w:tabs>
              <w:snapToGrid w:val="0"/>
              <w:jc w:val="center"/>
            </w:pPr>
            <w:r>
              <w:t>02/413.26.36</w:t>
            </w:r>
          </w:p>
        </w:tc>
        <w:tc>
          <w:tcPr>
            <w:tcW w:w="1141"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88.05</w:t>
            </w:r>
          </w:p>
        </w:tc>
      </w:tr>
      <w:tr>
        <w:trPr>
          <w:trHeight w:val="351"/>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Certificats d’enseignement secondaire supérieur, certificats d’études de 6</w:t>
            </w:r>
            <w:r>
              <w:rPr>
                <w:vertAlign w:val="superscript"/>
              </w:rPr>
              <w:t>ème</w:t>
            </w:r>
            <w:r>
              <w:t xml:space="preserve"> et 7</w:t>
            </w:r>
            <w:r>
              <w:rPr>
                <w:vertAlign w:val="superscript"/>
              </w:rPr>
              <w:t>ème</w:t>
            </w:r>
            <w:r>
              <w:t>, certificats de qualification de 6</w:t>
            </w:r>
            <w:r>
              <w:rPr>
                <w:vertAlign w:val="superscript"/>
              </w:rPr>
              <w:t>ème</w:t>
            </w:r>
            <w:r>
              <w:t xml:space="preserve"> et 7</w:t>
            </w:r>
            <w:r>
              <w:rPr>
                <w:vertAlign w:val="superscript"/>
              </w:rPr>
              <w:t>ème</w:t>
            </w:r>
            <w:r>
              <w:t xml:space="preserve"> de l’enseignement de secondaire spécialisé de forme 4</w:t>
            </w:r>
          </w:p>
        </w:tc>
        <w:tc>
          <w:tcPr>
            <w:tcW w:w="2439" w:type="dxa"/>
            <w:tcBorders>
              <w:top w:val="single" w:sz="4" w:space="0" w:color="000000"/>
              <w:left w:val="single" w:sz="4" w:space="0" w:color="000000"/>
              <w:bottom w:val="single" w:sz="4" w:space="0" w:color="000000"/>
            </w:tcBorders>
            <w:vAlign w:val="center"/>
          </w:tcPr>
          <w:p>
            <w:pPr>
              <w:tabs>
                <w:tab w:val="left" w:pos="1134"/>
              </w:tabs>
              <w:snapToGrid w:val="0"/>
              <w:rPr>
                <w:lang w:val="nl-NL"/>
              </w:rPr>
            </w:pPr>
            <w:r>
              <w:rPr>
                <w:lang w:val="nl-NL"/>
              </w:rPr>
              <w:t>Marie BORMANN</w:t>
            </w:r>
          </w:p>
          <w:p>
            <w:pPr>
              <w:tabs>
                <w:tab w:val="left" w:pos="1134"/>
              </w:tabs>
              <w:snapToGrid w:val="0"/>
              <w:rPr>
                <w:lang w:val="nl-NL"/>
              </w:rPr>
            </w:pPr>
          </w:p>
        </w:tc>
        <w:tc>
          <w:tcPr>
            <w:tcW w:w="1701" w:type="dxa"/>
            <w:tcBorders>
              <w:top w:val="single" w:sz="4" w:space="0" w:color="000000"/>
              <w:left w:val="single" w:sz="4" w:space="0" w:color="000000"/>
              <w:bottom w:val="single" w:sz="4" w:space="0" w:color="000000"/>
            </w:tcBorders>
            <w:vAlign w:val="center"/>
          </w:tcPr>
          <w:p>
            <w:pPr>
              <w:tabs>
                <w:tab w:val="left" w:pos="1134"/>
              </w:tabs>
              <w:snapToGrid w:val="0"/>
              <w:jc w:val="center"/>
            </w:pPr>
            <w:r>
              <w:t>02/413.26.36</w:t>
            </w:r>
          </w:p>
        </w:tc>
        <w:tc>
          <w:tcPr>
            <w:tcW w:w="1141"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88.05</w:t>
            </w:r>
          </w:p>
        </w:tc>
      </w:tr>
      <w:tr>
        <w:trPr>
          <w:trHeight w:val="351"/>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p>
        </w:tc>
        <w:tc>
          <w:tcPr>
            <w:tcW w:w="5281" w:type="dxa"/>
            <w:gridSpan w:val="3"/>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hyperlink r:id="rId260" w:history="1">
              <w:r>
                <w:rPr>
                  <w:rStyle w:val="Lienhypertexte"/>
                  <w:rFonts w:cstheme="minorBidi"/>
                </w:rPr>
                <w:t>CQspecialise@cfwb.be</w:t>
              </w:r>
            </w:hyperlink>
            <w:r>
              <w:t xml:space="preserve"> </w:t>
            </w:r>
          </w:p>
        </w:tc>
      </w:tr>
    </w:tbl>
    <w:p/>
    <w:p/>
    <w:p/>
    <w:p/>
    <w:p/>
    <w:p/>
    <w:p/>
    <w:p>
      <w:pPr>
        <w:pStyle w:val="Titre3"/>
      </w:pPr>
      <w:bookmarkStart w:id="3565" w:name="_Toc18914552"/>
      <w:r>
        <w:t xml:space="preserve">8. </w:t>
      </w:r>
      <w:bookmarkStart w:id="3566" w:name="_Toc453314260"/>
      <w:bookmarkStart w:id="3567" w:name="_Toc454980295"/>
      <w:r>
        <w:t>Gestion des écoles</w:t>
      </w:r>
      <w:bookmarkEnd w:id="3566"/>
      <w:bookmarkEnd w:id="3567"/>
      <w:bookmarkEnd w:id="3565"/>
    </w:p>
    <w:p>
      <w:r>
        <w:rPr>
          <w:noProof/>
          <w:lang w:eastAsia="fr-BE"/>
        </w:rPr>
        <mc:AlternateContent>
          <mc:Choice Requires="wps">
            <w:drawing>
              <wp:anchor distT="0" distB="0" distL="114300" distR="114300" simplePos="0" relativeHeight="252059648" behindDoc="0" locked="0" layoutInCell="1" allowOverlap="1">
                <wp:simplePos x="0" y="0"/>
                <wp:positionH relativeFrom="column">
                  <wp:posOffset>6567170</wp:posOffset>
                </wp:positionH>
                <wp:positionV relativeFrom="paragraph">
                  <wp:posOffset>163830</wp:posOffset>
                </wp:positionV>
                <wp:extent cx="0" cy="8896350"/>
                <wp:effectExtent l="0" t="0" r="19050" b="19050"/>
                <wp:wrapNone/>
                <wp:docPr id="4942" name="Connecteur droit 4942"/>
                <wp:cNvGraphicFramePr/>
                <a:graphic xmlns:a="http://schemas.openxmlformats.org/drawingml/2006/main">
                  <a:graphicData uri="http://schemas.microsoft.com/office/word/2010/wordprocessingShape">
                    <wps:wsp>
                      <wps:cNvCnPr/>
                      <wps:spPr>
                        <a:xfrm>
                          <a:off x="0" y="0"/>
                          <a:ext cx="0" cy="8896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FDE1B6" id="Connecteur droit 4942" o:spid="_x0000_s1026" style="position:absolute;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7.1pt,12.9pt" to="517.1pt,7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" strokecolor="black [3040]"/>
            </w:pict>
          </mc:Fallback>
        </mc:AlternateContent>
      </w:r>
    </w:p>
    <w:tbl>
      <w:tblPr>
        <w:tblW w:w="9781" w:type="dxa"/>
        <w:tblInd w:w="108" w:type="dxa"/>
        <w:tblLayout w:type="fixed"/>
        <w:tblLook w:val="0000" w:firstRow="0" w:lastRow="0" w:firstColumn="0" w:lastColumn="0" w:noHBand="0" w:noVBand="0"/>
      </w:tblPr>
      <w:tblGrid>
        <w:gridCol w:w="4536"/>
        <w:gridCol w:w="2552"/>
        <w:gridCol w:w="1552"/>
        <w:gridCol w:w="1141"/>
      </w:tblGrid>
      <w:tr>
        <w:trPr>
          <w:trHeight w:val="207"/>
        </w:trPr>
        <w:tc>
          <w:tcPr>
            <w:tcW w:w="4536" w:type="dxa"/>
            <w:tcBorders>
              <w:top w:val="single" w:sz="4" w:space="0" w:color="000000"/>
              <w:left w:val="single" w:sz="4" w:space="0" w:color="000000"/>
              <w:bottom w:val="single" w:sz="4" w:space="0" w:color="000000"/>
            </w:tcBorders>
            <w:shd w:val="clear" w:color="auto" w:fill="0099FF"/>
          </w:tcPr>
          <w:p>
            <w:pPr>
              <w:tabs>
                <w:tab w:val="left" w:pos="1134"/>
              </w:tabs>
              <w:snapToGrid w:val="0"/>
              <w:jc w:val="center"/>
              <w:rPr>
                <w:b/>
              </w:rPr>
            </w:pPr>
            <w:r>
              <w:rPr>
                <w:b/>
              </w:rPr>
              <w:t>Matière</w:t>
            </w:r>
          </w:p>
        </w:tc>
        <w:tc>
          <w:tcPr>
            <w:tcW w:w="2552" w:type="dxa"/>
            <w:tcBorders>
              <w:top w:val="single" w:sz="4" w:space="0" w:color="000000"/>
              <w:left w:val="single" w:sz="4" w:space="0" w:color="000000"/>
              <w:bottom w:val="single" w:sz="4" w:space="0" w:color="000000"/>
            </w:tcBorders>
            <w:shd w:val="clear" w:color="auto" w:fill="0099FF"/>
          </w:tcPr>
          <w:p>
            <w:pPr>
              <w:snapToGrid w:val="0"/>
              <w:jc w:val="center"/>
              <w:rPr>
                <w:b/>
                <w:bCs/>
              </w:rPr>
            </w:pPr>
            <w:r>
              <w:rPr>
                <w:b/>
                <w:bCs/>
              </w:rPr>
              <w:t>Personne de contact</w:t>
            </w:r>
          </w:p>
        </w:tc>
        <w:tc>
          <w:tcPr>
            <w:tcW w:w="1552" w:type="dxa"/>
            <w:tcBorders>
              <w:top w:val="single" w:sz="4" w:space="0" w:color="000000"/>
              <w:left w:val="single" w:sz="4" w:space="0" w:color="000000"/>
              <w:bottom w:val="single" w:sz="4" w:space="0" w:color="000000"/>
            </w:tcBorders>
            <w:shd w:val="clear" w:color="auto" w:fill="0099FF"/>
          </w:tcPr>
          <w:p>
            <w:pPr>
              <w:tabs>
                <w:tab w:val="left" w:pos="1134"/>
              </w:tabs>
              <w:snapToGrid w:val="0"/>
              <w:jc w:val="center"/>
              <w:rPr>
                <w:b/>
                <w:bCs/>
              </w:rPr>
            </w:pPr>
            <w:r>
              <w:rPr>
                <w:b/>
                <w:bCs/>
              </w:rPr>
              <w:t>Tél</w:t>
            </w:r>
          </w:p>
        </w:tc>
        <w:tc>
          <w:tcPr>
            <w:tcW w:w="1141" w:type="dxa"/>
            <w:tcBorders>
              <w:top w:val="single" w:sz="4" w:space="0" w:color="000000"/>
              <w:left w:val="single" w:sz="4" w:space="0" w:color="000000"/>
              <w:bottom w:val="single" w:sz="4" w:space="0" w:color="000000"/>
              <w:right w:val="single" w:sz="4" w:space="0" w:color="000000"/>
            </w:tcBorders>
            <w:shd w:val="clear" w:color="auto" w:fill="0099FF"/>
          </w:tcPr>
          <w:p>
            <w:pPr>
              <w:tabs>
                <w:tab w:val="left" w:pos="1134"/>
              </w:tabs>
              <w:snapToGrid w:val="0"/>
              <w:jc w:val="center"/>
              <w:rPr>
                <w:b/>
                <w:bCs/>
              </w:rPr>
            </w:pPr>
            <w:r>
              <w:rPr>
                <w:b/>
                <w:bCs/>
              </w:rPr>
              <w:t>Fax</w:t>
            </w:r>
          </w:p>
        </w:tc>
      </w:tr>
      <w:tr>
        <w:trPr>
          <w:trHeight w:val="1218"/>
        </w:trPr>
        <w:tc>
          <w:tcPr>
            <w:tcW w:w="4536" w:type="dxa"/>
            <w:tcBorders>
              <w:top w:val="single" w:sz="4" w:space="0" w:color="000000"/>
              <w:left w:val="single" w:sz="4" w:space="0" w:color="000000"/>
              <w:bottom w:val="single" w:sz="4" w:space="0" w:color="000000"/>
            </w:tcBorders>
          </w:tcPr>
          <w:p>
            <w:pPr>
              <w:tabs>
                <w:tab w:val="left" w:pos="1134"/>
              </w:tabs>
              <w:snapToGrid w:val="0"/>
            </w:pPr>
            <w:r>
              <w:t xml:space="preserve">Gestion des populations scolaires, des attributions, de la signalétique et de la structure des écoles </w:t>
            </w:r>
          </w:p>
        </w:tc>
        <w:tc>
          <w:tcPr>
            <w:tcW w:w="2552" w:type="dxa"/>
            <w:tcBorders>
              <w:top w:val="single" w:sz="4" w:space="0" w:color="000000"/>
              <w:left w:val="single" w:sz="4" w:space="0" w:color="000000"/>
              <w:bottom w:val="single" w:sz="4" w:space="0" w:color="000000"/>
            </w:tcBorders>
            <w:vAlign w:val="center"/>
          </w:tcPr>
          <w:p>
            <w:r>
              <w:t>Isabelle THOMAS</w:t>
            </w:r>
          </w:p>
          <w:p>
            <w:pPr>
              <w:snapToGrid w:val="0"/>
            </w:pPr>
            <w:r>
              <w:t>Noémie SOMME</w:t>
            </w:r>
          </w:p>
        </w:tc>
        <w:tc>
          <w:tcPr>
            <w:tcW w:w="1552" w:type="dxa"/>
            <w:tcBorders>
              <w:top w:val="single" w:sz="4" w:space="0" w:color="000000"/>
              <w:left w:val="single" w:sz="4" w:space="0" w:color="000000"/>
              <w:bottom w:val="single" w:sz="4" w:space="0" w:color="000000"/>
            </w:tcBorders>
            <w:vAlign w:val="center"/>
          </w:tcPr>
          <w:p>
            <w:pPr>
              <w:tabs>
                <w:tab w:val="left" w:pos="1134"/>
              </w:tabs>
              <w:snapToGrid w:val="0"/>
              <w:jc w:val="center"/>
            </w:pPr>
            <w:r>
              <w:t>88.92</w:t>
            </w:r>
          </w:p>
          <w:p>
            <w:pPr>
              <w:tabs>
                <w:tab w:val="left" w:pos="1134"/>
              </w:tabs>
              <w:snapToGrid w:val="0"/>
              <w:jc w:val="center"/>
            </w:pPr>
            <w:r>
              <w:t>84.01</w:t>
            </w:r>
          </w:p>
        </w:tc>
        <w:tc>
          <w:tcPr>
            <w:tcW w:w="1141" w:type="dxa"/>
            <w:tcBorders>
              <w:top w:val="single" w:sz="4" w:space="0" w:color="000000"/>
              <w:left w:val="single" w:sz="4" w:space="0" w:color="000000"/>
              <w:bottom w:val="single" w:sz="4" w:space="0" w:color="000000"/>
              <w:right w:val="single" w:sz="4" w:space="0" w:color="000000"/>
            </w:tcBorders>
            <w:vAlign w:val="center"/>
          </w:tcPr>
          <w:p>
            <w:pPr>
              <w:jc w:val="center"/>
            </w:pPr>
            <w:r>
              <w:t>88.05</w:t>
            </w:r>
          </w:p>
        </w:tc>
      </w:tr>
    </w:tbl>
    <w:p/>
    <w:p>
      <w:pPr>
        <w:pStyle w:val="Titre3"/>
      </w:pPr>
      <w:bookmarkStart w:id="3568" w:name="_9._Matières_traitées"/>
      <w:bookmarkStart w:id="3569" w:name="_Toc18914553"/>
      <w:bookmarkEnd w:id="3568"/>
      <w:r>
        <w:t xml:space="preserve">9. </w:t>
      </w:r>
      <w:bookmarkStart w:id="3570" w:name="_Toc453314261"/>
      <w:bookmarkStart w:id="3571" w:name="_Toc454980296"/>
      <w:r>
        <w:t>Matières traitées par les directions transversales à la Direction générale de l’Enseignement obligatoire</w:t>
      </w:r>
      <w:bookmarkEnd w:id="3570"/>
      <w:bookmarkEnd w:id="3571"/>
      <w:bookmarkEnd w:id="3569"/>
    </w:p>
    <w:p/>
    <w:tbl>
      <w:tblPr>
        <w:tblStyle w:val="Grilledutableau"/>
        <w:tblW w:w="10201" w:type="dxa"/>
        <w:tblLayout w:type="fixed"/>
        <w:tblLook w:val="04A0" w:firstRow="1" w:lastRow="0" w:firstColumn="1" w:lastColumn="0" w:noHBand="0" w:noVBand="1"/>
      </w:tblPr>
      <w:tblGrid>
        <w:gridCol w:w="3823"/>
        <w:gridCol w:w="2126"/>
        <w:gridCol w:w="850"/>
        <w:gridCol w:w="1701"/>
        <w:gridCol w:w="1701"/>
      </w:tblGrid>
      <w:tr>
        <w:trPr>
          <w:cantSplit/>
        </w:trPr>
        <w:tc>
          <w:tcPr>
            <w:tcW w:w="3823" w:type="dxa"/>
            <w:shd w:val="clear" w:color="auto" w:fill="0099FF"/>
          </w:tcPr>
          <w:p>
            <w:pPr>
              <w:tabs>
                <w:tab w:val="left" w:pos="1134"/>
              </w:tabs>
              <w:snapToGrid w:val="0"/>
              <w:jc w:val="center"/>
              <w:rPr>
                <w:b/>
              </w:rPr>
            </w:pPr>
            <w:r>
              <w:rPr>
                <w:b/>
              </w:rPr>
              <w:t>Matière</w:t>
            </w:r>
          </w:p>
        </w:tc>
        <w:tc>
          <w:tcPr>
            <w:tcW w:w="2126" w:type="dxa"/>
            <w:shd w:val="clear" w:color="auto" w:fill="0099FF"/>
          </w:tcPr>
          <w:p>
            <w:pPr>
              <w:snapToGrid w:val="0"/>
              <w:jc w:val="center"/>
              <w:rPr>
                <w:b/>
                <w:bCs/>
              </w:rPr>
            </w:pPr>
            <w:r>
              <w:rPr>
                <w:b/>
                <w:bCs/>
              </w:rPr>
              <w:t>Personne de contact</w:t>
            </w:r>
          </w:p>
        </w:tc>
        <w:tc>
          <w:tcPr>
            <w:tcW w:w="2551" w:type="dxa"/>
            <w:gridSpan w:val="2"/>
            <w:shd w:val="clear" w:color="auto" w:fill="0099FF"/>
          </w:tcPr>
          <w:p>
            <w:pPr>
              <w:tabs>
                <w:tab w:val="left" w:pos="1134"/>
              </w:tabs>
              <w:snapToGrid w:val="0"/>
              <w:jc w:val="center"/>
              <w:rPr>
                <w:b/>
                <w:bCs/>
              </w:rPr>
            </w:pPr>
            <w:r>
              <w:rPr>
                <w:b/>
                <w:bCs/>
              </w:rPr>
              <w:t>Tél</w:t>
            </w:r>
          </w:p>
        </w:tc>
        <w:tc>
          <w:tcPr>
            <w:tcW w:w="1701" w:type="dxa"/>
            <w:shd w:val="clear" w:color="auto" w:fill="0099FF"/>
          </w:tcPr>
          <w:p>
            <w:pPr>
              <w:tabs>
                <w:tab w:val="left" w:pos="1134"/>
              </w:tabs>
              <w:snapToGrid w:val="0"/>
              <w:jc w:val="center"/>
              <w:rPr>
                <w:b/>
                <w:bCs/>
              </w:rPr>
            </w:pPr>
            <w:r>
              <w:rPr>
                <w:b/>
                <w:bCs/>
              </w:rPr>
              <w:t>Fax</w:t>
            </w:r>
          </w:p>
        </w:tc>
      </w:tr>
      <w:tr>
        <w:trPr>
          <w:cantSplit/>
        </w:trPr>
        <w:tc>
          <w:tcPr>
            <w:tcW w:w="3823" w:type="dxa"/>
          </w:tcPr>
          <w:p>
            <w:pPr>
              <w:autoSpaceDE w:val="0"/>
              <w:snapToGrid w:val="0"/>
              <w:rPr>
                <w:b/>
                <w:bCs/>
                <w:sz w:val="22"/>
                <w:szCs w:val="22"/>
              </w:rPr>
            </w:pPr>
            <w:r>
              <w:rPr>
                <w:b/>
                <w:bCs/>
                <w:sz w:val="22"/>
                <w:szCs w:val="22"/>
              </w:rPr>
              <w:t>Centres Psycho-médico-sociaux</w:t>
            </w:r>
          </w:p>
        </w:tc>
        <w:tc>
          <w:tcPr>
            <w:tcW w:w="2126" w:type="dxa"/>
          </w:tcPr>
          <w:p>
            <w:pPr>
              <w:autoSpaceDE w:val="0"/>
              <w:snapToGrid w:val="0"/>
              <w:jc w:val="center"/>
              <w:rPr>
                <w:sz w:val="22"/>
                <w:szCs w:val="22"/>
              </w:rPr>
            </w:pPr>
            <w:r>
              <w:rPr>
                <w:sz w:val="22"/>
                <w:szCs w:val="22"/>
              </w:rPr>
              <w:t>Natalia MOLANO VASQUEZ</w:t>
            </w:r>
          </w:p>
        </w:tc>
        <w:tc>
          <w:tcPr>
            <w:tcW w:w="2551" w:type="dxa"/>
            <w:gridSpan w:val="2"/>
          </w:tcPr>
          <w:p>
            <w:pPr>
              <w:autoSpaceDE w:val="0"/>
              <w:snapToGrid w:val="0"/>
              <w:jc w:val="center"/>
              <w:rPr>
                <w:sz w:val="22"/>
                <w:szCs w:val="22"/>
              </w:rPr>
            </w:pPr>
            <w:r>
              <w:rPr>
                <w:sz w:val="22"/>
                <w:szCs w:val="22"/>
              </w:rPr>
              <w:t>83.39</w:t>
            </w:r>
          </w:p>
        </w:tc>
        <w:tc>
          <w:tcPr>
            <w:tcW w:w="1701" w:type="dxa"/>
          </w:tcPr>
          <w:p>
            <w:pPr>
              <w:autoSpaceDE w:val="0"/>
              <w:snapToGrid w:val="0"/>
              <w:jc w:val="center"/>
              <w:rPr>
                <w:sz w:val="22"/>
                <w:szCs w:val="22"/>
              </w:rPr>
            </w:pPr>
            <w:r>
              <w:rPr>
                <w:sz w:val="22"/>
                <w:szCs w:val="22"/>
              </w:rPr>
              <w:t>85.76</w:t>
            </w:r>
          </w:p>
        </w:tc>
      </w:tr>
      <w:tr>
        <w:trPr>
          <w:cantSplit/>
        </w:trPr>
        <w:tc>
          <w:tcPr>
            <w:tcW w:w="3823" w:type="dxa"/>
          </w:tcPr>
          <w:p>
            <w:pPr>
              <w:autoSpaceDE w:val="0"/>
              <w:snapToGrid w:val="0"/>
              <w:rPr>
                <w:b/>
                <w:bCs/>
                <w:sz w:val="22"/>
                <w:szCs w:val="22"/>
              </w:rPr>
            </w:pPr>
            <w:r>
              <w:rPr>
                <w:b/>
                <w:bCs/>
                <w:sz w:val="22"/>
                <w:szCs w:val="22"/>
              </w:rPr>
              <w:t>Gratuité d’accès de l’enseignement et frais perceptibles</w:t>
            </w:r>
          </w:p>
        </w:tc>
        <w:tc>
          <w:tcPr>
            <w:tcW w:w="6378" w:type="dxa"/>
            <w:gridSpan w:val="4"/>
          </w:tcPr>
          <w:p>
            <w:pPr>
              <w:autoSpaceDE w:val="0"/>
              <w:snapToGrid w:val="0"/>
              <w:jc w:val="center"/>
              <w:rPr>
                <w:sz w:val="22"/>
                <w:szCs w:val="22"/>
              </w:rPr>
            </w:pPr>
          </w:p>
          <w:p>
            <w:pPr>
              <w:autoSpaceDE w:val="0"/>
              <w:snapToGrid w:val="0"/>
              <w:jc w:val="center"/>
              <w:rPr>
                <w:b/>
                <w:bCs/>
                <w:sz w:val="22"/>
                <w:szCs w:val="22"/>
              </w:rPr>
            </w:pPr>
            <w:hyperlink r:id="rId261" w:history="1">
              <w:r>
                <w:rPr>
                  <w:rStyle w:val="Lienhypertexte"/>
                  <w:sz w:val="22"/>
                  <w:szCs w:val="22"/>
                  <w:lang w:val="de-DE"/>
                </w:rPr>
                <w:t>gratuite.ensobligatoire@cfwb.be</w:t>
              </w:r>
            </w:hyperlink>
          </w:p>
        </w:tc>
      </w:tr>
      <w:tr>
        <w:trPr>
          <w:cantSplit/>
        </w:trPr>
        <w:tc>
          <w:tcPr>
            <w:tcW w:w="3823" w:type="dxa"/>
          </w:tcPr>
          <w:p>
            <w:pPr>
              <w:autoSpaceDE w:val="0"/>
              <w:snapToGrid w:val="0"/>
              <w:ind w:right="170"/>
              <w:rPr>
                <w:b/>
                <w:bCs/>
                <w:sz w:val="22"/>
                <w:szCs w:val="22"/>
              </w:rPr>
            </w:pPr>
          </w:p>
        </w:tc>
        <w:tc>
          <w:tcPr>
            <w:tcW w:w="2976" w:type="dxa"/>
            <w:gridSpan w:val="2"/>
            <w:vAlign w:val="center"/>
          </w:tcPr>
          <w:p>
            <w:pPr>
              <w:autoSpaceDE w:val="0"/>
              <w:autoSpaceDN w:val="0"/>
              <w:ind w:right="170"/>
              <w:rPr>
                <w:sz w:val="22"/>
                <w:szCs w:val="22"/>
                <w:lang w:val="de-DE"/>
              </w:rPr>
            </w:pPr>
            <w:r>
              <w:rPr>
                <w:sz w:val="22"/>
                <w:szCs w:val="22"/>
                <w:lang w:val="de-DE"/>
              </w:rPr>
              <w:t>Julie FRANCOIS</w:t>
            </w:r>
          </w:p>
        </w:tc>
        <w:tc>
          <w:tcPr>
            <w:tcW w:w="1701" w:type="dxa"/>
            <w:vAlign w:val="center"/>
          </w:tcPr>
          <w:p>
            <w:pPr>
              <w:autoSpaceDE w:val="0"/>
              <w:autoSpaceDN w:val="0"/>
              <w:ind w:right="170"/>
              <w:jc w:val="center"/>
              <w:rPr>
                <w:sz w:val="22"/>
                <w:szCs w:val="22"/>
              </w:rPr>
            </w:pPr>
            <w:r>
              <w:rPr>
                <w:sz w:val="22"/>
                <w:szCs w:val="22"/>
              </w:rPr>
              <w:t>89.25</w:t>
            </w:r>
          </w:p>
        </w:tc>
        <w:tc>
          <w:tcPr>
            <w:tcW w:w="1701" w:type="dxa"/>
            <w:vAlign w:val="center"/>
          </w:tcPr>
          <w:p>
            <w:pPr>
              <w:autoSpaceDE w:val="0"/>
              <w:autoSpaceDN w:val="0"/>
              <w:jc w:val="center"/>
              <w:rPr>
                <w:sz w:val="22"/>
                <w:szCs w:val="22"/>
              </w:rPr>
            </w:pPr>
            <w:r>
              <w:rPr>
                <w:sz w:val="22"/>
                <w:szCs w:val="22"/>
              </w:rPr>
              <w:t>84.30</w:t>
            </w:r>
          </w:p>
        </w:tc>
      </w:tr>
      <w:tr>
        <w:trPr>
          <w:cantSplit/>
        </w:trPr>
        <w:tc>
          <w:tcPr>
            <w:tcW w:w="3823" w:type="dxa"/>
            <w:vAlign w:val="center"/>
          </w:tcPr>
          <w:p>
            <w:pPr>
              <w:autoSpaceDE w:val="0"/>
              <w:snapToGrid w:val="0"/>
              <w:ind w:right="170"/>
              <w:rPr>
                <w:b/>
                <w:bCs/>
                <w:sz w:val="22"/>
                <w:szCs w:val="22"/>
              </w:rPr>
            </w:pPr>
            <w:r>
              <w:rPr>
                <w:b/>
                <w:bCs/>
                <w:sz w:val="22"/>
                <w:szCs w:val="22"/>
                <w:u w:val="single"/>
              </w:rPr>
              <w:t>Inscriptions / exclusions</w:t>
            </w:r>
          </w:p>
        </w:tc>
        <w:tc>
          <w:tcPr>
            <w:tcW w:w="6378" w:type="dxa"/>
            <w:gridSpan w:val="4"/>
            <w:vAlign w:val="center"/>
          </w:tcPr>
          <w:p>
            <w:pPr>
              <w:autoSpaceDE w:val="0"/>
              <w:autoSpaceDN w:val="0"/>
              <w:jc w:val="center"/>
              <w:rPr>
                <w:sz w:val="22"/>
                <w:szCs w:val="22"/>
              </w:rPr>
            </w:pPr>
            <w:hyperlink r:id="rId262" w:history="1">
              <w:r>
                <w:rPr>
                  <w:rStyle w:val="Lienhypertexte"/>
                  <w:sz w:val="22"/>
                  <w:szCs w:val="22"/>
                </w:rPr>
                <w:t>exclusion-inscription@cfwb.be</w:t>
              </w:r>
            </w:hyperlink>
          </w:p>
        </w:tc>
      </w:tr>
      <w:tr>
        <w:trPr>
          <w:cantSplit/>
        </w:trPr>
        <w:tc>
          <w:tcPr>
            <w:tcW w:w="3823" w:type="dxa"/>
          </w:tcPr>
          <w:p>
            <w:pPr>
              <w:autoSpaceDE w:val="0"/>
              <w:autoSpaceDN w:val="0"/>
              <w:ind w:right="170"/>
              <w:rPr>
                <w:sz w:val="22"/>
                <w:szCs w:val="22"/>
              </w:rPr>
            </w:pPr>
            <w:r>
              <w:rPr>
                <w:sz w:val="22"/>
                <w:szCs w:val="22"/>
              </w:rPr>
              <w:t>Questions relatives aux inscriptions et aux exclusions</w:t>
            </w:r>
          </w:p>
          <w:p>
            <w:pPr>
              <w:autoSpaceDE w:val="0"/>
              <w:snapToGrid w:val="0"/>
              <w:ind w:right="170"/>
              <w:rPr>
                <w:b/>
                <w:bCs/>
                <w:sz w:val="22"/>
                <w:szCs w:val="22"/>
                <w:u w:val="single"/>
              </w:rPr>
            </w:pPr>
          </w:p>
        </w:tc>
        <w:tc>
          <w:tcPr>
            <w:tcW w:w="2976" w:type="dxa"/>
            <w:gridSpan w:val="2"/>
          </w:tcPr>
          <w:p>
            <w:pPr>
              <w:autoSpaceDE w:val="0"/>
              <w:autoSpaceDN w:val="0"/>
              <w:ind w:right="170"/>
              <w:rPr>
                <w:sz w:val="22"/>
                <w:szCs w:val="22"/>
              </w:rPr>
            </w:pPr>
            <w:r>
              <w:rPr>
                <w:sz w:val="22"/>
                <w:szCs w:val="22"/>
              </w:rPr>
              <w:t>Laura BIETHERES</w:t>
            </w:r>
          </w:p>
          <w:p>
            <w:pPr>
              <w:autoSpaceDE w:val="0"/>
              <w:autoSpaceDN w:val="0"/>
              <w:ind w:right="170"/>
              <w:rPr>
                <w:sz w:val="22"/>
                <w:szCs w:val="22"/>
              </w:rPr>
            </w:pPr>
            <w:r>
              <w:rPr>
                <w:sz w:val="22"/>
                <w:szCs w:val="22"/>
              </w:rPr>
              <w:t>Sabrina MONTANTE</w:t>
            </w:r>
          </w:p>
          <w:p>
            <w:pPr>
              <w:autoSpaceDE w:val="0"/>
              <w:autoSpaceDN w:val="0"/>
              <w:ind w:right="170"/>
              <w:rPr>
                <w:sz w:val="22"/>
                <w:szCs w:val="22"/>
              </w:rPr>
            </w:pPr>
            <w:r>
              <w:rPr>
                <w:sz w:val="22"/>
                <w:szCs w:val="22"/>
              </w:rPr>
              <w:t>Arlette RUSURA</w:t>
            </w:r>
          </w:p>
        </w:tc>
        <w:tc>
          <w:tcPr>
            <w:tcW w:w="1701" w:type="dxa"/>
          </w:tcPr>
          <w:p>
            <w:pPr>
              <w:autoSpaceDE w:val="0"/>
              <w:autoSpaceDN w:val="0"/>
              <w:ind w:right="170"/>
              <w:jc w:val="center"/>
              <w:rPr>
                <w:sz w:val="22"/>
                <w:szCs w:val="22"/>
              </w:rPr>
            </w:pPr>
            <w:r>
              <w:rPr>
                <w:sz w:val="22"/>
                <w:szCs w:val="22"/>
              </w:rPr>
              <w:t>85.47</w:t>
            </w:r>
          </w:p>
          <w:p>
            <w:pPr>
              <w:autoSpaceDE w:val="0"/>
              <w:autoSpaceDN w:val="0"/>
              <w:ind w:right="170"/>
              <w:jc w:val="center"/>
              <w:rPr>
                <w:sz w:val="22"/>
                <w:szCs w:val="22"/>
              </w:rPr>
            </w:pPr>
            <w:r>
              <w:rPr>
                <w:sz w:val="22"/>
                <w:szCs w:val="22"/>
              </w:rPr>
              <w:t>84.97</w:t>
            </w:r>
          </w:p>
          <w:p>
            <w:pPr>
              <w:autoSpaceDE w:val="0"/>
              <w:autoSpaceDN w:val="0"/>
              <w:ind w:right="170"/>
              <w:jc w:val="center"/>
              <w:rPr>
                <w:sz w:val="22"/>
                <w:szCs w:val="22"/>
              </w:rPr>
            </w:pPr>
            <w:r>
              <w:rPr>
                <w:sz w:val="22"/>
                <w:szCs w:val="22"/>
              </w:rPr>
              <w:t>88.93</w:t>
            </w:r>
          </w:p>
        </w:tc>
        <w:tc>
          <w:tcPr>
            <w:tcW w:w="1701" w:type="dxa"/>
          </w:tcPr>
          <w:p>
            <w:pPr>
              <w:autoSpaceDE w:val="0"/>
              <w:autoSpaceDN w:val="0"/>
              <w:jc w:val="center"/>
              <w:rPr>
                <w:sz w:val="22"/>
                <w:szCs w:val="22"/>
              </w:rPr>
            </w:pPr>
            <w:r>
              <w:rPr>
                <w:sz w:val="22"/>
                <w:szCs w:val="22"/>
              </w:rPr>
              <w:t>84.30</w:t>
            </w:r>
          </w:p>
        </w:tc>
      </w:tr>
      <w:tr>
        <w:trPr>
          <w:cantSplit/>
        </w:trPr>
        <w:tc>
          <w:tcPr>
            <w:tcW w:w="3823" w:type="dxa"/>
          </w:tcPr>
          <w:p>
            <w:pPr>
              <w:autoSpaceDE w:val="0"/>
              <w:autoSpaceDN w:val="0"/>
              <w:ind w:right="170"/>
              <w:rPr>
                <w:sz w:val="22"/>
                <w:szCs w:val="22"/>
              </w:rPr>
            </w:pPr>
            <w:r>
              <w:rPr>
                <w:sz w:val="22"/>
                <w:szCs w:val="22"/>
              </w:rPr>
              <w:t>Questions relatives à l’inscription en première année commune de l’enseignement ordinaire</w:t>
            </w:r>
          </w:p>
        </w:tc>
        <w:tc>
          <w:tcPr>
            <w:tcW w:w="6378" w:type="dxa"/>
            <w:gridSpan w:val="4"/>
            <w:vAlign w:val="center"/>
          </w:tcPr>
          <w:p>
            <w:pPr>
              <w:autoSpaceDE w:val="0"/>
              <w:autoSpaceDN w:val="0"/>
              <w:jc w:val="center"/>
              <w:rPr>
                <w:sz w:val="22"/>
                <w:szCs w:val="22"/>
              </w:rPr>
            </w:pPr>
            <w:hyperlink r:id="rId263" w:history="1">
              <w:r>
                <w:rPr>
                  <w:rStyle w:val="Lienhypertexte"/>
                  <w:sz w:val="22"/>
                  <w:szCs w:val="22"/>
                </w:rPr>
                <w:t>inscription@cfwb.be</w:t>
              </w:r>
            </w:hyperlink>
          </w:p>
        </w:tc>
      </w:tr>
      <w:tr>
        <w:trPr>
          <w:cantSplit/>
        </w:trPr>
        <w:tc>
          <w:tcPr>
            <w:tcW w:w="10201" w:type="dxa"/>
            <w:gridSpan w:val="5"/>
          </w:tcPr>
          <w:p>
            <w:pPr>
              <w:autoSpaceDE w:val="0"/>
              <w:autoSpaceDN w:val="0"/>
              <w:jc w:val="center"/>
              <w:rPr>
                <w:sz w:val="22"/>
                <w:szCs w:val="22"/>
              </w:rPr>
            </w:pPr>
            <w:r>
              <w:rPr>
                <w:b/>
                <w:bCs/>
                <w:sz w:val="22"/>
                <w:szCs w:val="22"/>
                <w:u w:val="single"/>
              </w:rPr>
              <w:t>Assistance aux établissements</w:t>
            </w:r>
          </w:p>
        </w:tc>
      </w:tr>
      <w:tr>
        <w:trPr>
          <w:cantSplit/>
        </w:trPr>
        <w:tc>
          <w:tcPr>
            <w:tcW w:w="3823" w:type="dxa"/>
          </w:tcPr>
          <w:p>
            <w:pPr>
              <w:autoSpaceDE w:val="0"/>
              <w:autoSpaceDN w:val="0"/>
              <w:ind w:right="170"/>
              <w:rPr>
                <w:b/>
                <w:bCs/>
                <w:sz w:val="22"/>
                <w:szCs w:val="22"/>
                <w:u w:val="single"/>
              </w:rPr>
            </w:pPr>
            <w:r>
              <w:rPr>
                <w:sz w:val="22"/>
                <w:szCs w:val="22"/>
              </w:rPr>
              <w:t>« Assistance Ecoles »</w:t>
            </w:r>
          </w:p>
        </w:tc>
        <w:tc>
          <w:tcPr>
            <w:tcW w:w="6378" w:type="dxa"/>
            <w:gridSpan w:val="4"/>
          </w:tcPr>
          <w:p>
            <w:pPr>
              <w:autoSpaceDE w:val="0"/>
              <w:autoSpaceDN w:val="0"/>
              <w:ind w:right="170"/>
              <w:jc w:val="center"/>
              <w:rPr>
                <w:sz w:val="22"/>
                <w:szCs w:val="22"/>
              </w:rPr>
            </w:pPr>
            <w:r>
              <w:rPr>
                <w:sz w:val="22"/>
                <w:szCs w:val="22"/>
              </w:rPr>
              <w:t>0800/20.410</w:t>
            </w:r>
          </w:p>
        </w:tc>
      </w:tr>
      <w:tr>
        <w:trPr>
          <w:cantSplit/>
        </w:trPr>
        <w:tc>
          <w:tcPr>
            <w:tcW w:w="3823" w:type="dxa"/>
          </w:tcPr>
          <w:p>
            <w:pPr>
              <w:autoSpaceDE w:val="0"/>
              <w:autoSpaceDN w:val="0"/>
              <w:ind w:right="170"/>
              <w:rPr>
                <w:sz w:val="22"/>
                <w:szCs w:val="22"/>
              </w:rPr>
            </w:pPr>
            <w:r>
              <w:rPr>
                <w:sz w:val="22"/>
                <w:szCs w:val="22"/>
              </w:rPr>
              <w:t>Services d’accrochage scolaire (S.A.S.)</w:t>
            </w:r>
          </w:p>
        </w:tc>
        <w:tc>
          <w:tcPr>
            <w:tcW w:w="2976" w:type="dxa"/>
            <w:gridSpan w:val="2"/>
          </w:tcPr>
          <w:p>
            <w:pPr>
              <w:autoSpaceDE w:val="0"/>
              <w:autoSpaceDN w:val="0"/>
              <w:ind w:right="170"/>
              <w:rPr>
                <w:sz w:val="22"/>
                <w:szCs w:val="22"/>
              </w:rPr>
            </w:pPr>
            <w:r>
              <w:rPr>
                <w:sz w:val="22"/>
                <w:szCs w:val="22"/>
              </w:rPr>
              <w:t>Céline PLUMEREL</w:t>
            </w:r>
          </w:p>
          <w:p>
            <w:pPr>
              <w:autoSpaceDE w:val="0"/>
              <w:autoSpaceDN w:val="0"/>
              <w:ind w:right="170"/>
              <w:rPr>
                <w:sz w:val="22"/>
                <w:szCs w:val="22"/>
              </w:rPr>
            </w:pPr>
            <w:r>
              <w:rPr>
                <w:sz w:val="22"/>
                <w:szCs w:val="22"/>
              </w:rPr>
              <w:t>Patricia BUYL</w:t>
            </w:r>
          </w:p>
          <w:p>
            <w:pPr>
              <w:autoSpaceDE w:val="0"/>
              <w:autoSpaceDN w:val="0"/>
              <w:ind w:right="170"/>
              <w:rPr>
                <w:sz w:val="22"/>
                <w:szCs w:val="22"/>
              </w:rPr>
            </w:pPr>
          </w:p>
        </w:tc>
        <w:tc>
          <w:tcPr>
            <w:tcW w:w="1701" w:type="dxa"/>
          </w:tcPr>
          <w:p>
            <w:pPr>
              <w:autoSpaceDE w:val="0"/>
              <w:autoSpaceDN w:val="0"/>
              <w:ind w:right="170"/>
              <w:jc w:val="center"/>
              <w:rPr>
                <w:sz w:val="22"/>
                <w:szCs w:val="22"/>
              </w:rPr>
            </w:pPr>
            <w:r>
              <w:rPr>
                <w:sz w:val="22"/>
                <w:szCs w:val="22"/>
              </w:rPr>
              <w:t>84.65</w:t>
            </w:r>
          </w:p>
          <w:p>
            <w:pPr>
              <w:autoSpaceDE w:val="0"/>
              <w:autoSpaceDN w:val="0"/>
              <w:ind w:right="170"/>
              <w:jc w:val="center"/>
              <w:rPr>
                <w:sz w:val="22"/>
                <w:szCs w:val="22"/>
              </w:rPr>
            </w:pPr>
            <w:r>
              <w:rPr>
                <w:sz w:val="22"/>
                <w:szCs w:val="22"/>
              </w:rPr>
              <w:t>83.56</w:t>
            </w:r>
          </w:p>
          <w:p>
            <w:pPr>
              <w:autoSpaceDE w:val="0"/>
              <w:autoSpaceDN w:val="0"/>
              <w:ind w:right="170"/>
              <w:jc w:val="center"/>
              <w:rPr>
                <w:sz w:val="22"/>
                <w:szCs w:val="22"/>
              </w:rPr>
            </w:pPr>
            <w:r>
              <w:rPr>
                <w:sz w:val="22"/>
                <w:szCs w:val="22"/>
              </w:rPr>
              <w:t>83.21</w:t>
            </w:r>
          </w:p>
        </w:tc>
        <w:tc>
          <w:tcPr>
            <w:tcW w:w="1701" w:type="dxa"/>
          </w:tcPr>
          <w:p>
            <w:pPr>
              <w:autoSpaceDE w:val="0"/>
              <w:autoSpaceDN w:val="0"/>
              <w:jc w:val="center"/>
              <w:rPr>
                <w:sz w:val="22"/>
                <w:szCs w:val="22"/>
              </w:rPr>
            </w:pPr>
            <w:r>
              <w:rPr>
                <w:sz w:val="22"/>
                <w:szCs w:val="22"/>
              </w:rPr>
              <w:t>84.30</w:t>
            </w:r>
          </w:p>
        </w:tc>
      </w:tr>
      <w:tr>
        <w:trPr>
          <w:cantSplit/>
        </w:trPr>
        <w:tc>
          <w:tcPr>
            <w:tcW w:w="3823" w:type="dxa"/>
            <w:vAlign w:val="center"/>
          </w:tcPr>
          <w:p>
            <w:pPr>
              <w:autoSpaceDE w:val="0"/>
              <w:autoSpaceDN w:val="0"/>
              <w:ind w:right="170"/>
              <w:rPr>
                <w:b/>
                <w:bCs/>
                <w:sz w:val="22"/>
                <w:szCs w:val="22"/>
                <w:u w:val="single"/>
              </w:rPr>
            </w:pPr>
            <w:r>
              <w:rPr>
                <w:b/>
                <w:bCs/>
                <w:sz w:val="22"/>
                <w:szCs w:val="22"/>
                <w:u w:val="single"/>
              </w:rPr>
              <w:t>Médiation scolaire</w:t>
            </w:r>
          </w:p>
        </w:tc>
        <w:tc>
          <w:tcPr>
            <w:tcW w:w="6378" w:type="dxa"/>
            <w:gridSpan w:val="4"/>
            <w:vAlign w:val="center"/>
          </w:tcPr>
          <w:p>
            <w:pPr>
              <w:autoSpaceDE w:val="0"/>
              <w:autoSpaceDN w:val="0"/>
              <w:jc w:val="center"/>
              <w:rPr>
                <w:sz w:val="22"/>
                <w:szCs w:val="22"/>
              </w:rPr>
            </w:pPr>
            <w:hyperlink r:id="rId264" w:history="1">
              <w:r>
                <w:rPr>
                  <w:rStyle w:val="Lienhypertexte"/>
                  <w:sz w:val="22"/>
                  <w:szCs w:val="22"/>
                </w:rPr>
                <w:t>mediationscolaire@cfwb.be</w:t>
              </w:r>
            </w:hyperlink>
          </w:p>
        </w:tc>
      </w:tr>
      <w:tr>
        <w:trPr>
          <w:cantSplit/>
        </w:trPr>
        <w:tc>
          <w:tcPr>
            <w:tcW w:w="3823" w:type="dxa"/>
          </w:tcPr>
          <w:p>
            <w:pPr>
              <w:autoSpaceDE w:val="0"/>
              <w:autoSpaceDN w:val="0"/>
              <w:ind w:right="170"/>
              <w:rPr>
                <w:sz w:val="22"/>
                <w:szCs w:val="22"/>
              </w:rPr>
            </w:pPr>
          </w:p>
        </w:tc>
        <w:tc>
          <w:tcPr>
            <w:tcW w:w="2976" w:type="dxa"/>
            <w:gridSpan w:val="2"/>
          </w:tcPr>
          <w:p>
            <w:pPr>
              <w:autoSpaceDE w:val="0"/>
              <w:autoSpaceDN w:val="0"/>
              <w:ind w:right="170"/>
              <w:rPr>
                <w:sz w:val="22"/>
                <w:szCs w:val="22"/>
              </w:rPr>
            </w:pPr>
            <w:r>
              <w:rPr>
                <w:sz w:val="22"/>
                <w:szCs w:val="22"/>
              </w:rPr>
              <w:t>Thérèse LUCAS</w:t>
            </w:r>
          </w:p>
          <w:p>
            <w:pPr>
              <w:autoSpaceDE w:val="0"/>
              <w:autoSpaceDN w:val="0"/>
              <w:rPr>
                <w:sz w:val="22"/>
                <w:szCs w:val="22"/>
              </w:rPr>
            </w:pPr>
            <w:r>
              <w:rPr>
                <w:sz w:val="22"/>
                <w:szCs w:val="22"/>
              </w:rPr>
              <w:t>(Coordonnatrice Région wallonne)</w:t>
            </w:r>
          </w:p>
          <w:p>
            <w:pPr>
              <w:autoSpaceDE w:val="0"/>
              <w:autoSpaceDN w:val="0"/>
              <w:ind w:right="170"/>
              <w:jc w:val="center"/>
              <w:rPr>
                <w:sz w:val="22"/>
                <w:szCs w:val="22"/>
              </w:rPr>
            </w:pPr>
          </w:p>
          <w:p>
            <w:pPr>
              <w:autoSpaceDE w:val="0"/>
              <w:autoSpaceDN w:val="0"/>
              <w:ind w:right="170"/>
              <w:rPr>
                <w:sz w:val="22"/>
                <w:szCs w:val="22"/>
              </w:rPr>
            </w:pPr>
            <w:r>
              <w:rPr>
                <w:sz w:val="22"/>
                <w:szCs w:val="22"/>
              </w:rPr>
              <w:t xml:space="preserve">Juliette VILET </w:t>
            </w:r>
          </w:p>
          <w:p>
            <w:pPr>
              <w:autoSpaceDE w:val="0"/>
              <w:autoSpaceDN w:val="0"/>
              <w:ind w:right="170"/>
              <w:rPr>
                <w:sz w:val="22"/>
                <w:szCs w:val="22"/>
              </w:rPr>
            </w:pPr>
            <w:r>
              <w:rPr>
                <w:sz w:val="22"/>
                <w:szCs w:val="22"/>
              </w:rPr>
              <w:t>Claudine BILOCQ</w:t>
            </w:r>
          </w:p>
          <w:p>
            <w:pPr>
              <w:autoSpaceDE w:val="0"/>
              <w:autoSpaceDN w:val="0"/>
              <w:ind w:right="170"/>
              <w:rPr>
                <w:sz w:val="22"/>
                <w:szCs w:val="22"/>
              </w:rPr>
            </w:pPr>
            <w:r>
              <w:rPr>
                <w:sz w:val="22"/>
                <w:szCs w:val="22"/>
              </w:rPr>
              <w:t>(Coordonnatrices Région de Bruxelles-Capitale)</w:t>
            </w:r>
          </w:p>
          <w:p>
            <w:pPr>
              <w:autoSpaceDE w:val="0"/>
              <w:autoSpaceDN w:val="0"/>
              <w:ind w:right="170"/>
              <w:rPr>
                <w:sz w:val="22"/>
                <w:szCs w:val="22"/>
              </w:rPr>
            </w:pPr>
          </w:p>
          <w:p>
            <w:pPr>
              <w:autoSpaceDE w:val="0"/>
              <w:autoSpaceDN w:val="0"/>
              <w:ind w:right="170"/>
              <w:rPr>
                <w:sz w:val="22"/>
                <w:szCs w:val="22"/>
              </w:rPr>
            </w:pPr>
            <w:r>
              <w:rPr>
                <w:sz w:val="22"/>
                <w:szCs w:val="22"/>
              </w:rPr>
              <w:t xml:space="preserve">Céline PLUMEREL </w:t>
            </w:r>
          </w:p>
          <w:p>
            <w:pPr>
              <w:autoSpaceDE w:val="0"/>
              <w:autoSpaceDN w:val="0"/>
              <w:ind w:right="170"/>
              <w:rPr>
                <w:sz w:val="22"/>
                <w:szCs w:val="22"/>
              </w:rPr>
            </w:pPr>
            <w:r>
              <w:rPr>
                <w:sz w:val="22"/>
                <w:szCs w:val="22"/>
              </w:rPr>
              <w:t>(Cellule administrative)</w:t>
            </w:r>
          </w:p>
        </w:tc>
        <w:tc>
          <w:tcPr>
            <w:tcW w:w="1701" w:type="dxa"/>
          </w:tcPr>
          <w:p>
            <w:pPr>
              <w:autoSpaceDE w:val="0"/>
              <w:autoSpaceDN w:val="0"/>
              <w:ind w:right="-108"/>
              <w:jc w:val="center"/>
              <w:rPr>
                <w:sz w:val="22"/>
                <w:szCs w:val="22"/>
              </w:rPr>
            </w:pPr>
            <w:r>
              <w:rPr>
                <w:sz w:val="22"/>
                <w:szCs w:val="22"/>
              </w:rPr>
              <w:t>0473/94.64.55</w:t>
            </w:r>
          </w:p>
          <w:p>
            <w:pPr>
              <w:autoSpaceDE w:val="0"/>
              <w:autoSpaceDN w:val="0"/>
              <w:ind w:right="-108"/>
              <w:jc w:val="center"/>
              <w:rPr>
                <w:sz w:val="22"/>
                <w:szCs w:val="22"/>
              </w:rPr>
            </w:pPr>
          </w:p>
          <w:p>
            <w:pPr>
              <w:autoSpaceDE w:val="0"/>
              <w:autoSpaceDN w:val="0"/>
              <w:ind w:right="-108"/>
              <w:jc w:val="center"/>
              <w:rPr>
                <w:sz w:val="22"/>
                <w:szCs w:val="22"/>
              </w:rPr>
            </w:pPr>
          </w:p>
          <w:p>
            <w:pPr>
              <w:autoSpaceDE w:val="0"/>
              <w:autoSpaceDN w:val="0"/>
              <w:ind w:right="-108"/>
              <w:jc w:val="center"/>
              <w:rPr>
                <w:sz w:val="22"/>
                <w:szCs w:val="22"/>
              </w:rPr>
            </w:pPr>
          </w:p>
          <w:p>
            <w:pPr>
              <w:autoSpaceDE w:val="0"/>
              <w:autoSpaceDN w:val="0"/>
              <w:ind w:right="-108"/>
              <w:jc w:val="center"/>
              <w:rPr>
                <w:sz w:val="22"/>
                <w:szCs w:val="22"/>
              </w:rPr>
            </w:pPr>
            <w:r>
              <w:rPr>
                <w:sz w:val="22"/>
                <w:szCs w:val="22"/>
              </w:rPr>
              <w:t>0479/65.16.60</w:t>
            </w:r>
          </w:p>
          <w:p>
            <w:pPr>
              <w:autoSpaceDE w:val="0"/>
              <w:autoSpaceDN w:val="0"/>
              <w:ind w:right="-108"/>
              <w:jc w:val="center"/>
              <w:rPr>
                <w:sz w:val="22"/>
                <w:szCs w:val="22"/>
              </w:rPr>
            </w:pPr>
            <w:r>
              <w:rPr>
                <w:sz w:val="22"/>
                <w:szCs w:val="22"/>
              </w:rPr>
              <w:t>0478/88.36.92</w:t>
            </w:r>
          </w:p>
          <w:p>
            <w:pPr>
              <w:autoSpaceDE w:val="0"/>
              <w:autoSpaceDN w:val="0"/>
              <w:ind w:right="-108"/>
              <w:jc w:val="center"/>
              <w:rPr>
                <w:sz w:val="22"/>
                <w:szCs w:val="22"/>
              </w:rPr>
            </w:pPr>
          </w:p>
          <w:p>
            <w:pPr>
              <w:autoSpaceDE w:val="0"/>
              <w:autoSpaceDN w:val="0"/>
              <w:ind w:right="-108"/>
              <w:jc w:val="center"/>
              <w:rPr>
                <w:sz w:val="22"/>
                <w:szCs w:val="22"/>
              </w:rPr>
            </w:pPr>
          </w:p>
          <w:p>
            <w:pPr>
              <w:autoSpaceDE w:val="0"/>
              <w:autoSpaceDN w:val="0"/>
              <w:ind w:right="-108"/>
              <w:jc w:val="center"/>
              <w:rPr>
                <w:sz w:val="22"/>
                <w:szCs w:val="22"/>
              </w:rPr>
            </w:pPr>
          </w:p>
          <w:p>
            <w:pPr>
              <w:autoSpaceDE w:val="0"/>
              <w:autoSpaceDN w:val="0"/>
              <w:ind w:right="-108"/>
              <w:jc w:val="center"/>
              <w:rPr>
                <w:sz w:val="22"/>
                <w:szCs w:val="22"/>
              </w:rPr>
            </w:pPr>
            <w:r>
              <w:rPr>
                <w:sz w:val="22"/>
                <w:szCs w:val="22"/>
              </w:rPr>
              <w:t>84.65</w:t>
            </w:r>
          </w:p>
        </w:tc>
        <w:tc>
          <w:tcPr>
            <w:tcW w:w="1701" w:type="dxa"/>
          </w:tcPr>
          <w:p>
            <w:pPr>
              <w:autoSpaceDE w:val="0"/>
              <w:autoSpaceDN w:val="0"/>
              <w:ind w:right="-108"/>
              <w:jc w:val="center"/>
              <w:rPr>
                <w:sz w:val="22"/>
                <w:szCs w:val="22"/>
              </w:rPr>
            </w:pPr>
          </w:p>
          <w:p>
            <w:pPr>
              <w:autoSpaceDE w:val="0"/>
              <w:autoSpaceDN w:val="0"/>
              <w:ind w:right="-108"/>
              <w:jc w:val="center"/>
              <w:rPr>
                <w:sz w:val="22"/>
                <w:szCs w:val="22"/>
              </w:rPr>
            </w:pPr>
          </w:p>
          <w:p>
            <w:pPr>
              <w:autoSpaceDE w:val="0"/>
              <w:autoSpaceDN w:val="0"/>
              <w:ind w:right="-108"/>
              <w:jc w:val="center"/>
              <w:rPr>
                <w:sz w:val="22"/>
                <w:szCs w:val="22"/>
              </w:rPr>
            </w:pPr>
          </w:p>
          <w:p>
            <w:pPr>
              <w:autoSpaceDE w:val="0"/>
              <w:autoSpaceDN w:val="0"/>
              <w:ind w:right="-108"/>
              <w:jc w:val="center"/>
              <w:rPr>
                <w:sz w:val="22"/>
                <w:szCs w:val="22"/>
              </w:rPr>
            </w:pPr>
            <w:r>
              <w:rPr>
                <w:sz w:val="22"/>
                <w:szCs w:val="22"/>
              </w:rPr>
              <w:t>02/600.08.90</w:t>
            </w:r>
          </w:p>
        </w:tc>
      </w:tr>
      <w:tr>
        <w:trPr>
          <w:cantSplit/>
        </w:trPr>
        <w:tc>
          <w:tcPr>
            <w:tcW w:w="3823" w:type="dxa"/>
            <w:vAlign w:val="center"/>
          </w:tcPr>
          <w:p>
            <w:pPr>
              <w:rPr>
                <w:b/>
                <w:sz w:val="22"/>
                <w:szCs w:val="22"/>
              </w:rPr>
            </w:pPr>
            <w:r>
              <w:rPr>
                <w:b/>
                <w:sz w:val="22"/>
                <w:szCs w:val="22"/>
              </w:rPr>
              <w:t>Equipes Mobiles</w:t>
            </w:r>
          </w:p>
        </w:tc>
        <w:tc>
          <w:tcPr>
            <w:tcW w:w="6378" w:type="dxa"/>
            <w:gridSpan w:val="4"/>
            <w:vAlign w:val="center"/>
          </w:tcPr>
          <w:p>
            <w:pPr>
              <w:autoSpaceDE w:val="0"/>
              <w:autoSpaceDN w:val="0"/>
              <w:jc w:val="center"/>
              <w:rPr>
                <w:sz w:val="22"/>
                <w:szCs w:val="22"/>
              </w:rPr>
            </w:pPr>
            <w:hyperlink r:id="rId265" w:history="1">
              <w:r>
                <w:rPr>
                  <w:rStyle w:val="Lienhypertexte"/>
                  <w:sz w:val="22"/>
                  <w:szCs w:val="22"/>
                </w:rPr>
                <w:t>equipemobile@cfwb.be</w:t>
              </w:r>
            </w:hyperlink>
          </w:p>
        </w:tc>
      </w:tr>
      <w:tr>
        <w:trPr>
          <w:cantSplit/>
        </w:trPr>
        <w:tc>
          <w:tcPr>
            <w:tcW w:w="3823" w:type="dxa"/>
          </w:tcPr>
          <w:p>
            <w:pPr>
              <w:autoSpaceDE w:val="0"/>
              <w:autoSpaceDN w:val="0"/>
              <w:ind w:right="170"/>
              <w:rPr>
                <w:sz w:val="22"/>
                <w:szCs w:val="22"/>
              </w:rPr>
            </w:pPr>
          </w:p>
        </w:tc>
        <w:tc>
          <w:tcPr>
            <w:tcW w:w="2976" w:type="dxa"/>
            <w:gridSpan w:val="2"/>
          </w:tcPr>
          <w:p>
            <w:pPr>
              <w:autoSpaceDE w:val="0"/>
              <w:autoSpaceDN w:val="0"/>
              <w:ind w:right="170"/>
              <w:rPr>
                <w:sz w:val="22"/>
                <w:szCs w:val="22"/>
              </w:rPr>
            </w:pPr>
            <w:r>
              <w:rPr>
                <w:sz w:val="22"/>
                <w:szCs w:val="22"/>
              </w:rPr>
              <w:t>Bruno</w:t>
            </w:r>
            <w:r>
              <w:rPr>
                <w:color w:val="1F497D"/>
                <w:sz w:val="22"/>
                <w:szCs w:val="22"/>
              </w:rPr>
              <w:t xml:space="preserve"> </w:t>
            </w:r>
            <w:r>
              <w:rPr>
                <w:sz w:val="22"/>
                <w:szCs w:val="22"/>
              </w:rPr>
              <w:t>SEDRAN (Coordonnateur)</w:t>
            </w:r>
          </w:p>
        </w:tc>
        <w:tc>
          <w:tcPr>
            <w:tcW w:w="1701" w:type="dxa"/>
          </w:tcPr>
          <w:p>
            <w:pPr>
              <w:autoSpaceDE w:val="0"/>
              <w:autoSpaceDN w:val="0"/>
              <w:ind w:right="170"/>
              <w:jc w:val="center"/>
              <w:rPr>
                <w:sz w:val="22"/>
                <w:szCs w:val="22"/>
              </w:rPr>
            </w:pPr>
            <w:r>
              <w:rPr>
                <w:sz w:val="22"/>
                <w:szCs w:val="22"/>
              </w:rPr>
              <w:t>83.81</w:t>
            </w:r>
          </w:p>
          <w:p>
            <w:pPr>
              <w:autoSpaceDE w:val="0"/>
              <w:autoSpaceDN w:val="0"/>
              <w:ind w:right="170"/>
              <w:jc w:val="center"/>
              <w:rPr>
                <w:sz w:val="22"/>
                <w:szCs w:val="22"/>
              </w:rPr>
            </w:pPr>
          </w:p>
        </w:tc>
        <w:tc>
          <w:tcPr>
            <w:tcW w:w="1701" w:type="dxa"/>
          </w:tcPr>
          <w:p>
            <w:pPr>
              <w:autoSpaceDE w:val="0"/>
              <w:autoSpaceDN w:val="0"/>
              <w:jc w:val="center"/>
              <w:rPr>
                <w:sz w:val="22"/>
                <w:szCs w:val="22"/>
              </w:rPr>
            </w:pPr>
            <w:r>
              <w:rPr>
                <w:sz w:val="22"/>
                <w:szCs w:val="22"/>
              </w:rPr>
              <w:t>02/600.09.75</w:t>
            </w:r>
          </w:p>
        </w:tc>
      </w:tr>
      <w:tr>
        <w:trPr>
          <w:cantSplit/>
        </w:trPr>
        <w:tc>
          <w:tcPr>
            <w:tcW w:w="3823" w:type="dxa"/>
            <w:vAlign w:val="center"/>
          </w:tcPr>
          <w:p>
            <w:pPr>
              <w:rPr>
                <w:b/>
                <w:sz w:val="22"/>
                <w:szCs w:val="22"/>
              </w:rPr>
            </w:pPr>
            <w:r>
              <w:rPr>
                <w:b/>
                <w:sz w:val="22"/>
                <w:szCs w:val="22"/>
              </w:rPr>
              <w:t>Contrôle de l’obligation scolaire</w:t>
            </w:r>
          </w:p>
        </w:tc>
        <w:tc>
          <w:tcPr>
            <w:tcW w:w="6378" w:type="dxa"/>
            <w:gridSpan w:val="4"/>
            <w:vAlign w:val="center"/>
          </w:tcPr>
          <w:p>
            <w:pPr>
              <w:autoSpaceDE w:val="0"/>
              <w:autoSpaceDN w:val="0"/>
              <w:ind w:right="170"/>
              <w:jc w:val="center"/>
              <w:rPr>
                <w:sz w:val="22"/>
                <w:szCs w:val="22"/>
              </w:rPr>
            </w:pPr>
            <w:hyperlink r:id="rId266" w:history="1">
              <w:r>
                <w:rPr>
                  <w:rStyle w:val="Lienhypertexte"/>
                  <w:sz w:val="22"/>
                  <w:szCs w:val="22"/>
                </w:rPr>
                <w:t>obsi@cfwb.be</w:t>
              </w:r>
            </w:hyperlink>
            <w:r>
              <w:rPr>
                <w:sz w:val="22"/>
                <w:szCs w:val="22"/>
              </w:rPr>
              <w:t xml:space="preserve"> </w:t>
            </w:r>
          </w:p>
        </w:tc>
      </w:tr>
      <w:tr>
        <w:trPr>
          <w:cantSplit/>
        </w:trPr>
        <w:tc>
          <w:tcPr>
            <w:tcW w:w="3823" w:type="dxa"/>
          </w:tcPr>
          <w:p>
            <w:pPr>
              <w:numPr>
                <w:ilvl w:val="0"/>
                <w:numId w:val="6"/>
              </w:numPr>
              <w:snapToGrid w:val="0"/>
              <w:rPr>
                <w:sz w:val="22"/>
                <w:szCs w:val="22"/>
              </w:rPr>
            </w:pPr>
            <w:r>
              <w:rPr>
                <w:sz w:val="22"/>
                <w:szCs w:val="22"/>
              </w:rPr>
              <w:t>Coordination du  service :</w:t>
            </w:r>
          </w:p>
          <w:p>
            <w:pPr>
              <w:snapToGrid w:val="0"/>
              <w:rPr>
                <w:sz w:val="22"/>
                <w:szCs w:val="22"/>
              </w:rPr>
            </w:pPr>
          </w:p>
          <w:p>
            <w:pPr>
              <w:numPr>
                <w:ilvl w:val="0"/>
                <w:numId w:val="6"/>
              </w:numPr>
              <w:snapToGrid w:val="0"/>
              <w:rPr>
                <w:sz w:val="22"/>
                <w:szCs w:val="22"/>
              </w:rPr>
            </w:pPr>
            <w:r>
              <w:rPr>
                <w:sz w:val="22"/>
                <w:szCs w:val="22"/>
              </w:rPr>
              <w:t>Assistance administrative :</w:t>
            </w:r>
          </w:p>
          <w:p>
            <w:pPr>
              <w:snapToGrid w:val="0"/>
              <w:rPr>
                <w:sz w:val="22"/>
                <w:szCs w:val="22"/>
              </w:rPr>
            </w:pPr>
          </w:p>
          <w:p>
            <w:pPr>
              <w:numPr>
                <w:ilvl w:val="0"/>
                <w:numId w:val="6"/>
              </w:numPr>
              <w:snapToGrid w:val="0"/>
              <w:rPr>
                <w:sz w:val="22"/>
                <w:szCs w:val="22"/>
              </w:rPr>
            </w:pPr>
            <w:r>
              <w:rPr>
                <w:sz w:val="22"/>
                <w:szCs w:val="22"/>
              </w:rPr>
              <w:t>Assistance technique :</w:t>
            </w:r>
          </w:p>
        </w:tc>
        <w:tc>
          <w:tcPr>
            <w:tcW w:w="2976" w:type="dxa"/>
            <w:gridSpan w:val="2"/>
            <w:shd w:val="clear" w:color="auto" w:fill="auto"/>
          </w:tcPr>
          <w:p>
            <w:pPr>
              <w:snapToGrid w:val="0"/>
              <w:rPr>
                <w:sz w:val="22"/>
                <w:szCs w:val="22"/>
              </w:rPr>
            </w:pPr>
            <w:r>
              <w:rPr>
                <w:sz w:val="22"/>
                <w:szCs w:val="22"/>
              </w:rPr>
              <w:t>Nora BELHADI</w:t>
            </w:r>
          </w:p>
          <w:p>
            <w:pPr>
              <w:snapToGrid w:val="0"/>
              <w:rPr>
                <w:sz w:val="22"/>
                <w:szCs w:val="22"/>
              </w:rPr>
            </w:pPr>
            <w:r>
              <w:rPr>
                <w:sz w:val="22"/>
                <w:szCs w:val="22"/>
              </w:rPr>
              <w:t>Emeline THEATRE</w:t>
            </w:r>
          </w:p>
          <w:p>
            <w:pPr>
              <w:snapToGrid w:val="0"/>
              <w:rPr>
                <w:sz w:val="22"/>
                <w:szCs w:val="22"/>
              </w:rPr>
            </w:pPr>
            <w:r>
              <w:rPr>
                <w:sz w:val="22"/>
                <w:szCs w:val="22"/>
              </w:rPr>
              <w:t>Tarek AIT LAKHFIF</w:t>
            </w:r>
          </w:p>
          <w:p>
            <w:pPr>
              <w:snapToGrid w:val="0"/>
              <w:rPr>
                <w:sz w:val="22"/>
                <w:szCs w:val="22"/>
              </w:rPr>
            </w:pPr>
          </w:p>
          <w:p>
            <w:pPr>
              <w:snapToGrid w:val="0"/>
              <w:rPr>
                <w:sz w:val="22"/>
                <w:szCs w:val="22"/>
              </w:rPr>
            </w:pPr>
            <w:r>
              <w:rPr>
                <w:sz w:val="22"/>
                <w:szCs w:val="22"/>
              </w:rPr>
              <w:t>Touria SOURY</w:t>
            </w:r>
          </w:p>
        </w:tc>
        <w:tc>
          <w:tcPr>
            <w:tcW w:w="1701" w:type="dxa"/>
            <w:shd w:val="clear" w:color="auto" w:fill="auto"/>
          </w:tcPr>
          <w:p>
            <w:pPr>
              <w:snapToGrid w:val="0"/>
              <w:rPr>
                <w:sz w:val="22"/>
                <w:szCs w:val="22"/>
              </w:rPr>
            </w:pPr>
            <w:r>
              <w:rPr>
                <w:sz w:val="22"/>
                <w:szCs w:val="22"/>
              </w:rPr>
              <w:t xml:space="preserve">           89.22</w:t>
            </w:r>
          </w:p>
          <w:p>
            <w:pPr>
              <w:snapToGrid w:val="0"/>
              <w:jc w:val="center"/>
              <w:rPr>
                <w:sz w:val="22"/>
                <w:szCs w:val="22"/>
              </w:rPr>
            </w:pPr>
            <w:r>
              <w:rPr>
                <w:sz w:val="22"/>
                <w:szCs w:val="22"/>
              </w:rPr>
              <w:t>83.13</w:t>
            </w:r>
          </w:p>
          <w:p>
            <w:pPr>
              <w:snapToGrid w:val="0"/>
              <w:jc w:val="center"/>
              <w:rPr>
                <w:sz w:val="22"/>
                <w:szCs w:val="22"/>
              </w:rPr>
            </w:pPr>
            <w:r>
              <w:rPr>
                <w:sz w:val="22"/>
                <w:szCs w:val="22"/>
              </w:rPr>
              <w:t>84.38</w:t>
            </w:r>
          </w:p>
          <w:p>
            <w:pPr>
              <w:snapToGrid w:val="0"/>
              <w:jc w:val="center"/>
              <w:rPr>
                <w:sz w:val="22"/>
                <w:szCs w:val="22"/>
              </w:rPr>
            </w:pPr>
          </w:p>
          <w:p>
            <w:pPr>
              <w:snapToGrid w:val="0"/>
              <w:jc w:val="center"/>
              <w:rPr>
                <w:sz w:val="22"/>
                <w:szCs w:val="22"/>
              </w:rPr>
            </w:pPr>
            <w:r>
              <w:rPr>
                <w:sz w:val="22"/>
                <w:szCs w:val="22"/>
              </w:rPr>
              <w:t>86.19</w:t>
            </w:r>
          </w:p>
        </w:tc>
        <w:tc>
          <w:tcPr>
            <w:tcW w:w="1701" w:type="dxa"/>
            <w:shd w:val="clear" w:color="auto" w:fill="auto"/>
          </w:tcPr>
          <w:p>
            <w:pPr>
              <w:snapToGrid w:val="0"/>
              <w:rPr>
                <w:sz w:val="22"/>
                <w:szCs w:val="22"/>
              </w:rPr>
            </w:pPr>
          </w:p>
          <w:p>
            <w:pPr>
              <w:snapToGrid w:val="0"/>
              <w:rPr>
                <w:sz w:val="22"/>
                <w:szCs w:val="22"/>
              </w:rPr>
            </w:pPr>
          </w:p>
          <w:p>
            <w:pPr>
              <w:snapToGrid w:val="0"/>
              <w:rPr>
                <w:sz w:val="22"/>
                <w:szCs w:val="22"/>
              </w:rPr>
            </w:pPr>
            <w:r>
              <w:rPr>
                <w:sz w:val="22"/>
                <w:szCs w:val="22"/>
              </w:rPr>
              <w:t>85.93</w:t>
            </w:r>
          </w:p>
        </w:tc>
      </w:tr>
      <w:tr>
        <w:trPr>
          <w:cantSplit/>
        </w:trPr>
        <w:tc>
          <w:tcPr>
            <w:tcW w:w="3823" w:type="dxa"/>
            <w:vAlign w:val="center"/>
          </w:tcPr>
          <w:p>
            <w:pPr>
              <w:rPr>
                <w:b/>
                <w:sz w:val="22"/>
                <w:szCs w:val="22"/>
              </w:rPr>
            </w:pPr>
            <w:r>
              <w:rPr>
                <w:b/>
                <w:sz w:val="22"/>
                <w:szCs w:val="22"/>
              </w:rPr>
              <w:t>Contrôle de l’inscription scolaire</w:t>
            </w:r>
          </w:p>
        </w:tc>
        <w:tc>
          <w:tcPr>
            <w:tcW w:w="2976" w:type="dxa"/>
            <w:gridSpan w:val="2"/>
            <w:vAlign w:val="center"/>
          </w:tcPr>
          <w:p>
            <w:pPr>
              <w:snapToGrid w:val="0"/>
              <w:rPr>
                <w:color w:val="0000FF"/>
                <w:sz w:val="22"/>
                <w:szCs w:val="22"/>
              </w:rPr>
            </w:pPr>
            <w:hyperlink r:id="rId267" w:history="1">
              <w:r>
                <w:rPr>
                  <w:rStyle w:val="Lienhypertexte"/>
                  <w:sz w:val="22"/>
                  <w:szCs w:val="22"/>
                </w:rPr>
                <w:t>obsi_inscription@cfwb.be</w:t>
              </w:r>
            </w:hyperlink>
            <w:r>
              <w:rPr>
                <w:color w:val="0000FF"/>
                <w:sz w:val="22"/>
                <w:szCs w:val="22"/>
              </w:rPr>
              <w:t xml:space="preserve"> </w:t>
            </w:r>
          </w:p>
        </w:tc>
        <w:tc>
          <w:tcPr>
            <w:tcW w:w="1701" w:type="dxa"/>
          </w:tcPr>
          <w:p>
            <w:pPr>
              <w:snapToGrid w:val="0"/>
              <w:jc w:val="center"/>
              <w:rPr>
                <w:sz w:val="22"/>
                <w:szCs w:val="22"/>
              </w:rPr>
            </w:pPr>
            <w:r>
              <w:rPr>
                <w:sz w:val="22"/>
                <w:szCs w:val="22"/>
              </w:rPr>
              <w:t>88.32</w:t>
            </w:r>
          </w:p>
        </w:tc>
        <w:tc>
          <w:tcPr>
            <w:tcW w:w="1701" w:type="dxa"/>
          </w:tcPr>
          <w:p>
            <w:pPr>
              <w:snapToGrid w:val="0"/>
              <w:rPr>
                <w:iCs/>
                <w:sz w:val="22"/>
                <w:szCs w:val="22"/>
              </w:rPr>
            </w:pPr>
            <w:r>
              <w:rPr>
                <w:iCs/>
                <w:sz w:val="22"/>
                <w:szCs w:val="22"/>
              </w:rPr>
              <w:t>85.93</w:t>
            </w:r>
          </w:p>
          <w:p>
            <w:pPr>
              <w:snapToGrid w:val="0"/>
              <w:rPr>
                <w:iCs/>
                <w:sz w:val="22"/>
                <w:szCs w:val="22"/>
              </w:rPr>
            </w:pPr>
          </w:p>
          <w:p>
            <w:pPr>
              <w:snapToGrid w:val="0"/>
              <w:rPr>
                <w:iCs/>
                <w:sz w:val="22"/>
                <w:szCs w:val="22"/>
              </w:rPr>
            </w:pPr>
          </w:p>
        </w:tc>
      </w:tr>
      <w:tr>
        <w:trPr>
          <w:cantSplit/>
        </w:trPr>
        <w:tc>
          <w:tcPr>
            <w:tcW w:w="3823" w:type="dxa"/>
          </w:tcPr>
          <w:p>
            <w:pPr>
              <w:rPr>
                <w:b/>
                <w:sz w:val="22"/>
                <w:szCs w:val="22"/>
              </w:rPr>
            </w:pPr>
            <w:r>
              <w:rPr>
                <w:b/>
                <w:sz w:val="22"/>
                <w:szCs w:val="22"/>
              </w:rPr>
              <w:t>Contrôle de la fréquentation scolaire</w:t>
            </w:r>
          </w:p>
        </w:tc>
        <w:tc>
          <w:tcPr>
            <w:tcW w:w="6378" w:type="dxa"/>
            <w:gridSpan w:val="4"/>
          </w:tcPr>
          <w:p>
            <w:pPr>
              <w:snapToGrid w:val="0"/>
              <w:jc w:val="center"/>
              <w:rPr>
                <w:i/>
                <w:iCs/>
                <w:sz w:val="22"/>
                <w:szCs w:val="22"/>
              </w:rPr>
            </w:pPr>
            <w:hyperlink r:id="rId268" w:history="1">
              <w:r>
                <w:rPr>
                  <w:rStyle w:val="Lienhypertexte"/>
                  <w:sz w:val="22"/>
                  <w:szCs w:val="22"/>
                </w:rPr>
                <w:t>obsi@cfwb.be</w:t>
              </w:r>
            </w:hyperlink>
          </w:p>
        </w:tc>
      </w:tr>
      <w:tr>
        <w:trPr>
          <w:cantSplit/>
        </w:trPr>
        <w:tc>
          <w:tcPr>
            <w:tcW w:w="3823" w:type="dxa"/>
            <w:shd w:val="clear" w:color="auto" w:fill="FFFFFF" w:themeFill="background1"/>
          </w:tcPr>
          <w:p>
            <w:pPr>
              <w:tabs>
                <w:tab w:val="left" w:pos="1134"/>
              </w:tabs>
              <w:suppressAutoHyphens/>
              <w:snapToGrid w:val="0"/>
              <w:rPr>
                <w:sz w:val="22"/>
                <w:szCs w:val="22"/>
                <w:lang w:val="fr-FR" w:eastAsia="fr-FR"/>
              </w:rPr>
            </w:pPr>
            <w:r>
              <w:rPr>
                <w:sz w:val="22"/>
                <w:szCs w:val="22"/>
                <w:lang w:val="fr-FR" w:eastAsia="fr-FR"/>
              </w:rPr>
              <w:t>Brabant wallon</w:t>
            </w:r>
          </w:p>
          <w:p>
            <w:pPr>
              <w:tabs>
                <w:tab w:val="left" w:pos="1134"/>
              </w:tabs>
              <w:suppressAutoHyphens/>
              <w:snapToGrid w:val="0"/>
              <w:rPr>
                <w:sz w:val="22"/>
                <w:szCs w:val="22"/>
                <w:lang w:val="fr-FR" w:eastAsia="fr-FR"/>
              </w:rPr>
            </w:pPr>
          </w:p>
          <w:p>
            <w:pPr>
              <w:tabs>
                <w:tab w:val="left" w:pos="1134"/>
              </w:tabs>
              <w:suppressAutoHyphens/>
              <w:snapToGrid w:val="0"/>
              <w:rPr>
                <w:sz w:val="22"/>
                <w:szCs w:val="22"/>
                <w:lang w:val="fr-FR" w:eastAsia="fr-FR"/>
              </w:rPr>
            </w:pPr>
            <w:r>
              <w:rPr>
                <w:sz w:val="22"/>
                <w:szCs w:val="22"/>
                <w:lang w:val="fr-FR" w:eastAsia="fr-FR"/>
              </w:rPr>
              <w:t xml:space="preserve">Bruxelles </w:t>
            </w:r>
          </w:p>
          <w:p>
            <w:pPr>
              <w:tabs>
                <w:tab w:val="left" w:pos="1134"/>
              </w:tabs>
              <w:suppressAutoHyphens/>
              <w:snapToGrid w:val="0"/>
              <w:rPr>
                <w:sz w:val="22"/>
                <w:szCs w:val="22"/>
                <w:lang w:val="fr-FR" w:eastAsia="fr-FR"/>
              </w:rPr>
            </w:pPr>
          </w:p>
          <w:p>
            <w:pPr>
              <w:tabs>
                <w:tab w:val="left" w:pos="1134"/>
              </w:tabs>
              <w:suppressAutoHyphens/>
              <w:snapToGrid w:val="0"/>
              <w:rPr>
                <w:sz w:val="22"/>
                <w:szCs w:val="22"/>
                <w:lang w:val="fr-FR" w:eastAsia="fr-FR"/>
              </w:rPr>
            </w:pPr>
          </w:p>
          <w:p>
            <w:pPr>
              <w:tabs>
                <w:tab w:val="left" w:pos="1134"/>
              </w:tabs>
              <w:snapToGrid w:val="0"/>
              <w:rPr>
                <w:sz w:val="22"/>
                <w:szCs w:val="22"/>
                <w:lang w:val="fr-FR" w:eastAsia="fr-FR"/>
              </w:rPr>
            </w:pPr>
            <w:r>
              <w:rPr>
                <w:sz w:val="22"/>
                <w:szCs w:val="22"/>
                <w:lang w:val="fr-FR" w:eastAsia="fr-FR"/>
              </w:rPr>
              <w:t>Hainaut</w:t>
            </w:r>
          </w:p>
          <w:p>
            <w:pPr>
              <w:tabs>
                <w:tab w:val="left" w:pos="1134"/>
              </w:tabs>
              <w:snapToGrid w:val="0"/>
              <w:rPr>
                <w:sz w:val="22"/>
                <w:szCs w:val="22"/>
                <w:lang w:val="fr-FR" w:eastAsia="fr-FR"/>
              </w:rPr>
            </w:pPr>
          </w:p>
          <w:p>
            <w:pPr>
              <w:tabs>
                <w:tab w:val="left" w:pos="1134"/>
              </w:tabs>
              <w:snapToGrid w:val="0"/>
              <w:rPr>
                <w:sz w:val="22"/>
                <w:szCs w:val="22"/>
                <w:lang w:val="fr-FR" w:eastAsia="fr-FR"/>
              </w:rPr>
            </w:pPr>
          </w:p>
          <w:p>
            <w:pPr>
              <w:tabs>
                <w:tab w:val="left" w:pos="1134"/>
              </w:tabs>
              <w:snapToGrid w:val="0"/>
              <w:rPr>
                <w:sz w:val="22"/>
                <w:szCs w:val="22"/>
                <w:lang w:val="fr-FR" w:eastAsia="fr-FR"/>
              </w:rPr>
            </w:pPr>
          </w:p>
          <w:p>
            <w:pPr>
              <w:tabs>
                <w:tab w:val="left" w:pos="1134"/>
              </w:tabs>
              <w:snapToGrid w:val="0"/>
              <w:rPr>
                <w:sz w:val="22"/>
                <w:szCs w:val="22"/>
                <w:lang w:val="fr-FR" w:eastAsia="fr-FR"/>
              </w:rPr>
            </w:pPr>
          </w:p>
          <w:p>
            <w:pPr>
              <w:tabs>
                <w:tab w:val="left" w:pos="1134"/>
              </w:tabs>
              <w:suppressAutoHyphens/>
              <w:snapToGrid w:val="0"/>
              <w:rPr>
                <w:sz w:val="22"/>
                <w:szCs w:val="22"/>
                <w:lang w:val="fr-FR" w:eastAsia="fr-FR"/>
              </w:rPr>
            </w:pPr>
            <w:r>
              <w:rPr>
                <w:sz w:val="22"/>
                <w:szCs w:val="22"/>
                <w:lang w:val="fr-FR" w:eastAsia="fr-FR"/>
              </w:rPr>
              <w:t>Liège</w:t>
            </w:r>
          </w:p>
          <w:p>
            <w:pPr>
              <w:tabs>
                <w:tab w:val="left" w:pos="1134"/>
              </w:tabs>
              <w:snapToGrid w:val="0"/>
              <w:rPr>
                <w:sz w:val="22"/>
                <w:szCs w:val="22"/>
                <w:lang w:val="fr-FR" w:eastAsia="fr-FR"/>
              </w:rPr>
            </w:pPr>
          </w:p>
          <w:p>
            <w:pPr>
              <w:tabs>
                <w:tab w:val="left" w:pos="1134"/>
              </w:tabs>
              <w:snapToGrid w:val="0"/>
              <w:rPr>
                <w:sz w:val="22"/>
                <w:szCs w:val="22"/>
                <w:lang w:val="fr-FR" w:eastAsia="fr-FR"/>
              </w:rPr>
            </w:pPr>
          </w:p>
          <w:p>
            <w:pPr>
              <w:tabs>
                <w:tab w:val="left" w:pos="1134"/>
              </w:tabs>
              <w:suppressAutoHyphens/>
              <w:snapToGrid w:val="0"/>
              <w:rPr>
                <w:sz w:val="22"/>
                <w:szCs w:val="22"/>
                <w:lang w:val="fr-FR" w:eastAsia="fr-FR"/>
              </w:rPr>
            </w:pPr>
            <w:r>
              <w:rPr>
                <w:sz w:val="22"/>
                <w:szCs w:val="22"/>
                <w:lang w:val="fr-FR" w:eastAsia="fr-FR"/>
              </w:rPr>
              <w:t>Luxembourg</w:t>
            </w:r>
          </w:p>
          <w:p>
            <w:pPr>
              <w:tabs>
                <w:tab w:val="left" w:pos="1134"/>
              </w:tabs>
              <w:suppressAutoHyphens/>
              <w:snapToGrid w:val="0"/>
              <w:rPr>
                <w:sz w:val="22"/>
                <w:szCs w:val="22"/>
                <w:lang w:val="fr-FR" w:eastAsia="fr-FR"/>
              </w:rPr>
            </w:pPr>
          </w:p>
          <w:p>
            <w:pPr>
              <w:rPr>
                <w:sz w:val="22"/>
                <w:szCs w:val="22"/>
              </w:rPr>
            </w:pPr>
            <w:r>
              <w:rPr>
                <w:sz w:val="22"/>
                <w:szCs w:val="22"/>
                <w:lang w:val="fr-FR" w:eastAsia="fr-FR"/>
              </w:rPr>
              <w:t>Namur</w:t>
            </w:r>
          </w:p>
        </w:tc>
        <w:tc>
          <w:tcPr>
            <w:tcW w:w="2976" w:type="dxa"/>
            <w:gridSpan w:val="2"/>
            <w:shd w:val="clear" w:color="auto" w:fill="FFFFFF" w:themeFill="background1"/>
          </w:tcPr>
          <w:p>
            <w:pPr>
              <w:tabs>
                <w:tab w:val="left" w:pos="1134"/>
              </w:tabs>
              <w:snapToGrid w:val="0"/>
              <w:rPr>
                <w:sz w:val="22"/>
                <w:szCs w:val="22"/>
                <w:lang w:eastAsia="fr-FR"/>
              </w:rPr>
            </w:pPr>
            <w:r>
              <w:rPr>
                <w:sz w:val="22"/>
                <w:szCs w:val="22"/>
                <w:lang w:eastAsia="fr-FR"/>
              </w:rPr>
              <w:t>Demis HOUTRELLE</w:t>
            </w:r>
          </w:p>
          <w:p>
            <w:pPr>
              <w:tabs>
                <w:tab w:val="left" w:pos="1134"/>
              </w:tabs>
              <w:snapToGrid w:val="0"/>
              <w:rPr>
                <w:sz w:val="22"/>
                <w:szCs w:val="22"/>
                <w:lang w:eastAsia="fr-FR"/>
              </w:rPr>
            </w:pPr>
          </w:p>
          <w:p>
            <w:pPr>
              <w:tabs>
                <w:tab w:val="left" w:pos="1134"/>
              </w:tabs>
              <w:snapToGrid w:val="0"/>
              <w:rPr>
                <w:sz w:val="22"/>
                <w:szCs w:val="22"/>
                <w:lang w:eastAsia="fr-FR"/>
              </w:rPr>
            </w:pPr>
            <w:r>
              <w:rPr>
                <w:sz w:val="22"/>
                <w:szCs w:val="22"/>
                <w:lang w:eastAsia="fr-FR"/>
              </w:rPr>
              <w:t>Laetitia DETHIER</w:t>
            </w:r>
          </w:p>
          <w:p>
            <w:pPr>
              <w:tabs>
                <w:tab w:val="left" w:pos="1134"/>
              </w:tabs>
              <w:snapToGrid w:val="0"/>
              <w:rPr>
                <w:sz w:val="22"/>
                <w:szCs w:val="22"/>
                <w:lang w:eastAsia="fr-FR"/>
              </w:rPr>
            </w:pPr>
            <w:r>
              <w:rPr>
                <w:sz w:val="22"/>
                <w:szCs w:val="22"/>
                <w:lang w:eastAsia="fr-FR"/>
              </w:rPr>
              <w:t>Jennifer PLANCKE</w:t>
            </w:r>
          </w:p>
          <w:p>
            <w:pPr>
              <w:tabs>
                <w:tab w:val="left" w:pos="1134"/>
              </w:tabs>
              <w:snapToGrid w:val="0"/>
              <w:rPr>
                <w:sz w:val="22"/>
                <w:szCs w:val="22"/>
                <w:lang w:val="en-US" w:eastAsia="fr-FR"/>
              </w:rPr>
            </w:pPr>
            <w:r>
              <w:rPr>
                <w:sz w:val="22"/>
                <w:szCs w:val="22"/>
                <w:lang w:eastAsia="fr-FR"/>
              </w:rPr>
              <w:t>Evelyne DE DREE</w:t>
            </w:r>
            <w:r>
              <w:rPr>
                <w:sz w:val="22"/>
                <w:szCs w:val="22"/>
                <w:lang w:val="en-US" w:eastAsia="fr-FR"/>
              </w:rPr>
              <w:t xml:space="preserve"> </w:t>
            </w:r>
          </w:p>
          <w:p>
            <w:pPr>
              <w:tabs>
                <w:tab w:val="left" w:pos="1134"/>
              </w:tabs>
              <w:snapToGrid w:val="0"/>
              <w:rPr>
                <w:sz w:val="22"/>
                <w:szCs w:val="22"/>
                <w:lang w:val="en-US" w:eastAsia="fr-FR"/>
              </w:rPr>
            </w:pPr>
            <w:r>
              <w:rPr>
                <w:sz w:val="22"/>
                <w:szCs w:val="22"/>
                <w:lang w:val="en-US" w:eastAsia="fr-FR"/>
              </w:rPr>
              <w:t>Geoffroy SINON</w:t>
            </w:r>
          </w:p>
          <w:p>
            <w:pPr>
              <w:tabs>
                <w:tab w:val="left" w:pos="1134"/>
              </w:tabs>
              <w:snapToGrid w:val="0"/>
              <w:rPr>
                <w:sz w:val="22"/>
                <w:szCs w:val="22"/>
                <w:lang w:val="en-US" w:eastAsia="fr-FR"/>
              </w:rPr>
            </w:pPr>
            <w:r>
              <w:rPr>
                <w:sz w:val="22"/>
                <w:szCs w:val="22"/>
                <w:lang w:eastAsia="fr-FR"/>
              </w:rPr>
              <w:t>Demis HOUTRELLE</w:t>
            </w:r>
          </w:p>
          <w:p>
            <w:pPr>
              <w:tabs>
                <w:tab w:val="left" w:pos="1134"/>
              </w:tabs>
              <w:snapToGrid w:val="0"/>
              <w:rPr>
                <w:sz w:val="22"/>
                <w:szCs w:val="22"/>
                <w:lang w:eastAsia="fr-FR"/>
              </w:rPr>
            </w:pPr>
          </w:p>
          <w:p>
            <w:pPr>
              <w:tabs>
                <w:tab w:val="left" w:pos="1134"/>
              </w:tabs>
              <w:snapToGrid w:val="0"/>
              <w:rPr>
                <w:sz w:val="22"/>
                <w:szCs w:val="22"/>
                <w:lang w:eastAsia="fr-FR"/>
              </w:rPr>
            </w:pPr>
            <w:r>
              <w:rPr>
                <w:sz w:val="22"/>
                <w:szCs w:val="22"/>
                <w:lang w:eastAsia="fr-FR"/>
              </w:rPr>
              <w:t>Géraldine THUNIS</w:t>
            </w:r>
          </w:p>
          <w:p>
            <w:pPr>
              <w:tabs>
                <w:tab w:val="left" w:pos="1134"/>
              </w:tabs>
              <w:snapToGrid w:val="0"/>
              <w:rPr>
                <w:sz w:val="22"/>
                <w:szCs w:val="22"/>
                <w:lang w:eastAsia="fr-FR"/>
              </w:rPr>
            </w:pPr>
            <w:r>
              <w:rPr>
                <w:sz w:val="22"/>
                <w:szCs w:val="22"/>
                <w:lang w:eastAsia="fr-FR"/>
              </w:rPr>
              <w:t>Evelyne DE DREE</w:t>
            </w:r>
          </w:p>
          <w:p>
            <w:pPr>
              <w:tabs>
                <w:tab w:val="left" w:pos="1134"/>
              </w:tabs>
              <w:snapToGrid w:val="0"/>
              <w:rPr>
                <w:sz w:val="22"/>
                <w:szCs w:val="22"/>
                <w:lang w:eastAsia="fr-FR"/>
              </w:rPr>
            </w:pPr>
            <w:r>
              <w:rPr>
                <w:sz w:val="22"/>
                <w:szCs w:val="22"/>
                <w:lang w:eastAsia="fr-FR"/>
              </w:rPr>
              <w:t>Hinde Hana KERKOUB</w:t>
            </w:r>
          </w:p>
          <w:p>
            <w:pPr>
              <w:tabs>
                <w:tab w:val="left" w:pos="1134"/>
              </w:tabs>
              <w:snapToGrid w:val="0"/>
              <w:rPr>
                <w:sz w:val="22"/>
                <w:szCs w:val="22"/>
                <w:lang w:val="en-GB" w:eastAsia="fr-FR"/>
              </w:rPr>
            </w:pPr>
            <w:r>
              <w:rPr>
                <w:sz w:val="22"/>
                <w:szCs w:val="22"/>
                <w:lang w:val="en-GB" w:eastAsia="fr-FR"/>
              </w:rPr>
              <w:t>Samia LEDHEM</w:t>
            </w:r>
          </w:p>
          <w:p>
            <w:pPr>
              <w:tabs>
                <w:tab w:val="left" w:pos="1134"/>
              </w:tabs>
              <w:snapToGrid w:val="0"/>
              <w:rPr>
                <w:sz w:val="22"/>
                <w:szCs w:val="22"/>
                <w:lang w:val="en-GB" w:eastAsia="fr-FR"/>
              </w:rPr>
            </w:pPr>
          </w:p>
          <w:p>
            <w:pPr>
              <w:tabs>
                <w:tab w:val="left" w:pos="1134"/>
              </w:tabs>
              <w:snapToGrid w:val="0"/>
              <w:rPr>
                <w:sz w:val="22"/>
                <w:szCs w:val="22"/>
                <w:lang w:val="en-US" w:eastAsia="fr-FR"/>
              </w:rPr>
            </w:pPr>
            <w:r>
              <w:rPr>
                <w:sz w:val="22"/>
                <w:szCs w:val="22"/>
                <w:lang w:val="en-US" w:eastAsia="fr-FR"/>
              </w:rPr>
              <w:t>Geoffroy SINON</w:t>
            </w:r>
          </w:p>
          <w:p>
            <w:pPr>
              <w:tabs>
                <w:tab w:val="left" w:pos="1134"/>
              </w:tabs>
              <w:snapToGrid w:val="0"/>
              <w:rPr>
                <w:sz w:val="22"/>
                <w:szCs w:val="22"/>
                <w:lang w:val="en-US" w:eastAsia="fr-FR"/>
              </w:rPr>
            </w:pPr>
            <w:r>
              <w:rPr>
                <w:sz w:val="22"/>
                <w:szCs w:val="22"/>
                <w:lang w:val="en-US" w:eastAsia="fr-FR"/>
              </w:rPr>
              <w:t>Patrick GOSSE</w:t>
            </w:r>
          </w:p>
          <w:p>
            <w:pPr>
              <w:tabs>
                <w:tab w:val="left" w:pos="1134"/>
              </w:tabs>
              <w:snapToGrid w:val="0"/>
              <w:rPr>
                <w:sz w:val="22"/>
                <w:szCs w:val="22"/>
                <w:lang w:val="en-US" w:eastAsia="fr-FR"/>
              </w:rPr>
            </w:pPr>
          </w:p>
          <w:p>
            <w:pPr>
              <w:tabs>
                <w:tab w:val="left" w:pos="1134"/>
              </w:tabs>
              <w:snapToGrid w:val="0"/>
              <w:rPr>
                <w:sz w:val="22"/>
                <w:szCs w:val="22"/>
                <w:lang w:val="en-GB" w:eastAsia="fr-FR"/>
              </w:rPr>
            </w:pPr>
            <w:r>
              <w:rPr>
                <w:sz w:val="22"/>
                <w:szCs w:val="22"/>
                <w:lang w:val="en-GB" w:eastAsia="fr-FR"/>
              </w:rPr>
              <w:t>Samia LEDHEM</w:t>
            </w:r>
          </w:p>
          <w:p>
            <w:pPr>
              <w:tabs>
                <w:tab w:val="left" w:pos="1134"/>
              </w:tabs>
              <w:snapToGrid w:val="0"/>
              <w:rPr>
                <w:sz w:val="22"/>
                <w:szCs w:val="22"/>
                <w:lang w:eastAsia="fr-FR"/>
              </w:rPr>
            </w:pPr>
          </w:p>
          <w:p>
            <w:pPr>
              <w:snapToGrid w:val="0"/>
              <w:rPr>
                <w:sz w:val="22"/>
                <w:szCs w:val="22"/>
              </w:rPr>
            </w:pPr>
            <w:r>
              <w:rPr>
                <w:sz w:val="22"/>
                <w:szCs w:val="22"/>
                <w:lang w:eastAsia="fr-FR"/>
              </w:rPr>
              <w:t>Demis HOUTRELLE</w:t>
            </w:r>
          </w:p>
        </w:tc>
        <w:tc>
          <w:tcPr>
            <w:tcW w:w="1701" w:type="dxa"/>
            <w:shd w:val="clear" w:color="auto" w:fill="FFFFFF" w:themeFill="background1"/>
          </w:tcPr>
          <w:p>
            <w:pPr>
              <w:tabs>
                <w:tab w:val="left" w:pos="1134"/>
              </w:tabs>
              <w:snapToGrid w:val="0"/>
              <w:jc w:val="center"/>
              <w:rPr>
                <w:sz w:val="22"/>
                <w:szCs w:val="22"/>
                <w:lang w:val="fr-FR" w:eastAsia="fr-FR"/>
              </w:rPr>
            </w:pPr>
            <w:r>
              <w:rPr>
                <w:sz w:val="22"/>
                <w:szCs w:val="22"/>
                <w:lang w:val="fr-FR" w:eastAsia="fr-FR"/>
              </w:rPr>
              <w:t>83.34</w:t>
            </w:r>
          </w:p>
          <w:p>
            <w:pPr>
              <w:tabs>
                <w:tab w:val="left" w:pos="1134"/>
              </w:tabs>
              <w:snapToGrid w:val="0"/>
              <w:jc w:val="center"/>
              <w:rPr>
                <w:sz w:val="22"/>
                <w:szCs w:val="22"/>
                <w:lang w:val="fr-FR" w:eastAsia="fr-FR"/>
              </w:rPr>
            </w:pPr>
          </w:p>
          <w:p>
            <w:pPr>
              <w:tabs>
                <w:tab w:val="left" w:pos="1134"/>
              </w:tabs>
              <w:snapToGrid w:val="0"/>
              <w:jc w:val="center"/>
              <w:rPr>
                <w:sz w:val="22"/>
                <w:szCs w:val="22"/>
                <w:lang w:val="fr-FR" w:eastAsia="fr-FR"/>
              </w:rPr>
            </w:pPr>
            <w:r>
              <w:rPr>
                <w:sz w:val="22"/>
                <w:szCs w:val="22"/>
                <w:lang w:val="fr-FR" w:eastAsia="fr-FR"/>
              </w:rPr>
              <w:t>83.62</w:t>
            </w:r>
          </w:p>
          <w:p>
            <w:pPr>
              <w:tabs>
                <w:tab w:val="left" w:pos="1134"/>
              </w:tabs>
              <w:snapToGrid w:val="0"/>
              <w:jc w:val="center"/>
              <w:rPr>
                <w:sz w:val="22"/>
                <w:szCs w:val="22"/>
                <w:lang w:val="fr-FR" w:eastAsia="fr-FR"/>
              </w:rPr>
            </w:pPr>
            <w:r>
              <w:rPr>
                <w:sz w:val="22"/>
                <w:szCs w:val="22"/>
                <w:lang w:val="fr-FR" w:eastAsia="fr-FR"/>
              </w:rPr>
              <w:t>83.65</w:t>
            </w:r>
          </w:p>
          <w:p>
            <w:pPr>
              <w:tabs>
                <w:tab w:val="left" w:pos="1134"/>
              </w:tabs>
              <w:snapToGrid w:val="0"/>
              <w:jc w:val="center"/>
              <w:rPr>
                <w:sz w:val="22"/>
                <w:szCs w:val="22"/>
                <w:lang w:val="fr-FR" w:eastAsia="fr-FR"/>
              </w:rPr>
            </w:pPr>
            <w:r>
              <w:rPr>
                <w:sz w:val="22"/>
                <w:szCs w:val="22"/>
                <w:lang w:val="fr-FR" w:eastAsia="fr-FR"/>
              </w:rPr>
              <w:t>02/413.26.27</w:t>
            </w:r>
          </w:p>
          <w:p>
            <w:pPr>
              <w:tabs>
                <w:tab w:val="left" w:pos="1134"/>
              </w:tabs>
              <w:snapToGrid w:val="0"/>
              <w:jc w:val="center"/>
              <w:rPr>
                <w:sz w:val="22"/>
                <w:szCs w:val="22"/>
                <w:lang w:val="fr-FR" w:eastAsia="fr-FR"/>
              </w:rPr>
            </w:pPr>
            <w:r>
              <w:rPr>
                <w:sz w:val="22"/>
                <w:szCs w:val="22"/>
                <w:lang w:val="fr-FR" w:eastAsia="fr-FR"/>
              </w:rPr>
              <w:t>83.57</w:t>
            </w:r>
          </w:p>
          <w:p>
            <w:pPr>
              <w:tabs>
                <w:tab w:val="left" w:pos="1134"/>
              </w:tabs>
              <w:snapToGrid w:val="0"/>
              <w:jc w:val="center"/>
              <w:rPr>
                <w:sz w:val="22"/>
                <w:szCs w:val="22"/>
                <w:lang w:val="fr-FR" w:eastAsia="fr-FR"/>
              </w:rPr>
            </w:pPr>
            <w:r>
              <w:rPr>
                <w:sz w:val="22"/>
                <w:szCs w:val="22"/>
                <w:lang w:val="fr-FR" w:eastAsia="fr-FR"/>
              </w:rPr>
              <w:t>83.34</w:t>
            </w:r>
          </w:p>
          <w:p>
            <w:pPr>
              <w:tabs>
                <w:tab w:val="left" w:pos="1134"/>
              </w:tabs>
              <w:snapToGrid w:val="0"/>
              <w:rPr>
                <w:sz w:val="22"/>
                <w:szCs w:val="22"/>
                <w:lang w:val="fr-FR" w:eastAsia="fr-FR"/>
              </w:rPr>
            </w:pPr>
          </w:p>
          <w:p>
            <w:pPr>
              <w:tabs>
                <w:tab w:val="left" w:pos="1134"/>
              </w:tabs>
              <w:snapToGrid w:val="0"/>
              <w:jc w:val="center"/>
              <w:rPr>
                <w:sz w:val="22"/>
                <w:szCs w:val="22"/>
                <w:lang w:val="fr-FR" w:eastAsia="fr-FR"/>
              </w:rPr>
            </w:pPr>
            <w:r>
              <w:rPr>
                <w:sz w:val="22"/>
                <w:szCs w:val="22"/>
                <w:lang w:val="fr-FR" w:eastAsia="fr-FR"/>
              </w:rPr>
              <w:t>83.73</w:t>
            </w:r>
          </w:p>
          <w:p>
            <w:pPr>
              <w:tabs>
                <w:tab w:val="left" w:pos="1134"/>
              </w:tabs>
              <w:snapToGrid w:val="0"/>
              <w:jc w:val="center"/>
              <w:rPr>
                <w:sz w:val="22"/>
                <w:szCs w:val="22"/>
                <w:lang w:val="fr-FR" w:eastAsia="fr-FR"/>
              </w:rPr>
            </w:pPr>
            <w:r>
              <w:rPr>
                <w:sz w:val="22"/>
                <w:szCs w:val="22"/>
                <w:lang w:val="fr-FR" w:eastAsia="fr-FR"/>
              </w:rPr>
              <w:t>02/413.26.27</w:t>
            </w:r>
          </w:p>
          <w:p>
            <w:pPr>
              <w:tabs>
                <w:tab w:val="left" w:pos="1134"/>
              </w:tabs>
              <w:snapToGrid w:val="0"/>
              <w:jc w:val="center"/>
              <w:rPr>
                <w:sz w:val="22"/>
                <w:szCs w:val="22"/>
                <w:lang w:val="fr-FR" w:eastAsia="fr-FR"/>
              </w:rPr>
            </w:pPr>
            <w:r>
              <w:rPr>
                <w:sz w:val="22"/>
                <w:szCs w:val="22"/>
                <w:lang w:val="fr-FR" w:eastAsia="fr-FR"/>
              </w:rPr>
              <w:t>82.15</w:t>
            </w:r>
          </w:p>
          <w:p>
            <w:pPr>
              <w:tabs>
                <w:tab w:val="left" w:pos="1134"/>
              </w:tabs>
              <w:snapToGrid w:val="0"/>
              <w:jc w:val="center"/>
              <w:rPr>
                <w:sz w:val="22"/>
                <w:szCs w:val="22"/>
                <w:lang w:val="fr-FR" w:eastAsia="fr-FR"/>
              </w:rPr>
            </w:pPr>
            <w:r>
              <w:rPr>
                <w:sz w:val="22"/>
                <w:szCs w:val="22"/>
                <w:lang w:val="fr-FR" w:eastAsia="fr-FR"/>
              </w:rPr>
              <w:t>02/413.26.58</w:t>
            </w:r>
          </w:p>
          <w:p>
            <w:pPr>
              <w:tabs>
                <w:tab w:val="left" w:pos="1134"/>
              </w:tabs>
              <w:snapToGrid w:val="0"/>
              <w:jc w:val="center"/>
              <w:rPr>
                <w:sz w:val="22"/>
                <w:szCs w:val="22"/>
                <w:lang w:val="fr-FR" w:eastAsia="fr-FR"/>
              </w:rPr>
            </w:pPr>
          </w:p>
          <w:p>
            <w:pPr>
              <w:tabs>
                <w:tab w:val="left" w:pos="1134"/>
              </w:tabs>
              <w:snapToGrid w:val="0"/>
              <w:jc w:val="center"/>
              <w:rPr>
                <w:sz w:val="22"/>
                <w:szCs w:val="22"/>
                <w:lang w:val="fr-FR" w:eastAsia="fr-FR"/>
              </w:rPr>
            </w:pPr>
            <w:r>
              <w:rPr>
                <w:sz w:val="22"/>
                <w:szCs w:val="22"/>
                <w:lang w:val="fr-FR" w:eastAsia="fr-FR"/>
              </w:rPr>
              <w:t>83.57</w:t>
            </w:r>
          </w:p>
          <w:p>
            <w:pPr>
              <w:tabs>
                <w:tab w:val="left" w:pos="1134"/>
              </w:tabs>
              <w:snapToGrid w:val="0"/>
              <w:jc w:val="center"/>
              <w:rPr>
                <w:sz w:val="22"/>
                <w:szCs w:val="22"/>
                <w:lang w:val="fr-FR" w:eastAsia="fr-FR"/>
              </w:rPr>
            </w:pPr>
            <w:r>
              <w:rPr>
                <w:sz w:val="22"/>
                <w:szCs w:val="22"/>
                <w:lang w:val="fr-FR" w:eastAsia="fr-FR"/>
              </w:rPr>
              <w:t>85.10</w:t>
            </w:r>
          </w:p>
          <w:p>
            <w:pPr>
              <w:tabs>
                <w:tab w:val="left" w:pos="1134"/>
              </w:tabs>
              <w:snapToGrid w:val="0"/>
              <w:jc w:val="center"/>
              <w:rPr>
                <w:sz w:val="22"/>
                <w:szCs w:val="22"/>
                <w:lang w:val="fr-FR" w:eastAsia="fr-FR"/>
              </w:rPr>
            </w:pPr>
          </w:p>
          <w:p>
            <w:pPr>
              <w:tabs>
                <w:tab w:val="left" w:pos="1134"/>
              </w:tabs>
              <w:snapToGrid w:val="0"/>
              <w:jc w:val="center"/>
              <w:rPr>
                <w:sz w:val="22"/>
                <w:szCs w:val="22"/>
                <w:lang w:val="fr-FR" w:eastAsia="fr-FR"/>
              </w:rPr>
            </w:pPr>
            <w:r>
              <w:rPr>
                <w:sz w:val="22"/>
                <w:szCs w:val="22"/>
                <w:lang w:val="fr-FR" w:eastAsia="fr-FR"/>
              </w:rPr>
              <w:t>02/413.26.58</w:t>
            </w:r>
          </w:p>
          <w:p>
            <w:pPr>
              <w:tabs>
                <w:tab w:val="left" w:pos="1134"/>
              </w:tabs>
              <w:snapToGrid w:val="0"/>
              <w:jc w:val="center"/>
              <w:rPr>
                <w:sz w:val="22"/>
                <w:szCs w:val="22"/>
                <w:lang w:val="fr-FR" w:eastAsia="fr-FR"/>
              </w:rPr>
            </w:pPr>
          </w:p>
          <w:p>
            <w:pPr>
              <w:tabs>
                <w:tab w:val="left" w:pos="1134"/>
              </w:tabs>
              <w:snapToGrid w:val="0"/>
              <w:jc w:val="center"/>
              <w:rPr>
                <w:sz w:val="22"/>
                <w:szCs w:val="22"/>
              </w:rPr>
            </w:pPr>
            <w:r>
              <w:rPr>
                <w:sz w:val="22"/>
                <w:szCs w:val="22"/>
                <w:lang w:val="fr-FR" w:eastAsia="fr-FR"/>
              </w:rPr>
              <w:t>83.34</w:t>
            </w:r>
          </w:p>
        </w:tc>
        <w:tc>
          <w:tcPr>
            <w:tcW w:w="1701" w:type="dxa"/>
            <w:shd w:val="clear" w:color="auto" w:fill="FFFFFF" w:themeFill="background1"/>
          </w:tcPr>
          <w:p>
            <w:pPr>
              <w:snapToGrid w:val="0"/>
              <w:jc w:val="center"/>
              <w:rPr>
                <w:sz w:val="22"/>
                <w:szCs w:val="22"/>
              </w:rPr>
            </w:pPr>
          </w:p>
          <w:p>
            <w:pPr>
              <w:snapToGrid w:val="0"/>
              <w:jc w:val="center"/>
              <w:rPr>
                <w:sz w:val="22"/>
                <w:szCs w:val="22"/>
              </w:rPr>
            </w:pPr>
          </w:p>
          <w:p>
            <w:pPr>
              <w:snapToGrid w:val="0"/>
              <w:jc w:val="center"/>
              <w:rPr>
                <w:sz w:val="22"/>
                <w:szCs w:val="22"/>
              </w:rPr>
            </w:pPr>
          </w:p>
          <w:p>
            <w:pPr>
              <w:snapToGrid w:val="0"/>
              <w:jc w:val="center"/>
              <w:rPr>
                <w:sz w:val="22"/>
                <w:szCs w:val="22"/>
              </w:rPr>
            </w:pPr>
          </w:p>
          <w:p>
            <w:pPr>
              <w:snapToGrid w:val="0"/>
              <w:jc w:val="center"/>
              <w:rPr>
                <w:sz w:val="22"/>
                <w:szCs w:val="22"/>
              </w:rPr>
            </w:pPr>
          </w:p>
          <w:p>
            <w:pPr>
              <w:snapToGrid w:val="0"/>
              <w:jc w:val="center"/>
              <w:rPr>
                <w:sz w:val="22"/>
                <w:szCs w:val="22"/>
              </w:rPr>
            </w:pPr>
          </w:p>
          <w:p>
            <w:pPr>
              <w:snapToGrid w:val="0"/>
              <w:jc w:val="center"/>
              <w:rPr>
                <w:sz w:val="22"/>
                <w:szCs w:val="22"/>
              </w:rPr>
            </w:pPr>
          </w:p>
          <w:p>
            <w:pPr>
              <w:snapToGrid w:val="0"/>
              <w:jc w:val="center"/>
              <w:rPr>
                <w:sz w:val="22"/>
                <w:szCs w:val="22"/>
              </w:rPr>
            </w:pPr>
          </w:p>
          <w:p>
            <w:pPr>
              <w:snapToGrid w:val="0"/>
              <w:jc w:val="center"/>
              <w:rPr>
                <w:sz w:val="22"/>
                <w:szCs w:val="22"/>
              </w:rPr>
            </w:pPr>
          </w:p>
          <w:p>
            <w:pPr>
              <w:snapToGrid w:val="0"/>
              <w:jc w:val="center"/>
              <w:rPr>
                <w:sz w:val="22"/>
                <w:szCs w:val="22"/>
              </w:rPr>
            </w:pPr>
            <w:r>
              <w:rPr>
                <w:sz w:val="22"/>
                <w:szCs w:val="22"/>
              </w:rPr>
              <w:t>85.93</w:t>
            </w:r>
          </w:p>
        </w:tc>
      </w:tr>
      <w:tr>
        <w:trPr>
          <w:cantSplit/>
        </w:trPr>
        <w:tc>
          <w:tcPr>
            <w:tcW w:w="3823" w:type="dxa"/>
          </w:tcPr>
          <w:p>
            <w:pPr>
              <w:snapToGrid w:val="0"/>
              <w:rPr>
                <w:b/>
                <w:sz w:val="22"/>
                <w:szCs w:val="22"/>
              </w:rPr>
            </w:pPr>
            <w:r>
              <w:rPr>
                <w:b/>
                <w:sz w:val="22"/>
                <w:szCs w:val="22"/>
              </w:rPr>
              <w:t>Enseignement à domicile</w:t>
            </w:r>
          </w:p>
        </w:tc>
        <w:tc>
          <w:tcPr>
            <w:tcW w:w="2976" w:type="dxa"/>
            <w:gridSpan w:val="2"/>
          </w:tcPr>
          <w:p>
            <w:pPr>
              <w:snapToGrid w:val="0"/>
              <w:rPr>
                <w:sz w:val="22"/>
                <w:szCs w:val="22"/>
                <w:lang w:val="en-GB"/>
              </w:rPr>
            </w:pPr>
          </w:p>
        </w:tc>
        <w:tc>
          <w:tcPr>
            <w:tcW w:w="1701" w:type="dxa"/>
          </w:tcPr>
          <w:p>
            <w:pPr>
              <w:snapToGrid w:val="0"/>
              <w:jc w:val="center"/>
              <w:rPr>
                <w:sz w:val="22"/>
                <w:szCs w:val="22"/>
              </w:rPr>
            </w:pPr>
            <w:r>
              <w:rPr>
                <w:sz w:val="22"/>
                <w:szCs w:val="22"/>
              </w:rPr>
              <w:t>86.90</w:t>
            </w:r>
          </w:p>
        </w:tc>
        <w:tc>
          <w:tcPr>
            <w:tcW w:w="1701" w:type="dxa"/>
          </w:tcPr>
          <w:p>
            <w:pPr>
              <w:snapToGrid w:val="0"/>
              <w:jc w:val="center"/>
              <w:rPr>
                <w:sz w:val="22"/>
                <w:szCs w:val="22"/>
              </w:rPr>
            </w:pPr>
            <w:r>
              <w:rPr>
                <w:sz w:val="22"/>
                <w:szCs w:val="22"/>
              </w:rPr>
              <w:t>02/600.04.30</w:t>
            </w:r>
          </w:p>
        </w:tc>
      </w:tr>
      <w:tr>
        <w:trPr>
          <w:cantSplit/>
        </w:trPr>
        <w:tc>
          <w:tcPr>
            <w:tcW w:w="3823" w:type="dxa"/>
          </w:tcPr>
          <w:p>
            <w:pPr>
              <w:snapToGrid w:val="0"/>
              <w:rPr>
                <w:sz w:val="22"/>
                <w:szCs w:val="22"/>
              </w:rPr>
            </w:pPr>
          </w:p>
        </w:tc>
        <w:tc>
          <w:tcPr>
            <w:tcW w:w="2976" w:type="dxa"/>
            <w:gridSpan w:val="2"/>
          </w:tcPr>
          <w:p>
            <w:pPr>
              <w:snapToGrid w:val="0"/>
              <w:rPr>
                <w:sz w:val="22"/>
                <w:szCs w:val="22"/>
                <w:lang w:val="en-GB"/>
              </w:rPr>
            </w:pPr>
            <w:r>
              <w:rPr>
                <w:sz w:val="22"/>
                <w:szCs w:val="22"/>
                <w:lang w:val="en-GB"/>
              </w:rPr>
              <w:t>Thibault TOURNAY</w:t>
            </w:r>
          </w:p>
        </w:tc>
        <w:tc>
          <w:tcPr>
            <w:tcW w:w="1701" w:type="dxa"/>
          </w:tcPr>
          <w:p>
            <w:pPr>
              <w:snapToGrid w:val="0"/>
              <w:jc w:val="center"/>
              <w:rPr>
                <w:sz w:val="22"/>
                <w:szCs w:val="22"/>
              </w:rPr>
            </w:pPr>
            <w:r>
              <w:rPr>
                <w:sz w:val="22"/>
                <w:szCs w:val="22"/>
              </w:rPr>
              <w:t>87.84</w:t>
            </w:r>
          </w:p>
          <w:p>
            <w:pPr>
              <w:snapToGrid w:val="0"/>
              <w:jc w:val="center"/>
              <w:rPr>
                <w:sz w:val="22"/>
                <w:szCs w:val="22"/>
              </w:rPr>
            </w:pPr>
          </w:p>
        </w:tc>
        <w:tc>
          <w:tcPr>
            <w:tcW w:w="1701" w:type="dxa"/>
          </w:tcPr>
          <w:p>
            <w:pPr>
              <w:snapToGrid w:val="0"/>
              <w:jc w:val="center"/>
              <w:rPr>
                <w:sz w:val="22"/>
                <w:szCs w:val="22"/>
              </w:rPr>
            </w:pPr>
          </w:p>
        </w:tc>
      </w:tr>
      <w:tr>
        <w:trPr>
          <w:cantSplit/>
        </w:trPr>
        <w:tc>
          <w:tcPr>
            <w:tcW w:w="3823" w:type="dxa"/>
          </w:tcPr>
          <w:p>
            <w:pPr>
              <w:snapToGrid w:val="0"/>
              <w:jc w:val="center"/>
              <w:rPr>
                <w:sz w:val="22"/>
                <w:szCs w:val="22"/>
              </w:rPr>
            </w:pPr>
            <w:r>
              <w:rPr>
                <w:b/>
                <w:bCs/>
                <w:sz w:val="22"/>
                <w:szCs w:val="22"/>
                <w:u w:val="single"/>
              </w:rPr>
              <w:t>Autre(s) service(s)</w:t>
            </w:r>
          </w:p>
        </w:tc>
        <w:tc>
          <w:tcPr>
            <w:tcW w:w="2976" w:type="dxa"/>
            <w:gridSpan w:val="2"/>
          </w:tcPr>
          <w:p>
            <w:pPr>
              <w:snapToGrid w:val="0"/>
              <w:rPr>
                <w:sz w:val="22"/>
                <w:szCs w:val="22"/>
                <w:lang w:val="en-GB"/>
              </w:rPr>
            </w:pPr>
          </w:p>
        </w:tc>
        <w:tc>
          <w:tcPr>
            <w:tcW w:w="1701" w:type="dxa"/>
          </w:tcPr>
          <w:p>
            <w:pPr>
              <w:snapToGrid w:val="0"/>
              <w:jc w:val="center"/>
              <w:rPr>
                <w:sz w:val="22"/>
                <w:szCs w:val="22"/>
              </w:rPr>
            </w:pPr>
          </w:p>
        </w:tc>
        <w:tc>
          <w:tcPr>
            <w:tcW w:w="1701" w:type="dxa"/>
          </w:tcPr>
          <w:p>
            <w:pPr>
              <w:snapToGrid w:val="0"/>
              <w:jc w:val="center"/>
              <w:rPr>
                <w:sz w:val="22"/>
                <w:szCs w:val="22"/>
              </w:rPr>
            </w:pPr>
          </w:p>
        </w:tc>
      </w:tr>
      <w:tr>
        <w:trPr>
          <w:cantSplit/>
        </w:trPr>
        <w:tc>
          <w:tcPr>
            <w:tcW w:w="3823" w:type="dxa"/>
          </w:tcPr>
          <w:p>
            <w:pPr>
              <w:snapToGrid w:val="0"/>
              <w:rPr>
                <w:sz w:val="22"/>
                <w:szCs w:val="22"/>
              </w:rPr>
            </w:pPr>
            <w:r>
              <w:rPr>
                <w:sz w:val="22"/>
                <w:szCs w:val="22"/>
              </w:rPr>
              <w:t>Vérification comptable (tous réseaux)</w:t>
            </w:r>
          </w:p>
        </w:tc>
        <w:tc>
          <w:tcPr>
            <w:tcW w:w="2976" w:type="dxa"/>
            <w:gridSpan w:val="2"/>
          </w:tcPr>
          <w:p>
            <w:pPr>
              <w:snapToGrid w:val="0"/>
              <w:rPr>
                <w:sz w:val="22"/>
                <w:szCs w:val="22"/>
                <w:lang w:val="en-GB"/>
              </w:rPr>
            </w:pPr>
            <w:r>
              <w:rPr>
                <w:sz w:val="22"/>
                <w:szCs w:val="22"/>
                <w:lang w:val="en-GB"/>
              </w:rPr>
              <w:t>Sylvie LEMASSON</w:t>
            </w:r>
          </w:p>
        </w:tc>
        <w:tc>
          <w:tcPr>
            <w:tcW w:w="1701" w:type="dxa"/>
          </w:tcPr>
          <w:p>
            <w:pPr>
              <w:snapToGrid w:val="0"/>
              <w:jc w:val="center"/>
              <w:rPr>
                <w:sz w:val="22"/>
                <w:szCs w:val="22"/>
              </w:rPr>
            </w:pPr>
            <w:r>
              <w:rPr>
                <w:sz w:val="22"/>
                <w:szCs w:val="22"/>
              </w:rPr>
              <w:t>83.46</w:t>
            </w:r>
          </w:p>
        </w:tc>
        <w:tc>
          <w:tcPr>
            <w:tcW w:w="1701" w:type="dxa"/>
          </w:tcPr>
          <w:p>
            <w:pPr>
              <w:snapToGrid w:val="0"/>
              <w:jc w:val="center"/>
              <w:rPr>
                <w:sz w:val="22"/>
                <w:szCs w:val="22"/>
              </w:rPr>
            </w:pPr>
          </w:p>
        </w:tc>
      </w:tr>
      <w:tr>
        <w:trPr>
          <w:trHeight w:val="678"/>
        </w:trPr>
        <w:tc>
          <w:tcPr>
            <w:tcW w:w="3823" w:type="dxa"/>
          </w:tcPr>
          <w:p>
            <w:pPr>
              <w:tabs>
                <w:tab w:val="left" w:pos="1134"/>
              </w:tabs>
              <w:snapToGrid w:val="0"/>
              <w:rPr>
                <w:color w:val="000000"/>
                <w:sz w:val="22"/>
                <w:szCs w:val="22"/>
              </w:rPr>
            </w:pPr>
            <w:r>
              <w:rPr>
                <w:color w:val="000000"/>
                <w:sz w:val="22"/>
                <w:szCs w:val="22"/>
              </w:rPr>
              <w:t>Sécurité-Hygiène</w:t>
            </w:r>
          </w:p>
          <w:p>
            <w:pPr>
              <w:pStyle w:val="Paragraphedeliste"/>
              <w:numPr>
                <w:ilvl w:val="0"/>
                <w:numId w:val="64"/>
              </w:numPr>
              <w:tabs>
                <w:tab w:val="left" w:pos="1134"/>
              </w:tabs>
              <w:snapToGrid w:val="0"/>
              <w:ind w:left="0"/>
              <w:rPr>
                <w:rFonts w:asciiTheme="majorHAnsi" w:hAnsiTheme="majorHAnsi"/>
                <w:color w:val="000000"/>
                <w:sz w:val="22"/>
                <w:szCs w:val="22"/>
              </w:rPr>
            </w:pPr>
            <w:r>
              <w:rPr>
                <w:rFonts w:asciiTheme="majorHAnsi" w:hAnsiTheme="majorHAnsi"/>
                <w:color w:val="000000"/>
                <w:sz w:val="22"/>
                <w:szCs w:val="22"/>
              </w:rPr>
              <w:t>enseignement subventionné</w:t>
            </w:r>
          </w:p>
          <w:p>
            <w:pPr>
              <w:pStyle w:val="Paragraphedeliste"/>
              <w:tabs>
                <w:tab w:val="left" w:pos="1134"/>
              </w:tabs>
              <w:snapToGrid w:val="0"/>
              <w:ind w:left="0"/>
              <w:rPr>
                <w:rFonts w:asciiTheme="majorHAnsi" w:hAnsiTheme="majorHAnsi"/>
                <w:color w:val="000000"/>
                <w:sz w:val="22"/>
                <w:szCs w:val="22"/>
              </w:rPr>
            </w:pPr>
          </w:p>
          <w:p>
            <w:pPr>
              <w:pStyle w:val="Paragraphedeliste"/>
              <w:numPr>
                <w:ilvl w:val="0"/>
                <w:numId w:val="64"/>
              </w:numPr>
              <w:tabs>
                <w:tab w:val="left" w:pos="1134"/>
              </w:tabs>
              <w:snapToGrid w:val="0"/>
              <w:ind w:left="0"/>
              <w:rPr>
                <w:rFonts w:asciiTheme="majorHAnsi" w:hAnsiTheme="majorHAnsi"/>
                <w:color w:val="000000"/>
                <w:sz w:val="22"/>
                <w:szCs w:val="22"/>
              </w:rPr>
            </w:pPr>
            <w:r>
              <w:rPr>
                <w:rFonts w:asciiTheme="majorHAnsi" w:hAnsiTheme="majorHAnsi"/>
                <w:color w:val="000000"/>
                <w:sz w:val="22"/>
                <w:szCs w:val="22"/>
              </w:rPr>
              <w:t>enseignement organisé</w:t>
            </w:r>
          </w:p>
        </w:tc>
        <w:tc>
          <w:tcPr>
            <w:tcW w:w="2976" w:type="dxa"/>
            <w:gridSpan w:val="2"/>
          </w:tcPr>
          <w:p>
            <w:pPr>
              <w:tabs>
                <w:tab w:val="left" w:pos="1134"/>
              </w:tabs>
              <w:snapToGrid w:val="0"/>
              <w:rPr>
                <w:sz w:val="22"/>
                <w:szCs w:val="22"/>
                <w:lang w:val="fr-FR"/>
              </w:rPr>
            </w:pPr>
            <w:r>
              <w:rPr>
                <w:sz w:val="22"/>
                <w:szCs w:val="22"/>
                <w:lang w:val="fr-FR"/>
              </w:rPr>
              <w:t>Sylvie LEMASSON</w:t>
            </w:r>
          </w:p>
          <w:p>
            <w:pPr>
              <w:tabs>
                <w:tab w:val="left" w:pos="1134"/>
              </w:tabs>
              <w:snapToGrid w:val="0"/>
              <w:rPr>
                <w:sz w:val="22"/>
                <w:szCs w:val="22"/>
                <w:lang w:val="fr-FR"/>
              </w:rPr>
            </w:pPr>
          </w:p>
          <w:p>
            <w:pPr>
              <w:tabs>
                <w:tab w:val="left" w:pos="1134"/>
              </w:tabs>
              <w:snapToGrid w:val="0"/>
              <w:rPr>
                <w:sz w:val="22"/>
                <w:szCs w:val="22"/>
                <w:lang w:val="fr-FR"/>
              </w:rPr>
            </w:pPr>
            <w:r>
              <w:rPr>
                <w:sz w:val="22"/>
                <w:szCs w:val="22"/>
                <w:lang w:val="fr-FR"/>
              </w:rPr>
              <w:t>Didier LETURCQ</w:t>
            </w:r>
          </w:p>
        </w:tc>
        <w:tc>
          <w:tcPr>
            <w:tcW w:w="1701" w:type="dxa"/>
          </w:tcPr>
          <w:p>
            <w:pPr>
              <w:tabs>
                <w:tab w:val="left" w:pos="1134"/>
              </w:tabs>
              <w:snapToGrid w:val="0"/>
              <w:jc w:val="center"/>
              <w:rPr>
                <w:sz w:val="22"/>
                <w:szCs w:val="22"/>
              </w:rPr>
            </w:pPr>
            <w:r>
              <w:rPr>
                <w:sz w:val="22"/>
                <w:szCs w:val="22"/>
              </w:rPr>
              <w:t>83.46</w:t>
            </w:r>
          </w:p>
          <w:p>
            <w:pPr>
              <w:tabs>
                <w:tab w:val="left" w:pos="1134"/>
              </w:tabs>
              <w:snapToGrid w:val="0"/>
              <w:jc w:val="center"/>
              <w:rPr>
                <w:sz w:val="22"/>
                <w:szCs w:val="22"/>
              </w:rPr>
            </w:pPr>
          </w:p>
          <w:p>
            <w:pPr>
              <w:tabs>
                <w:tab w:val="left" w:pos="1134"/>
              </w:tabs>
              <w:snapToGrid w:val="0"/>
              <w:jc w:val="center"/>
              <w:rPr>
                <w:sz w:val="22"/>
                <w:szCs w:val="22"/>
              </w:rPr>
            </w:pPr>
            <w:r>
              <w:rPr>
                <w:sz w:val="22"/>
                <w:szCs w:val="22"/>
              </w:rPr>
              <w:t>81.04</w:t>
            </w:r>
          </w:p>
        </w:tc>
        <w:tc>
          <w:tcPr>
            <w:tcW w:w="1701" w:type="dxa"/>
          </w:tcPr>
          <w:p>
            <w:pPr>
              <w:tabs>
                <w:tab w:val="left" w:pos="1134"/>
              </w:tabs>
              <w:snapToGrid w:val="0"/>
              <w:jc w:val="center"/>
              <w:rPr>
                <w:color w:val="000000"/>
                <w:sz w:val="22"/>
                <w:szCs w:val="22"/>
              </w:rPr>
            </w:pPr>
          </w:p>
          <w:p>
            <w:pPr>
              <w:tabs>
                <w:tab w:val="left" w:pos="1134"/>
              </w:tabs>
              <w:snapToGrid w:val="0"/>
              <w:jc w:val="center"/>
              <w:rPr>
                <w:color w:val="000000"/>
                <w:sz w:val="22"/>
                <w:szCs w:val="22"/>
              </w:rPr>
            </w:pPr>
          </w:p>
          <w:p>
            <w:pPr>
              <w:tabs>
                <w:tab w:val="left" w:pos="1134"/>
              </w:tabs>
              <w:snapToGrid w:val="0"/>
              <w:jc w:val="center"/>
              <w:rPr>
                <w:color w:val="000000"/>
                <w:sz w:val="22"/>
                <w:szCs w:val="22"/>
              </w:rPr>
            </w:pPr>
            <w:r>
              <w:rPr>
                <w:color w:val="000000"/>
                <w:sz w:val="22"/>
                <w:szCs w:val="22"/>
              </w:rPr>
              <w:t>81.35</w:t>
            </w:r>
          </w:p>
        </w:tc>
      </w:tr>
    </w:tbl>
    <w:p>
      <w:r>
        <w:rPr>
          <w:noProof/>
          <w:lang w:eastAsia="fr-BE"/>
        </w:rPr>
        <mc:AlternateContent>
          <mc:Choice Requires="wps">
            <w:drawing>
              <wp:anchor distT="0" distB="0" distL="114300" distR="114300" simplePos="0" relativeHeight="252061696" behindDoc="0" locked="0" layoutInCell="1" allowOverlap="1">
                <wp:simplePos x="0" y="0"/>
                <wp:positionH relativeFrom="column">
                  <wp:posOffset>6548120</wp:posOffset>
                </wp:positionH>
                <wp:positionV relativeFrom="paragraph">
                  <wp:posOffset>-4244975</wp:posOffset>
                </wp:positionV>
                <wp:extent cx="0" cy="4244340"/>
                <wp:effectExtent l="0" t="0" r="19050" b="22860"/>
                <wp:wrapNone/>
                <wp:docPr id="4943" name="Connecteur droit 4943"/>
                <wp:cNvGraphicFramePr/>
                <a:graphic xmlns:a="http://schemas.openxmlformats.org/drawingml/2006/main">
                  <a:graphicData uri="http://schemas.microsoft.com/office/word/2010/wordprocessingShape">
                    <wps:wsp>
                      <wps:cNvCnPr/>
                      <wps:spPr>
                        <a:xfrm>
                          <a:off x="0" y="0"/>
                          <a:ext cx="0" cy="424434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E9B6FB" id="Connecteur droit 4943" o:spid="_x0000_s1026" style="position:absolute;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5.6pt,-334.25pt" to="515.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" strokecolor="black [3040]"/>
            </w:pict>
          </mc:Fallback>
        </mc:AlternateContent>
      </w:r>
    </w:p>
    <w:p>
      <w:pPr>
        <w:rPr>
          <w:b/>
          <w:u w:val="single"/>
        </w:rPr>
      </w:pPr>
      <w:r>
        <w:rPr>
          <w:b/>
          <w:u w:val="single"/>
        </w:rPr>
        <w:t>Service du médiateur de la Wallonie et de la Fédération Wallonie-Bruxelles</w:t>
      </w:r>
    </w:p>
    <w:p>
      <w:pPr>
        <w:pStyle w:val="Sous-titre"/>
        <w:spacing w:after="0" w:line="240" w:lineRule="auto"/>
        <w:rPr>
          <w:color w:val="auto"/>
        </w:rPr>
      </w:pPr>
      <w:r>
        <w:rPr>
          <w:color w:val="auto"/>
        </w:rPr>
        <w:t>Rue Lucien Namèche, 54</w:t>
      </w:r>
    </w:p>
    <w:p>
      <w:pPr>
        <w:pStyle w:val="Sous-titre"/>
        <w:spacing w:after="0" w:line="240" w:lineRule="auto"/>
        <w:rPr>
          <w:color w:val="auto"/>
        </w:rPr>
      </w:pPr>
      <w:r>
        <w:rPr>
          <w:color w:val="auto"/>
        </w:rPr>
        <w:t>5000 NAMUR</w:t>
      </w:r>
    </w:p>
    <w:p>
      <w:pPr>
        <w:pStyle w:val="Sous-titre"/>
        <w:spacing w:after="0" w:line="240" w:lineRule="auto"/>
        <w:rPr>
          <w:color w:val="auto"/>
        </w:rPr>
      </w:pPr>
      <w:r>
        <w:rPr>
          <w:color w:val="auto"/>
        </w:rPr>
        <w:t>Tel : 0800/19.199 – 081/32.19.11</w:t>
      </w:r>
    </w:p>
    <w:p>
      <w:pPr>
        <w:pStyle w:val="Sous-titre"/>
        <w:spacing w:after="0" w:line="240" w:lineRule="auto"/>
        <w:rPr>
          <w:color w:val="auto"/>
        </w:rPr>
      </w:pPr>
      <w:r>
        <w:rPr>
          <w:color w:val="auto"/>
        </w:rPr>
        <w:t>Fax : 081/32.19.00</w:t>
      </w:r>
    </w:p>
    <w:p>
      <w:pPr>
        <w:pStyle w:val="Sous-titre"/>
        <w:spacing w:after="0" w:line="240" w:lineRule="auto"/>
        <w:rPr>
          <w:color w:val="auto"/>
        </w:rPr>
      </w:pPr>
      <w:r>
        <w:rPr>
          <w:color w:val="auto"/>
        </w:rPr>
        <w:t xml:space="preserve">E-mail : </w:t>
      </w:r>
      <w:hyperlink r:id="rId269" w:history="1">
        <w:r>
          <w:rPr>
            <w:rStyle w:val="Lienhypertexte"/>
            <w:rFonts w:cs="Arial"/>
            <w:color w:val="4F81BD" w:themeColor="accent1"/>
          </w:rPr>
          <w:t>courrier@le-mediateur.be</w:t>
        </w:r>
      </w:hyperlink>
    </w:p>
    <w:p/>
    <w:p/>
    <w:p>
      <w:pPr>
        <w:rPr>
          <w:lang w:val="fr-FR"/>
        </w:rPr>
      </w:pPr>
      <w:r>
        <w:rPr>
          <w:lang w:val="fr-FR"/>
        </w:rPr>
        <w:br w:type="page"/>
      </w:r>
    </w:p>
    <w:p>
      <w:pPr>
        <w:rPr>
          <w:lang w:val="fr-FR"/>
        </w:rPr>
      </w:pPr>
    </w:p>
    <w:p>
      <w:pPr>
        <w:pStyle w:val="Titre2"/>
      </w:pPr>
      <w:bookmarkStart w:id="3572" w:name="_INDEX_II_:"/>
      <w:bookmarkStart w:id="3573" w:name="_Toc18914554"/>
      <w:bookmarkEnd w:id="3572"/>
      <w:r>
        <w:t>INDEX II : Aide-mémoire des documents à envoyer par le chef d’établissement d’Enseignement spécialisé</w:t>
      </w:r>
      <w:bookmarkEnd w:id="3573"/>
    </w:p>
    <w:p>
      <w:pPr>
        <w:spacing w:line="360" w:lineRule="auto"/>
      </w:pPr>
    </w:p>
    <w:p>
      <w:pPr>
        <w:spacing w:line="360" w:lineRule="auto"/>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1800"/>
        <w:gridCol w:w="2113"/>
        <w:gridCol w:w="1985"/>
      </w:tblGrid>
      <w:tr>
        <w:tc>
          <w:tcPr>
            <w:tcW w:w="3708" w:type="dxa"/>
            <w:shd w:val="clear" w:color="auto" w:fill="66FF99"/>
          </w:tcPr>
          <w:p>
            <w:pPr>
              <w:jc w:val="center"/>
              <w:rPr>
                <w:b/>
              </w:rPr>
            </w:pPr>
            <w:r>
              <w:rPr>
                <w:b/>
              </w:rPr>
              <w:t>Objet</w:t>
            </w:r>
          </w:p>
        </w:tc>
        <w:tc>
          <w:tcPr>
            <w:tcW w:w="1800" w:type="dxa"/>
            <w:shd w:val="clear" w:color="auto" w:fill="66FF99"/>
          </w:tcPr>
          <w:p>
            <w:pPr>
              <w:jc w:val="center"/>
              <w:rPr>
                <w:b/>
              </w:rPr>
            </w:pPr>
            <w:r>
              <w:rPr>
                <w:b/>
              </w:rPr>
              <w:t>Type de documents</w:t>
            </w:r>
          </w:p>
        </w:tc>
        <w:tc>
          <w:tcPr>
            <w:tcW w:w="2113" w:type="dxa"/>
            <w:shd w:val="clear" w:color="auto" w:fill="66FF99"/>
          </w:tcPr>
          <w:p>
            <w:pPr>
              <w:jc w:val="center"/>
              <w:rPr>
                <w:b/>
              </w:rPr>
            </w:pPr>
            <w:r>
              <w:rPr>
                <w:b/>
              </w:rPr>
              <w:t>Destinataire(s)</w:t>
            </w:r>
          </w:p>
        </w:tc>
        <w:tc>
          <w:tcPr>
            <w:tcW w:w="1985" w:type="dxa"/>
            <w:shd w:val="clear" w:color="auto" w:fill="66FF99"/>
          </w:tcPr>
          <w:p>
            <w:pPr>
              <w:jc w:val="center"/>
              <w:rPr>
                <w:b/>
              </w:rPr>
            </w:pPr>
            <w:r>
              <w:rPr>
                <w:b/>
              </w:rPr>
              <w:t>Quand ?</w:t>
            </w:r>
          </w:p>
        </w:tc>
      </w:tr>
      <w:tr>
        <w:tc>
          <w:tcPr>
            <w:tcW w:w="3708" w:type="dxa"/>
            <w:vAlign w:val="center"/>
          </w:tcPr>
          <w:p>
            <w:pPr>
              <w:tabs>
                <w:tab w:val="left" w:pos="1134"/>
              </w:tabs>
              <w:snapToGrid w:val="0"/>
            </w:pPr>
            <w:r>
              <w:t>Nom de la personne chargée de la gestion des dossiers élèves</w:t>
            </w:r>
          </w:p>
          <w:p/>
        </w:tc>
        <w:tc>
          <w:tcPr>
            <w:tcW w:w="1800" w:type="dxa"/>
            <w:vAlign w:val="center"/>
          </w:tcPr>
          <w:p>
            <w:pPr>
              <w:jc w:val="center"/>
            </w:pPr>
            <w:r>
              <w:t>Courrier</w:t>
            </w:r>
          </w:p>
        </w:tc>
        <w:tc>
          <w:tcPr>
            <w:tcW w:w="2113" w:type="dxa"/>
            <w:vAlign w:val="center"/>
          </w:tcPr>
          <w:p>
            <w:pPr>
              <w:jc w:val="center"/>
            </w:pPr>
            <w:r>
              <w:t>Vérificateur de la population</w:t>
            </w:r>
          </w:p>
        </w:tc>
        <w:tc>
          <w:tcPr>
            <w:tcW w:w="1985" w:type="dxa"/>
            <w:vAlign w:val="center"/>
          </w:tcPr>
          <w:p>
            <w:pPr>
              <w:jc w:val="center"/>
              <w:rPr>
                <w:b/>
              </w:rPr>
            </w:pPr>
            <w:r>
              <w:rPr>
                <w:b/>
              </w:rPr>
              <w:t>début d'année scolaire</w:t>
            </w:r>
          </w:p>
          <w:p>
            <w:pPr>
              <w:jc w:val="center"/>
            </w:pPr>
          </w:p>
        </w:tc>
      </w:tr>
      <w:tr>
        <w:tc>
          <w:tcPr>
            <w:tcW w:w="3708" w:type="dxa"/>
            <w:vAlign w:val="center"/>
          </w:tcPr>
          <w:p>
            <w:pPr>
              <w:tabs>
                <w:tab w:val="left" w:pos="1134"/>
              </w:tabs>
              <w:snapToGrid w:val="0"/>
            </w:pPr>
            <w:r>
              <w:t>Augmentation de 10% de la population scolaire</w:t>
            </w:r>
          </w:p>
        </w:tc>
        <w:tc>
          <w:tcPr>
            <w:tcW w:w="1800" w:type="dxa"/>
            <w:vAlign w:val="center"/>
          </w:tcPr>
          <w:p>
            <w:pPr>
              <w:jc w:val="center"/>
            </w:pPr>
            <w:r>
              <w:t xml:space="preserve">Courrier </w:t>
            </w:r>
            <w:r>
              <w:br/>
              <w:t>(ou par téléphone)</w:t>
            </w:r>
          </w:p>
        </w:tc>
        <w:tc>
          <w:tcPr>
            <w:tcW w:w="2113" w:type="dxa"/>
            <w:vAlign w:val="center"/>
          </w:tcPr>
          <w:p>
            <w:pPr>
              <w:jc w:val="center"/>
            </w:pPr>
            <w:r>
              <w:t>Vérificateur de la population</w:t>
            </w:r>
          </w:p>
        </w:tc>
        <w:tc>
          <w:tcPr>
            <w:tcW w:w="1985" w:type="dxa"/>
            <w:vAlign w:val="center"/>
          </w:tcPr>
          <w:p>
            <w:pPr>
              <w:jc w:val="center"/>
              <w:rPr>
                <w:b/>
              </w:rPr>
            </w:pPr>
            <w:r>
              <w:rPr>
                <w:b/>
              </w:rPr>
              <w:t>dès connaissance</w:t>
            </w:r>
          </w:p>
          <w:p>
            <w:pPr>
              <w:jc w:val="center"/>
              <w:rPr>
                <w:b/>
              </w:rPr>
            </w:pPr>
          </w:p>
        </w:tc>
      </w:tr>
      <w:tr>
        <w:tc>
          <w:tcPr>
            <w:tcW w:w="3708" w:type="dxa"/>
            <w:vAlign w:val="center"/>
          </w:tcPr>
          <w:p>
            <w:pPr>
              <w:tabs>
                <w:tab w:val="left" w:pos="1134"/>
              </w:tabs>
              <w:snapToGrid w:val="0"/>
              <w:rPr>
                <w:b/>
              </w:rPr>
            </w:pPr>
            <w:r>
              <w:t xml:space="preserve">Absence du chef d'établissement, </w:t>
            </w:r>
            <w:r>
              <w:br/>
              <w:t>de l’administrateur, du personnel enseignant, du personnel auxiliaire d’éducation ou du paramédical</w:t>
            </w:r>
          </w:p>
        </w:tc>
        <w:tc>
          <w:tcPr>
            <w:tcW w:w="1800" w:type="dxa"/>
            <w:vAlign w:val="center"/>
          </w:tcPr>
          <w:p>
            <w:pPr>
              <w:jc w:val="center"/>
            </w:pPr>
            <w:r>
              <w:t>Courrier</w:t>
            </w:r>
          </w:p>
        </w:tc>
        <w:tc>
          <w:tcPr>
            <w:tcW w:w="2113" w:type="dxa"/>
            <w:vAlign w:val="center"/>
          </w:tcPr>
          <w:p>
            <w:pPr>
              <w:jc w:val="center"/>
            </w:pPr>
            <w:r>
              <w:t>Vérificateur de la population</w:t>
            </w:r>
          </w:p>
        </w:tc>
        <w:tc>
          <w:tcPr>
            <w:tcW w:w="1985" w:type="dxa"/>
            <w:vAlign w:val="center"/>
          </w:tcPr>
          <w:p>
            <w:pPr>
              <w:jc w:val="center"/>
              <w:rPr>
                <w:b/>
              </w:rPr>
            </w:pPr>
            <w:r>
              <w:rPr>
                <w:b/>
              </w:rPr>
              <w:t>dès connaissance</w:t>
            </w:r>
          </w:p>
        </w:tc>
      </w:tr>
      <w:tr>
        <w:tc>
          <w:tcPr>
            <w:tcW w:w="3708" w:type="dxa"/>
            <w:vAlign w:val="center"/>
          </w:tcPr>
          <w:p>
            <w:pPr>
              <w:tabs>
                <w:tab w:val="left" w:pos="1134"/>
              </w:tabs>
              <w:snapToGrid w:val="0"/>
            </w:pPr>
            <w:r>
              <w:t>Demi-jours ou jours de congé de réserve</w:t>
            </w:r>
          </w:p>
          <w:p>
            <w:pPr>
              <w:tabs>
                <w:tab w:val="left" w:pos="1134"/>
              </w:tabs>
              <w:snapToGrid w:val="0"/>
              <w:rPr>
                <w:b/>
              </w:rPr>
            </w:pPr>
          </w:p>
        </w:tc>
        <w:tc>
          <w:tcPr>
            <w:tcW w:w="1800" w:type="dxa"/>
            <w:vAlign w:val="center"/>
          </w:tcPr>
          <w:p>
            <w:pPr>
              <w:jc w:val="center"/>
            </w:pPr>
            <w:r>
              <w:t>Courrier</w:t>
            </w:r>
          </w:p>
        </w:tc>
        <w:tc>
          <w:tcPr>
            <w:tcW w:w="2113" w:type="dxa"/>
            <w:vAlign w:val="center"/>
          </w:tcPr>
          <w:p>
            <w:pPr>
              <w:tabs>
                <w:tab w:val="left" w:pos="1134"/>
              </w:tabs>
              <w:snapToGrid w:val="0"/>
              <w:jc w:val="center"/>
            </w:pPr>
            <w:r>
              <w:t>Inspection</w:t>
            </w:r>
          </w:p>
          <w:p>
            <w:pPr>
              <w:tabs>
                <w:tab w:val="left" w:pos="1134"/>
              </w:tabs>
              <w:snapToGrid w:val="0"/>
              <w:jc w:val="center"/>
            </w:pPr>
          </w:p>
          <w:p>
            <w:pPr>
              <w:jc w:val="center"/>
            </w:pPr>
            <w:r>
              <w:t>Vérificateur de la population</w:t>
            </w:r>
          </w:p>
        </w:tc>
        <w:tc>
          <w:tcPr>
            <w:tcW w:w="1985" w:type="dxa"/>
            <w:vAlign w:val="center"/>
          </w:tcPr>
          <w:p>
            <w:pPr>
              <w:jc w:val="center"/>
              <w:rPr>
                <w:b/>
              </w:rPr>
            </w:pPr>
            <w:r>
              <w:rPr>
                <w:b/>
              </w:rPr>
              <w:t>dès connaissance</w:t>
            </w:r>
          </w:p>
        </w:tc>
      </w:tr>
      <w:tr>
        <w:tc>
          <w:tcPr>
            <w:tcW w:w="3708" w:type="dxa"/>
            <w:vAlign w:val="center"/>
          </w:tcPr>
          <w:p>
            <w:pPr>
              <w:tabs>
                <w:tab w:val="left" w:pos="1134"/>
              </w:tabs>
              <w:snapToGrid w:val="0"/>
            </w:pPr>
            <w:r>
              <w:t>Changement de direction / Nouvelle désignation</w:t>
            </w:r>
          </w:p>
        </w:tc>
        <w:tc>
          <w:tcPr>
            <w:tcW w:w="1800" w:type="dxa"/>
            <w:vAlign w:val="center"/>
          </w:tcPr>
          <w:p>
            <w:pPr>
              <w:jc w:val="center"/>
            </w:pPr>
            <w:r>
              <w:t>Courrier</w:t>
            </w:r>
          </w:p>
        </w:tc>
        <w:tc>
          <w:tcPr>
            <w:tcW w:w="2113" w:type="dxa"/>
            <w:vAlign w:val="center"/>
          </w:tcPr>
          <w:p>
            <w:pPr>
              <w:tabs>
                <w:tab w:val="left" w:pos="1134"/>
              </w:tabs>
              <w:snapToGrid w:val="0"/>
              <w:jc w:val="center"/>
            </w:pPr>
            <w:r>
              <w:t>Inspection</w:t>
            </w:r>
          </w:p>
          <w:p>
            <w:pPr>
              <w:tabs>
                <w:tab w:val="left" w:pos="1134"/>
              </w:tabs>
              <w:snapToGrid w:val="0"/>
              <w:jc w:val="center"/>
            </w:pPr>
          </w:p>
          <w:p>
            <w:pPr>
              <w:tabs>
                <w:tab w:val="left" w:pos="1134"/>
              </w:tabs>
              <w:jc w:val="center"/>
            </w:pPr>
            <w:r>
              <w:t>Vérificateur de la population</w:t>
            </w:r>
          </w:p>
          <w:p>
            <w:pPr>
              <w:tabs>
                <w:tab w:val="left" w:pos="1134"/>
              </w:tabs>
              <w:jc w:val="center"/>
            </w:pPr>
          </w:p>
          <w:p>
            <w:pPr>
              <w:jc w:val="center"/>
            </w:pPr>
            <w:r>
              <w:t>Administration</w:t>
            </w:r>
          </w:p>
        </w:tc>
        <w:tc>
          <w:tcPr>
            <w:tcW w:w="1985" w:type="dxa"/>
            <w:vAlign w:val="center"/>
          </w:tcPr>
          <w:p>
            <w:pPr>
              <w:jc w:val="center"/>
              <w:rPr>
                <w:b/>
              </w:rPr>
            </w:pPr>
            <w:r>
              <w:rPr>
                <w:b/>
              </w:rPr>
              <w:t>dès connaissance</w:t>
            </w:r>
          </w:p>
        </w:tc>
      </w:tr>
      <w:tr>
        <w:trPr>
          <w:trHeight w:val="604"/>
        </w:trPr>
        <w:tc>
          <w:tcPr>
            <w:tcW w:w="3708" w:type="dxa"/>
            <w:vAlign w:val="center"/>
          </w:tcPr>
          <w:p>
            <w:pPr>
              <w:tabs>
                <w:tab w:val="left" w:pos="1134"/>
              </w:tabs>
              <w:snapToGrid w:val="0"/>
              <w:rPr>
                <w:b/>
              </w:rPr>
            </w:pPr>
            <w:r>
              <w:t>Intégration</w:t>
            </w:r>
            <w:r>
              <w:rPr>
                <w:b/>
              </w:rPr>
              <w:t xml:space="preserve"> AUTRE</w:t>
            </w:r>
            <w:r>
              <w:t xml:space="preserve"> que permanente totale</w:t>
            </w:r>
          </w:p>
        </w:tc>
        <w:tc>
          <w:tcPr>
            <w:tcW w:w="1800" w:type="dxa"/>
            <w:vAlign w:val="center"/>
          </w:tcPr>
          <w:p>
            <w:pPr>
              <w:jc w:val="center"/>
              <w:rPr>
                <w:highlight w:val="yellow"/>
              </w:rPr>
            </w:pPr>
            <w:r>
              <w:t xml:space="preserve">Annexes </w:t>
            </w:r>
            <w:hyperlink w:anchor="_Chapitre_13_:" w:history="1">
              <w:r>
                <w:rPr>
                  <w:rStyle w:val="Lienhypertexte"/>
                  <w:rFonts w:cs="Arial"/>
                </w:rPr>
                <w:t>chapitre 13</w:t>
              </w:r>
            </w:hyperlink>
          </w:p>
        </w:tc>
        <w:tc>
          <w:tcPr>
            <w:tcW w:w="2113" w:type="dxa"/>
            <w:vAlign w:val="center"/>
          </w:tcPr>
          <w:p>
            <w:pPr>
              <w:jc w:val="center"/>
            </w:pPr>
            <w:r>
              <w:t>Administration</w:t>
            </w:r>
          </w:p>
        </w:tc>
        <w:tc>
          <w:tcPr>
            <w:tcW w:w="1985" w:type="dxa"/>
            <w:vAlign w:val="center"/>
          </w:tcPr>
          <w:p>
            <w:pPr>
              <w:jc w:val="center"/>
              <w:rPr>
                <w:b/>
              </w:rPr>
            </w:pPr>
            <w:r>
              <w:rPr>
                <w:b/>
              </w:rPr>
              <w:t>dès connaissance</w:t>
            </w:r>
          </w:p>
        </w:tc>
      </w:tr>
      <w:tr>
        <w:tc>
          <w:tcPr>
            <w:tcW w:w="3708" w:type="dxa"/>
            <w:vAlign w:val="center"/>
          </w:tcPr>
          <w:p>
            <w:pPr>
              <w:tabs>
                <w:tab w:val="left" w:pos="1134"/>
              </w:tabs>
              <w:snapToGrid w:val="0"/>
            </w:pPr>
            <w:r>
              <w:t>Demande de prise en charge d’élèves d’enseignement spécialisé de type 4 ou de pédagogies adaptées par du personnel paramédical</w:t>
            </w:r>
          </w:p>
        </w:tc>
        <w:tc>
          <w:tcPr>
            <w:tcW w:w="1800" w:type="dxa"/>
            <w:vAlign w:val="center"/>
          </w:tcPr>
          <w:p>
            <w:pPr>
              <w:jc w:val="center"/>
              <w:rPr>
                <w:highlight w:val="yellow"/>
              </w:rPr>
            </w:pPr>
            <w:hyperlink w:anchor="_Annexe_1_:" w:history="1">
              <w:r>
                <w:rPr>
                  <w:rStyle w:val="Lienhypertexte"/>
                  <w:rFonts w:cs="Arial"/>
                </w:rPr>
                <w:t>Annexe 1</w:t>
              </w:r>
            </w:hyperlink>
            <w:r>
              <w:t xml:space="preserve"> </w:t>
            </w:r>
            <w:hyperlink w:anchor="_chapitre_5_:" w:history="1">
              <w:r>
                <w:rPr>
                  <w:rStyle w:val="Lienhypertexte"/>
                  <w:rFonts w:cs="Arial"/>
                </w:rPr>
                <w:t>chapitre 5</w:t>
              </w:r>
            </w:hyperlink>
          </w:p>
        </w:tc>
        <w:tc>
          <w:tcPr>
            <w:tcW w:w="2113" w:type="dxa"/>
            <w:vAlign w:val="center"/>
          </w:tcPr>
          <w:p>
            <w:pPr>
              <w:jc w:val="center"/>
            </w:pPr>
            <w:r>
              <w:t>Administration</w:t>
            </w:r>
          </w:p>
        </w:tc>
        <w:tc>
          <w:tcPr>
            <w:tcW w:w="1985" w:type="dxa"/>
            <w:vAlign w:val="center"/>
          </w:tcPr>
          <w:p>
            <w:pPr>
              <w:jc w:val="center"/>
              <w:rPr>
                <w:b/>
              </w:rPr>
            </w:pPr>
            <w:r>
              <w:rPr>
                <w:b/>
              </w:rPr>
              <w:t>Pour le 15 septembre</w:t>
            </w:r>
          </w:p>
        </w:tc>
      </w:tr>
      <w:tr>
        <w:tc>
          <w:tcPr>
            <w:tcW w:w="3708" w:type="dxa"/>
            <w:vAlign w:val="center"/>
          </w:tcPr>
          <w:p>
            <w:pPr>
              <w:tabs>
                <w:tab w:val="left" w:pos="1134"/>
              </w:tabs>
              <w:snapToGrid w:val="0"/>
            </w:pPr>
            <w:r>
              <w:t>Intégration permanente totale</w:t>
            </w:r>
          </w:p>
        </w:tc>
        <w:tc>
          <w:tcPr>
            <w:tcW w:w="1800" w:type="dxa"/>
            <w:vAlign w:val="center"/>
          </w:tcPr>
          <w:p>
            <w:pPr>
              <w:jc w:val="center"/>
            </w:pPr>
            <w:r>
              <w:t xml:space="preserve">Annexes </w:t>
            </w:r>
            <w:hyperlink w:anchor="_Chapitre_13_:" w:history="1">
              <w:r>
                <w:rPr>
                  <w:rStyle w:val="Lienhypertexte"/>
                  <w:rFonts w:cs="Arial"/>
                </w:rPr>
                <w:t>chapitre 13</w:t>
              </w:r>
            </w:hyperlink>
          </w:p>
          <w:p>
            <w:pPr>
              <w:jc w:val="center"/>
              <w:rPr>
                <w:highlight w:val="yellow"/>
              </w:rPr>
            </w:pPr>
          </w:p>
        </w:tc>
        <w:tc>
          <w:tcPr>
            <w:tcW w:w="2113" w:type="dxa"/>
            <w:vAlign w:val="center"/>
          </w:tcPr>
          <w:p>
            <w:pPr>
              <w:jc w:val="center"/>
            </w:pPr>
            <w:r>
              <w:t>Administration</w:t>
            </w:r>
          </w:p>
        </w:tc>
        <w:tc>
          <w:tcPr>
            <w:tcW w:w="1985" w:type="dxa"/>
            <w:vAlign w:val="center"/>
          </w:tcPr>
          <w:p>
            <w:pPr>
              <w:jc w:val="center"/>
              <w:rPr>
                <w:b/>
              </w:rPr>
            </w:pPr>
            <w:r>
              <w:rPr>
                <w:b/>
              </w:rPr>
              <w:t>30 septembre (sauf dérogation)</w:t>
            </w:r>
          </w:p>
          <w:p>
            <w:pPr>
              <w:jc w:val="center"/>
              <w:rPr>
                <w:b/>
              </w:rPr>
            </w:pPr>
          </w:p>
        </w:tc>
      </w:tr>
      <w:tr>
        <w:tc>
          <w:tcPr>
            <w:tcW w:w="3708" w:type="dxa"/>
            <w:vAlign w:val="center"/>
          </w:tcPr>
          <w:p>
            <w:pPr>
              <w:tabs>
                <w:tab w:val="left" w:pos="1134"/>
              </w:tabs>
              <w:snapToGrid w:val="0"/>
              <w:rPr>
                <w:b/>
              </w:rPr>
            </w:pPr>
            <w:r>
              <w:t>Variation de 5% de la population scolaire par rapport au 15 janvier précédent</w:t>
            </w:r>
          </w:p>
        </w:tc>
        <w:tc>
          <w:tcPr>
            <w:tcW w:w="1800" w:type="dxa"/>
            <w:vAlign w:val="center"/>
          </w:tcPr>
          <w:p>
            <w:pPr>
              <w:jc w:val="center"/>
            </w:pPr>
            <w:r>
              <w:t>Courrier (ou par téléphone)</w:t>
            </w:r>
          </w:p>
        </w:tc>
        <w:tc>
          <w:tcPr>
            <w:tcW w:w="2113" w:type="dxa"/>
            <w:vAlign w:val="center"/>
          </w:tcPr>
          <w:p>
            <w:pPr>
              <w:jc w:val="center"/>
            </w:pPr>
            <w:r>
              <w:t>Vérificateur de la population</w:t>
            </w:r>
          </w:p>
        </w:tc>
        <w:tc>
          <w:tcPr>
            <w:tcW w:w="1985" w:type="dxa"/>
            <w:vAlign w:val="center"/>
          </w:tcPr>
          <w:p>
            <w:pPr>
              <w:jc w:val="center"/>
              <w:rPr>
                <w:b/>
              </w:rPr>
            </w:pPr>
            <w:r>
              <w:rPr>
                <w:b/>
              </w:rPr>
              <w:t>aux environs du 30 septembre</w:t>
            </w:r>
          </w:p>
          <w:p>
            <w:pPr>
              <w:jc w:val="center"/>
              <w:rPr>
                <w:b/>
              </w:rPr>
            </w:pPr>
          </w:p>
        </w:tc>
      </w:tr>
      <w:tr>
        <w:trPr>
          <w:trHeight w:val="1373"/>
        </w:trPr>
        <w:tc>
          <w:tcPr>
            <w:tcW w:w="3708" w:type="dxa"/>
            <w:vAlign w:val="center"/>
          </w:tcPr>
          <w:p>
            <w:pPr>
              <w:tabs>
                <w:tab w:val="left" w:pos="1134"/>
              </w:tabs>
              <w:snapToGrid w:val="0"/>
            </w:pPr>
            <w:r>
              <w:t>Population scolaire</w:t>
            </w:r>
          </w:p>
        </w:tc>
        <w:tc>
          <w:tcPr>
            <w:tcW w:w="1800" w:type="dxa"/>
            <w:vAlign w:val="center"/>
          </w:tcPr>
          <w:p>
            <w:pPr>
              <w:jc w:val="center"/>
            </w:pPr>
            <w:r>
              <w:t>Fichiers informatiques</w:t>
            </w:r>
          </w:p>
          <w:p>
            <w:pPr>
              <w:jc w:val="center"/>
            </w:pPr>
            <w:r>
              <w:t>ou</w:t>
            </w:r>
          </w:p>
          <w:p>
            <w:pPr>
              <w:jc w:val="center"/>
            </w:pPr>
            <w:r>
              <w:t>tableaux à compléter</w:t>
            </w:r>
          </w:p>
        </w:tc>
        <w:tc>
          <w:tcPr>
            <w:tcW w:w="2113" w:type="dxa"/>
            <w:vAlign w:val="center"/>
          </w:tcPr>
          <w:p>
            <w:pPr>
              <w:jc w:val="center"/>
            </w:pPr>
            <w:r>
              <w:t>Administration</w:t>
            </w:r>
          </w:p>
          <w:p>
            <w:pPr>
              <w:jc w:val="center"/>
            </w:pPr>
          </w:p>
        </w:tc>
        <w:tc>
          <w:tcPr>
            <w:tcW w:w="1985" w:type="dxa"/>
            <w:vAlign w:val="center"/>
          </w:tcPr>
          <w:p>
            <w:pPr>
              <w:jc w:val="center"/>
              <w:rPr>
                <w:b/>
              </w:rPr>
            </w:pPr>
            <w:r>
              <w:rPr>
                <w:b/>
              </w:rPr>
              <w:t>aux environs du 1</w:t>
            </w:r>
            <w:r>
              <w:rPr>
                <w:b/>
                <w:vertAlign w:val="superscript"/>
              </w:rPr>
              <w:t>er</w:t>
            </w:r>
            <w:r>
              <w:rPr>
                <w:b/>
              </w:rPr>
              <w:t xml:space="preserve"> octobre et du 16 janvier</w:t>
            </w:r>
          </w:p>
        </w:tc>
      </w:tr>
      <w:tr>
        <w:tc>
          <w:tcPr>
            <w:tcW w:w="3708" w:type="dxa"/>
            <w:vAlign w:val="center"/>
          </w:tcPr>
          <w:p>
            <w:pPr>
              <w:tabs>
                <w:tab w:val="left" w:pos="1134"/>
              </w:tabs>
              <w:snapToGrid w:val="0"/>
            </w:pPr>
            <w:r>
              <w:t>Demande de dérogation d’élèves bénéficiaires paramédical</w:t>
            </w:r>
          </w:p>
          <w:p>
            <w:pPr>
              <w:tabs>
                <w:tab w:val="left" w:pos="1134"/>
              </w:tabs>
              <w:snapToGrid w:val="0"/>
              <w:rPr>
                <w:b/>
              </w:rPr>
            </w:pPr>
          </w:p>
        </w:tc>
        <w:tc>
          <w:tcPr>
            <w:tcW w:w="1800" w:type="dxa"/>
            <w:vAlign w:val="center"/>
          </w:tcPr>
          <w:p>
            <w:pPr>
              <w:jc w:val="center"/>
            </w:pPr>
            <w:r>
              <w:t>Dossier argumenté pour chaque élève</w:t>
            </w:r>
          </w:p>
          <w:p>
            <w:pPr>
              <w:jc w:val="center"/>
            </w:pPr>
          </w:p>
        </w:tc>
        <w:tc>
          <w:tcPr>
            <w:tcW w:w="2113" w:type="dxa"/>
            <w:vAlign w:val="center"/>
          </w:tcPr>
          <w:p>
            <w:pPr>
              <w:jc w:val="center"/>
            </w:pPr>
            <w:r>
              <w:t>Administration</w:t>
            </w:r>
          </w:p>
        </w:tc>
        <w:tc>
          <w:tcPr>
            <w:tcW w:w="1985" w:type="dxa"/>
            <w:vAlign w:val="center"/>
          </w:tcPr>
          <w:p>
            <w:pPr>
              <w:jc w:val="center"/>
              <w:rPr>
                <w:b/>
              </w:rPr>
            </w:pPr>
            <w:r>
              <w:rPr>
                <w:b/>
              </w:rPr>
              <w:t>AVANT le 1</w:t>
            </w:r>
            <w:r>
              <w:rPr>
                <w:b/>
                <w:vertAlign w:val="superscript"/>
              </w:rPr>
              <w:t>er</w:t>
            </w:r>
            <w:r>
              <w:rPr>
                <w:b/>
              </w:rPr>
              <w:t xml:space="preserve"> octobre</w:t>
            </w:r>
          </w:p>
        </w:tc>
      </w:tr>
      <w:tr>
        <w:tc>
          <w:tcPr>
            <w:tcW w:w="3708" w:type="dxa"/>
            <w:vAlign w:val="center"/>
          </w:tcPr>
          <w:p>
            <w:pPr>
              <w:tabs>
                <w:tab w:val="left" w:pos="1134"/>
              </w:tabs>
              <w:snapToGrid w:val="0"/>
            </w:pPr>
            <w:r>
              <w:t>Horaires début et fin des cours</w:t>
            </w:r>
          </w:p>
          <w:p>
            <w:pPr>
              <w:tabs>
                <w:tab w:val="left" w:pos="1134"/>
              </w:tabs>
              <w:snapToGrid w:val="0"/>
              <w:rPr>
                <w:b/>
              </w:rPr>
            </w:pPr>
          </w:p>
        </w:tc>
        <w:tc>
          <w:tcPr>
            <w:tcW w:w="1800" w:type="dxa"/>
            <w:vAlign w:val="center"/>
          </w:tcPr>
          <w:p>
            <w:pPr>
              <w:jc w:val="center"/>
            </w:pPr>
            <w:hyperlink w:anchor="_Chapitre_15_:" w:history="1">
              <w:r>
                <w:rPr>
                  <w:rStyle w:val="Lienhypertexte"/>
                  <w:rFonts w:cs="Arial"/>
                </w:rPr>
                <w:t>Chapitre 15</w:t>
              </w:r>
              <w:r>
                <w:rPr>
                  <w:rStyle w:val="Lienhypertexte"/>
                  <w:rFonts w:cstheme="minorBidi"/>
                </w:rPr>
                <w:t xml:space="preserve"> </w:t>
              </w:r>
            </w:hyperlink>
            <w:r>
              <w:t xml:space="preserve"> </w:t>
            </w:r>
            <w:hyperlink w:anchor="_Annexe_1_:_14" w:history="1">
              <w:r>
                <w:rPr>
                  <w:rStyle w:val="Lienhypertexte"/>
                  <w:rFonts w:cs="Arial"/>
                </w:rPr>
                <w:t>Annexe 1</w:t>
              </w:r>
            </w:hyperlink>
          </w:p>
        </w:tc>
        <w:tc>
          <w:tcPr>
            <w:tcW w:w="2113" w:type="dxa"/>
            <w:vAlign w:val="center"/>
          </w:tcPr>
          <w:p>
            <w:pPr>
              <w:jc w:val="center"/>
            </w:pPr>
            <w:r>
              <w:t>Vérificateur de la population</w:t>
            </w:r>
          </w:p>
          <w:p>
            <w:pPr>
              <w:jc w:val="center"/>
            </w:pPr>
          </w:p>
        </w:tc>
        <w:tc>
          <w:tcPr>
            <w:tcW w:w="1985" w:type="dxa"/>
            <w:vAlign w:val="center"/>
          </w:tcPr>
          <w:p>
            <w:pPr>
              <w:jc w:val="center"/>
              <w:rPr>
                <w:b/>
              </w:rPr>
            </w:pPr>
            <w:r>
              <w:rPr>
                <w:b/>
              </w:rPr>
              <w:t>15 octobre</w:t>
            </w:r>
          </w:p>
        </w:tc>
      </w:tr>
      <w:tr>
        <w:trPr>
          <w:trHeight w:val="1309"/>
        </w:trPr>
        <w:tc>
          <w:tcPr>
            <w:tcW w:w="3708" w:type="dxa"/>
            <w:vAlign w:val="center"/>
          </w:tcPr>
          <w:p>
            <w:pPr>
              <w:tabs>
                <w:tab w:val="left" w:pos="1134"/>
              </w:tabs>
              <w:snapToGrid w:val="0"/>
            </w:pPr>
            <w:r>
              <w:t>Attributions du personnel</w:t>
            </w:r>
          </w:p>
        </w:tc>
        <w:tc>
          <w:tcPr>
            <w:tcW w:w="1800" w:type="dxa"/>
            <w:vAlign w:val="center"/>
          </w:tcPr>
          <w:p>
            <w:pPr>
              <w:jc w:val="center"/>
            </w:pPr>
            <w:r>
              <w:rPr>
                <w:rFonts w:cs="Arial"/>
              </w:rPr>
              <w:t xml:space="preserve">Sous format Excel </w:t>
            </w:r>
            <w:r>
              <w:t xml:space="preserve"> </w:t>
            </w:r>
          </w:p>
        </w:tc>
        <w:tc>
          <w:tcPr>
            <w:tcW w:w="2113" w:type="dxa"/>
            <w:vAlign w:val="center"/>
          </w:tcPr>
          <w:p>
            <w:pPr>
              <w:tabs>
                <w:tab w:val="left" w:pos="1134"/>
              </w:tabs>
              <w:snapToGrid w:val="0"/>
              <w:jc w:val="center"/>
            </w:pPr>
            <w:r>
              <w:t>Administration</w:t>
            </w:r>
          </w:p>
          <w:p>
            <w:pPr>
              <w:tabs>
                <w:tab w:val="left" w:pos="1134"/>
              </w:tabs>
              <w:snapToGrid w:val="0"/>
              <w:jc w:val="center"/>
            </w:pPr>
          </w:p>
          <w:p>
            <w:pPr>
              <w:jc w:val="center"/>
            </w:pPr>
            <w:r>
              <w:t>Vérificateur de la population</w:t>
            </w:r>
          </w:p>
        </w:tc>
        <w:tc>
          <w:tcPr>
            <w:tcW w:w="1985" w:type="dxa"/>
            <w:vAlign w:val="center"/>
          </w:tcPr>
          <w:p>
            <w:pPr>
              <w:tabs>
                <w:tab w:val="left" w:pos="1134"/>
              </w:tabs>
              <w:snapToGrid w:val="0"/>
              <w:jc w:val="center"/>
              <w:rPr>
                <w:b/>
              </w:rPr>
            </w:pPr>
            <w:r>
              <w:rPr>
                <w:b/>
              </w:rPr>
              <w:t>aux environs du 20 octobre</w:t>
            </w:r>
          </w:p>
        </w:tc>
      </w:tr>
      <w:tr>
        <w:trPr>
          <w:trHeight w:val="1684"/>
        </w:trPr>
        <w:tc>
          <w:tcPr>
            <w:tcW w:w="3708" w:type="dxa"/>
            <w:vAlign w:val="center"/>
          </w:tcPr>
          <w:p>
            <w:pPr>
              <w:tabs>
                <w:tab w:val="left" w:pos="1134"/>
              </w:tabs>
              <w:snapToGrid w:val="0"/>
              <w:rPr>
                <w:b/>
                <w:i/>
              </w:rPr>
            </w:pPr>
            <w:r>
              <w:t xml:space="preserve">Programmation d'une nouvelle implantation, forme, nécessitant une </w:t>
            </w:r>
            <w:r>
              <w:rPr>
                <w:b/>
                <w:i/>
              </w:rPr>
              <w:t>dérogation du gouvernement</w:t>
            </w:r>
            <w:r>
              <w:t xml:space="preserve"> pour un établissement </w:t>
            </w:r>
            <w:r>
              <w:rPr>
                <w:i/>
              </w:rPr>
              <w:t xml:space="preserve">du réseau organisé par la </w:t>
            </w:r>
            <w:r>
              <w:rPr>
                <w:b/>
                <w:i/>
              </w:rPr>
              <w:t>FWB</w:t>
            </w:r>
          </w:p>
        </w:tc>
        <w:tc>
          <w:tcPr>
            <w:tcW w:w="1800" w:type="dxa"/>
            <w:vAlign w:val="center"/>
          </w:tcPr>
          <w:p>
            <w:pPr>
              <w:jc w:val="center"/>
            </w:pPr>
            <w:r>
              <w:t xml:space="preserve">Courrier du </w:t>
            </w:r>
          </w:p>
          <w:p>
            <w:pPr>
              <w:jc w:val="center"/>
            </w:pPr>
            <w:r>
              <w:t>chef de l’établissement avec dossier de motivation</w:t>
            </w:r>
          </w:p>
        </w:tc>
        <w:tc>
          <w:tcPr>
            <w:tcW w:w="2113" w:type="dxa"/>
            <w:vAlign w:val="center"/>
          </w:tcPr>
          <w:p>
            <w:pPr>
              <w:tabs>
                <w:tab w:val="left" w:pos="1134"/>
              </w:tabs>
              <w:snapToGrid w:val="0"/>
              <w:jc w:val="center"/>
            </w:pPr>
            <w:r>
              <w:t>Administration</w:t>
            </w:r>
          </w:p>
        </w:tc>
        <w:tc>
          <w:tcPr>
            <w:tcW w:w="1985" w:type="dxa"/>
            <w:vAlign w:val="center"/>
          </w:tcPr>
          <w:p>
            <w:pPr>
              <w:tabs>
                <w:tab w:val="left" w:pos="1134"/>
              </w:tabs>
              <w:snapToGrid w:val="0"/>
              <w:jc w:val="center"/>
              <w:rPr>
                <w:b/>
              </w:rPr>
            </w:pPr>
            <w:r>
              <w:rPr>
                <w:b/>
              </w:rPr>
              <w:t>avant le 10</w:t>
            </w:r>
          </w:p>
          <w:p>
            <w:pPr>
              <w:tabs>
                <w:tab w:val="left" w:pos="1134"/>
              </w:tabs>
              <w:snapToGrid w:val="0"/>
              <w:jc w:val="center"/>
              <w:rPr>
                <w:b/>
              </w:rPr>
            </w:pPr>
            <w:r>
              <w:rPr>
                <w:b/>
              </w:rPr>
              <w:t>avril</w:t>
            </w:r>
          </w:p>
          <w:p>
            <w:pPr>
              <w:tabs>
                <w:tab w:val="left" w:pos="1134"/>
              </w:tabs>
              <w:snapToGrid w:val="0"/>
              <w:jc w:val="center"/>
              <w:rPr>
                <w:b/>
              </w:rPr>
            </w:pPr>
            <w:r>
              <w:rPr>
                <w:b/>
              </w:rPr>
              <w:t>(dès que possible)</w:t>
            </w:r>
          </w:p>
        </w:tc>
      </w:tr>
      <w:tr>
        <w:trPr>
          <w:trHeight w:val="1409"/>
        </w:trPr>
        <w:tc>
          <w:tcPr>
            <w:tcW w:w="3708" w:type="dxa"/>
            <w:vAlign w:val="center"/>
          </w:tcPr>
          <w:p>
            <w:pPr>
              <w:tabs>
                <w:tab w:val="left" w:pos="1134"/>
              </w:tabs>
              <w:snapToGrid w:val="0"/>
              <w:rPr>
                <w:b/>
                <w:i/>
              </w:rPr>
            </w:pPr>
            <w:r>
              <w:t xml:space="preserve">Programmation d'une nouvelle implantation, forme, nécessitant une </w:t>
            </w:r>
            <w:r>
              <w:rPr>
                <w:b/>
                <w:i/>
              </w:rPr>
              <w:t>dérogation du gouvernement</w:t>
            </w:r>
            <w:r>
              <w:t xml:space="preserve"> pour un établissement </w:t>
            </w:r>
            <w:r>
              <w:rPr>
                <w:b/>
                <w:i/>
              </w:rPr>
              <w:t>subventionné</w:t>
            </w:r>
          </w:p>
        </w:tc>
        <w:tc>
          <w:tcPr>
            <w:tcW w:w="1800" w:type="dxa"/>
            <w:vAlign w:val="center"/>
          </w:tcPr>
          <w:p>
            <w:pPr>
              <w:jc w:val="center"/>
            </w:pPr>
            <w:r>
              <w:t>Courrier du président du P.O. avec dossier de motivation</w:t>
            </w:r>
          </w:p>
        </w:tc>
        <w:tc>
          <w:tcPr>
            <w:tcW w:w="2113" w:type="dxa"/>
            <w:vAlign w:val="center"/>
          </w:tcPr>
          <w:p>
            <w:pPr>
              <w:tabs>
                <w:tab w:val="left" w:pos="1134"/>
              </w:tabs>
              <w:snapToGrid w:val="0"/>
              <w:jc w:val="center"/>
            </w:pPr>
            <w:r>
              <w:t>Administration</w:t>
            </w:r>
          </w:p>
        </w:tc>
        <w:tc>
          <w:tcPr>
            <w:tcW w:w="1985" w:type="dxa"/>
            <w:vAlign w:val="center"/>
          </w:tcPr>
          <w:p>
            <w:pPr>
              <w:tabs>
                <w:tab w:val="left" w:pos="1134"/>
              </w:tabs>
              <w:snapToGrid w:val="0"/>
              <w:jc w:val="center"/>
              <w:rPr>
                <w:b/>
              </w:rPr>
            </w:pPr>
            <w:r>
              <w:rPr>
                <w:b/>
              </w:rPr>
              <w:t>avant le 10 avril</w:t>
            </w:r>
          </w:p>
          <w:p>
            <w:pPr>
              <w:tabs>
                <w:tab w:val="left" w:pos="1134"/>
              </w:tabs>
              <w:snapToGrid w:val="0"/>
              <w:jc w:val="center"/>
              <w:rPr>
                <w:b/>
              </w:rPr>
            </w:pPr>
            <w:r>
              <w:rPr>
                <w:b/>
              </w:rPr>
              <w:t>(dès que possible)</w:t>
            </w:r>
          </w:p>
        </w:tc>
      </w:tr>
      <w:tr>
        <w:trPr>
          <w:trHeight w:val="1355"/>
        </w:trPr>
        <w:tc>
          <w:tcPr>
            <w:tcW w:w="3708" w:type="dxa"/>
            <w:vAlign w:val="center"/>
          </w:tcPr>
          <w:p>
            <w:pPr>
              <w:tabs>
                <w:tab w:val="left" w:pos="360"/>
                <w:tab w:val="left" w:pos="1134"/>
              </w:tabs>
              <w:snapToGrid w:val="0"/>
              <w:rPr>
                <w:b/>
                <w:i/>
              </w:rPr>
            </w:pPr>
            <w:r>
              <w:t xml:space="preserve">Programmation d'une nouvelle implantation, forme, ne nécessitant </w:t>
            </w:r>
            <w:r>
              <w:rPr>
                <w:b/>
                <w:i/>
              </w:rPr>
              <w:t>pas de dérogation</w:t>
            </w:r>
            <w:r>
              <w:t xml:space="preserve"> pour un établissement </w:t>
            </w:r>
            <w:r>
              <w:rPr>
                <w:i/>
              </w:rPr>
              <w:t xml:space="preserve">scolaire (tous réseaux confondus) </w:t>
            </w:r>
          </w:p>
        </w:tc>
        <w:tc>
          <w:tcPr>
            <w:tcW w:w="1800" w:type="dxa"/>
            <w:vAlign w:val="center"/>
          </w:tcPr>
          <w:p>
            <w:pPr>
              <w:jc w:val="center"/>
            </w:pPr>
            <w:r>
              <w:t>Lettre du P.O.</w:t>
            </w:r>
          </w:p>
        </w:tc>
        <w:tc>
          <w:tcPr>
            <w:tcW w:w="2113" w:type="dxa"/>
            <w:vAlign w:val="center"/>
          </w:tcPr>
          <w:p>
            <w:pPr>
              <w:tabs>
                <w:tab w:val="left" w:pos="1134"/>
              </w:tabs>
              <w:snapToGrid w:val="0"/>
              <w:jc w:val="center"/>
            </w:pPr>
            <w:r>
              <w:t>Administration</w:t>
            </w:r>
          </w:p>
        </w:tc>
        <w:tc>
          <w:tcPr>
            <w:tcW w:w="1985" w:type="dxa"/>
            <w:vAlign w:val="center"/>
          </w:tcPr>
          <w:p>
            <w:pPr>
              <w:tabs>
                <w:tab w:val="left" w:pos="1134"/>
              </w:tabs>
              <w:snapToGrid w:val="0"/>
              <w:jc w:val="center"/>
              <w:rPr>
                <w:b/>
              </w:rPr>
            </w:pPr>
            <w:r>
              <w:rPr>
                <w:b/>
              </w:rPr>
              <w:t>avant le 30 mai (dès que possible)</w:t>
            </w:r>
          </w:p>
        </w:tc>
      </w:tr>
      <w:tr>
        <w:trPr>
          <w:trHeight w:val="834"/>
        </w:trPr>
        <w:tc>
          <w:tcPr>
            <w:tcW w:w="3708" w:type="dxa"/>
            <w:vAlign w:val="center"/>
          </w:tcPr>
          <w:p>
            <w:pPr>
              <w:tabs>
                <w:tab w:val="left" w:pos="1134"/>
              </w:tabs>
              <w:snapToGrid w:val="0"/>
              <w:rPr>
                <w:color w:val="000000"/>
              </w:rPr>
            </w:pPr>
            <w:r>
              <w:rPr>
                <w:bCs/>
                <w:iCs/>
                <w:color w:val="000000"/>
              </w:rPr>
              <w:t>Demandes de dérogations pour les élèves de moins de 2 ans et six mois</w:t>
            </w:r>
          </w:p>
        </w:tc>
        <w:tc>
          <w:tcPr>
            <w:tcW w:w="1800" w:type="dxa"/>
            <w:vAlign w:val="center"/>
          </w:tcPr>
          <w:p>
            <w:pPr>
              <w:jc w:val="center"/>
              <w:rPr>
                <w:color w:val="0000FF"/>
                <w:highlight w:val="yellow"/>
              </w:rPr>
            </w:pPr>
            <w:hyperlink w:anchor="_Chapitre_18_:" w:history="1">
              <w:r>
                <w:rPr>
                  <w:rStyle w:val="Lienhypertexte"/>
                  <w:rFonts w:cs="Arial"/>
                </w:rPr>
                <w:t>Chapitre 18</w:t>
              </w:r>
            </w:hyperlink>
          </w:p>
        </w:tc>
        <w:tc>
          <w:tcPr>
            <w:tcW w:w="2113" w:type="dxa"/>
            <w:vAlign w:val="center"/>
          </w:tcPr>
          <w:p>
            <w:pPr>
              <w:tabs>
                <w:tab w:val="left" w:pos="1134"/>
              </w:tabs>
              <w:snapToGrid w:val="0"/>
              <w:jc w:val="center"/>
              <w:rPr>
                <w:color w:val="000000"/>
              </w:rPr>
            </w:pPr>
            <w:r>
              <w:rPr>
                <w:color w:val="000000"/>
              </w:rPr>
              <w:t>Administration</w:t>
            </w:r>
          </w:p>
        </w:tc>
        <w:tc>
          <w:tcPr>
            <w:tcW w:w="1985" w:type="dxa"/>
            <w:vAlign w:val="center"/>
          </w:tcPr>
          <w:p>
            <w:pPr>
              <w:tabs>
                <w:tab w:val="left" w:pos="1134"/>
              </w:tabs>
              <w:snapToGrid w:val="0"/>
              <w:jc w:val="center"/>
              <w:rPr>
                <w:b/>
              </w:rPr>
            </w:pPr>
            <w:r>
              <w:rPr>
                <w:b/>
              </w:rPr>
              <w:t>dès que sa nécessité est constatée</w:t>
            </w:r>
          </w:p>
        </w:tc>
      </w:tr>
      <w:tr>
        <w:trPr>
          <w:trHeight w:val="888"/>
        </w:trPr>
        <w:tc>
          <w:tcPr>
            <w:tcW w:w="3708" w:type="dxa"/>
            <w:vAlign w:val="center"/>
          </w:tcPr>
          <w:p>
            <w:pPr>
              <w:tabs>
                <w:tab w:val="left" w:pos="1134"/>
              </w:tabs>
              <w:snapToGrid w:val="0"/>
              <w:rPr>
                <w:color w:val="000000"/>
              </w:rPr>
            </w:pPr>
            <w:r>
              <w:rPr>
                <w:bCs/>
                <w:color w:val="000000"/>
              </w:rPr>
              <w:t>Demandes de dérogation liée au cursus de l’élève à besoins spécifiques</w:t>
            </w:r>
            <w:r>
              <w:rPr>
                <w:color w:val="000000"/>
              </w:rPr>
              <w:t xml:space="preserve"> </w:t>
            </w:r>
            <w:r>
              <w:rPr>
                <w:color w:val="000000"/>
              </w:rPr>
              <w:sym w:font="Wingdings" w:char="F0E8"/>
            </w:r>
            <w:r>
              <w:rPr>
                <w:color w:val="000000"/>
              </w:rPr>
              <w:t xml:space="preserve"> article 63</w:t>
            </w:r>
          </w:p>
        </w:tc>
        <w:tc>
          <w:tcPr>
            <w:tcW w:w="1800" w:type="dxa"/>
            <w:vAlign w:val="center"/>
          </w:tcPr>
          <w:p>
            <w:pPr>
              <w:jc w:val="center"/>
              <w:rPr>
                <w:color w:val="000000"/>
              </w:rPr>
            </w:pPr>
            <w:hyperlink w:anchor="_Chapitre_1_:" w:history="1">
              <w:r>
                <w:rPr>
                  <w:rStyle w:val="Lienhypertexte"/>
                  <w:rFonts w:cstheme="minorBidi"/>
                </w:rPr>
                <w:t>Chapitre 1</w:t>
              </w:r>
            </w:hyperlink>
            <w:r>
              <w:rPr>
                <w:color w:val="000000"/>
              </w:rPr>
              <w:t xml:space="preserve">, </w:t>
            </w:r>
          </w:p>
          <w:p>
            <w:pPr>
              <w:jc w:val="center"/>
              <w:rPr>
                <w:color w:val="000000"/>
                <w:highlight w:val="yellow"/>
              </w:rPr>
            </w:pPr>
            <w:r>
              <w:t>point 1.1.9</w:t>
            </w:r>
          </w:p>
        </w:tc>
        <w:tc>
          <w:tcPr>
            <w:tcW w:w="2113" w:type="dxa"/>
            <w:vAlign w:val="center"/>
          </w:tcPr>
          <w:p>
            <w:pPr>
              <w:tabs>
                <w:tab w:val="left" w:pos="1134"/>
              </w:tabs>
              <w:snapToGrid w:val="0"/>
              <w:jc w:val="center"/>
              <w:rPr>
                <w:color w:val="000000"/>
              </w:rPr>
            </w:pPr>
            <w:r>
              <w:rPr>
                <w:color w:val="000000"/>
              </w:rPr>
              <w:t>Inspection</w:t>
            </w:r>
          </w:p>
        </w:tc>
        <w:tc>
          <w:tcPr>
            <w:tcW w:w="1985" w:type="dxa"/>
            <w:vAlign w:val="center"/>
          </w:tcPr>
          <w:p>
            <w:pPr>
              <w:tabs>
                <w:tab w:val="left" w:pos="1134"/>
              </w:tabs>
              <w:snapToGrid w:val="0"/>
              <w:jc w:val="center"/>
              <w:rPr>
                <w:b/>
              </w:rPr>
            </w:pPr>
            <w:r>
              <w:rPr>
                <w:b/>
              </w:rPr>
              <w:t>dès que sa nécessité est constatée</w:t>
            </w:r>
          </w:p>
        </w:tc>
      </w:tr>
      <w:tr>
        <w:trPr>
          <w:trHeight w:val="972"/>
        </w:trPr>
        <w:tc>
          <w:tcPr>
            <w:tcW w:w="3708" w:type="dxa"/>
            <w:vAlign w:val="center"/>
          </w:tcPr>
          <w:p>
            <w:pPr>
              <w:tabs>
                <w:tab w:val="left" w:pos="1134"/>
              </w:tabs>
              <w:snapToGrid w:val="0"/>
              <w:rPr>
                <w:color w:val="000000"/>
              </w:rPr>
            </w:pPr>
            <w:r>
              <w:rPr>
                <w:color w:val="000000"/>
              </w:rPr>
              <w:t>Demandes de dérogation à l’inscription dès l’âge de 5 ans dans l’Enseignement primaire spécialisé</w:t>
            </w:r>
          </w:p>
        </w:tc>
        <w:tc>
          <w:tcPr>
            <w:tcW w:w="1800" w:type="dxa"/>
            <w:vAlign w:val="center"/>
          </w:tcPr>
          <w:p>
            <w:pPr>
              <w:jc w:val="center"/>
              <w:rPr>
                <w:color w:val="0000FF"/>
                <w:highlight w:val="yellow"/>
              </w:rPr>
            </w:pPr>
            <w:hyperlink w:anchor="_Chapitre_18_:" w:history="1">
              <w:r>
                <w:rPr>
                  <w:rStyle w:val="Lienhypertexte"/>
                  <w:rFonts w:cs="Arial"/>
                </w:rPr>
                <w:t>Chapitre 18</w:t>
              </w:r>
            </w:hyperlink>
          </w:p>
        </w:tc>
        <w:tc>
          <w:tcPr>
            <w:tcW w:w="2113" w:type="dxa"/>
            <w:vAlign w:val="center"/>
          </w:tcPr>
          <w:p>
            <w:pPr>
              <w:tabs>
                <w:tab w:val="left" w:pos="1134"/>
              </w:tabs>
              <w:snapToGrid w:val="0"/>
              <w:jc w:val="center"/>
              <w:rPr>
                <w:color w:val="000000"/>
              </w:rPr>
            </w:pPr>
            <w:r>
              <w:rPr>
                <w:color w:val="000000"/>
              </w:rPr>
              <w:t>Inspection</w:t>
            </w:r>
          </w:p>
        </w:tc>
        <w:tc>
          <w:tcPr>
            <w:tcW w:w="1985" w:type="dxa"/>
            <w:vAlign w:val="center"/>
          </w:tcPr>
          <w:p>
            <w:pPr>
              <w:tabs>
                <w:tab w:val="left" w:pos="1134"/>
              </w:tabs>
              <w:snapToGrid w:val="0"/>
              <w:jc w:val="center"/>
              <w:rPr>
                <w:b/>
              </w:rPr>
            </w:pPr>
            <w:r>
              <w:rPr>
                <w:b/>
              </w:rPr>
              <w:t>dès que sa nécessité est constatée</w:t>
            </w:r>
          </w:p>
        </w:tc>
      </w:tr>
    </w:tbl>
    <w:p>
      <w:pPr>
        <w:rPr>
          <w:rFonts w:eastAsiaTheme="minorEastAsia"/>
          <w:lang w:eastAsia="fr-BE"/>
        </w:rPr>
      </w:pPr>
    </w:p>
    <w:p>
      <w:pPr>
        <w:rPr>
          <w:rFonts w:eastAsiaTheme="minorEastAsia"/>
          <w:lang w:eastAsia="fr-BE"/>
        </w:rPr>
      </w:pPr>
      <w:r>
        <w:rPr>
          <w:rFonts w:eastAsiaTheme="minorEastAsia"/>
          <w:lang w:eastAsia="fr-BE"/>
        </w:rPr>
        <w:br w:type="page"/>
      </w:r>
    </w:p>
    <w:p>
      <w:pPr>
        <w:rPr>
          <w:rFonts w:eastAsiaTheme="minorEastAsia"/>
          <w:lang w:eastAsia="fr-BE"/>
        </w:rPr>
      </w:pPr>
    </w:p>
    <w:p>
      <w:pPr>
        <w:pStyle w:val="Titre2"/>
      </w:pPr>
      <w:bookmarkStart w:id="3574" w:name="_Toc18914555"/>
      <w:r>
        <w:t>INDEX III : Lien avec d’autres circulaires</w:t>
      </w:r>
      <w:bookmarkEnd w:id="3574"/>
    </w:p>
    <w:p>
      <w:pPr>
        <w:rPr>
          <w:rFonts w:eastAsiaTheme="minorEastAsia"/>
          <w:lang w:eastAsia="fr-BE"/>
        </w:rPr>
      </w:pPr>
    </w:p>
    <w:p>
      <w:pPr>
        <w:rPr>
          <w:rFonts w:eastAsiaTheme="minorEastAsia"/>
          <w:lang w:eastAsia="fr-BE"/>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6"/>
        <w:gridCol w:w="2410"/>
        <w:gridCol w:w="5528"/>
      </w:tblGrid>
      <w:tr>
        <w:tc>
          <w:tcPr>
            <w:tcW w:w="1526" w:type="dxa"/>
          </w:tcPr>
          <w:p>
            <w:pPr>
              <w:jc w:val="center"/>
              <w:rPr>
                <w:b/>
              </w:rPr>
            </w:pPr>
            <w:r>
              <w:rPr>
                <w:b/>
              </w:rPr>
              <w:t>Circulaire n°</w:t>
            </w:r>
          </w:p>
        </w:tc>
        <w:tc>
          <w:tcPr>
            <w:tcW w:w="2410" w:type="dxa"/>
          </w:tcPr>
          <w:p>
            <w:pPr>
              <w:jc w:val="center"/>
              <w:rPr>
                <w:b/>
              </w:rPr>
            </w:pPr>
            <w:r>
              <w:rPr>
                <w:b/>
              </w:rPr>
              <w:t>Date de parution</w:t>
            </w:r>
          </w:p>
        </w:tc>
        <w:tc>
          <w:tcPr>
            <w:tcW w:w="5528" w:type="dxa"/>
          </w:tcPr>
          <w:p>
            <w:pPr>
              <w:jc w:val="center"/>
              <w:rPr>
                <w:b/>
              </w:rPr>
            </w:pPr>
            <w:r>
              <w:rPr>
                <w:b/>
              </w:rPr>
              <w:t>Intitulé</w:t>
            </w:r>
          </w:p>
        </w:tc>
      </w:tr>
      <w:tr>
        <w:tc>
          <w:tcPr>
            <w:tcW w:w="1526" w:type="dxa"/>
          </w:tcPr>
          <w:p>
            <w:pPr>
              <w:jc w:val="center"/>
            </w:pPr>
            <w:r>
              <w:t>28</w:t>
            </w:r>
          </w:p>
        </w:tc>
        <w:tc>
          <w:tcPr>
            <w:tcW w:w="2410" w:type="dxa"/>
          </w:tcPr>
          <w:p>
            <w:pPr>
              <w:jc w:val="center"/>
            </w:pPr>
            <w:r>
              <w:t>12 janvier 2000</w:t>
            </w:r>
          </w:p>
        </w:tc>
        <w:tc>
          <w:tcPr>
            <w:tcW w:w="5528" w:type="dxa"/>
          </w:tcPr>
          <w:p>
            <w:hyperlink r:id="rId270" w:history="1">
              <w:r>
                <w:rPr>
                  <w:rStyle w:val="Lienhypertexte"/>
                  <w:rFonts w:cs="Arial"/>
                </w:rPr>
                <w:t>Complémentarité entre le secteur de l’Enseignement et le secteur de l’Aide à la Jeunesse.</w:t>
              </w:r>
            </w:hyperlink>
          </w:p>
        </w:tc>
      </w:tr>
      <w:tr>
        <w:tc>
          <w:tcPr>
            <w:tcW w:w="1526" w:type="dxa"/>
          </w:tcPr>
          <w:p>
            <w:pPr>
              <w:jc w:val="center"/>
            </w:pPr>
            <w:r>
              <w:t>1000</w:t>
            </w:r>
          </w:p>
        </w:tc>
        <w:tc>
          <w:tcPr>
            <w:tcW w:w="2410" w:type="dxa"/>
          </w:tcPr>
          <w:p>
            <w:pPr>
              <w:jc w:val="center"/>
            </w:pPr>
            <w:r>
              <w:t>19 novembre 2004</w:t>
            </w:r>
          </w:p>
        </w:tc>
        <w:tc>
          <w:tcPr>
            <w:tcW w:w="5528" w:type="dxa"/>
          </w:tcPr>
          <w:p>
            <w:hyperlink r:id="rId271" w:history="1">
              <w:r>
                <w:rPr>
                  <w:rStyle w:val="Lienhypertexte"/>
                  <w:rFonts w:cs="Arial"/>
                </w:rPr>
                <w:t>Equipes mobiles susceptibles d’intervenir au sein des établissements scolaires concernés par un phénomène de violence ou de décrochage scolaire</w:t>
              </w:r>
            </w:hyperlink>
            <w:r>
              <w:t>».</w:t>
            </w:r>
          </w:p>
        </w:tc>
      </w:tr>
      <w:tr>
        <w:tc>
          <w:tcPr>
            <w:tcW w:w="1526" w:type="dxa"/>
          </w:tcPr>
          <w:p>
            <w:pPr>
              <w:jc w:val="center"/>
            </w:pPr>
            <w:r>
              <w:t>1667</w:t>
            </w:r>
          </w:p>
        </w:tc>
        <w:tc>
          <w:tcPr>
            <w:tcW w:w="2410" w:type="dxa"/>
          </w:tcPr>
          <w:p>
            <w:pPr>
              <w:jc w:val="center"/>
            </w:pPr>
            <w:r>
              <w:t>23 octobre 2006</w:t>
            </w:r>
          </w:p>
        </w:tc>
        <w:tc>
          <w:tcPr>
            <w:tcW w:w="5528" w:type="dxa"/>
          </w:tcPr>
          <w:p>
            <w:hyperlink r:id="rId272" w:history="1">
              <w:r>
                <w:rPr>
                  <w:rStyle w:val="Lienhypertexte"/>
                  <w:rFonts w:cs="Arial"/>
                </w:rPr>
                <w:t>Collaboration entre les centres psycho-médico-sociaux et le service du contrôle de l’obligation scolaire dans le cadre de la lutte contre le décrochage scolaire dans l’enseignement fondamental et secondaire ordinaire et spécialisé, organisé ou subventionné par la Communauté française</w:t>
              </w:r>
            </w:hyperlink>
            <w:r>
              <w:t xml:space="preserve"> ».</w:t>
            </w:r>
          </w:p>
        </w:tc>
      </w:tr>
      <w:tr>
        <w:tc>
          <w:tcPr>
            <w:tcW w:w="1526" w:type="dxa"/>
          </w:tcPr>
          <w:p>
            <w:pPr>
              <w:jc w:val="center"/>
            </w:pPr>
            <w:r>
              <w:t>1721</w:t>
            </w:r>
          </w:p>
        </w:tc>
        <w:tc>
          <w:tcPr>
            <w:tcW w:w="2410" w:type="dxa"/>
          </w:tcPr>
          <w:p>
            <w:pPr>
              <w:jc w:val="center"/>
            </w:pPr>
            <w:r>
              <w:t>4 janvier 2007</w:t>
            </w:r>
          </w:p>
        </w:tc>
        <w:tc>
          <w:tcPr>
            <w:tcW w:w="5528" w:type="dxa"/>
          </w:tcPr>
          <w:p>
            <w:hyperlink r:id="rId273" w:history="1">
              <w:r>
                <w:rPr>
                  <w:rStyle w:val="Lienhypertexte"/>
                  <w:rFonts w:cs="Arial"/>
                </w:rPr>
                <w:t>Circulaire ministérielle PLP 41 du 7 juillet 2006 en vue du renforcement et/ou de l’ajustement de la politique de sécurité locale ainsi que de l’approche spécifique en matière de criminalité juvénile avec, en particulier, un point de contact pour les écoles </w:t>
              </w:r>
            </w:hyperlink>
          </w:p>
        </w:tc>
      </w:tr>
      <w:tr>
        <w:tc>
          <w:tcPr>
            <w:tcW w:w="1526" w:type="dxa"/>
          </w:tcPr>
          <w:p>
            <w:pPr>
              <w:jc w:val="center"/>
            </w:pPr>
            <w:r>
              <w:t>2080</w:t>
            </w:r>
          </w:p>
        </w:tc>
        <w:tc>
          <w:tcPr>
            <w:tcW w:w="2410" w:type="dxa"/>
          </w:tcPr>
          <w:p>
            <w:pPr>
              <w:jc w:val="center"/>
            </w:pPr>
            <w:r>
              <w:t>24 octobre 2007</w:t>
            </w:r>
          </w:p>
        </w:tc>
        <w:tc>
          <w:tcPr>
            <w:tcW w:w="5528" w:type="dxa"/>
          </w:tcPr>
          <w:p>
            <w:hyperlink r:id="rId274" w:history="1">
              <w:r>
                <w:rPr>
                  <w:rStyle w:val="Lienhypertexte"/>
                  <w:rFonts w:cs="Arial"/>
                </w:rPr>
                <w:t>Prise en compte des élèves exclus pour la définition du montant des dotations ou subventions et de l’encadrement </w:t>
              </w:r>
            </w:hyperlink>
          </w:p>
        </w:tc>
      </w:tr>
      <w:tr>
        <w:tc>
          <w:tcPr>
            <w:tcW w:w="1526" w:type="dxa"/>
          </w:tcPr>
          <w:p>
            <w:pPr>
              <w:jc w:val="center"/>
            </w:pPr>
            <w:r>
              <w:t>2214</w:t>
            </w:r>
          </w:p>
        </w:tc>
        <w:tc>
          <w:tcPr>
            <w:tcW w:w="2410" w:type="dxa"/>
          </w:tcPr>
          <w:p>
            <w:pPr>
              <w:jc w:val="center"/>
            </w:pPr>
            <w:r>
              <w:t>29 février 2008</w:t>
            </w:r>
          </w:p>
        </w:tc>
        <w:tc>
          <w:tcPr>
            <w:tcW w:w="5528" w:type="dxa"/>
          </w:tcPr>
          <w:p>
            <w:hyperlink r:id="rId275" w:history="1">
              <w:r>
                <w:rPr>
                  <w:rStyle w:val="Lienhypertexte"/>
                  <w:rFonts w:cs="Arial"/>
                </w:rPr>
                <w:t xml:space="preserve"> Circulaire de bonnes pratiques de collaboration et de communication entre les secteurs de l’enseignement au sens large et de l’aide à la jeunesse </w:t>
              </w:r>
            </w:hyperlink>
          </w:p>
        </w:tc>
      </w:tr>
      <w:tr>
        <w:tc>
          <w:tcPr>
            <w:tcW w:w="1526" w:type="dxa"/>
          </w:tcPr>
          <w:p>
            <w:pPr>
              <w:jc w:val="center"/>
            </w:pPr>
            <w:r>
              <w:rPr>
                <w:iCs/>
              </w:rPr>
              <w:t>2226</w:t>
            </w:r>
          </w:p>
        </w:tc>
        <w:tc>
          <w:tcPr>
            <w:tcW w:w="2410" w:type="dxa"/>
          </w:tcPr>
          <w:p>
            <w:pPr>
              <w:jc w:val="center"/>
            </w:pPr>
            <w:r>
              <w:rPr>
                <w:iCs/>
              </w:rPr>
              <w:t>12 mars 2008</w:t>
            </w:r>
          </w:p>
        </w:tc>
        <w:tc>
          <w:tcPr>
            <w:tcW w:w="5528" w:type="dxa"/>
          </w:tcPr>
          <w:p>
            <w:hyperlink r:id="rId276" w:history="1">
              <w:r>
                <w:rPr>
                  <w:rStyle w:val="Lienhypertexte"/>
                  <w:rFonts w:cs="Arial"/>
                  <w:iCs/>
                </w:rPr>
                <w:t>Dispositif favorisant un retour réussi à l’école des élèves ayant séjourné dans un service d’accrochage scolaire – demande de moyens humains supplémentaires </w:t>
              </w:r>
            </w:hyperlink>
          </w:p>
        </w:tc>
      </w:tr>
      <w:tr>
        <w:tc>
          <w:tcPr>
            <w:tcW w:w="1526" w:type="dxa"/>
          </w:tcPr>
          <w:p>
            <w:pPr>
              <w:jc w:val="center"/>
            </w:pPr>
            <w:r>
              <w:t>2327</w:t>
            </w:r>
          </w:p>
        </w:tc>
        <w:tc>
          <w:tcPr>
            <w:tcW w:w="2410" w:type="dxa"/>
          </w:tcPr>
          <w:p>
            <w:pPr>
              <w:jc w:val="center"/>
            </w:pPr>
            <w:r>
              <w:t>2 juin 2008</w:t>
            </w:r>
          </w:p>
        </w:tc>
        <w:tc>
          <w:tcPr>
            <w:tcW w:w="5528" w:type="dxa"/>
          </w:tcPr>
          <w:p>
            <w:hyperlink r:id="rId277" w:history="1">
              <w:r>
                <w:rPr>
                  <w:rStyle w:val="Lienhypertexte"/>
                  <w:rFonts w:cs="Arial"/>
                </w:rPr>
                <w:t>Dispositions communes en matière de faits graves devant figurer dans le règlement d’ordre intérieur de chaque établissement d’enseignement subventionné ou organisé par la Communauté française </w:t>
              </w:r>
            </w:hyperlink>
          </w:p>
        </w:tc>
      </w:tr>
      <w:tr>
        <w:tc>
          <w:tcPr>
            <w:tcW w:w="1526" w:type="dxa"/>
          </w:tcPr>
          <w:p>
            <w:pPr>
              <w:jc w:val="center"/>
            </w:pPr>
            <w:r>
              <w:t>3783</w:t>
            </w:r>
          </w:p>
        </w:tc>
        <w:tc>
          <w:tcPr>
            <w:tcW w:w="2410" w:type="dxa"/>
          </w:tcPr>
          <w:p>
            <w:pPr>
              <w:jc w:val="center"/>
            </w:pPr>
            <w:r>
              <w:t>28 octobre 2011</w:t>
            </w:r>
          </w:p>
        </w:tc>
        <w:tc>
          <w:tcPr>
            <w:tcW w:w="5528" w:type="dxa"/>
          </w:tcPr>
          <w:p>
            <w:hyperlink r:id="rId278" w:history="1">
              <w:r>
                <w:rPr>
                  <w:rStyle w:val="Lienhypertexte"/>
                  <w:rFonts w:cs="Arial"/>
                </w:rPr>
                <w:t>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hyperlink>
          </w:p>
        </w:tc>
      </w:tr>
      <w:tr>
        <w:tc>
          <w:tcPr>
            <w:tcW w:w="1526" w:type="dxa"/>
          </w:tcPr>
          <w:p>
            <w:pPr>
              <w:jc w:val="center"/>
            </w:pPr>
            <w:r>
              <w:t>3974</w:t>
            </w:r>
          </w:p>
        </w:tc>
        <w:tc>
          <w:tcPr>
            <w:tcW w:w="2410" w:type="dxa"/>
          </w:tcPr>
          <w:p>
            <w:pPr>
              <w:jc w:val="center"/>
            </w:pPr>
            <w:r>
              <w:t>25 avril 2012</w:t>
            </w:r>
          </w:p>
        </w:tc>
        <w:tc>
          <w:tcPr>
            <w:tcW w:w="5528" w:type="dxa"/>
          </w:tcPr>
          <w:p>
            <w:hyperlink r:id="rId279" w:history="1">
              <w:r>
                <w:rPr>
                  <w:rStyle w:val="Lienhypertexte"/>
                  <w:rFonts w:cs="Arial"/>
                </w:rPr>
                <w:t>Règlement d’Ordre Intérieur (R.O.I) – Guide pratique </w:t>
              </w:r>
            </w:hyperlink>
          </w:p>
        </w:tc>
      </w:tr>
      <w:tr>
        <w:tc>
          <w:tcPr>
            <w:tcW w:w="1526" w:type="dxa"/>
          </w:tcPr>
          <w:p>
            <w:pPr>
              <w:jc w:val="center"/>
            </w:pPr>
            <w:r>
              <w:t>4271</w:t>
            </w:r>
          </w:p>
        </w:tc>
        <w:tc>
          <w:tcPr>
            <w:tcW w:w="2410" w:type="dxa"/>
          </w:tcPr>
          <w:p>
            <w:pPr>
              <w:jc w:val="center"/>
            </w:pPr>
            <w:r>
              <w:t>17 janvier 2013</w:t>
            </w:r>
          </w:p>
        </w:tc>
        <w:tc>
          <w:tcPr>
            <w:tcW w:w="5528" w:type="dxa"/>
          </w:tcPr>
          <w:p>
            <w:hyperlink r:id="rId280" w:history="1">
              <w:r>
                <w:rPr>
                  <w:rStyle w:val="Lienhypertexte"/>
                  <w:rFonts w:cs="Arial"/>
                </w:rPr>
                <w:t>Organisation des cours de natation dans l’enseignement spécialisé</w:t>
              </w:r>
            </w:hyperlink>
            <w:r>
              <w:t> </w:t>
            </w:r>
          </w:p>
        </w:tc>
      </w:tr>
      <w:tr>
        <w:tc>
          <w:tcPr>
            <w:tcW w:w="1526" w:type="dxa"/>
          </w:tcPr>
          <w:p>
            <w:pPr>
              <w:jc w:val="center"/>
            </w:pPr>
            <w:r>
              <w:t>4274</w:t>
            </w:r>
          </w:p>
        </w:tc>
        <w:tc>
          <w:tcPr>
            <w:tcW w:w="2410" w:type="dxa"/>
          </w:tcPr>
          <w:p>
            <w:pPr>
              <w:jc w:val="center"/>
            </w:pPr>
            <w:r>
              <w:t>21 janvier 2013</w:t>
            </w:r>
          </w:p>
        </w:tc>
        <w:tc>
          <w:tcPr>
            <w:tcW w:w="5528" w:type="dxa"/>
          </w:tcPr>
          <w:p>
            <w:pPr>
              <w:rPr>
                <w:color w:val="000080"/>
              </w:rPr>
            </w:pPr>
            <w:hyperlink r:id="rId281" w:history="1">
              <w:r>
                <w:rPr>
                  <w:rStyle w:val="Lienhypertexte"/>
                  <w:rFonts w:cs="Arial"/>
                </w:rPr>
                <w:t>Adresse mail administrative des écoles </w:t>
              </w:r>
            </w:hyperlink>
            <w:r>
              <w:rPr>
                <w:rStyle w:val="Lienhypertexte"/>
                <w:rFonts w:cs="Arial"/>
              </w:rPr>
              <w:t xml:space="preserve"> (circulaire modifiée par la 4363)</w:t>
            </w:r>
          </w:p>
        </w:tc>
      </w:tr>
      <w:tr>
        <w:tc>
          <w:tcPr>
            <w:tcW w:w="1526" w:type="dxa"/>
          </w:tcPr>
          <w:p>
            <w:pPr>
              <w:jc w:val="center"/>
            </w:pPr>
            <w:r>
              <w:t>4363</w:t>
            </w:r>
          </w:p>
        </w:tc>
        <w:tc>
          <w:tcPr>
            <w:tcW w:w="2410" w:type="dxa"/>
          </w:tcPr>
          <w:p>
            <w:pPr>
              <w:jc w:val="center"/>
            </w:pPr>
            <w:r>
              <w:t>20 mars 2013</w:t>
            </w:r>
          </w:p>
        </w:tc>
        <w:tc>
          <w:tcPr>
            <w:tcW w:w="5528" w:type="dxa"/>
          </w:tcPr>
          <w:p>
            <w:hyperlink r:id="rId282" w:history="1">
              <w:r>
                <w:rPr>
                  <w:rStyle w:val="Lienhypertexte"/>
                  <w:rFonts w:cs="Arial"/>
                </w:rPr>
                <w:t>Adresses mails administratives des écoles et des Pouvoirs organisateurs</w:t>
              </w:r>
            </w:hyperlink>
          </w:p>
        </w:tc>
      </w:tr>
      <w:tr>
        <w:tc>
          <w:tcPr>
            <w:tcW w:w="1526" w:type="dxa"/>
          </w:tcPr>
          <w:p>
            <w:pPr>
              <w:jc w:val="center"/>
            </w:pPr>
            <w:r>
              <w:t>4392</w:t>
            </w:r>
          </w:p>
        </w:tc>
        <w:tc>
          <w:tcPr>
            <w:tcW w:w="2410" w:type="dxa"/>
          </w:tcPr>
          <w:p>
            <w:pPr>
              <w:jc w:val="center"/>
            </w:pPr>
            <w:r>
              <w:t>22 avril 2013</w:t>
            </w:r>
          </w:p>
        </w:tc>
        <w:tc>
          <w:tcPr>
            <w:tcW w:w="5528" w:type="dxa"/>
          </w:tcPr>
          <w:p>
            <w:pPr>
              <w:rPr>
                <w:color w:val="000080"/>
              </w:rPr>
            </w:pPr>
            <w:hyperlink r:id="rId283" w:history="1">
              <w:r>
                <w:rPr>
                  <w:rStyle w:val="Lienhypertexte"/>
                  <w:rFonts w:cs="Arial"/>
                </w:rPr>
                <w:t>« Rapport d’inscription dans l’enseignement spécialisé : Contenu et destinataires</w:t>
              </w:r>
            </w:hyperlink>
          </w:p>
        </w:tc>
      </w:tr>
      <w:tr>
        <w:tc>
          <w:tcPr>
            <w:tcW w:w="1526" w:type="dxa"/>
          </w:tcPr>
          <w:p>
            <w:pPr>
              <w:jc w:val="center"/>
            </w:pPr>
            <w:r>
              <w:t>4516</w:t>
            </w:r>
          </w:p>
        </w:tc>
        <w:tc>
          <w:tcPr>
            <w:tcW w:w="2410" w:type="dxa"/>
          </w:tcPr>
          <w:p>
            <w:pPr>
              <w:jc w:val="center"/>
            </w:pPr>
            <w:r>
              <w:t>29 août 2013</w:t>
            </w:r>
          </w:p>
        </w:tc>
        <w:tc>
          <w:tcPr>
            <w:tcW w:w="5528" w:type="dxa"/>
          </w:tcPr>
          <w:p>
            <w:pPr>
              <w:rPr>
                <w:color w:val="000080"/>
              </w:rPr>
            </w:pPr>
            <w:hyperlink r:id="rId284" w:history="1">
              <w:r>
                <w:rPr>
                  <w:rStyle w:val="Lienhypertexte"/>
                  <w:rFonts w:cs="Arial"/>
                </w:rPr>
                <w:t>Gratuité de l’accès à l’enseignement obligatoire </w:t>
              </w:r>
            </w:hyperlink>
          </w:p>
        </w:tc>
      </w:tr>
      <w:tr>
        <w:tc>
          <w:tcPr>
            <w:tcW w:w="1526" w:type="dxa"/>
          </w:tcPr>
          <w:p>
            <w:pPr>
              <w:jc w:val="center"/>
            </w:pPr>
            <w:r>
              <w:t>4606</w:t>
            </w:r>
          </w:p>
        </w:tc>
        <w:tc>
          <w:tcPr>
            <w:tcW w:w="2410" w:type="dxa"/>
          </w:tcPr>
          <w:p>
            <w:pPr>
              <w:jc w:val="center"/>
            </w:pPr>
            <w:r>
              <w:t>16 octobre 2013</w:t>
            </w:r>
          </w:p>
        </w:tc>
        <w:tc>
          <w:tcPr>
            <w:tcW w:w="5528" w:type="dxa"/>
          </w:tcPr>
          <w:p>
            <w:hyperlink r:id="rId285" w:history="1">
              <w:r>
                <w:rPr>
                  <w:rStyle w:val="Lienhypertexte"/>
                  <w:rFonts w:cs="Arial"/>
                </w:rPr>
                <w:t>Prêt du matériel sportif aux écoles </w:t>
              </w:r>
            </w:hyperlink>
          </w:p>
        </w:tc>
      </w:tr>
      <w:tr>
        <w:tc>
          <w:tcPr>
            <w:tcW w:w="1526" w:type="dxa"/>
          </w:tcPr>
          <w:p>
            <w:pPr>
              <w:jc w:val="center"/>
              <w:rPr>
                <w:color w:val="000000"/>
              </w:rPr>
            </w:pPr>
            <w:r>
              <w:rPr>
                <w:bCs/>
                <w:color w:val="000000"/>
                <w:spacing w:val="1"/>
              </w:rPr>
              <w:t>4857</w:t>
            </w:r>
          </w:p>
        </w:tc>
        <w:tc>
          <w:tcPr>
            <w:tcW w:w="2410" w:type="dxa"/>
          </w:tcPr>
          <w:p>
            <w:pPr>
              <w:jc w:val="center"/>
              <w:rPr>
                <w:color w:val="000000"/>
              </w:rPr>
            </w:pPr>
            <w:r>
              <w:rPr>
                <w:bCs/>
                <w:color w:val="000000"/>
                <w:spacing w:val="1"/>
              </w:rPr>
              <w:t>28 mai 2014</w:t>
            </w:r>
          </w:p>
        </w:tc>
        <w:tc>
          <w:tcPr>
            <w:tcW w:w="5528" w:type="dxa"/>
          </w:tcPr>
          <w:p>
            <w:hyperlink r:id="rId286" w:history="1">
              <w:r>
                <w:rPr>
                  <w:rStyle w:val="Lienhypertexte"/>
                  <w:rFonts w:cs="Arial"/>
                  <w:bCs/>
                  <w:spacing w:val="1"/>
                </w:rPr>
                <w:t>Orientation en enseignement spécialisé. Comment ? Dans quel but ? Approche générale et repères pour un diagnostic différentiel </w:t>
              </w:r>
            </w:hyperlink>
          </w:p>
        </w:tc>
      </w:tr>
      <w:tr>
        <w:tc>
          <w:tcPr>
            <w:tcW w:w="1526" w:type="dxa"/>
          </w:tcPr>
          <w:p>
            <w:pPr>
              <w:jc w:val="center"/>
              <w:rPr>
                <w:bCs/>
                <w:color w:val="000000"/>
                <w:spacing w:val="1"/>
              </w:rPr>
            </w:pPr>
            <w:r>
              <w:rPr>
                <w:bCs/>
                <w:color w:val="000000"/>
                <w:spacing w:val="2"/>
              </w:rPr>
              <w:t>4888</w:t>
            </w:r>
          </w:p>
        </w:tc>
        <w:tc>
          <w:tcPr>
            <w:tcW w:w="2410" w:type="dxa"/>
          </w:tcPr>
          <w:p>
            <w:pPr>
              <w:jc w:val="center"/>
              <w:rPr>
                <w:bCs/>
                <w:color w:val="000000"/>
                <w:spacing w:val="1"/>
              </w:rPr>
            </w:pPr>
            <w:r>
              <w:rPr>
                <w:bCs/>
                <w:color w:val="000000"/>
                <w:spacing w:val="2"/>
              </w:rPr>
              <w:t>20 juin 2014</w:t>
            </w:r>
          </w:p>
        </w:tc>
        <w:tc>
          <w:tcPr>
            <w:tcW w:w="5528" w:type="dxa"/>
          </w:tcPr>
          <w:p>
            <w:pPr>
              <w:rPr>
                <w:bCs/>
                <w:color w:val="0000FF"/>
                <w:spacing w:val="1"/>
              </w:rPr>
            </w:pPr>
            <w:hyperlink r:id="rId287" w:history="1">
              <w:r>
                <w:rPr>
                  <w:rStyle w:val="Lienhypertexte"/>
                  <w:rFonts w:cs="Arial"/>
                  <w:bCs/>
                  <w:spacing w:val="2"/>
                </w:rPr>
                <w:t>Soins et prises de médicaments pour les élèves accueillis en enseignement ordinaire et en enseignement spécialisé </w:t>
              </w:r>
            </w:hyperlink>
          </w:p>
        </w:tc>
      </w:tr>
      <w:tr>
        <w:tc>
          <w:tcPr>
            <w:tcW w:w="1526" w:type="dxa"/>
          </w:tcPr>
          <w:p>
            <w:pPr>
              <w:jc w:val="center"/>
              <w:rPr>
                <w:bCs/>
                <w:color w:val="000000"/>
                <w:spacing w:val="1"/>
              </w:rPr>
            </w:pPr>
            <w:r>
              <w:rPr>
                <w:bCs/>
                <w:color w:val="000000"/>
                <w:spacing w:val="2"/>
              </w:rPr>
              <w:t>4961</w:t>
            </w:r>
          </w:p>
        </w:tc>
        <w:tc>
          <w:tcPr>
            <w:tcW w:w="2410" w:type="dxa"/>
          </w:tcPr>
          <w:p>
            <w:pPr>
              <w:jc w:val="center"/>
              <w:rPr>
                <w:bCs/>
                <w:color w:val="000000"/>
                <w:spacing w:val="1"/>
              </w:rPr>
            </w:pPr>
            <w:r>
              <w:rPr>
                <w:bCs/>
                <w:color w:val="000000"/>
                <w:spacing w:val="2"/>
              </w:rPr>
              <w:t>26 août 2014</w:t>
            </w:r>
          </w:p>
        </w:tc>
        <w:tc>
          <w:tcPr>
            <w:tcW w:w="5528" w:type="dxa"/>
          </w:tcPr>
          <w:p>
            <w:pPr>
              <w:rPr>
                <w:bCs/>
                <w:color w:val="0000FF"/>
                <w:spacing w:val="1"/>
              </w:rPr>
            </w:pPr>
            <w:hyperlink r:id="rId288" w:history="1">
              <w:r>
                <w:rPr>
                  <w:rStyle w:val="Lienhypertexte"/>
                  <w:rFonts w:cs="Arial"/>
                  <w:bCs/>
                  <w:spacing w:val="2"/>
                </w:rPr>
                <w:t>Service de médiation scolaire et Service des équipes mobiles </w:t>
              </w:r>
            </w:hyperlink>
          </w:p>
        </w:tc>
      </w:tr>
      <w:tr>
        <w:tc>
          <w:tcPr>
            <w:tcW w:w="1526" w:type="dxa"/>
          </w:tcPr>
          <w:p>
            <w:pPr>
              <w:jc w:val="center"/>
              <w:rPr>
                <w:bCs/>
                <w:color w:val="000000"/>
                <w:spacing w:val="2"/>
              </w:rPr>
            </w:pPr>
            <w:r>
              <w:rPr>
                <w:bCs/>
                <w:color w:val="000000"/>
                <w:spacing w:val="2"/>
              </w:rPr>
              <w:t>4964</w:t>
            </w:r>
          </w:p>
        </w:tc>
        <w:tc>
          <w:tcPr>
            <w:tcW w:w="2410" w:type="dxa"/>
          </w:tcPr>
          <w:p>
            <w:pPr>
              <w:jc w:val="center"/>
              <w:rPr>
                <w:bCs/>
                <w:color w:val="000000"/>
                <w:spacing w:val="2"/>
              </w:rPr>
            </w:pPr>
            <w:r>
              <w:rPr>
                <w:bCs/>
                <w:color w:val="000000"/>
                <w:spacing w:val="2"/>
              </w:rPr>
              <w:t>28 août 2014</w:t>
            </w:r>
          </w:p>
        </w:tc>
        <w:tc>
          <w:tcPr>
            <w:tcW w:w="5528" w:type="dxa"/>
          </w:tcPr>
          <w:p>
            <w:pPr>
              <w:rPr>
                <w:bCs/>
                <w:color w:val="0000FF"/>
                <w:spacing w:val="2"/>
              </w:rPr>
            </w:pPr>
            <w:hyperlink r:id="rId289" w:history="1">
              <w:r>
                <w:rPr>
                  <w:rStyle w:val="Lienhypertexte"/>
                  <w:rFonts w:cs="Arial"/>
                  <w:bCs/>
                  <w:spacing w:val="2"/>
                </w:rPr>
                <w:t>Guide pratique relatif à la prévention et à la gestion des violences en milieu scolaire</w:t>
              </w:r>
            </w:hyperlink>
            <w:r>
              <w:rPr>
                <w:bCs/>
                <w:color w:val="0000FF"/>
                <w:spacing w:val="2"/>
              </w:rPr>
              <w:t> </w:t>
            </w:r>
          </w:p>
        </w:tc>
      </w:tr>
      <w:tr>
        <w:tc>
          <w:tcPr>
            <w:tcW w:w="1526" w:type="dxa"/>
          </w:tcPr>
          <w:p>
            <w:pPr>
              <w:jc w:val="center"/>
              <w:rPr>
                <w:bCs/>
                <w:color w:val="000000"/>
                <w:spacing w:val="1"/>
              </w:rPr>
            </w:pPr>
            <w:r>
              <w:rPr>
                <w:bCs/>
                <w:color w:val="000000"/>
                <w:spacing w:val="1"/>
              </w:rPr>
              <w:t>5088</w:t>
            </w:r>
          </w:p>
        </w:tc>
        <w:tc>
          <w:tcPr>
            <w:tcW w:w="2410" w:type="dxa"/>
          </w:tcPr>
          <w:p>
            <w:pPr>
              <w:jc w:val="center"/>
              <w:rPr>
                <w:bCs/>
                <w:color w:val="000000"/>
                <w:spacing w:val="1"/>
              </w:rPr>
            </w:pPr>
            <w:r>
              <w:rPr>
                <w:bCs/>
                <w:color w:val="000000"/>
                <w:spacing w:val="1"/>
              </w:rPr>
              <w:t>12 décembre 2014</w:t>
            </w:r>
          </w:p>
        </w:tc>
        <w:tc>
          <w:tcPr>
            <w:tcW w:w="5528" w:type="dxa"/>
          </w:tcPr>
          <w:p>
            <w:pPr>
              <w:rPr>
                <w:bCs/>
                <w:color w:val="0000FF"/>
                <w:spacing w:val="1"/>
              </w:rPr>
            </w:pPr>
            <w:hyperlink r:id="rId290" w:history="1">
              <w:r>
                <w:rPr>
                  <w:rStyle w:val="Lienhypertexte"/>
                  <w:rFonts w:cs="Arial"/>
                  <w:bCs/>
                  <w:spacing w:val="1"/>
                </w:rPr>
                <w:t>Enseignement spécialisé de type 5 </w:t>
              </w:r>
            </w:hyperlink>
          </w:p>
        </w:tc>
      </w:tr>
      <w:tr>
        <w:tc>
          <w:tcPr>
            <w:tcW w:w="1526" w:type="dxa"/>
          </w:tcPr>
          <w:p>
            <w:pPr>
              <w:jc w:val="center"/>
              <w:rPr>
                <w:bCs/>
                <w:color w:val="000000"/>
                <w:spacing w:val="2"/>
              </w:rPr>
            </w:pPr>
            <w:r>
              <w:rPr>
                <w:bCs/>
                <w:color w:val="000000"/>
                <w:spacing w:val="2"/>
              </w:rPr>
              <w:t>5105</w:t>
            </w:r>
          </w:p>
        </w:tc>
        <w:tc>
          <w:tcPr>
            <w:tcW w:w="2410" w:type="dxa"/>
          </w:tcPr>
          <w:p>
            <w:pPr>
              <w:jc w:val="center"/>
              <w:rPr>
                <w:bCs/>
                <w:color w:val="000000"/>
                <w:spacing w:val="2"/>
              </w:rPr>
            </w:pPr>
            <w:r>
              <w:rPr>
                <w:bCs/>
                <w:color w:val="000000"/>
                <w:spacing w:val="2"/>
              </w:rPr>
              <w:t>5 janvier 2015</w:t>
            </w:r>
          </w:p>
        </w:tc>
        <w:tc>
          <w:tcPr>
            <w:tcW w:w="5528" w:type="dxa"/>
          </w:tcPr>
          <w:p>
            <w:pPr>
              <w:rPr>
                <w:bCs/>
                <w:color w:val="0000FF"/>
                <w:spacing w:val="2"/>
              </w:rPr>
            </w:pPr>
            <w:hyperlink r:id="rId291" w:history="1">
              <w:r>
                <w:rPr>
                  <w:rStyle w:val="Lienhypertexte"/>
                  <w:rFonts w:cs="Arial"/>
                  <w:bCs/>
                  <w:spacing w:val="2"/>
                </w:rPr>
                <w:t>Guide pratique « parents-école : comment mieux connaître l’école et s’y impliquer ? »</w:t>
              </w:r>
            </w:hyperlink>
          </w:p>
        </w:tc>
      </w:tr>
      <w:tr>
        <w:trPr>
          <w:trHeight w:val="70"/>
        </w:trPr>
        <w:tc>
          <w:tcPr>
            <w:tcW w:w="1526" w:type="dxa"/>
          </w:tcPr>
          <w:p>
            <w:pPr>
              <w:jc w:val="center"/>
              <w:rPr>
                <w:bCs/>
                <w:color w:val="000000"/>
                <w:spacing w:val="2"/>
              </w:rPr>
            </w:pPr>
            <w:r>
              <w:rPr>
                <w:bCs/>
                <w:color w:val="000000"/>
                <w:spacing w:val="2"/>
              </w:rPr>
              <w:t>5643</w:t>
            </w:r>
          </w:p>
        </w:tc>
        <w:tc>
          <w:tcPr>
            <w:tcW w:w="2410" w:type="dxa"/>
          </w:tcPr>
          <w:p>
            <w:pPr>
              <w:jc w:val="center"/>
              <w:rPr>
                <w:bCs/>
                <w:color w:val="000000"/>
                <w:spacing w:val="2"/>
              </w:rPr>
            </w:pPr>
            <w:r>
              <w:rPr>
                <w:bCs/>
                <w:color w:val="000000"/>
                <w:spacing w:val="2"/>
              </w:rPr>
              <w:t>4 mars 2016</w:t>
            </w:r>
          </w:p>
        </w:tc>
        <w:tc>
          <w:tcPr>
            <w:tcW w:w="5528" w:type="dxa"/>
          </w:tcPr>
          <w:p>
            <w:hyperlink r:id="rId292" w:history="1">
              <w:r>
                <w:rPr>
                  <w:rStyle w:val="Lienhypertexte"/>
                  <w:rFonts w:cs="Arial"/>
                </w:rPr>
                <w:t>Mesure de contention et d’isolement dans l’enseignement</w:t>
              </w:r>
            </w:hyperlink>
          </w:p>
        </w:tc>
      </w:tr>
      <w:tr>
        <w:trPr>
          <w:trHeight w:val="70"/>
        </w:trPr>
        <w:tc>
          <w:tcPr>
            <w:tcW w:w="1526" w:type="dxa"/>
          </w:tcPr>
          <w:p>
            <w:pPr>
              <w:jc w:val="center"/>
              <w:rPr>
                <w:bCs/>
                <w:color w:val="000000"/>
                <w:spacing w:val="2"/>
              </w:rPr>
            </w:pPr>
            <w:r>
              <w:rPr>
                <w:bCs/>
                <w:color w:val="000000"/>
                <w:spacing w:val="2"/>
              </w:rPr>
              <w:t>6297</w:t>
            </w:r>
          </w:p>
        </w:tc>
        <w:tc>
          <w:tcPr>
            <w:tcW w:w="2410" w:type="dxa"/>
          </w:tcPr>
          <w:p>
            <w:pPr>
              <w:jc w:val="center"/>
              <w:rPr>
                <w:bCs/>
                <w:color w:val="000000"/>
                <w:spacing w:val="2"/>
              </w:rPr>
            </w:pPr>
            <w:r>
              <w:rPr>
                <w:bCs/>
                <w:color w:val="000000"/>
                <w:spacing w:val="2"/>
              </w:rPr>
              <w:t>9 août 2017</w:t>
            </w:r>
          </w:p>
        </w:tc>
        <w:tc>
          <w:tcPr>
            <w:tcW w:w="5528" w:type="dxa"/>
          </w:tcPr>
          <w:p>
            <w:pPr>
              <w:rPr>
                <w:b/>
              </w:rPr>
            </w:pPr>
            <w:hyperlink r:id="rId293" w:history="1">
              <w:r>
                <w:rPr>
                  <w:rStyle w:val="Lienhypertexte"/>
                  <w:rFonts w:eastAsia="Times New Roman"/>
                </w:rPr>
                <w:t>Formation en cours de carrière - demande de dérogation au nombre de jours de formation sur base volontaire pour un enseignant (enseignement spécialisé) - année scolaire 2017-2018</w:t>
              </w:r>
            </w:hyperlink>
          </w:p>
        </w:tc>
      </w:tr>
      <w:tr>
        <w:trPr>
          <w:trHeight w:val="70"/>
        </w:trPr>
        <w:tc>
          <w:tcPr>
            <w:tcW w:w="1526" w:type="dxa"/>
          </w:tcPr>
          <w:p>
            <w:pPr>
              <w:jc w:val="center"/>
              <w:rPr>
                <w:bCs/>
                <w:color w:val="000000"/>
                <w:spacing w:val="2"/>
              </w:rPr>
            </w:pPr>
            <w:r>
              <w:rPr>
                <w:bCs/>
                <w:color w:val="000000"/>
                <w:spacing w:val="2"/>
              </w:rPr>
              <w:t>6622</w:t>
            </w:r>
          </w:p>
        </w:tc>
        <w:tc>
          <w:tcPr>
            <w:tcW w:w="2410" w:type="dxa"/>
          </w:tcPr>
          <w:p>
            <w:pPr>
              <w:jc w:val="center"/>
              <w:rPr>
                <w:bCs/>
                <w:color w:val="000000"/>
                <w:spacing w:val="2"/>
              </w:rPr>
            </w:pPr>
            <w:r>
              <w:rPr>
                <w:bCs/>
                <w:color w:val="000000"/>
                <w:spacing w:val="2"/>
              </w:rPr>
              <w:t>23 avril 2018</w:t>
            </w:r>
          </w:p>
        </w:tc>
        <w:tc>
          <w:tcPr>
            <w:tcW w:w="5528" w:type="dxa"/>
          </w:tcPr>
          <w:p>
            <w:pPr>
              <w:rPr>
                <w:rStyle w:val="lev"/>
                <w:rFonts w:eastAsia="Times New Roman"/>
                <w:b w:val="0"/>
              </w:rPr>
            </w:pPr>
            <w:hyperlink r:id="rId294" w:history="1">
              <w:r>
                <w:rPr>
                  <w:rStyle w:val="Lienhypertexte"/>
                  <w:rFonts w:eastAsia="Times New Roman"/>
                </w:rPr>
                <w:t>Appel à projets pilotes proposant des repas chauds complets gratuitement dans les écoles de l’enseignement maternel émargeant au décret relatif à l’encadrement différencié, ainsi que dans les implantations maternelles émargeant au décret relatif à l’enseignement spécialisé.</w:t>
              </w:r>
            </w:hyperlink>
            <w:r>
              <w:rPr>
                <w:rStyle w:val="lev"/>
                <w:bCs w:val="0"/>
              </w:rPr>
              <w:t xml:space="preserve"> </w:t>
            </w:r>
          </w:p>
        </w:tc>
      </w:tr>
      <w:tr>
        <w:trPr>
          <w:trHeight w:val="70"/>
        </w:trPr>
        <w:tc>
          <w:tcPr>
            <w:tcW w:w="1526" w:type="dxa"/>
          </w:tcPr>
          <w:p>
            <w:pPr>
              <w:jc w:val="center"/>
              <w:rPr>
                <w:bCs/>
                <w:color w:val="000000"/>
                <w:spacing w:val="2"/>
              </w:rPr>
            </w:pPr>
            <w:r>
              <w:rPr>
                <w:bCs/>
                <w:color w:val="000000"/>
                <w:spacing w:val="2"/>
              </w:rPr>
              <w:t>6637</w:t>
            </w:r>
          </w:p>
        </w:tc>
        <w:tc>
          <w:tcPr>
            <w:tcW w:w="2410" w:type="dxa"/>
          </w:tcPr>
          <w:p>
            <w:pPr>
              <w:jc w:val="center"/>
              <w:rPr>
                <w:bCs/>
                <w:color w:val="000000"/>
                <w:spacing w:val="2"/>
              </w:rPr>
            </w:pPr>
            <w:r>
              <w:rPr>
                <w:bCs/>
                <w:color w:val="000000"/>
                <w:spacing w:val="2"/>
              </w:rPr>
              <w:t>4 mai 2018</w:t>
            </w:r>
          </w:p>
        </w:tc>
        <w:tc>
          <w:tcPr>
            <w:tcW w:w="5528" w:type="dxa"/>
          </w:tcPr>
          <w:p>
            <w:pPr>
              <w:rPr>
                <w:b/>
              </w:rPr>
            </w:pPr>
            <w:hyperlink r:id="rId295" w:history="1">
              <w:r>
                <w:rPr>
                  <w:rStyle w:val="Lienhypertexte"/>
                  <w:rFonts w:eastAsia="Times New Roman"/>
                </w:rPr>
                <w:t>Aide spécifique aux directions d’écoles maternelles, primaires et fondamentales de l’enseignement ordinaire et spécialisé conditionnée à l’élaboration et à la mise en œuvre des plans de pilotage</w:t>
              </w:r>
            </w:hyperlink>
          </w:p>
        </w:tc>
      </w:tr>
      <w:tr>
        <w:trPr>
          <w:trHeight w:val="70"/>
        </w:trPr>
        <w:tc>
          <w:tcPr>
            <w:tcW w:w="1526" w:type="dxa"/>
          </w:tcPr>
          <w:p>
            <w:pPr>
              <w:jc w:val="center"/>
              <w:rPr>
                <w:bCs/>
                <w:color w:val="000000"/>
                <w:spacing w:val="2"/>
              </w:rPr>
            </w:pPr>
            <w:r>
              <w:rPr>
                <w:bCs/>
                <w:color w:val="000000"/>
                <w:spacing w:val="2"/>
              </w:rPr>
              <w:t>7172</w:t>
            </w:r>
          </w:p>
        </w:tc>
        <w:tc>
          <w:tcPr>
            <w:tcW w:w="2410" w:type="dxa"/>
          </w:tcPr>
          <w:p>
            <w:pPr>
              <w:jc w:val="center"/>
              <w:rPr>
                <w:bCs/>
                <w:color w:val="000000"/>
                <w:spacing w:val="2"/>
              </w:rPr>
            </w:pPr>
            <w:r>
              <w:rPr>
                <w:bCs/>
                <w:color w:val="000000"/>
                <w:spacing w:val="2"/>
              </w:rPr>
              <w:t>7 juin 2019</w:t>
            </w:r>
          </w:p>
        </w:tc>
        <w:tc>
          <w:tcPr>
            <w:tcW w:w="5528" w:type="dxa"/>
          </w:tcPr>
          <w:p>
            <w:pPr>
              <w:rPr>
                <w:rStyle w:val="Lienhypertexte"/>
                <w:rFonts w:eastAsia="Times New Roman"/>
              </w:rPr>
            </w:pPr>
            <w:hyperlink r:id="rId296" w:history="1">
              <w:r>
                <w:rPr>
                  <w:rStyle w:val="Lienhypertexte"/>
                  <w:rFonts w:eastAsia="Times New Roman"/>
                </w:rPr>
                <w:t>Aide spécifique aux directions de l’enseignement fondamental ordinaire et spécialisé</w:t>
              </w:r>
            </w:hyperlink>
          </w:p>
        </w:tc>
      </w:tr>
    </w:tbl>
    <w:p>
      <w:pPr>
        <w:rPr>
          <w:rFonts w:eastAsiaTheme="minorEastAsia"/>
          <w:lang w:eastAsia="fr-BE"/>
        </w:rPr>
      </w:pPr>
      <w:r>
        <w:rPr>
          <w:rFonts w:eastAsiaTheme="minorEastAsia"/>
          <w:noProof/>
          <w:lang w:eastAsia="fr-BE"/>
        </w:rPr>
        <mc:AlternateContent>
          <mc:Choice Requires="wps">
            <w:drawing>
              <wp:anchor distT="0" distB="0" distL="114300" distR="114300" simplePos="0" relativeHeight="252116992" behindDoc="0" locked="0" layoutInCell="1" allowOverlap="1">
                <wp:simplePos x="0" y="0"/>
                <wp:positionH relativeFrom="column">
                  <wp:posOffset>6148070</wp:posOffset>
                </wp:positionH>
                <wp:positionV relativeFrom="paragraph">
                  <wp:posOffset>-339725</wp:posOffset>
                </wp:positionV>
                <wp:extent cx="0" cy="352425"/>
                <wp:effectExtent l="0" t="0" r="19050" b="28575"/>
                <wp:wrapNone/>
                <wp:docPr id="4938" name="Connecteur droit 4938"/>
                <wp:cNvGraphicFramePr/>
                <a:graphic xmlns:a="http://schemas.openxmlformats.org/drawingml/2006/main">
                  <a:graphicData uri="http://schemas.microsoft.com/office/word/2010/wordprocessingShape">
                    <wps:wsp>
                      <wps:cNvCnPr/>
                      <wps:spPr>
                        <a:xfrm>
                          <a:off x="0" y="0"/>
                          <a:ext cx="0" cy="3524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C251650" id="Connecteur droit 4938" o:spid="_x0000_s1026" style="position:absolute;z-index:252116992;visibility:visible;mso-wrap-style:square;mso-wrap-distance-left:9pt;mso-wrap-distance-top:0;mso-wrap-distance-right:9pt;mso-wrap-distance-bottom:0;mso-position-horizontal:absolute;mso-position-horizontal-relative:text;mso-position-vertical:absolute;mso-position-vertical-relative:text" from="484.1pt,-26.75pt" to="484.1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" strokecolor="black [3040]"/>
            </w:pict>
          </mc:Fallback>
        </mc:AlternateContent>
      </w:r>
    </w:p>
    <w:p>
      <w:pPr>
        <w:rPr>
          <w:rFonts w:eastAsiaTheme="minorEastAsia"/>
          <w:lang w:eastAsia="fr-BE"/>
        </w:rPr>
        <w:sectPr>
          <w:headerReference w:type="even" r:id="rId297"/>
          <w:headerReference w:type="default" r:id="rId298"/>
          <w:footerReference w:type="even" r:id="rId299"/>
          <w:headerReference w:type="first" r:id="rId300"/>
          <w:type w:val="nextColumn"/>
          <w:pgSz w:w="11906" w:h="16838"/>
          <w:pgMar w:top="1134" w:right="1134" w:bottom="1134" w:left="1418" w:header="708" w:footer="743" w:gutter="0"/>
          <w:cols w:space="708"/>
          <w:titlePg/>
          <w:docGrid w:linePitch="360"/>
        </w:sectPr>
      </w:pPr>
      <w:r>
        <w:rPr>
          <w:rFonts w:eastAsiaTheme="minorEastAsia"/>
          <w:lang w:eastAsia="fr-BE"/>
        </w:rPr>
        <w:br w:type="page"/>
      </w:r>
    </w:p>
    <w:p/>
    <w:p>
      <w:pPr>
        <w:jc w:val="center"/>
      </w:pPr>
    </w:p>
    <w:p>
      <w:pPr>
        <w:pStyle w:val="Titre2"/>
      </w:pPr>
      <w:bookmarkStart w:id="3575" w:name="_Toc18914556"/>
      <w:r>
        <w:t>INDEX IV : Schéma de principe du processus administratif</w:t>
      </w:r>
      <w:bookmarkEnd w:id="3575"/>
    </w:p>
    <w:p>
      <w:pPr>
        <w:jc w:val="center"/>
      </w:pPr>
    </w:p>
    <w:p>
      <w:pPr>
        <w:jc w:val="center"/>
      </w:pPr>
      <w:r>
        <w:t xml:space="preserve">Ce schéma reprend les principaux documents demandés aux établissements dans le cadre du calcul des capitaux-périodes (qui aboutit à la dépêche 101) et du contrôle de l’utilisation des capitaux-périodes (qui aboutit à la dépêche 102) </w:t>
      </w:r>
    </w:p>
    <w:p>
      <w:pPr>
        <w:pStyle w:val="Corpsdetexte"/>
      </w:pPr>
      <w:bookmarkStart w:id="3576" w:name="_Enseignement_fondamental"/>
      <w:bookmarkEnd w:id="3576"/>
    </w:p>
    <w:p>
      <w:r>
        <w:rPr>
          <w:noProof/>
          <w:lang w:eastAsia="fr-BE"/>
        </w:rPr>
        <mc:AlternateContent>
          <mc:Choice Requires="wps">
            <w:drawing>
              <wp:anchor distT="0" distB="0" distL="114300" distR="114300" simplePos="0" relativeHeight="251941888" behindDoc="0" locked="0" layoutInCell="1" allowOverlap="1">
                <wp:simplePos x="0" y="0"/>
                <wp:positionH relativeFrom="column">
                  <wp:posOffset>6828238</wp:posOffset>
                </wp:positionH>
                <wp:positionV relativeFrom="paragraph">
                  <wp:posOffset>156043</wp:posOffset>
                </wp:positionV>
                <wp:extent cx="2705431" cy="1319917"/>
                <wp:effectExtent l="19050" t="19050" r="19050" b="13970"/>
                <wp:wrapNone/>
                <wp:docPr id="65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431" cy="1319917"/>
                        </a:xfrm>
                        <a:prstGeom prst="rect">
                          <a:avLst/>
                        </a:prstGeom>
                        <a:solidFill>
                          <a:srgbClr val="FFFFFF"/>
                        </a:solidFill>
                        <a:ln w="28575">
                          <a:solidFill>
                            <a:srgbClr val="800080"/>
                          </a:solidFill>
                          <a:miter lim="800000"/>
                          <a:headEnd/>
                          <a:tailEnd/>
                        </a:ln>
                      </wps:spPr>
                      <wps:txbx>
                        <w:txbxContent>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72" type="#_x0000_t202" style="position:absolute;margin-left:537.65pt;margin-top:12.3pt;width:213.05pt;height:103.9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" strokecolor="purple" strokeweight="2.25pt">
                <v:textbox>
                  <w:txbxContent>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txbxContent>
                </v:textbox>
              </v:shape>
            </w:pict>
          </mc:Fallback>
        </mc:AlternateContent>
      </w:r>
      <w:r>
        <w:rPr>
          <w:noProof/>
          <w:lang w:eastAsia="fr-BE"/>
        </w:rPr>
        <mc:AlternateContent>
          <mc:Choice Requires="wps">
            <w:drawing>
              <wp:anchor distT="0" distB="0" distL="114300" distR="114300" simplePos="0" relativeHeight="251940864" behindDoc="0" locked="0" layoutInCell="1" allowOverlap="1">
                <wp:simplePos x="0" y="0"/>
                <wp:positionH relativeFrom="column">
                  <wp:posOffset>3202442</wp:posOffset>
                </wp:positionH>
                <wp:positionV relativeFrom="paragraph">
                  <wp:posOffset>124239</wp:posOffset>
                </wp:positionV>
                <wp:extent cx="3029447" cy="1375576"/>
                <wp:effectExtent l="19050" t="19050" r="19050" b="15240"/>
                <wp:wrapNone/>
                <wp:docPr id="65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9447" cy="1375576"/>
                        </a:xfrm>
                        <a:prstGeom prst="rect">
                          <a:avLst/>
                        </a:prstGeom>
                        <a:solidFill>
                          <a:srgbClr val="FFFFFF"/>
                        </a:solidFill>
                        <a:ln w="28575">
                          <a:solidFill>
                            <a:srgbClr val="3366FF"/>
                          </a:solidFill>
                          <a:miter lim="800000"/>
                          <a:headEnd/>
                          <a:tailEnd/>
                        </a:ln>
                      </wps:spPr>
                      <wps:txbx>
                        <w:txbxContent>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73" type="#_x0000_t202" style="position:absolute;margin-left:252.15pt;margin-top:9.8pt;width:238.55pt;height:108.3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" strokecolor="#36f" strokeweight="2.25pt">
                <v:textbox>
                  <w:txbxContent>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txbxContent>
                </v:textbox>
              </v:shape>
            </w:pict>
          </mc:Fallback>
        </mc:AlternateContent>
      </w:r>
    </w:p>
    <w:p>
      <w:r>
        <w:rPr>
          <w:noProof/>
          <w:lang w:eastAsia="fr-BE"/>
        </w:rPr>
        <mc:AlternateContent>
          <mc:Choice Requires="wps">
            <w:drawing>
              <wp:anchor distT="0" distB="0" distL="114300" distR="114300" simplePos="0" relativeHeight="251937792" behindDoc="0" locked="0" layoutInCell="1" allowOverlap="1">
                <wp:simplePos x="0" y="0"/>
                <wp:positionH relativeFrom="column">
                  <wp:posOffset>395632</wp:posOffset>
                </wp:positionH>
                <wp:positionV relativeFrom="paragraph">
                  <wp:posOffset>63776</wp:posOffset>
                </wp:positionV>
                <wp:extent cx="2496599" cy="985962"/>
                <wp:effectExtent l="0" t="0" r="18415" b="24130"/>
                <wp:wrapNone/>
                <wp:docPr id="65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6599" cy="985962"/>
                        </a:xfrm>
                        <a:prstGeom prst="rect">
                          <a:avLst/>
                        </a:prstGeom>
                        <a:solidFill>
                          <a:srgbClr val="FFFFFF"/>
                        </a:solidFill>
                        <a:ln w="9525">
                          <a:solidFill>
                            <a:srgbClr val="FF0000"/>
                          </a:solidFill>
                          <a:miter lim="800000"/>
                          <a:headEnd/>
                          <a:tailEnd/>
                        </a:ln>
                      </wps:spPr>
                      <wps:txbx>
                        <w:txbxContent>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74" type="#_x0000_t202" style="position:absolute;margin-left:31.15pt;margin-top:5pt;width:196.6pt;height:77.6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" strokecolor="red">
                <v:textbox>
                  <w:txbxContent>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txbxContent>
                </v:textbox>
              </v:shape>
            </w:pict>
          </mc:Fallback>
        </mc:AlternateContent>
      </w:r>
    </w:p>
    <w:p/>
    <w:p/>
    <w:p/>
    <w:p/>
    <w:p/>
    <w:p>
      <w:r>
        <w:rPr>
          <w:noProof/>
          <w:lang w:eastAsia="fr-BE"/>
        </w:rPr>
        <mc:AlternateContent>
          <mc:Choice Requires="wps">
            <w:drawing>
              <wp:anchor distT="0" distB="0" distL="114300" distR="114300" simplePos="0" relativeHeight="251942912" behindDoc="0" locked="0" layoutInCell="1" allowOverlap="1">
                <wp:simplePos x="0" y="0"/>
                <wp:positionH relativeFrom="column">
                  <wp:posOffset>8237855</wp:posOffset>
                </wp:positionH>
                <wp:positionV relativeFrom="paragraph">
                  <wp:posOffset>69850</wp:posOffset>
                </wp:positionV>
                <wp:extent cx="0" cy="546100"/>
                <wp:effectExtent l="60325" t="14605" r="53975" b="10795"/>
                <wp:wrapNone/>
                <wp:docPr id="656"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546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DA09C5" id="Line 11" o:spid="_x0000_s1026" style="position:absolute;flip:x y;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8.65pt,5.5pt" to="648.65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">
                <v:stroke endarrow="block"/>
              </v:line>
            </w:pict>
          </mc:Fallback>
        </mc:AlternateContent>
      </w:r>
      <w:r>
        <w:rPr>
          <w:noProof/>
          <w:lang w:eastAsia="fr-BE"/>
        </w:rPr>
        <mc:AlternateContent>
          <mc:Choice Requires="wps">
            <w:drawing>
              <wp:anchor distT="0" distB="0" distL="114300" distR="114300" simplePos="0" relativeHeight="251949056" behindDoc="0" locked="0" layoutInCell="1" allowOverlap="1">
                <wp:simplePos x="0" y="0"/>
                <wp:positionH relativeFrom="column">
                  <wp:posOffset>4572000</wp:posOffset>
                </wp:positionH>
                <wp:positionV relativeFrom="paragraph">
                  <wp:posOffset>41910</wp:posOffset>
                </wp:positionV>
                <wp:extent cx="0" cy="506730"/>
                <wp:effectExtent l="61595" t="15240" r="52705" b="11430"/>
                <wp:wrapNone/>
                <wp:docPr id="657"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067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AB7574" id="Line 12" o:spid="_x0000_s1026" style="position:absolute;flip:y;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3.3pt" to="5in,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">
                <v:stroke endarrow="block"/>
              </v:line>
            </w:pict>
          </mc:Fallback>
        </mc:AlternateContent>
      </w:r>
    </w:p>
    <w:p>
      <w:pPr>
        <w:tabs>
          <w:tab w:val="left" w:pos="3435"/>
        </w:tabs>
      </w:pPr>
      <w:r>
        <w:tab/>
      </w:r>
    </w:p>
    <w:p/>
    <w:p>
      <w:r>
        <w:rPr>
          <w:noProof/>
          <w:lang w:eastAsia="fr-BE"/>
        </w:rPr>
        <mc:AlternateContent>
          <mc:Choice Requires="wps">
            <w:drawing>
              <wp:anchor distT="0" distB="0" distL="114300" distR="114300" simplePos="0" relativeHeight="251950080" behindDoc="0" locked="0" layoutInCell="1" allowOverlap="1">
                <wp:simplePos x="0" y="0"/>
                <wp:positionH relativeFrom="column">
                  <wp:posOffset>7159625</wp:posOffset>
                </wp:positionH>
                <wp:positionV relativeFrom="paragraph">
                  <wp:posOffset>113030</wp:posOffset>
                </wp:positionV>
                <wp:extent cx="2171700" cy="571500"/>
                <wp:effectExtent l="10795" t="10160" r="17780" b="18415"/>
                <wp:wrapNone/>
                <wp:docPr id="658"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71500"/>
                        </a:xfrm>
                        <a:prstGeom prst="roundRect">
                          <a:avLst>
                            <a:gd name="adj" fmla="val 16667"/>
                          </a:avLst>
                        </a:prstGeom>
                        <a:solidFill>
                          <a:srgbClr val="FFFFFF"/>
                        </a:solidFill>
                        <a:ln w="19050">
                          <a:solidFill>
                            <a:srgbClr val="800080"/>
                          </a:solidFill>
                          <a:round/>
                          <a:headEnd/>
                          <a:tailEnd/>
                        </a:ln>
                      </wps:spPr>
                      <wps:txbx>
                        <w:txbxContent>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 o:spid="_x0000_s1075" style="position:absolute;margin-left:563.75pt;margin-top:8.9pt;width:171pt;height:4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" strokecolor="purple" strokeweight="1.5pt">
                <v:textbox>
                  <w:txbxContent>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txbxContent>
                </v:textbox>
              </v:roundrect>
            </w:pict>
          </mc:Fallback>
        </mc:AlternateContent>
      </w:r>
      <w:r>
        <w:rPr>
          <w:noProof/>
          <w:lang w:eastAsia="fr-BE"/>
        </w:rPr>
        <mc:AlternateContent>
          <mc:Choice Requires="wps">
            <w:drawing>
              <wp:anchor distT="0" distB="0" distL="114300" distR="114300" simplePos="0" relativeHeight="251943936" behindDoc="0" locked="0" layoutInCell="1" allowOverlap="1">
                <wp:simplePos x="0" y="0"/>
                <wp:positionH relativeFrom="column">
                  <wp:posOffset>344805</wp:posOffset>
                </wp:positionH>
                <wp:positionV relativeFrom="paragraph">
                  <wp:posOffset>45720</wp:posOffset>
                </wp:positionV>
                <wp:extent cx="1828800" cy="571500"/>
                <wp:effectExtent l="15875" t="9525" r="12700" b="9525"/>
                <wp:wrapNone/>
                <wp:docPr id="659"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571500"/>
                        </a:xfrm>
                        <a:prstGeom prst="roundRect">
                          <a:avLst>
                            <a:gd name="adj" fmla="val 16667"/>
                          </a:avLst>
                        </a:prstGeom>
                        <a:solidFill>
                          <a:srgbClr val="FFFFFF"/>
                        </a:solidFill>
                        <a:ln w="19050">
                          <a:solidFill>
                            <a:srgbClr val="FF0000"/>
                          </a:solidFill>
                          <a:round/>
                          <a:headEnd/>
                          <a:tailEnd/>
                        </a:ln>
                      </wps:spPr>
                      <wps:txbx>
                        <w:txbxContent>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 o:spid="_x0000_s1076" style="position:absolute;margin-left:27.15pt;margin-top:3.6pt;width:2in;height:4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" strokecolor="red" strokeweight="1.5pt">
                <v:textbox>
                  <w:txbxContent>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txbxContent>
                </v:textbox>
              </v:roundrect>
            </w:pict>
          </mc:Fallback>
        </mc:AlternateContent>
      </w:r>
      <w:r>
        <w:rPr>
          <w:noProof/>
          <w:lang w:eastAsia="fr-BE"/>
        </w:rPr>
        <mc:AlternateContent>
          <mc:Choice Requires="wps">
            <w:drawing>
              <wp:anchor distT="0" distB="0" distL="114300" distR="114300" simplePos="0" relativeHeight="251944960" behindDoc="0" locked="0" layoutInCell="1" allowOverlap="1">
                <wp:simplePos x="0" y="0"/>
                <wp:positionH relativeFrom="column">
                  <wp:posOffset>3314700</wp:posOffset>
                </wp:positionH>
                <wp:positionV relativeFrom="paragraph">
                  <wp:posOffset>45720</wp:posOffset>
                </wp:positionV>
                <wp:extent cx="2628900" cy="571500"/>
                <wp:effectExtent l="13970" t="9525" r="14605" b="9525"/>
                <wp:wrapNone/>
                <wp:docPr id="660"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8900" cy="571500"/>
                        </a:xfrm>
                        <a:prstGeom prst="roundRect">
                          <a:avLst>
                            <a:gd name="adj" fmla="val 16667"/>
                          </a:avLst>
                        </a:prstGeom>
                        <a:solidFill>
                          <a:srgbClr val="FFFFFF"/>
                        </a:solidFill>
                        <a:ln w="19050">
                          <a:solidFill>
                            <a:srgbClr val="3366FF"/>
                          </a:solidFill>
                          <a:round/>
                          <a:headEnd/>
                          <a:tailEnd/>
                        </a:ln>
                      </wps:spPr>
                      <wps:txbx>
                        <w:txbxContent>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 o:spid="_x0000_s1077" style="position:absolute;margin-left:261pt;margin-top:3.6pt;width:207pt;height:4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" strokecolor="#36f" strokeweight="1.5pt">
                <v:textbox>
                  <w:txbxContent>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txbxContent>
                </v:textbox>
              </v:roundrect>
            </w:pict>
          </mc:Fallback>
        </mc:AlternateContent>
      </w:r>
    </w:p>
    <w:p>
      <w:r>
        <w:rPr>
          <w:noProof/>
          <w:lang w:eastAsia="fr-BE"/>
        </w:rPr>
        <mc:AlternateContent>
          <mc:Choice Requires="wps">
            <w:drawing>
              <wp:anchor distT="0" distB="0" distL="114300" distR="114300" simplePos="0" relativeHeight="251948032" behindDoc="0" locked="0" layoutInCell="1" allowOverlap="1">
                <wp:simplePos x="0" y="0"/>
                <wp:positionH relativeFrom="column">
                  <wp:posOffset>2173605</wp:posOffset>
                </wp:positionH>
                <wp:positionV relativeFrom="paragraph">
                  <wp:posOffset>140335</wp:posOffset>
                </wp:positionV>
                <wp:extent cx="1143000" cy="0"/>
                <wp:effectExtent l="6350" t="53340" r="22225" b="60960"/>
                <wp:wrapNone/>
                <wp:docPr id="661"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04D8C7" id="Line 16" o:spid="_x0000_s1026" style="position:absolute;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15pt,11.05pt" to="261.1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">
                <v:stroke endarrow="block"/>
              </v:line>
            </w:pict>
          </mc:Fallback>
        </mc:AlternateContent>
      </w:r>
    </w:p>
    <w:p>
      <w:r>
        <w:rPr>
          <w:noProof/>
          <w:lang w:eastAsia="fr-BE"/>
        </w:rPr>
        <mc:AlternateContent>
          <mc:Choice Requires="wps">
            <w:drawing>
              <wp:anchor distT="0" distB="0" distL="114300" distR="114300" simplePos="0" relativeHeight="251951104" behindDoc="0" locked="0" layoutInCell="1" allowOverlap="1">
                <wp:simplePos x="0" y="0"/>
                <wp:positionH relativeFrom="column">
                  <wp:posOffset>5943600</wp:posOffset>
                </wp:positionH>
                <wp:positionV relativeFrom="paragraph">
                  <wp:posOffset>15240</wp:posOffset>
                </wp:positionV>
                <wp:extent cx="1216025" cy="0"/>
                <wp:effectExtent l="13970" t="58420" r="17780" b="55880"/>
                <wp:wrapNone/>
                <wp:docPr id="662"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60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97D0E7" id="Line 17" o:spid="_x0000_s1026" style="position:absolute;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8pt,1.2pt" to="563.7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">
                <v:stroke endarrow="block"/>
              </v:line>
            </w:pict>
          </mc:Fallback>
        </mc:AlternateContent>
      </w:r>
    </w:p>
    <w:p>
      <w:pPr>
        <w:tabs>
          <w:tab w:val="left" w:pos="4200"/>
          <w:tab w:val="left" w:pos="5655"/>
        </w:tabs>
      </w:pPr>
      <w:r>
        <w:rPr>
          <w:noProof/>
          <w:lang w:eastAsia="fr-BE"/>
        </w:rPr>
        <mc:AlternateContent>
          <mc:Choice Requires="wps">
            <w:drawing>
              <wp:anchor distT="0" distB="0" distL="114300" distR="114300" simplePos="0" relativeHeight="251947008" behindDoc="0" locked="0" layoutInCell="1" allowOverlap="1">
                <wp:simplePos x="0" y="0"/>
                <wp:positionH relativeFrom="column">
                  <wp:posOffset>1244600</wp:posOffset>
                </wp:positionH>
                <wp:positionV relativeFrom="paragraph">
                  <wp:posOffset>114300</wp:posOffset>
                </wp:positionV>
                <wp:extent cx="9525" cy="318135"/>
                <wp:effectExtent l="58420" t="20955" r="46355" b="13335"/>
                <wp:wrapNone/>
                <wp:docPr id="663"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25" cy="3181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FCA9B4" id="Line 18" o:spid="_x0000_s1026" style="position:absolute;flip:x y;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pt,9pt" to="98.7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">
                <v:stroke endarrow="block"/>
              </v:line>
            </w:pict>
          </mc:Fallback>
        </mc:AlternateContent>
      </w:r>
      <w:r>
        <w:tab/>
      </w:r>
      <w:r>
        <w:tab/>
      </w:r>
    </w:p>
    <w:p/>
    <w:p>
      <w:r>
        <w:rPr>
          <w:noProof/>
          <w:lang w:eastAsia="fr-BE"/>
        </w:rPr>
        <mc:AlternateContent>
          <mc:Choice Requires="wps">
            <w:drawing>
              <wp:anchor distT="0" distB="0" distL="114300" distR="114300" simplePos="0" relativeHeight="251945984" behindDoc="0" locked="0" layoutInCell="1" allowOverlap="1">
                <wp:simplePos x="0" y="0"/>
                <wp:positionH relativeFrom="column">
                  <wp:posOffset>342900</wp:posOffset>
                </wp:positionH>
                <wp:positionV relativeFrom="paragraph">
                  <wp:posOffset>108585</wp:posOffset>
                </wp:positionV>
                <wp:extent cx="1828800" cy="342900"/>
                <wp:effectExtent l="13970" t="17780" r="14605" b="10795"/>
                <wp:wrapNone/>
                <wp:docPr id="665"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42900"/>
                        </a:xfrm>
                        <a:prstGeom prst="roundRect">
                          <a:avLst>
                            <a:gd name="adj" fmla="val 16667"/>
                          </a:avLst>
                        </a:prstGeom>
                        <a:solidFill>
                          <a:srgbClr val="FFFFFF"/>
                        </a:solidFill>
                        <a:ln w="19050">
                          <a:solidFill>
                            <a:srgbClr val="339966"/>
                          </a:solidFill>
                          <a:round/>
                          <a:headEnd/>
                          <a:tailEnd/>
                        </a:ln>
                      </wps:spPr>
                      <wps:txbx>
                        <w:txbxContent>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 o:spid="_x0000_s1078" style="position:absolute;margin-left:27pt;margin-top:8.55pt;width:2in;height:27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" strokecolor="#396" strokeweight="1.5pt">
                <v:textbox>
                  <w:txbxContent>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txbxContent>
                </v:textbox>
              </v:roundrect>
            </w:pict>
          </mc:Fallback>
        </mc:AlternateContent>
      </w:r>
    </w:p>
    <w:p>
      <w:r>
        <w:rPr>
          <w:noProof/>
          <w:lang w:eastAsia="fr-BE"/>
        </w:rPr>
        <mc:AlternateContent>
          <mc:Choice Requires="wps">
            <w:drawing>
              <wp:anchor distT="0" distB="0" distL="114300" distR="114300" simplePos="0" relativeHeight="251939840" behindDoc="0" locked="0" layoutInCell="1" allowOverlap="1">
                <wp:simplePos x="0" y="0"/>
                <wp:positionH relativeFrom="column">
                  <wp:posOffset>6919595</wp:posOffset>
                </wp:positionH>
                <wp:positionV relativeFrom="paragraph">
                  <wp:posOffset>8890</wp:posOffset>
                </wp:positionV>
                <wp:extent cx="2609850" cy="1162685"/>
                <wp:effectExtent l="0" t="0" r="19050" b="18415"/>
                <wp:wrapNone/>
                <wp:docPr id="664"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1162685"/>
                        </a:xfrm>
                        <a:prstGeom prst="rect">
                          <a:avLst/>
                        </a:prstGeom>
                        <a:solidFill>
                          <a:srgbClr val="FFFFFF"/>
                        </a:solidFill>
                        <a:ln w="9525">
                          <a:solidFill>
                            <a:srgbClr val="800080"/>
                          </a:solidFill>
                          <a:miter lim="800000"/>
                          <a:headEnd/>
                          <a:tailEnd/>
                        </a:ln>
                      </wps:spPr>
                      <wps:txbx>
                        <w:txbxContent>
                          <w:p>
                            <w:pPr>
                              <w:rPr>
                                <w:sz w:val="20"/>
                              </w:rPr>
                            </w:pPr>
                            <w:r>
                              <w:rPr>
                                <w:b/>
                                <w:sz w:val="20"/>
                                <w:u w:val="single"/>
                              </w:rPr>
                              <w:t>But</w:t>
                            </w:r>
                            <w:r>
                              <w:rPr>
                                <w:sz w:val="20"/>
                              </w:rPr>
                              <w:t xml:space="preserve"> : Communiquer la répartition des périodes. </w:t>
                            </w:r>
                          </w:p>
                          <w:p>
                            <w:pPr>
                              <w:rPr>
                                <w:sz w:val="20"/>
                              </w:rPr>
                            </w:pPr>
                          </w:p>
                          <w:p>
                            <w:pPr>
                              <w:rPr>
                                <w:sz w:val="20"/>
                              </w:rPr>
                            </w:pPr>
                            <w:r>
                              <w:rPr>
                                <w:b/>
                                <w:sz w:val="20"/>
                                <w:u w:val="single"/>
                              </w:rPr>
                              <w:t>Enjeux</w:t>
                            </w:r>
                            <w:r>
                              <w:rPr>
                                <w:sz w:val="20"/>
                              </w:rPr>
                              <w:t> : Travail final de toutes les démarches administratives de ce processus entreprises durant l’année. Utilisation optimale du CPU.</w:t>
                            </w:r>
                          </w:p>
                          <w:p>
                            <w:pPr>
                              <w:rPr>
                                <w:sz w:val="20"/>
                              </w:rPr>
                            </w:pPr>
                          </w:p>
                          <w:p/>
                          <w:p>
                            <w:pPr>
                              <w:rPr>
                                <w:sz w:val="20"/>
                              </w:rPr>
                            </w:pPr>
                            <w:r>
                              <w:rPr>
                                <w:b/>
                                <w:sz w:val="20"/>
                                <w:u w:val="single"/>
                              </w:rPr>
                              <w:t>But</w:t>
                            </w:r>
                            <w:r>
                              <w:rPr>
                                <w:sz w:val="20"/>
                              </w:rPr>
                              <w:t xml:space="preserve"> : Communiquer la répartition des périodes. </w:t>
                            </w:r>
                          </w:p>
                          <w:p>
                            <w:pPr>
                              <w:rPr>
                                <w:sz w:val="20"/>
                              </w:rPr>
                            </w:pPr>
                          </w:p>
                          <w:p>
                            <w:pPr>
                              <w:rPr>
                                <w:sz w:val="20"/>
                              </w:rPr>
                            </w:pPr>
                            <w:r>
                              <w:rPr>
                                <w:b/>
                                <w:sz w:val="20"/>
                                <w:u w:val="single"/>
                              </w:rPr>
                              <w:t>Enjeux</w:t>
                            </w:r>
                            <w:r>
                              <w:rPr>
                                <w:sz w:val="20"/>
                              </w:rPr>
                              <w:t> : Travail final de toutes les démarches administratives de ce processus entreprises durant l’année. Utilisation optimale du CPU.</w:t>
                            </w:r>
                          </w:p>
                          <w:p>
                            <w:pPr>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79" type="#_x0000_t202" style="position:absolute;margin-left:544.85pt;margin-top:.7pt;width:205.5pt;height:91.5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" strokecolor="purple">
                <v:textbox>
                  <w:txbxContent>
                    <w:p>
                      <w:pPr>
                        <w:rPr>
                          <w:sz w:val="20"/>
                        </w:rPr>
                      </w:pPr>
                      <w:r>
                        <w:rPr>
                          <w:b/>
                          <w:sz w:val="20"/>
                          <w:u w:val="single"/>
                        </w:rPr>
                        <w:t>But</w:t>
                      </w:r>
                      <w:r>
                        <w:rPr>
                          <w:sz w:val="20"/>
                        </w:rPr>
                        <w:t xml:space="preserve"> : Communiquer la répartition des périodes. </w:t>
                      </w:r>
                    </w:p>
                    <w:p>
                      <w:pPr>
                        <w:rPr>
                          <w:sz w:val="20"/>
                        </w:rPr>
                      </w:pPr>
                    </w:p>
                    <w:p>
                      <w:pPr>
                        <w:rPr>
                          <w:sz w:val="20"/>
                        </w:rPr>
                      </w:pPr>
                      <w:r>
                        <w:rPr>
                          <w:b/>
                          <w:sz w:val="20"/>
                          <w:u w:val="single"/>
                        </w:rPr>
                        <w:t>Enjeux</w:t>
                      </w:r>
                      <w:r>
                        <w:rPr>
                          <w:sz w:val="20"/>
                        </w:rPr>
                        <w:t> : Travail final de toutes les démarches administratives de ce processus entreprises durant l’année. Utilisation optimale du CPU.</w:t>
                      </w:r>
                    </w:p>
                    <w:p>
                      <w:pPr>
                        <w:rPr>
                          <w:sz w:val="20"/>
                        </w:rPr>
                      </w:pPr>
                    </w:p>
                    <w:p/>
                    <w:p>
                      <w:pPr>
                        <w:rPr>
                          <w:sz w:val="20"/>
                        </w:rPr>
                      </w:pPr>
                      <w:r>
                        <w:rPr>
                          <w:b/>
                          <w:sz w:val="20"/>
                          <w:u w:val="single"/>
                        </w:rPr>
                        <w:t>But</w:t>
                      </w:r>
                      <w:r>
                        <w:rPr>
                          <w:sz w:val="20"/>
                        </w:rPr>
                        <w:t xml:space="preserve"> : Communiquer la répartition des périodes. </w:t>
                      </w:r>
                    </w:p>
                    <w:p>
                      <w:pPr>
                        <w:rPr>
                          <w:sz w:val="20"/>
                        </w:rPr>
                      </w:pPr>
                    </w:p>
                    <w:p>
                      <w:pPr>
                        <w:rPr>
                          <w:sz w:val="20"/>
                        </w:rPr>
                      </w:pPr>
                      <w:r>
                        <w:rPr>
                          <w:b/>
                          <w:sz w:val="20"/>
                          <w:u w:val="single"/>
                        </w:rPr>
                        <w:t>Enjeux</w:t>
                      </w:r>
                      <w:r>
                        <w:rPr>
                          <w:sz w:val="20"/>
                        </w:rPr>
                        <w:t> : Travail final de toutes les démarches administratives de ce processus entreprises durant l’année. Utilisation optimale du CPU.</w:t>
                      </w:r>
                    </w:p>
                    <w:p>
                      <w:pPr>
                        <w:rPr>
                          <w:sz w:val="20"/>
                        </w:rPr>
                      </w:pPr>
                    </w:p>
                  </w:txbxContent>
                </v:textbox>
              </v:shape>
            </w:pict>
          </mc:Fallback>
        </mc:AlternateContent>
      </w:r>
    </w:p>
    <w:p/>
    <w:p/>
    <w:p>
      <w:r>
        <w:rPr>
          <w:noProof/>
          <w:lang w:eastAsia="fr-BE"/>
        </w:rPr>
        <mc:AlternateContent>
          <mc:Choice Requires="wps">
            <w:drawing>
              <wp:anchor distT="0" distB="0" distL="114300" distR="114300" simplePos="0" relativeHeight="251938816" behindDoc="0" locked="0" layoutInCell="1" allowOverlap="1">
                <wp:simplePos x="0" y="0"/>
                <wp:positionH relativeFrom="margin">
                  <wp:align>left</wp:align>
                </wp:positionH>
                <wp:positionV relativeFrom="paragraph">
                  <wp:posOffset>10381</wp:posOffset>
                </wp:positionV>
                <wp:extent cx="2973788" cy="667909"/>
                <wp:effectExtent l="0" t="0" r="17145" b="18415"/>
                <wp:wrapNone/>
                <wp:docPr id="66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3788" cy="667909"/>
                        </a:xfrm>
                        <a:prstGeom prst="rect">
                          <a:avLst/>
                        </a:prstGeom>
                        <a:solidFill>
                          <a:srgbClr val="FFFFFF"/>
                        </a:solidFill>
                        <a:ln w="9525">
                          <a:solidFill>
                            <a:srgbClr val="339966"/>
                          </a:solidFill>
                          <a:miter lim="800000"/>
                          <a:headEnd/>
                          <a:tailEnd/>
                        </a:ln>
                      </wps:spPr>
                      <wps:txbx>
                        <w:txbxContent>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80" type="#_x0000_t202" style="position:absolute;margin-left:0;margin-top:.8pt;width:234.15pt;height:52.6pt;z-index:2519388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" strokecolor="#396">
                <v:textbox>
                  <w:txbxContent>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txbxContent>
                </v:textbox>
                <w10:wrap anchorx="margin"/>
              </v:shape>
            </w:pict>
          </mc:Fallback>
        </mc:AlternateContent>
      </w:r>
    </w:p>
    <w:p/>
    <w:p/>
    <w:p/>
    <w:p>
      <w:pPr>
        <w:pStyle w:val="Corpsdetexte"/>
      </w:pPr>
    </w:p>
    <w:p>
      <w:pPr>
        <w:pStyle w:val="Titre3"/>
        <w:rPr>
          <w:lang w:eastAsia="fr-BE"/>
        </w:rPr>
      </w:pPr>
    </w:p>
    <w:sectPr>
      <w:type w:val="nextColumn"/>
      <w:pgSz w:w="16838" w:h="11906" w:orient="landscape"/>
      <w:pgMar w:top="1134" w:right="1134" w:bottom="1134" w:left="1418" w:header="709" w:footer="1452"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High Tower Text">
    <w:panose1 w:val="02040502050506030303"/>
    <w:charset w:val="00"/>
    <w:family w:val="roman"/>
    <w:pitch w:val="variable"/>
    <w:sig w:usb0="00000003" w:usb1="00000000" w:usb2="00000000" w:usb3="00000000" w:csb0="00000001" w:csb1="00000000"/>
  </w:font>
  <w:font w:name="Goudy Old Style">
    <w:panose1 w:val="02020502050305020303"/>
    <w:charset w:val="00"/>
    <w:family w:val="roman"/>
    <w:pitch w:val="variable"/>
    <w:sig w:usb0="00000003" w:usb1="00000000" w:usb2="00000000" w:usb3="00000000" w:csb0="00000001" w:csb1="00000000"/>
  </w:font>
  <w:font w:name="OpenSymbol">
    <w:altName w:val="MS Gothic"/>
    <w:panose1 w:val="05010000000000000000"/>
    <w:charset w:val="80"/>
    <w:family w:val="auto"/>
    <w:pitch w:val="default"/>
  </w:font>
  <w:font w:name="TimesNewRomanPSMT">
    <w:altName w:val="Times New Roman"/>
    <w:charset w:val="00"/>
    <w:family w:val="roman"/>
    <w:pitch w:val="default"/>
  </w:font>
  <w:font w:name="Wingdings 3">
    <w:panose1 w:val="05040102010807070707"/>
    <w:charset w:val="02"/>
    <w:family w:val="roman"/>
    <w:pitch w:val="variable"/>
    <w:sig w:usb0="00000000" w:usb1="10000000" w:usb2="00000000" w:usb3="00000000" w:csb0="80000000" w:csb1="00000000"/>
  </w:font>
  <w:font w:name="Century">
    <w:panose1 w:val="02040604050505020304"/>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SabonMT">
    <w:panose1 w:val="00000000000000000000"/>
    <w:charset w:val="00"/>
    <w:family w:val="auto"/>
    <w:notTrueType/>
    <w:pitch w:val="default"/>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enturySchoolbook">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enturySchoolbook,Bold">
    <w:altName w:val="Times New Roman"/>
    <w:charset w:val="00"/>
    <w:family w:val="auto"/>
    <w:pitch w:val="default"/>
  </w:font>
  <w:font w:name="Roboto">
    <w:panose1 w:val="02000000000000000000"/>
    <w:charset w:val="00"/>
    <w:family w:val="auto"/>
    <w:pitch w:val="variable"/>
    <w:sig w:usb0="E0000AFF" w:usb1="5000217F" w:usb2="00000021" w:usb3="00000000" w:csb0="0000019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8938969"/>
      <w:docPartObj>
        <w:docPartGallery w:val="Page Numbers (Bottom of Page)"/>
        <w:docPartUnique/>
      </w:docPartObj>
    </w:sdtPr>
    <w:sdtContent>
      <w:p>
        <w:pPr>
          <w:pStyle w:val="Pieddepage"/>
          <w:jc w:val="right"/>
        </w:pPr>
        <w:r>
          <w:fldChar w:fldCharType="begin"/>
        </w:r>
        <w:r>
          <w:instrText>PAGE   \* MERGEFORMAT</w:instrText>
        </w:r>
        <w:r>
          <w:fldChar w:fldCharType="separate"/>
        </w:r>
        <w:r>
          <w:rPr>
            <w:noProof/>
            <w:lang w:val="fr-FR"/>
          </w:rPr>
          <w:t>87</w:t>
        </w:r>
        <w:r>
          <w:fldChar w:fldCharType="end"/>
        </w:r>
      </w:p>
    </w:sdtContent>
  </w:sdt>
  <w:p>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rPr>
        <w:sz w:val="23"/>
        <w:szCs w:val="23"/>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19022988"/>
      <w:docPartObj>
        <w:docPartGallery w:val="Page Numbers (Bottom of Page)"/>
        <w:docPartUnique/>
      </w:docPartObj>
    </w:sdtPr>
    <w:sdtContent>
      <w:p>
        <w:pPr>
          <w:pStyle w:val="Pieddepage"/>
          <w:jc w:val="right"/>
        </w:pPr>
        <w:r>
          <w:fldChar w:fldCharType="begin"/>
        </w:r>
        <w:r>
          <w:instrText>PAGE   \* MERGEFORMAT</w:instrText>
        </w:r>
        <w:r>
          <w:fldChar w:fldCharType="separate"/>
        </w:r>
        <w:r>
          <w:rPr>
            <w:noProof/>
            <w:lang w:val="fr-FR"/>
          </w:rPr>
          <w:t>88</w:t>
        </w:r>
        <w:r>
          <w:fldChar w:fldCharType="end"/>
        </w:r>
      </w:p>
    </w:sdtContent>
  </w:sdt>
  <w:p>
    <w:pPr>
      <w:jc w:val="center"/>
      <w:rPr>
        <w:sz w:val="23"/>
        <w:szCs w:val="23"/>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31082360"/>
      <w:docPartObj>
        <w:docPartGallery w:val="Page Numbers (Bottom of Page)"/>
        <w:docPartUnique/>
      </w:docPartObj>
    </w:sdtPr>
    <w:sdtContent>
      <w:p>
        <w:pPr>
          <w:pStyle w:val="Pieddepage"/>
          <w:jc w:val="right"/>
        </w:pPr>
        <w:r>
          <w:fldChar w:fldCharType="begin"/>
        </w:r>
        <w:r>
          <w:instrText>PAGE   \* MERGEFORMAT</w:instrText>
        </w:r>
        <w:r>
          <w:fldChar w:fldCharType="separate"/>
        </w:r>
        <w:r>
          <w:rPr>
            <w:noProof/>
            <w:lang w:val="fr-FR"/>
          </w:rPr>
          <w:t>122</w:t>
        </w:r>
        <w:r>
          <w:fldChar w:fldCharType="end"/>
        </w:r>
      </w:p>
    </w:sdtContent>
  </w:sdt>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19018187"/>
      <w:docPartObj>
        <w:docPartGallery w:val="Page Numbers (Bottom of Page)"/>
        <w:docPartUnique/>
      </w:docPartObj>
    </w:sdtPr>
    <w:sdtContent>
      <w:p>
        <w:pPr>
          <w:pStyle w:val="Pieddepage"/>
          <w:jc w:val="right"/>
        </w:pPr>
        <w:r>
          <w:fldChar w:fldCharType="begin"/>
        </w:r>
        <w:r>
          <w:instrText>PAGE   \* MERGEFORMAT</w:instrText>
        </w:r>
        <w:r>
          <w:fldChar w:fldCharType="separate"/>
        </w:r>
        <w:r>
          <w:rPr>
            <w:noProof/>
            <w:lang w:val="fr-FR"/>
          </w:rPr>
          <w:t>253</w:t>
        </w:r>
        <w:r>
          <w:fldChar w:fldCharType="end"/>
        </w:r>
      </w:p>
    </w:sdtContent>
  </w:sdt>
  <w:p>
    <w:pPr>
      <w:pStyle w:val="Pieddepage"/>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65898370"/>
      <w:docPartObj>
        <w:docPartGallery w:val="Page Numbers (Bottom of Page)"/>
        <w:docPartUnique/>
      </w:docPartObj>
    </w:sdtPr>
    <w:sdtContent>
      <w:p>
        <w:pPr>
          <w:pStyle w:val="Pieddepage"/>
          <w:jc w:val="right"/>
        </w:pPr>
        <w:r>
          <w:fldChar w:fldCharType="begin"/>
        </w:r>
        <w:r>
          <w:instrText>PAGE   \* MERGEFORMAT</w:instrText>
        </w:r>
        <w:r>
          <w:fldChar w:fldCharType="separate"/>
        </w:r>
        <w:r>
          <w:rPr>
            <w:noProof/>
            <w:lang w:val="fr-FR"/>
          </w:rPr>
          <w:t>318</w:t>
        </w:r>
        <w:r>
          <w:fldChar w:fldCharType="end"/>
        </w:r>
      </w:p>
    </w:sdtContent>
  </w:sdt>
  <w:p>
    <w:pPr>
      <w:pStyle w:val="Pieddepage"/>
      <w:jc w:val="cen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rPr>
        <w:sz w:val="23"/>
        <w:szCs w:val="23"/>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 w:id="1">
    <w:p>
      <w:pPr>
        <w:jc w:val="both"/>
        <w:rPr>
          <w:sz w:val="16"/>
          <w:szCs w:val="16"/>
        </w:rPr>
      </w:pPr>
      <w:r>
        <w:rPr>
          <w:rStyle w:val="Caractresdenotedebasdepage"/>
          <w:szCs w:val="16"/>
        </w:rPr>
        <w:footnoteRef/>
      </w:r>
      <w:r>
        <w:rPr>
          <w:rStyle w:val="Caractresdenotedebasdepage"/>
          <w:szCs w:val="16"/>
        </w:rPr>
        <w:t xml:space="preserve"> </w:t>
      </w:r>
      <w:hyperlink r:id="rId1" w:history="1">
        <w:r>
          <w:rPr>
            <w:rStyle w:val="Lienhypertexte"/>
            <w:sz w:val="16"/>
            <w:szCs w:val="16"/>
          </w:rPr>
          <w:t>Lois sur l’enseignement primaire, coordonnées le 20 août 1957</w:t>
        </w:r>
      </w:hyperlink>
      <w:r>
        <w:rPr>
          <w:sz w:val="16"/>
          <w:szCs w:val="16"/>
        </w:rPr>
        <w:t>, article 8.</w:t>
      </w:r>
    </w:p>
  </w:footnote>
  <w:footnote w:id="2">
    <w:p>
      <w:pPr>
        <w:jc w:val="both"/>
        <w:rPr>
          <w:sz w:val="16"/>
          <w:szCs w:val="16"/>
        </w:rPr>
      </w:pPr>
      <w:r>
        <w:rPr>
          <w:rStyle w:val="Caractresdenotedebasdepage"/>
          <w:szCs w:val="16"/>
        </w:rPr>
        <w:footnoteRef/>
      </w:r>
      <w:r>
        <w:rPr>
          <w:rStyle w:val="Caractresdenotedebasdepage"/>
          <w:szCs w:val="16"/>
        </w:rPr>
        <w:t xml:space="preserve"> </w:t>
      </w:r>
      <w:r>
        <w:rPr>
          <w:rStyle w:val="Caractresdenotedebasdepage"/>
          <w:szCs w:val="16"/>
          <w:vertAlign w:val="baseline"/>
        </w:rPr>
        <w:t>Article 76 du</w:t>
      </w:r>
      <w:r>
        <w:rPr>
          <w:rStyle w:val="Caractresdenotedebasdepage"/>
          <w:szCs w:val="16"/>
        </w:rPr>
        <w:t xml:space="preserve"> </w:t>
      </w:r>
      <w:hyperlink r:id="rId2" w:history="1">
        <w:r>
          <w:rPr>
            <w:rStyle w:val="Lienhypertexte"/>
            <w:sz w:val="16"/>
            <w:szCs w:val="16"/>
          </w:rPr>
          <w:t>décret du 24 juillet 1997 définissant les missions prioritaires de l'enseignement fondamental et de l'enseignement secondaire et organisant les structures propres à les atteindre tel que modifié par le décret du 12 juillet 2012.</w:t>
        </w:r>
      </w:hyperlink>
    </w:p>
  </w:footnote>
  <w:footnote w:id="3">
    <w:p>
      <w:pPr>
        <w:jc w:val="both"/>
        <w:rPr>
          <w:sz w:val="16"/>
          <w:szCs w:val="16"/>
        </w:rPr>
      </w:pPr>
      <w:r>
        <w:rPr>
          <w:rStyle w:val="Appelnotedebasdep"/>
          <w:sz w:val="16"/>
          <w:szCs w:val="16"/>
        </w:rPr>
        <w:footnoteRef/>
      </w:r>
      <w:r>
        <w:rPr>
          <w:sz w:val="16"/>
          <w:szCs w:val="16"/>
        </w:rPr>
        <w:t xml:space="preserve"> </w:t>
      </w:r>
      <w:hyperlink r:id="rId3" w:history="1">
        <w:r>
          <w:rPr>
            <w:rStyle w:val="Lienhypertexte"/>
            <w:sz w:val="16"/>
            <w:szCs w:val="16"/>
          </w:rPr>
          <w:t>Circulaire du 19 mars 2002 relative à l’exercice de l’autorité parentale en matière scolaire.</w:t>
        </w:r>
      </w:hyperlink>
    </w:p>
  </w:footnote>
  <w:footnote w:id="4">
    <w:p>
      <w:pPr>
        <w:jc w:val="both"/>
        <w:rPr>
          <w:sz w:val="16"/>
          <w:szCs w:val="16"/>
          <w:lang w:val="nl-BE"/>
        </w:rPr>
      </w:pPr>
      <w:r>
        <w:rPr>
          <w:rStyle w:val="Appelnotedebasdep"/>
          <w:sz w:val="16"/>
          <w:szCs w:val="16"/>
        </w:rPr>
        <w:footnoteRef/>
      </w:r>
      <w:r>
        <w:rPr>
          <w:sz w:val="16"/>
          <w:szCs w:val="16"/>
          <w:lang w:val="nl-BE"/>
        </w:rPr>
        <w:t xml:space="preserve"> Ibidem, article 79, §1er, alinéa 1er.</w:t>
      </w:r>
    </w:p>
  </w:footnote>
  <w:footnote w:id="5">
    <w:p>
      <w:pPr>
        <w:jc w:val="both"/>
        <w:rPr>
          <w:sz w:val="16"/>
          <w:szCs w:val="16"/>
        </w:rPr>
      </w:pPr>
      <w:r>
        <w:rPr>
          <w:rStyle w:val="Caractresdenotedebasdepage"/>
          <w:szCs w:val="16"/>
        </w:rPr>
        <w:footnoteRef/>
      </w:r>
      <w:r>
        <w:rPr>
          <w:sz w:val="16"/>
          <w:szCs w:val="16"/>
        </w:rPr>
        <w:t xml:space="preserve"> </w:t>
      </w:r>
      <w:hyperlink r:id="rId4" w:history="1">
        <w:r>
          <w:rPr>
            <w:rStyle w:val="Lienhypertexte"/>
            <w:sz w:val="16"/>
            <w:szCs w:val="16"/>
          </w:rPr>
          <w:t>Circulaire 1188 </w:t>
        </w:r>
      </w:hyperlink>
      <w:r>
        <w:rPr>
          <w:sz w:val="16"/>
          <w:szCs w:val="16"/>
        </w:rPr>
        <w:t>: Modèle du protocole justificatif à délivrer par les centres psycho-médico-sociaux et les organismes habilités à délivrer le rapport d’inscription dans des types d’enseignement spécialisé – circulaire ministérielle modificative de celle du 14 mai 1995 concernant le même objet.</w:t>
      </w:r>
    </w:p>
  </w:footnote>
  <w:footnote w:id="6">
    <w:p>
      <w:pPr>
        <w:jc w:val="both"/>
        <w:rPr>
          <w:sz w:val="16"/>
          <w:szCs w:val="16"/>
        </w:rPr>
      </w:pPr>
      <w:r>
        <w:rPr>
          <w:rStyle w:val="Appelnotedebasdep"/>
          <w:sz w:val="16"/>
          <w:szCs w:val="16"/>
        </w:rPr>
        <w:footnoteRef/>
      </w:r>
      <w:r>
        <w:rPr>
          <w:sz w:val="16"/>
          <w:szCs w:val="16"/>
        </w:rPr>
        <w:t xml:space="preserve"> Voir annexes 1, 2, 3, 4, 5, 6.</w:t>
      </w:r>
    </w:p>
  </w:footnote>
  <w:footnote w:id="7">
    <w:p>
      <w:pPr>
        <w:pStyle w:val="Notedebasdepage"/>
      </w:pPr>
      <w:r>
        <w:rPr>
          <w:rStyle w:val="Appelnotedebasdep"/>
        </w:rPr>
        <w:footnoteRef/>
      </w:r>
      <w:r>
        <w:t xml:space="preserve"> Voir </w:t>
      </w:r>
      <w:hyperlink w:anchor="_Annexe_7_:" w:history="1">
        <w:r>
          <w:rPr>
            <w:rStyle w:val="Lienhypertexte"/>
            <w:rFonts w:cs="Arial"/>
          </w:rPr>
          <w:t>annexe 7</w:t>
        </w:r>
      </w:hyperlink>
      <w:r>
        <w:t xml:space="preserve"> et </w:t>
      </w:r>
      <w:hyperlink w:anchor="_Annexe_8_:_1" w:history="1">
        <w:r>
          <w:rPr>
            <w:rStyle w:val="Lienhypertexte"/>
            <w:rFonts w:cs="Arial"/>
          </w:rPr>
          <w:t>8</w:t>
        </w:r>
      </w:hyperlink>
      <w:r>
        <w:t xml:space="preserve"> </w:t>
      </w:r>
    </w:p>
  </w:footnote>
  <w:footnote w:id="8">
    <w:p>
      <w:pPr>
        <w:rPr>
          <w:sz w:val="16"/>
          <w:szCs w:val="16"/>
        </w:rPr>
      </w:pPr>
      <w:r>
        <w:rPr>
          <w:rStyle w:val="Caractresdenotedebasdepage"/>
          <w:szCs w:val="16"/>
        </w:rPr>
        <w:footnoteRef/>
      </w:r>
      <w:r>
        <w:rPr>
          <w:rStyle w:val="Caractresdenotedebasdepage"/>
          <w:szCs w:val="16"/>
        </w:rPr>
        <w:t xml:space="preserve"> </w:t>
      </w:r>
      <w:hyperlink r:id="rId5" w:history="1">
        <w:r>
          <w:rPr>
            <w:rStyle w:val="Lienhypertexte"/>
            <w:sz w:val="16"/>
            <w:szCs w:val="16"/>
          </w:rPr>
          <w:t>Décret du 24 juillet 1997 définissant les missions prioritaires de l’enseignement fondamental et de l’enseignement secondaire et organisant les structures propres à les atteindre</w:t>
        </w:r>
      </w:hyperlink>
      <w:r>
        <w:rPr>
          <w:sz w:val="16"/>
          <w:szCs w:val="16"/>
        </w:rPr>
        <w:t>, article 8, 5.</w:t>
      </w:r>
    </w:p>
  </w:footnote>
  <w:footnote w:id="9">
    <w:p>
      <w:pPr>
        <w:rPr>
          <w:sz w:val="16"/>
          <w:szCs w:val="16"/>
        </w:rPr>
      </w:pPr>
      <w:r>
        <w:rPr>
          <w:sz w:val="16"/>
          <w:szCs w:val="16"/>
          <w:vertAlign w:val="superscript"/>
        </w:rPr>
        <w:footnoteRef/>
      </w:r>
      <w:r>
        <w:rPr>
          <w:sz w:val="16"/>
          <w:szCs w:val="16"/>
          <w:vertAlign w:val="superscript"/>
        </w:rPr>
        <w:t xml:space="preserve">  </w:t>
      </w:r>
      <w:r>
        <w:rPr>
          <w:sz w:val="16"/>
          <w:szCs w:val="16"/>
        </w:rPr>
        <w:t xml:space="preserve">Le degré de parenté est égal au nombre d’intermédiaires entre l’élève et le défunt plus un. Sont parents au premier degré de l’élève ses parents ainsi que ses enfants alors que ses frères et sœurs sont parents au deuxième degré. Les parents les plus éloignés pris en considération (sauf cohabitation) sont donc ses cousin(e)s, grands-oncles (grands-tantes) et les parents de ses arrière grands-parents. (Voir </w:t>
      </w:r>
      <w:hyperlink w:anchor="_Annexe_21_:" w:history="1">
        <w:r>
          <w:rPr>
            <w:rStyle w:val="Lienhypertexte"/>
            <w:b/>
            <w:sz w:val="16"/>
            <w:szCs w:val="16"/>
          </w:rPr>
          <w:t>annexe 16</w:t>
        </w:r>
        <w:r>
          <w:rPr>
            <w:rStyle w:val="Lienhypertexte"/>
            <w:rFonts w:cstheme="minorBidi"/>
            <w:sz w:val="16"/>
            <w:szCs w:val="16"/>
          </w:rPr>
          <w:t>).</w:t>
        </w:r>
      </w:hyperlink>
      <w:r>
        <w:rPr>
          <w:sz w:val="16"/>
          <w:szCs w:val="16"/>
        </w:rPr>
        <w:br/>
      </w:r>
      <w:r>
        <w:rPr>
          <w:rStyle w:val="Caractresdenotedebasdepage"/>
          <w:szCs w:val="16"/>
        </w:rPr>
        <w:footnoteRef/>
      </w:r>
      <w:hyperlink r:id="rId6" w:history="1">
        <w:r>
          <w:rPr>
            <w:rStyle w:val="Lienhypertexte"/>
            <w:rFonts w:cs="Arial"/>
            <w:sz w:val="16"/>
            <w:szCs w:val="16"/>
          </w:rPr>
          <w:t>http://www.gallilex.cfwb.be/document/pdf/40870_000.pdf</w:t>
        </w:r>
      </w:hyperlink>
      <w:r>
        <w:rPr>
          <w:color w:val="4A4A4A"/>
          <w:sz w:val="16"/>
          <w:szCs w:val="16"/>
        </w:rPr>
        <w:t xml:space="preserve"> </w:t>
      </w:r>
      <w:r>
        <w:rPr>
          <w:color w:val="4A4A4A"/>
          <w:sz w:val="16"/>
          <w:szCs w:val="16"/>
        </w:rPr>
        <w:br/>
      </w:r>
      <w:r>
        <w:rPr>
          <w:rStyle w:val="Appelnotedebasdep"/>
          <w:sz w:val="16"/>
          <w:szCs w:val="16"/>
        </w:rPr>
        <w:footnoteRef/>
      </w:r>
      <w:r>
        <w:rPr>
          <w:sz w:val="16"/>
          <w:szCs w:val="16"/>
        </w:rPr>
        <w:t xml:space="preserve"> </w:t>
      </w:r>
      <w:hyperlink r:id="rId7" w:history="1">
        <w:r>
          <w:rPr>
            <w:rStyle w:val="Lienhypertexte"/>
            <w:sz w:val="16"/>
            <w:szCs w:val="16"/>
          </w:rPr>
          <w:t>Arrêté du Gouvernement de la Communauté française du 18 mai 1993 déterminant les conditions auxquelles l’obligation scolaire peut être remplie dans le groupe des institutions publiques de protection de la jeunesse, à régimes ouvert et fermé, de la Communauté française.</w:t>
        </w:r>
      </w:hyperlink>
    </w:p>
  </w:footnote>
  <w:footnote w:id="10">
    <w:p>
      <w:pPr>
        <w:pStyle w:val="Notedebasdepage"/>
      </w:pPr>
    </w:p>
  </w:footnote>
  <w:footnote w:id="11">
    <w:p>
      <w:pPr>
        <w:pStyle w:val="Notedebasdepage"/>
      </w:pPr>
    </w:p>
  </w:footnote>
  <w:footnote w:id="12">
    <w:p>
      <w:pPr>
        <w:jc w:val="both"/>
        <w:rPr>
          <w:sz w:val="16"/>
          <w:szCs w:val="16"/>
        </w:rPr>
      </w:pPr>
      <w:r>
        <w:rPr>
          <w:rStyle w:val="Appelnotedebasdep"/>
          <w:rFonts w:ascii="Cambria" w:hAnsi="Cambria"/>
          <w:sz w:val="16"/>
          <w:szCs w:val="16"/>
        </w:rPr>
        <w:footnoteRef/>
      </w:r>
      <w:r>
        <w:rPr>
          <w:rFonts w:ascii="Cambria" w:hAnsi="Cambria"/>
          <w:sz w:val="16"/>
          <w:szCs w:val="16"/>
        </w:rPr>
        <w:t xml:space="preserve"> </w:t>
      </w:r>
      <w:r>
        <w:rPr>
          <w:rStyle w:val="Lienhypertexte"/>
          <w:sz w:val="16"/>
          <w:szCs w:val="16"/>
        </w:rPr>
        <w:t xml:space="preserve"> </w:t>
      </w:r>
      <w:hyperlink r:id="rId8" w:history="1">
        <w:r>
          <w:rPr>
            <w:rStyle w:val="Lienhypertexte"/>
            <w:sz w:val="16"/>
            <w:szCs w:val="16"/>
          </w:rPr>
          <w:t>http://www.gallilex.cfwb.be/document/pdf/34604_000.pdf</w:t>
        </w:r>
      </w:hyperlink>
    </w:p>
  </w:footnote>
  <w:footnote w:id="13">
    <w:p>
      <w:pPr>
        <w:jc w:val="both"/>
        <w:rPr>
          <w:sz w:val="16"/>
          <w:szCs w:val="16"/>
        </w:rPr>
      </w:pPr>
      <w:hyperlink r:id="rId9" w:history="1">
        <w:r>
          <w:rPr>
            <w:rStyle w:val="Lienhypertexte"/>
            <w:rFonts w:cs="Arial"/>
            <w:sz w:val="16"/>
            <w:szCs w:val="16"/>
          </w:rPr>
          <w:footnoteRef/>
        </w:r>
        <w:r>
          <w:rPr>
            <w:rStyle w:val="Lienhypertexte"/>
            <w:rFonts w:cs="Arial"/>
            <w:sz w:val="16"/>
            <w:szCs w:val="16"/>
          </w:rPr>
          <w:t xml:space="preserve"> Décret du 21 novembre 2013 organisant divers dispositifs scolaires favorisant le bien-être des jeunes à l’école, l’accrochage scolaire, la prévention de la violence à l’école et l’accompagnement des démarches d’orientation scolaire, article 23.</w:t>
        </w:r>
      </w:hyperlink>
    </w:p>
  </w:footnote>
  <w:footnote w:id="14">
    <w:p>
      <w:pPr>
        <w:jc w:val="both"/>
        <w:rPr>
          <w:sz w:val="16"/>
          <w:szCs w:val="16"/>
        </w:rPr>
      </w:pPr>
      <w:r>
        <w:rPr>
          <w:rStyle w:val="Caractresdenotedebasdepage"/>
          <w:szCs w:val="16"/>
        </w:rPr>
        <w:footnoteRef/>
      </w:r>
      <w:r>
        <w:rPr>
          <w:sz w:val="16"/>
          <w:szCs w:val="16"/>
        </w:rPr>
        <w:t xml:space="preserve"> Article 10 </w:t>
      </w:r>
      <w:hyperlink r:id="rId10" w:history="1">
        <w:r>
          <w:rPr>
            <w:rStyle w:val="Lienhypertexte"/>
            <w:sz w:val="16"/>
            <w:szCs w:val="16"/>
          </w:rPr>
          <w:t>des lois sur l’enseignement primaire, coordonnées le 20 août 1957</w:t>
        </w:r>
      </w:hyperlink>
      <w:r>
        <w:rPr>
          <w:iCs/>
          <w:sz w:val="16"/>
          <w:szCs w:val="16"/>
        </w:rPr>
        <w:t>.</w:t>
      </w:r>
    </w:p>
  </w:footnote>
  <w:footnote w:id="15">
    <w:p>
      <w:pPr>
        <w:jc w:val="both"/>
        <w:rPr>
          <w:rFonts w:ascii="Georgia" w:hAnsi="Georgia" w:cs="Arial"/>
          <w:sz w:val="16"/>
          <w:szCs w:val="16"/>
        </w:rPr>
      </w:pPr>
      <w:r>
        <w:rPr>
          <w:rStyle w:val="Appelnotedebasdep"/>
          <w:sz w:val="16"/>
          <w:szCs w:val="16"/>
        </w:rPr>
        <w:footnoteRef/>
      </w:r>
      <w:hyperlink r:id="rId11" w:history="1">
        <w:r>
          <w:rPr>
            <w:rStyle w:val="Lienhypertexte"/>
            <w:rFonts w:cstheme="minorBidi"/>
            <w:sz w:val="16"/>
            <w:szCs w:val="16"/>
          </w:rPr>
          <w:t xml:space="preserve"> </w:t>
        </w:r>
        <w:r>
          <w:rPr>
            <w:rStyle w:val="Lienhypertexte"/>
            <w:rFonts w:cs="Arial"/>
            <w:sz w:val="16"/>
            <w:szCs w:val="16"/>
          </w:rPr>
          <w:t>Circulaire n°3783 du 28 octobre 2011 </w:t>
        </w:r>
      </w:hyperlink>
      <w:r>
        <w:rPr>
          <w:rFonts w:cs="Arial"/>
          <w:sz w:val="16"/>
          <w:szCs w:val="16"/>
        </w:rPr>
        <w:t>« 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r>
        <w:rPr>
          <w:rFonts w:ascii="Georgia" w:hAnsi="Georgia" w:cs="Arial"/>
          <w:sz w:val="16"/>
          <w:szCs w:val="16"/>
        </w:rPr>
        <w:t xml:space="preserve"> </w:t>
      </w:r>
    </w:p>
    <w:p>
      <w:pPr>
        <w:jc w:val="both"/>
        <w:rPr>
          <w:rFonts w:ascii="Georgia" w:hAnsi="Georgia" w:cs="Arial"/>
          <w:sz w:val="18"/>
          <w:szCs w:val="18"/>
        </w:rPr>
      </w:pPr>
    </w:p>
    <w:p>
      <w:pPr>
        <w:jc w:val="both"/>
      </w:pPr>
    </w:p>
  </w:footnote>
  <w:footnote w:id="16">
    <w:p>
      <w:pPr>
        <w:jc w:val="both"/>
        <w:rPr>
          <w:sz w:val="16"/>
          <w:szCs w:val="16"/>
        </w:rPr>
      </w:pPr>
      <w:r>
        <w:rPr>
          <w:rStyle w:val="Appelnotedebasdep"/>
          <w:sz w:val="16"/>
          <w:szCs w:val="16"/>
        </w:rPr>
        <w:footnoteRef/>
      </w:r>
      <w:r>
        <w:rPr>
          <w:sz w:val="16"/>
          <w:szCs w:val="16"/>
        </w:rPr>
        <w:t xml:space="preserve"> </w:t>
      </w:r>
      <w:hyperlink r:id="rId12" w:history="1">
        <w:r>
          <w:rPr>
            <w:rStyle w:val="Lienhypertexte"/>
            <w:rFonts w:cs="Arial"/>
            <w:sz w:val="16"/>
            <w:szCs w:val="16"/>
          </w:rPr>
          <w:t>Décret du 14 mars 2019 visant à renforcer l’accrochage scolaire des élèves de l’enseignement secondaire ordinaire et spécialisé de forme 4 ne répondant plus à la définition de l’élève régulier, et portant diverses mesures en matière d’inscription tardive, de signalement, de fréquentation des cours et de dispense de certains cours.</w:t>
        </w:r>
      </w:hyperlink>
    </w:p>
  </w:footnote>
  <w:footnote w:id="17">
    <w:p>
      <w:pPr>
        <w:jc w:val="both"/>
        <w:rPr>
          <w:sz w:val="16"/>
          <w:szCs w:val="16"/>
        </w:rPr>
      </w:pPr>
      <w:r>
        <w:rPr>
          <w:rStyle w:val="Caractresdenotedebasdepage"/>
          <w:szCs w:val="16"/>
        </w:rPr>
        <w:footnoteRef/>
      </w:r>
      <w:r>
        <w:rPr>
          <w:sz w:val="16"/>
          <w:szCs w:val="16"/>
        </w:rPr>
        <w:t xml:space="preserve"> </w:t>
      </w:r>
      <w:hyperlink r:id="rId13" w:history="1">
        <w:r>
          <w:rPr>
            <w:rStyle w:val="Lienhypertexte"/>
            <w:iCs/>
            <w:sz w:val="16"/>
            <w:szCs w:val="16"/>
          </w:rPr>
          <w:t>Arrêté royal du 13 août 1962 organique des centres psycho-médico-sociaux.</w:t>
        </w:r>
      </w:hyperlink>
    </w:p>
  </w:footnote>
  <w:footnote w:id="18">
    <w:p>
      <w:pPr>
        <w:jc w:val="both"/>
        <w:rPr>
          <w:rFonts w:cs="Arial"/>
          <w:sz w:val="16"/>
          <w:szCs w:val="16"/>
          <w:lang w:val="fr-FR" w:eastAsia="ar-SA"/>
        </w:rPr>
      </w:pPr>
      <w:r>
        <w:rPr>
          <w:rStyle w:val="Caractresdenotedebasdepage"/>
          <w:szCs w:val="16"/>
        </w:rPr>
        <w:footnoteRef/>
      </w:r>
      <w:r>
        <w:rPr>
          <w:sz w:val="16"/>
          <w:szCs w:val="16"/>
        </w:rPr>
        <w:t xml:space="preserve"> </w:t>
      </w:r>
      <w:hyperlink r:id="rId14" w:history="1">
        <w:r>
          <w:rPr>
            <w:rStyle w:val="Lienhypertexte"/>
            <w:rFonts w:cs="Arial"/>
            <w:sz w:val="16"/>
            <w:szCs w:val="16"/>
            <w:lang w:val="fr-FR" w:eastAsia="ar-SA"/>
          </w:rPr>
          <w:t>Décret du 21 novembre 2013 organisant divers dispositifs scolaires favorisant le bien-être des jeunes à l’école, l’accrochage scolaire, la prévention de la violence à l’école et l’accompagnement des démarches d’orientation scolaire</w:t>
        </w:r>
      </w:hyperlink>
      <w:r>
        <w:rPr>
          <w:rStyle w:val="NotedebasdepageCar"/>
          <w:rFonts w:asciiTheme="majorHAnsi" w:hAnsiTheme="majorHAnsi" w:cs="Arial"/>
          <w:sz w:val="16"/>
          <w:szCs w:val="16"/>
        </w:rPr>
        <w:t>, articles 7 et 14 ;</w:t>
      </w:r>
    </w:p>
  </w:footnote>
  <w:footnote w:id="19">
    <w:p>
      <w:pPr>
        <w:jc w:val="both"/>
        <w:rPr>
          <w:sz w:val="16"/>
          <w:szCs w:val="16"/>
        </w:rPr>
      </w:pPr>
      <w:r>
        <w:rPr>
          <w:rStyle w:val="Caractresdenotedebasdepage"/>
          <w:szCs w:val="16"/>
        </w:rPr>
        <w:footnoteRef/>
      </w:r>
      <w:r>
        <w:rPr>
          <w:sz w:val="16"/>
          <w:szCs w:val="16"/>
        </w:rPr>
        <w:t xml:space="preserve"> </w:t>
      </w:r>
      <w:r>
        <w:rPr>
          <w:rStyle w:val="NotedebasdepageCar"/>
          <w:rFonts w:asciiTheme="majorHAnsi" w:hAnsiTheme="majorHAnsi" w:cs="Arial"/>
          <w:sz w:val="16"/>
          <w:szCs w:val="16"/>
        </w:rPr>
        <w:t>Op cit., articles 31 à 34 – Voir liste : annexe 20 ;</w:t>
      </w:r>
    </w:p>
  </w:footnote>
  <w:footnote w:id="20">
    <w:p>
      <w:pPr>
        <w:jc w:val="both"/>
        <w:rPr>
          <w:sz w:val="16"/>
          <w:szCs w:val="16"/>
        </w:rPr>
      </w:pPr>
      <w:r>
        <w:rPr>
          <w:rStyle w:val="Caractresdenotedebasdepage"/>
          <w:szCs w:val="16"/>
        </w:rPr>
        <w:footnoteRef/>
      </w:r>
      <w:r>
        <w:rPr>
          <w:sz w:val="16"/>
          <w:szCs w:val="16"/>
        </w:rPr>
        <w:t xml:space="preserve"> Ibidem, articles 31, 32 et 33 ;</w:t>
      </w:r>
    </w:p>
    <w:p>
      <w:pPr>
        <w:jc w:val="both"/>
        <w:rPr>
          <w:sz w:val="16"/>
          <w:szCs w:val="16"/>
        </w:rPr>
      </w:pPr>
    </w:p>
    <w:p>
      <w:pPr>
        <w:jc w:val="both"/>
        <w:rPr>
          <w:sz w:val="16"/>
          <w:szCs w:val="16"/>
        </w:rPr>
      </w:pPr>
    </w:p>
  </w:footnote>
  <w:footnote w:id="21">
    <w:p>
      <w:pPr>
        <w:jc w:val="both"/>
        <w:rPr>
          <w:sz w:val="16"/>
          <w:szCs w:val="16"/>
        </w:rPr>
      </w:pPr>
      <w:hyperlink r:id="rId15" w:history="1">
        <w:r>
          <w:rPr>
            <w:rStyle w:val="Lienhypertexte"/>
            <w:sz w:val="16"/>
            <w:szCs w:val="16"/>
            <w:vertAlign w:val="superscript"/>
          </w:rPr>
          <w:footnoteRef/>
        </w:r>
        <w:r>
          <w:rPr>
            <w:rStyle w:val="Lienhypertexte"/>
            <w:rFonts w:cs="Arial"/>
            <w:sz w:val="16"/>
            <w:szCs w:val="16"/>
            <w:vertAlign w:val="superscript"/>
          </w:rPr>
          <w:t xml:space="preserve"> </w:t>
        </w:r>
        <w:r>
          <w:rPr>
            <w:rStyle w:val="Lienhypertexte"/>
            <w:rFonts w:cs="Arial"/>
            <w:sz w:val="16"/>
            <w:szCs w:val="16"/>
            <w:lang w:val="fr-FR"/>
          </w:rPr>
          <w:t>Décret du 21 novembre 2013 portant des politiques conjointes de l’enseignement et de l’aide à la jeunesse en faveur du bien-être des jeunes à l’école, de l’accrochage scolaire, de la prévention des violences et de l’accompagnement des démarches d’orientation, article 38.</w:t>
        </w:r>
      </w:hyperlink>
    </w:p>
  </w:footnote>
  <w:footnote w:id="22">
    <w:p>
      <w:pPr>
        <w:jc w:val="both"/>
      </w:pPr>
      <w:r>
        <w:rPr>
          <w:rStyle w:val="Appelnotedebasdep"/>
          <w:sz w:val="16"/>
        </w:rPr>
        <w:footnoteRef/>
      </w:r>
      <w:r>
        <w:rPr>
          <w:sz w:val="16"/>
        </w:rPr>
        <w:t xml:space="preserve"> </w:t>
      </w:r>
      <w:r>
        <w:rPr>
          <w:rStyle w:val="NotedebasdepageCar"/>
          <w:rFonts w:asciiTheme="majorHAnsi" w:hAnsiTheme="majorHAnsi" w:cs="Arial"/>
          <w:sz w:val="16"/>
        </w:rPr>
        <w:t>Op cit., article 39</w:t>
      </w:r>
    </w:p>
  </w:footnote>
  <w:footnote w:id="23">
    <w:p>
      <w:pPr>
        <w:jc w:val="both"/>
        <w:rPr>
          <w:sz w:val="16"/>
        </w:rPr>
      </w:pPr>
      <w:r>
        <w:rPr>
          <w:rStyle w:val="NotedebasdepageCar"/>
          <w:rFonts w:asciiTheme="majorHAnsi" w:hAnsiTheme="majorHAnsi" w:cs="Arial"/>
          <w:sz w:val="16"/>
        </w:rPr>
        <w:footnoteRef/>
      </w:r>
      <w:r>
        <w:rPr>
          <w:rStyle w:val="NotedebasdepageCar"/>
          <w:rFonts w:asciiTheme="majorHAnsi" w:hAnsiTheme="majorHAnsi" w:cs="Arial"/>
          <w:sz w:val="16"/>
        </w:rPr>
        <w:t xml:space="preserve"> Ibidem, article 41</w:t>
      </w:r>
    </w:p>
  </w:footnote>
  <w:footnote w:id="24">
    <w:p>
      <w:pPr>
        <w:jc w:val="both"/>
        <w:rPr>
          <w:rFonts w:cs="Times New Roman"/>
          <w:color w:val="0000FF"/>
          <w:sz w:val="16"/>
          <w:u w:val="single"/>
          <w:lang w:val="fr-FR"/>
        </w:rPr>
      </w:pPr>
      <w:r>
        <w:rPr>
          <w:rStyle w:val="Appelnotedebasdep"/>
          <w:sz w:val="16"/>
        </w:rPr>
        <w:footnoteRef/>
      </w:r>
      <w:r>
        <w:rPr>
          <w:rStyle w:val="Appelnotedebasdep"/>
          <w:sz w:val="16"/>
        </w:rPr>
        <w:t xml:space="preserve"> </w:t>
      </w:r>
      <w:hyperlink r:id="rId16" w:history="1">
        <w:r>
          <w:rPr>
            <w:rStyle w:val="Lienhypertexte"/>
            <w:sz w:val="16"/>
            <w:lang w:val="fr-FR"/>
          </w:rPr>
          <w:t>Circulaire 4877 du 13/06/2014</w:t>
        </w:r>
      </w:hyperlink>
    </w:p>
  </w:footnote>
  <w:footnote w:id="25">
    <w:p>
      <w:pPr>
        <w:jc w:val="both"/>
        <w:rPr>
          <w:rFonts w:cs="Arial"/>
          <w:lang w:val="fr-FR" w:eastAsia="ar-SA"/>
        </w:rPr>
      </w:pPr>
      <w:hyperlink r:id="rId17" w:history="1">
        <w:r>
          <w:rPr>
            <w:rStyle w:val="Lienhypertexte"/>
            <w:sz w:val="16"/>
            <w:vertAlign w:val="superscript"/>
          </w:rPr>
          <w:footnoteRef/>
        </w:r>
        <w:r>
          <w:rPr>
            <w:rStyle w:val="Lienhypertexte"/>
            <w:rFonts w:cs="Arial"/>
            <w:sz w:val="16"/>
            <w:vertAlign w:val="superscript"/>
          </w:rPr>
          <w:t xml:space="preserve"> </w:t>
        </w:r>
        <w:r>
          <w:rPr>
            <w:rStyle w:val="Lienhypertexte"/>
            <w:rFonts w:cs="Arial"/>
            <w:sz w:val="16"/>
            <w:lang w:val="fr-FR"/>
          </w:rPr>
          <w:t>Décret du 21 novembre 2013 portant des politiques conjointes de l’enseignement et de l’aide à la jeunesse en faveur du bien-être des jeunes à l’école, de l’accrochage scolaire, de la prévention des violences et de l’accompagnement des démarches d’orientation, article 38.</w:t>
        </w:r>
      </w:hyperlink>
    </w:p>
  </w:footnote>
  <w:footnote w:id="26">
    <w:p>
      <w:pPr>
        <w:jc w:val="both"/>
        <w:rPr>
          <w:sz w:val="16"/>
        </w:rPr>
      </w:pPr>
      <w:r>
        <w:rPr>
          <w:rStyle w:val="Appelnotedebasdep"/>
          <w:sz w:val="16"/>
        </w:rPr>
        <w:footnoteRef/>
      </w:r>
      <w:r>
        <w:rPr>
          <w:sz w:val="16"/>
        </w:rPr>
        <w:t xml:space="preserve"> </w:t>
      </w:r>
      <w:hyperlink r:id="rId18" w:history="1">
        <w:r>
          <w:rPr>
            <w:rStyle w:val="Lienhypertexte"/>
            <w:rFonts w:cs="Arial"/>
            <w:sz w:val="16"/>
            <w:lang w:val="fr-FR"/>
          </w:rPr>
          <w:t>http://www.gallilex.cfwb.be/document/pdf/39909_001.pdf</w:t>
        </w:r>
      </w:hyperlink>
      <w:r>
        <w:rPr>
          <w:rStyle w:val="NotedebasdepageCar"/>
          <w:rFonts w:asciiTheme="majorHAnsi" w:hAnsiTheme="majorHAnsi" w:cs="Arial"/>
          <w:sz w:val="16"/>
        </w:rPr>
        <w:t xml:space="preserve"> articles 4 et 5 ;</w:t>
      </w:r>
    </w:p>
  </w:footnote>
  <w:footnote w:id="27">
    <w:p>
      <w:pPr>
        <w:jc w:val="both"/>
        <w:rPr>
          <w:rStyle w:val="NotedebasdepageCar"/>
          <w:rFonts w:asciiTheme="majorHAnsi" w:hAnsiTheme="majorHAnsi" w:cs="Arial"/>
          <w:sz w:val="16"/>
        </w:rPr>
      </w:pPr>
      <w:r>
        <w:rPr>
          <w:rStyle w:val="NotedebasdepageCar"/>
          <w:rFonts w:asciiTheme="majorHAnsi" w:hAnsiTheme="majorHAnsi" w:cs="Arial"/>
          <w:sz w:val="16"/>
          <w:vertAlign w:val="superscript"/>
        </w:rPr>
        <w:footnoteRef/>
      </w:r>
      <w:r>
        <w:rPr>
          <w:rStyle w:val="NotedebasdepageCar"/>
          <w:rFonts w:asciiTheme="majorHAnsi" w:hAnsiTheme="majorHAnsi" w:cs="Arial"/>
          <w:sz w:val="16"/>
          <w:vertAlign w:val="superscript"/>
        </w:rPr>
        <w:t xml:space="preserve"> </w:t>
      </w:r>
      <w:r>
        <w:rPr>
          <w:rStyle w:val="NotedebasdepageCar"/>
          <w:rFonts w:asciiTheme="majorHAnsi" w:hAnsiTheme="majorHAnsi" w:cs="Arial"/>
          <w:sz w:val="16"/>
        </w:rPr>
        <w:t>Pour les missions, la composition et le fonctionnement des plates-formes de concertation entre les acteurs de l’Enseignement et ceux de l’Aide à la Jeunesse, instituées par zone : v. articles 6 à 10 du décret précité.</w:t>
      </w:r>
    </w:p>
    <w:p>
      <w:pPr>
        <w:pStyle w:val="Notedebasdepage"/>
        <w:rPr>
          <w:rStyle w:val="NotedebasdepageCar"/>
          <w:rFonts w:asciiTheme="majorHAnsi" w:hAnsiTheme="majorHAnsi" w:cs="Arial"/>
        </w:rPr>
      </w:pPr>
    </w:p>
    <w:p>
      <w:pPr>
        <w:pStyle w:val="Notedebasdepage"/>
      </w:pPr>
    </w:p>
  </w:footnote>
  <w:footnote w:id="28">
    <w:p>
      <w:pPr>
        <w:jc w:val="both"/>
        <w:rPr>
          <w:sz w:val="16"/>
          <w:szCs w:val="16"/>
        </w:rPr>
      </w:pPr>
      <w:r>
        <w:rPr>
          <w:rStyle w:val="Caractresdenotedebasdepage"/>
          <w:szCs w:val="16"/>
        </w:rPr>
        <w:footnoteRef/>
      </w:r>
      <w:r>
        <w:rPr>
          <w:sz w:val="16"/>
          <w:szCs w:val="16"/>
        </w:rPr>
        <w:t xml:space="preserve"> Voir </w:t>
      </w:r>
      <w:hyperlink w:anchor="_Annexe_10_:_1" w:history="1">
        <w:r>
          <w:rPr>
            <w:rStyle w:val="Lienhypertexte"/>
            <w:iCs/>
            <w:sz w:val="16"/>
            <w:szCs w:val="16"/>
          </w:rPr>
          <w:t>annexe 7 </w:t>
        </w:r>
      </w:hyperlink>
      <w:r>
        <w:rPr>
          <w:sz w:val="16"/>
          <w:szCs w:val="16"/>
        </w:rPr>
        <w:t>: coordonnées des conseillers de l’Aide à la Jeunesse.</w:t>
      </w:r>
    </w:p>
  </w:footnote>
  <w:footnote w:id="29">
    <w:p>
      <w:pPr>
        <w:jc w:val="both"/>
        <w:rPr>
          <w:sz w:val="16"/>
          <w:szCs w:val="16"/>
        </w:rPr>
      </w:pPr>
      <w:r>
        <w:rPr>
          <w:rStyle w:val="Caractresdenotedebasdepage"/>
          <w:szCs w:val="16"/>
        </w:rPr>
        <w:footnoteRef/>
      </w:r>
      <w:r>
        <w:rPr>
          <w:sz w:val="16"/>
          <w:szCs w:val="16"/>
        </w:rPr>
        <w:t xml:space="preserve"> Un modèle de formulaire de signalement de l’élève mineur par Le (La) chef(fe) d’établissement au conseiller de l’Aide à la Jeunesse est </w:t>
      </w:r>
      <w:r>
        <w:rPr>
          <w:sz w:val="16"/>
          <w:szCs w:val="16"/>
          <w:u w:val="single"/>
        </w:rPr>
        <w:t>proposé</w:t>
      </w:r>
      <w:r>
        <w:rPr>
          <w:sz w:val="16"/>
          <w:szCs w:val="16"/>
        </w:rPr>
        <w:t xml:space="preserve"> en </w:t>
      </w:r>
      <w:hyperlink w:anchor="_Annexe_6_:_2" w:history="1">
        <w:r>
          <w:rPr>
            <w:rStyle w:val="Lienhypertexte"/>
            <w:iCs/>
            <w:sz w:val="16"/>
            <w:szCs w:val="16"/>
          </w:rPr>
          <w:t>annexe 6</w:t>
        </w:r>
        <w:r>
          <w:rPr>
            <w:rStyle w:val="Lienhypertexte"/>
            <w:rFonts w:cstheme="minorBidi"/>
            <w:sz w:val="16"/>
            <w:szCs w:val="16"/>
          </w:rPr>
          <w:t>.</w:t>
        </w:r>
      </w:hyperlink>
    </w:p>
  </w:footnote>
  <w:footnote w:id="30">
    <w:p>
      <w:pPr>
        <w:jc w:val="both"/>
      </w:pPr>
      <w:r>
        <w:rPr>
          <w:rStyle w:val="Caractresdenotedebasdepage"/>
          <w:szCs w:val="16"/>
        </w:rPr>
        <w:footnoteRef/>
      </w:r>
      <w:r>
        <w:rPr>
          <w:sz w:val="16"/>
          <w:szCs w:val="16"/>
        </w:rPr>
        <w:t xml:space="preserve"> Voir la </w:t>
      </w:r>
      <w:hyperlink r:id="rId19" w:history="1">
        <w:r>
          <w:rPr>
            <w:rStyle w:val="Lienhypertexte"/>
            <w:iCs/>
            <w:sz w:val="16"/>
            <w:szCs w:val="16"/>
          </w:rPr>
          <w:t>Circulaire n°2214 du 29 février 2008 relative aux bonnes pratiques de collaboration et de communication entre les secteurs de l’enseignement au sens large et de l’aide à la jeunesse</w:t>
        </w:r>
      </w:hyperlink>
      <w:r>
        <w:rPr>
          <w:sz w:val="16"/>
          <w:szCs w:val="16"/>
        </w:rPr>
        <w:t>.</w:t>
      </w:r>
    </w:p>
  </w:footnote>
  <w:footnote w:id="31">
    <w:p>
      <w:pPr>
        <w:jc w:val="both"/>
        <w:rPr>
          <w:sz w:val="16"/>
        </w:rPr>
      </w:pPr>
      <w:r>
        <w:rPr>
          <w:rStyle w:val="Appelnotedebasdep"/>
          <w:sz w:val="16"/>
        </w:rPr>
        <w:footnoteRef/>
      </w:r>
      <w:r>
        <w:rPr>
          <w:sz w:val="16"/>
        </w:rPr>
        <w:t xml:space="preserve"> V. la </w:t>
      </w:r>
      <w:hyperlink r:id="rId20" w:history="1">
        <w:r>
          <w:rPr>
            <w:rStyle w:val="Lienhypertexte"/>
            <w:iCs/>
            <w:sz w:val="16"/>
          </w:rPr>
          <w:t>circulaire n°3974 du 25 avril 2012</w:t>
        </w:r>
      </w:hyperlink>
      <w:r>
        <w:rPr>
          <w:sz w:val="16"/>
        </w:rPr>
        <w:t xml:space="preserve"> « Règlement d’Ordre Intérieur (R.O.I.) – Guide pratique »</w:t>
      </w:r>
      <w:r>
        <w:rPr>
          <w:sz w:val="16"/>
        </w:rPr>
        <w:tab/>
      </w:r>
    </w:p>
  </w:footnote>
  <w:footnote w:id="32">
    <w:p>
      <w:pPr>
        <w:jc w:val="both"/>
        <w:rPr>
          <w:sz w:val="16"/>
        </w:rPr>
      </w:pPr>
      <w:r>
        <w:rPr>
          <w:rStyle w:val="Appelnotedebasdep"/>
          <w:sz w:val="16"/>
        </w:rPr>
        <w:footnoteRef/>
      </w:r>
      <w:hyperlink r:id="rId21" w:history="1">
        <w:r>
          <w:rPr>
            <w:rStyle w:val="Lienhypertexte"/>
            <w:rFonts w:cs="Arial"/>
            <w:sz w:val="16"/>
            <w:lang w:val="fr-FR"/>
          </w:rPr>
          <w:t xml:space="preserve">Décret du 21 novembre 2013 organisant divers dispositifs scolaires favorisant le bien-être des jeunes à l’école, l’accrochage scolaire, la prévention de la violence à l’école et l’accompagnement des démarches d’orientation scolaire, article 26 </w:t>
        </w:r>
      </w:hyperlink>
      <w:r>
        <w:rPr>
          <w:sz w:val="16"/>
        </w:rPr>
        <w:t xml:space="preserve"> </w:t>
      </w:r>
    </w:p>
  </w:footnote>
  <w:footnote w:id="33">
    <w:p>
      <w:pPr>
        <w:jc w:val="both"/>
        <w:rPr>
          <w:sz w:val="16"/>
          <w:szCs w:val="16"/>
        </w:rPr>
      </w:pPr>
      <w:r>
        <w:rPr>
          <w:rStyle w:val="Caractresdenotedebasdepage"/>
          <w:szCs w:val="16"/>
        </w:rPr>
        <w:footnoteRef/>
      </w:r>
      <w:r>
        <w:rPr>
          <w:rStyle w:val="Caractresdenotedebasdepage"/>
          <w:rFonts w:cs="Arial"/>
          <w:szCs w:val="16"/>
        </w:rPr>
        <w:t xml:space="preserve"> </w:t>
      </w:r>
      <w:r>
        <w:rPr>
          <w:rStyle w:val="NotedebasdepageCar"/>
          <w:rFonts w:asciiTheme="majorHAnsi" w:hAnsiTheme="majorHAnsi" w:cs="Arial"/>
          <w:iCs/>
          <w:sz w:val="16"/>
          <w:szCs w:val="16"/>
        </w:rPr>
        <w:t>Modèles à utiliser pour les écoles organisées (pouvant servir d’exemple pour les écoles subventionnées)</w:t>
      </w:r>
      <w:r>
        <w:rPr>
          <w:sz w:val="16"/>
          <w:szCs w:val="16"/>
        </w:rPr>
        <w:t xml:space="preserve"> : </w:t>
      </w:r>
      <w:r>
        <w:rPr>
          <w:rStyle w:val="NotedebasdepageCar"/>
          <w:rFonts w:asciiTheme="majorHAnsi" w:hAnsiTheme="majorHAnsi" w:cs="Arial"/>
          <w:sz w:val="16"/>
          <w:szCs w:val="16"/>
        </w:rPr>
        <w:t xml:space="preserve">Un schéma de la procédure se trouve en </w:t>
      </w:r>
      <w:hyperlink w:anchor="_Annexe_8_:_1" w:history="1">
        <w:r>
          <w:rPr>
            <w:rStyle w:val="Lienhypertexte"/>
            <w:rFonts w:cs="Arial"/>
            <w:sz w:val="16"/>
            <w:szCs w:val="16"/>
            <w:lang w:val="fr-FR"/>
          </w:rPr>
          <w:t>annexe 8</w:t>
        </w:r>
      </w:hyperlink>
      <w:r>
        <w:rPr>
          <w:rStyle w:val="NotedebasdepageCar"/>
          <w:rFonts w:asciiTheme="majorHAnsi" w:hAnsiTheme="majorHAnsi" w:cs="Arial"/>
          <w:sz w:val="16"/>
          <w:szCs w:val="16"/>
        </w:rPr>
        <w:t xml:space="preserve">, des modèles de lettres de convocation des parents pour l’audition en </w:t>
      </w:r>
      <w:hyperlink w:anchor="_Annexe_9_:_1" w:history="1">
        <w:r>
          <w:rPr>
            <w:rStyle w:val="Lienhypertexte"/>
            <w:rFonts w:cs="Arial"/>
            <w:sz w:val="16"/>
            <w:szCs w:val="16"/>
            <w:lang w:val="fr-FR"/>
          </w:rPr>
          <w:t>annexe 9</w:t>
        </w:r>
      </w:hyperlink>
      <w:r>
        <w:rPr>
          <w:rStyle w:val="NotedebasdepageCar"/>
          <w:rFonts w:asciiTheme="majorHAnsi" w:hAnsiTheme="majorHAnsi" w:cs="Arial"/>
          <w:sz w:val="16"/>
          <w:szCs w:val="16"/>
        </w:rPr>
        <w:t xml:space="preserve"> et d’exclusion ou de refus de réinscription  en </w:t>
      </w:r>
      <w:hyperlink w:anchor="_Annexe_10_:_2" w:history="1">
        <w:r>
          <w:rPr>
            <w:rStyle w:val="Lienhypertexte"/>
            <w:rFonts w:cs="Arial"/>
            <w:sz w:val="16"/>
            <w:szCs w:val="16"/>
            <w:lang w:val="fr-FR"/>
          </w:rPr>
          <w:t>annexe 10</w:t>
        </w:r>
      </w:hyperlink>
      <w:r>
        <w:rPr>
          <w:rStyle w:val="NotedebasdepageCar"/>
          <w:rFonts w:asciiTheme="majorHAnsi" w:hAnsiTheme="majorHAnsi" w:cs="Arial"/>
          <w:sz w:val="16"/>
          <w:szCs w:val="16"/>
        </w:rPr>
        <w:t xml:space="preserve"> ou </w:t>
      </w:r>
      <w:hyperlink w:anchor="_Annexe_11_:_1" w:history="1">
        <w:r>
          <w:rPr>
            <w:rStyle w:val="Lienhypertexte"/>
            <w:rFonts w:cs="Arial"/>
            <w:sz w:val="16"/>
            <w:szCs w:val="16"/>
            <w:lang w:val="fr-FR"/>
          </w:rPr>
          <w:t>11</w:t>
        </w:r>
      </w:hyperlink>
      <w:r>
        <w:rPr>
          <w:rStyle w:val="NotedebasdepageCar"/>
          <w:rFonts w:asciiTheme="majorHAnsi" w:hAnsiTheme="majorHAnsi" w:cs="Arial"/>
          <w:sz w:val="16"/>
          <w:szCs w:val="16"/>
        </w:rPr>
        <w:t xml:space="preserve">, un modèle de procès-verbal de conseil de classe en </w:t>
      </w:r>
      <w:hyperlink w:anchor="_Annexe_13_:_1" w:history="1">
        <w:r>
          <w:rPr>
            <w:rStyle w:val="Lienhypertexte"/>
            <w:rFonts w:cs="Arial"/>
            <w:sz w:val="16"/>
            <w:szCs w:val="16"/>
            <w:lang w:val="fr-FR"/>
          </w:rPr>
          <w:t>annexe 13</w:t>
        </w:r>
      </w:hyperlink>
    </w:p>
  </w:footnote>
  <w:footnote w:id="34">
    <w:p>
      <w:pPr>
        <w:jc w:val="both"/>
        <w:rPr>
          <w:sz w:val="16"/>
          <w:szCs w:val="16"/>
        </w:rPr>
      </w:pPr>
      <w:r>
        <w:rPr>
          <w:rStyle w:val="Caractresdenotedebasdepage"/>
          <w:szCs w:val="16"/>
        </w:rPr>
        <w:footnoteRef/>
      </w:r>
      <w:r>
        <w:rPr>
          <w:sz w:val="16"/>
          <w:szCs w:val="16"/>
        </w:rPr>
        <w:t xml:space="preserve"> Précis = date, heure, fait(s) exact(s) et justification(s) légale(s).</w:t>
      </w:r>
    </w:p>
  </w:footnote>
  <w:footnote w:id="35">
    <w:p>
      <w:pPr>
        <w:jc w:val="both"/>
        <w:rPr>
          <w:sz w:val="16"/>
          <w:szCs w:val="16"/>
        </w:rPr>
      </w:pPr>
      <w:r>
        <w:rPr>
          <w:rStyle w:val="Caractresdenotedebasdepage"/>
          <w:szCs w:val="16"/>
        </w:rPr>
        <w:footnoteRef/>
      </w:r>
      <w:r>
        <w:rPr>
          <w:sz w:val="16"/>
          <w:szCs w:val="16"/>
        </w:rPr>
        <w:t xml:space="preserve"> Voir </w:t>
      </w:r>
      <w:hyperlink w:anchor="_Annexe_14_:" w:history="1">
        <w:r>
          <w:rPr>
            <w:rStyle w:val="Lienhypertexte"/>
            <w:sz w:val="16"/>
            <w:szCs w:val="16"/>
          </w:rPr>
          <w:t>Annexe 14</w:t>
        </w:r>
      </w:hyperlink>
      <w:r>
        <w:rPr>
          <w:rStyle w:val="Lienhypertexte"/>
          <w:sz w:val="16"/>
          <w:szCs w:val="16"/>
          <w:u w:val="none"/>
        </w:rPr>
        <w:t xml:space="preserve"> </w:t>
      </w:r>
      <w:r>
        <w:rPr>
          <w:sz w:val="16"/>
          <w:szCs w:val="16"/>
        </w:rPr>
        <w:t>pour l’enseignement organisé par la Fédération Wallonie-Bruxelles.</w:t>
      </w:r>
    </w:p>
  </w:footnote>
  <w:footnote w:id="36">
    <w:p>
      <w:pPr>
        <w:jc w:val="both"/>
        <w:rPr>
          <w:sz w:val="16"/>
        </w:rPr>
      </w:pPr>
      <w:r>
        <w:rPr>
          <w:rStyle w:val="Caractresdenotedebasdepage"/>
        </w:rPr>
        <w:footnoteRef/>
      </w:r>
      <w:r>
        <w:rPr>
          <w:rStyle w:val="Caractresdenotedebasdepage"/>
        </w:rPr>
        <w:t xml:space="preserve">  </w:t>
      </w:r>
      <w:r>
        <w:rPr>
          <w:sz w:val="16"/>
        </w:rPr>
        <w:t xml:space="preserve">Voir </w:t>
      </w:r>
      <w:hyperlink w:anchor="_Annexe_18_:" w:history="1">
        <w:r>
          <w:rPr>
            <w:rStyle w:val="Lienhypertexte"/>
            <w:sz w:val="16"/>
          </w:rPr>
          <w:t>annexe 18</w:t>
        </w:r>
        <w:r>
          <w:rPr>
            <w:rStyle w:val="Lienhypertexte"/>
            <w:rFonts w:cstheme="minorBidi"/>
            <w:sz w:val="16"/>
          </w:rPr>
          <w:t>.</w:t>
        </w:r>
      </w:hyperlink>
    </w:p>
  </w:footnote>
  <w:footnote w:id="37">
    <w:p>
      <w:pPr>
        <w:jc w:val="both"/>
        <w:rPr>
          <w:sz w:val="16"/>
        </w:rPr>
      </w:pPr>
      <w:r>
        <w:rPr>
          <w:rStyle w:val="Appelnotedebasdep"/>
          <w:sz w:val="16"/>
        </w:rPr>
        <w:footnoteRef/>
      </w:r>
      <w:r>
        <w:rPr>
          <w:sz w:val="16"/>
        </w:rPr>
        <w:t xml:space="preserve"> Circulaire n°3783 du 28 octobre 2011 « </w:t>
      </w:r>
      <w:hyperlink r:id="rId22" w:history="1">
        <w:r>
          <w:rPr>
            <w:rStyle w:val="Lienhypertexte"/>
            <w:sz w:val="16"/>
          </w:rPr>
          <w:t>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w:t>
        </w:r>
      </w:hyperlink>
      <w:r>
        <w:rPr>
          <w:sz w:val="16"/>
        </w:rPr>
        <w:t xml:space="preserve"> »  </w:t>
      </w:r>
    </w:p>
  </w:footnote>
  <w:footnote w:id="38">
    <w:p>
      <w:pPr>
        <w:jc w:val="both"/>
        <w:rPr>
          <w:sz w:val="16"/>
          <w:szCs w:val="16"/>
        </w:rPr>
      </w:pPr>
      <w:r>
        <w:rPr>
          <w:rStyle w:val="Appelnotedebasdep"/>
          <w:sz w:val="16"/>
          <w:szCs w:val="16"/>
        </w:rPr>
        <w:footnoteRef/>
      </w:r>
      <w:r>
        <w:rPr>
          <w:sz w:val="16"/>
          <w:szCs w:val="16"/>
        </w:rPr>
        <w:t xml:space="preserve"> Circulaire, op cit.  </w:t>
      </w:r>
    </w:p>
  </w:footnote>
  <w:footnote w:id="39">
    <w:p>
      <w:pPr>
        <w:jc w:val="both"/>
        <w:rPr>
          <w:sz w:val="16"/>
          <w:szCs w:val="16"/>
        </w:rPr>
      </w:pPr>
      <w:r>
        <w:rPr>
          <w:rStyle w:val="Caractresdenotedebasdepage"/>
          <w:szCs w:val="16"/>
        </w:rPr>
        <w:footnoteRef/>
      </w:r>
      <w:r>
        <w:rPr>
          <w:sz w:val="16"/>
          <w:szCs w:val="16"/>
        </w:rPr>
        <w:t xml:space="preserve"> Il s’agit d’une recommandation sans base légale.</w:t>
      </w:r>
    </w:p>
  </w:footnote>
  <w:footnote w:id="40">
    <w:p>
      <w:pPr>
        <w:jc w:val="both"/>
        <w:rPr>
          <w:sz w:val="16"/>
          <w:szCs w:val="16"/>
        </w:rPr>
      </w:pPr>
      <w:r>
        <w:rPr>
          <w:rStyle w:val="Caractresdenotedebasdepage"/>
          <w:szCs w:val="16"/>
        </w:rPr>
        <w:footnoteRef/>
      </w:r>
      <w:r>
        <w:rPr>
          <w:sz w:val="16"/>
          <w:szCs w:val="16"/>
        </w:rPr>
        <w:t xml:space="preserve"> Voir </w:t>
      </w:r>
      <w:hyperlink w:anchor="_Annexe_11_:_1" w:history="1">
        <w:r>
          <w:rPr>
            <w:rStyle w:val="Lienhypertexte"/>
            <w:iCs/>
            <w:sz w:val="16"/>
            <w:szCs w:val="16"/>
          </w:rPr>
          <w:t>annexe</w:t>
        </w:r>
      </w:hyperlink>
      <w:r>
        <w:rPr>
          <w:rStyle w:val="Lienhypertexte"/>
          <w:iCs/>
          <w:sz w:val="16"/>
          <w:szCs w:val="16"/>
        </w:rPr>
        <w:t xml:space="preserve"> 11</w:t>
      </w:r>
      <w:r>
        <w:rPr>
          <w:sz w:val="16"/>
          <w:szCs w:val="16"/>
        </w:rPr>
        <w:t xml:space="preserve"> (Enseignement organisé par la Fédération Wallonie-Bruxelles).</w:t>
      </w:r>
    </w:p>
  </w:footnote>
  <w:footnote w:id="41">
    <w:p>
      <w:pPr>
        <w:jc w:val="both"/>
        <w:rPr>
          <w:sz w:val="16"/>
          <w:szCs w:val="16"/>
        </w:rPr>
      </w:pPr>
      <w:r>
        <w:rPr>
          <w:rStyle w:val="Caractresdenotedebasdepage"/>
          <w:szCs w:val="16"/>
        </w:rPr>
        <w:footnoteRef/>
      </w:r>
      <w:r>
        <w:rPr>
          <w:sz w:val="16"/>
          <w:szCs w:val="16"/>
        </w:rPr>
        <w:t xml:space="preserve"> Voir </w:t>
      </w:r>
      <w:hyperlink w:anchor="_Annexe_14_:" w:history="1">
        <w:r>
          <w:rPr>
            <w:rStyle w:val="Lienhypertexte"/>
            <w:sz w:val="16"/>
            <w:szCs w:val="16"/>
          </w:rPr>
          <w:t>annexe 14</w:t>
        </w:r>
      </w:hyperlink>
      <w:r>
        <w:rPr>
          <w:sz w:val="16"/>
          <w:szCs w:val="16"/>
        </w:rPr>
        <w:t>.</w:t>
      </w:r>
    </w:p>
  </w:footnote>
  <w:footnote w:id="42">
    <w:p>
      <w:pPr>
        <w:jc w:val="both"/>
        <w:rPr>
          <w:sz w:val="16"/>
          <w:szCs w:val="16"/>
        </w:rPr>
      </w:pPr>
      <w:r>
        <w:rPr>
          <w:rStyle w:val="Caractresdenotedebasdepage"/>
          <w:szCs w:val="16"/>
        </w:rPr>
        <w:footnoteRef/>
      </w:r>
      <w:r>
        <w:rPr>
          <w:sz w:val="16"/>
          <w:szCs w:val="16"/>
        </w:rPr>
        <w:t xml:space="preserve"> Courrier à transmettre à la Direction générale de l’enseignement obligatoire, Ministère de la Fédération Wallonie-Bruxelles, Rue Adolphe Lavallée n°1 – 1080 BRUXELLES.</w:t>
      </w:r>
    </w:p>
  </w:footnote>
  <w:footnote w:id="43">
    <w:p>
      <w:pPr>
        <w:jc w:val="both"/>
        <w:rPr>
          <w:sz w:val="16"/>
          <w:szCs w:val="16"/>
        </w:rPr>
      </w:pPr>
      <w:r>
        <w:rPr>
          <w:rStyle w:val="Caractresdenotedebasdepage"/>
          <w:szCs w:val="16"/>
        </w:rPr>
        <w:footnoteRef/>
      </w:r>
      <w:r>
        <w:rPr>
          <w:sz w:val="16"/>
          <w:szCs w:val="16"/>
        </w:rPr>
        <w:t xml:space="preserve"> Courrier à transmettre à la Direction générale de l’enseignement obligatoire, Ministère de la Fédération Wallonie-Bruxelles, Rue Adolphe Lavallée n°1 – 1080 BRUXELLES.</w:t>
      </w:r>
    </w:p>
  </w:footnote>
  <w:footnote w:id="44">
    <w:p>
      <w:pPr>
        <w:jc w:val="both"/>
        <w:rPr>
          <w:sz w:val="16"/>
          <w:szCs w:val="16"/>
        </w:rPr>
      </w:pPr>
      <w:r>
        <w:rPr>
          <w:rStyle w:val="Caractresdenotedebasdepage"/>
          <w:szCs w:val="16"/>
        </w:rPr>
        <w:footnoteRef/>
      </w:r>
      <w:r>
        <w:rPr>
          <w:sz w:val="16"/>
          <w:szCs w:val="16"/>
        </w:rPr>
        <w:t xml:space="preserve"> </w:t>
      </w:r>
      <w:hyperlink r:id="rId23" w:history="1">
        <w:r>
          <w:rPr>
            <w:rStyle w:val="Lienhypertexte"/>
            <w:sz w:val="16"/>
            <w:szCs w:val="16"/>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 </w:t>
        </w:r>
      </w:hyperlink>
      <w:r>
        <w:rPr>
          <w:sz w:val="16"/>
          <w:szCs w:val="16"/>
        </w:rPr>
        <w:t xml:space="preserve">; </w:t>
      </w:r>
    </w:p>
    <w:p>
      <w:pPr>
        <w:jc w:val="both"/>
        <w:rPr>
          <w:sz w:val="16"/>
          <w:szCs w:val="16"/>
        </w:rPr>
      </w:pPr>
      <w:hyperlink r:id="rId24" w:history="1">
        <w:r>
          <w:rPr>
            <w:rStyle w:val="Lienhypertexte"/>
            <w:rFonts w:cs="Arial"/>
            <w:sz w:val="16"/>
            <w:szCs w:val="16"/>
          </w:rPr>
          <w:t>Circulaire n°2327 du 02 juin 2008 relative aux dispositions communes en matière de faits graves devant figurer dans le règlement d’ordre intérieur de chaque établissement subventionné ou organisé par la Communauté française.</w:t>
        </w:r>
      </w:hyperlink>
    </w:p>
  </w:footnote>
  <w:footnote w:id="45">
    <w:p>
      <w:pPr>
        <w:jc w:val="both"/>
        <w:rPr>
          <w:sz w:val="16"/>
          <w:szCs w:val="16"/>
        </w:rPr>
      </w:pPr>
      <w:r>
        <w:rPr>
          <w:rStyle w:val="Caractresdenotedebasdepage"/>
          <w:szCs w:val="16"/>
        </w:rPr>
        <w:footnoteRef/>
      </w:r>
      <w:r>
        <w:rPr>
          <w:sz w:val="16"/>
          <w:szCs w:val="16"/>
        </w:rPr>
        <w:t xml:space="preserve"> </w:t>
      </w:r>
      <w:hyperlink r:id="rId25" w:history="1">
        <w:r>
          <w:rPr>
            <w:rStyle w:val="Lienhypertexte"/>
            <w:sz w:val="16"/>
            <w:szCs w:val="16"/>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 </w:t>
        </w:r>
      </w:hyperlink>
      <w:r>
        <w:rPr>
          <w:sz w:val="16"/>
          <w:szCs w:val="16"/>
        </w:rPr>
        <w:t>;</w:t>
      </w:r>
    </w:p>
  </w:footnote>
  <w:footnote w:id="46">
    <w:p>
      <w:pPr>
        <w:jc w:val="both"/>
        <w:rPr>
          <w:rStyle w:val="NotedebasdepageCar"/>
          <w:rFonts w:asciiTheme="majorHAnsi" w:hAnsiTheme="majorHAnsi" w:cs="Arial"/>
          <w:sz w:val="16"/>
          <w:szCs w:val="16"/>
        </w:rPr>
      </w:pPr>
      <w:r>
        <w:rPr>
          <w:rStyle w:val="Appelnotedebasdep"/>
          <w:sz w:val="16"/>
          <w:szCs w:val="16"/>
        </w:rPr>
        <w:footnoteRef/>
      </w:r>
      <w:r>
        <w:rPr>
          <w:sz w:val="16"/>
          <w:szCs w:val="16"/>
        </w:rPr>
        <w:t xml:space="preserve"> </w:t>
      </w:r>
      <w:hyperlink r:id="rId26" w:history="1">
        <w:r>
          <w:rPr>
            <w:rStyle w:val="Lienhypertexte"/>
            <w:rFonts w:cs="Arial"/>
            <w:sz w:val="16"/>
            <w:szCs w:val="16"/>
            <w:lang w:val="fr-FR" w:eastAsia="ar-SA"/>
          </w:rPr>
          <w:t>Décret du 21 novembre 2013 organisant divers dispositifs scolaires favorisant le bien-être des jeunes à l’école, l’accrochage scolaire, la prévention de la violence à l’école et l’accompagnement des démarches d’orientation scolaire</w:t>
        </w:r>
      </w:hyperlink>
      <w:r>
        <w:rPr>
          <w:rStyle w:val="NotedebasdepageCar"/>
          <w:rFonts w:asciiTheme="majorHAnsi" w:hAnsiTheme="majorHAnsi" w:cs="Arial"/>
          <w:sz w:val="16"/>
          <w:szCs w:val="16"/>
        </w:rPr>
        <w:t>, article 6 §1er et §2. </w:t>
      </w:r>
    </w:p>
    <w:p>
      <w:pPr>
        <w:jc w:val="both"/>
        <w:rPr>
          <w:sz w:val="16"/>
          <w:szCs w:val="16"/>
        </w:rPr>
      </w:pPr>
      <w:hyperlink r:id="rId27" w:history="1">
        <w:r>
          <w:rPr>
            <w:rStyle w:val="Lienhypertexte"/>
            <w:sz w:val="16"/>
            <w:szCs w:val="16"/>
          </w:rPr>
          <w:t>Circulaire n°3783 du 28 octobre 2011 « 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hyperlink>
      <w:r>
        <w:rPr>
          <w:rStyle w:val="Appelnotedebasdep"/>
          <w:sz w:val="16"/>
          <w:szCs w:val="16"/>
        </w:rPr>
        <w:t>»</w:t>
      </w:r>
    </w:p>
  </w:footnote>
  <w:footnote w:id="47">
    <w:p>
      <w:pPr>
        <w:jc w:val="both"/>
        <w:rPr>
          <w:sz w:val="16"/>
          <w:szCs w:val="16"/>
        </w:rPr>
      </w:pPr>
      <w:r>
        <w:rPr>
          <w:rStyle w:val="Caractresdenotedebasdepage"/>
          <w:szCs w:val="16"/>
        </w:rPr>
        <w:footnoteRef/>
      </w:r>
      <w:r>
        <w:rPr>
          <w:sz w:val="16"/>
          <w:szCs w:val="16"/>
        </w:rPr>
        <w:t xml:space="preserve"> Circulaire ministérielle PLP 41 en vue du renforcement et/ou de l’ajustement de la politique de sécurité locale ainsi que de l’approche spécifique en matière de criminalité juvénile avec, en particulier, un point de contact pour les écoles. Cette circulaire est reproduite et commentée dans la</w:t>
      </w:r>
      <w:hyperlink r:id="rId28" w:history="1">
        <w:r>
          <w:rPr>
            <w:rStyle w:val="Lienhypertexte"/>
            <w:rFonts w:cstheme="minorBidi"/>
            <w:sz w:val="16"/>
            <w:szCs w:val="16"/>
          </w:rPr>
          <w:t xml:space="preserve"> circulaire n° 1721</w:t>
        </w:r>
      </w:hyperlink>
      <w:r>
        <w:rPr>
          <w:sz w:val="16"/>
          <w:szCs w:val="16"/>
        </w:rPr>
        <w:t xml:space="preserve"> du cabinet de Madame la Ministre ARENA du 4 janvier 2007.</w:t>
      </w:r>
    </w:p>
  </w:footnote>
  <w:footnote w:id="48">
    <w:p>
      <w:pPr>
        <w:jc w:val="both"/>
        <w:rPr>
          <w:sz w:val="16"/>
          <w:szCs w:val="16"/>
        </w:rPr>
      </w:pPr>
      <w:r>
        <w:rPr>
          <w:rStyle w:val="Caractresdenotedebasdepage"/>
          <w:szCs w:val="16"/>
        </w:rPr>
        <w:footnoteRef/>
      </w:r>
      <w:r>
        <w:rPr>
          <w:sz w:val="16"/>
          <w:szCs w:val="16"/>
        </w:rPr>
        <w:t xml:space="preserve"> Pour une meilleure compréhension de ce concept tel qu’il est utilisé en Belgique par les autorités, voyez </w:t>
      </w:r>
      <w:hyperlink r:id="rId29" w:history="1">
        <w:r>
          <w:rPr>
            <w:rStyle w:val="Lienhypertexte"/>
            <w:rFonts w:cstheme="minorBidi"/>
            <w:sz w:val="16"/>
            <w:szCs w:val="16"/>
          </w:rPr>
          <w:t>la circulaire CP 1 du 27 mai 2003</w:t>
        </w:r>
      </w:hyperlink>
      <w:r>
        <w:rPr>
          <w:sz w:val="16"/>
          <w:szCs w:val="16"/>
        </w:rPr>
        <w:t xml:space="preserve"> concernant la définition de l’interprétation du Community policing applicable au service de police intégré, structuré à deux niveaux (M.B. 9 juillet 2003) ainsi que les documents disponibles sur le site </w:t>
      </w:r>
      <w:hyperlink r:id="rId30" w:history="1">
        <w:r>
          <w:rPr>
            <w:rStyle w:val="Lienhypertexte"/>
            <w:sz w:val="16"/>
            <w:szCs w:val="16"/>
          </w:rPr>
          <w:t>www.infozone.be</w:t>
        </w:r>
      </w:hyperlink>
      <w:r>
        <w:rPr>
          <w:sz w:val="16"/>
          <w:szCs w:val="16"/>
        </w:rPr>
        <w:t>.</w:t>
      </w:r>
    </w:p>
  </w:footnote>
  <w:footnote w:id="49">
    <w:p>
      <w:pPr>
        <w:jc w:val="both"/>
        <w:rPr>
          <w:sz w:val="16"/>
          <w:szCs w:val="16"/>
        </w:rPr>
      </w:pPr>
      <w:r>
        <w:rPr>
          <w:rStyle w:val="Caractresdenotedebasdepage"/>
          <w:szCs w:val="16"/>
        </w:rPr>
        <w:footnoteRef/>
      </w:r>
      <w:r>
        <w:rPr>
          <w:sz w:val="16"/>
          <w:szCs w:val="16"/>
        </w:rPr>
        <w:t xml:space="preserve"> Article 29, alinéa 1er : « Toute autorité constituée, tout fonctionnaire ou officier public, qui, dans l’exercice de ses fonctions, acquerra la connaissance d’un crime ou d’un délit, sera tenu d’en donner avis sur-le-champ au procureur du Roi près le tribunal dans le ressort duquel ce crime ou délit aura été commis ou dans lequel l’inculpé pourrait être trouvé, et de transmettre à ce magistrat tous les renseignements, procès-verbaux et actes qui y sont relatifs ».</w:t>
      </w:r>
    </w:p>
    <w:p>
      <w:pPr>
        <w:jc w:val="both"/>
        <w:rPr>
          <w:sz w:val="16"/>
          <w:szCs w:val="16"/>
        </w:rPr>
      </w:pPr>
      <w:r>
        <w:rPr>
          <w:sz w:val="16"/>
          <w:szCs w:val="16"/>
        </w:rPr>
        <w:t>Article 30 : « Toute personne qui aura été témoin d’un attentat, soit contre la sûreté publique, soit contre la vie ou la propriété d’un individu, sera pareillement tenue d’en donner avis au procureur du Roi, soit du lieu du crime ou délit, soit du lieu où l’inculpé pourra être trouvé ». On relèvera en outre que les modalités de la dénonciation sont déterminées par l’article 31 du même code.</w:t>
      </w:r>
    </w:p>
  </w:footnote>
  <w:footnote w:id="50">
    <w:p>
      <w:pPr>
        <w:jc w:val="both"/>
        <w:rPr>
          <w:sz w:val="16"/>
          <w:szCs w:val="16"/>
        </w:rPr>
      </w:pPr>
      <w:r>
        <w:rPr>
          <w:rStyle w:val="Caractresdenotedebasdepage"/>
          <w:szCs w:val="16"/>
        </w:rPr>
        <w:footnoteRef/>
      </w:r>
      <w:r>
        <w:rPr>
          <w:rFonts w:cs="Arial"/>
          <w:sz w:val="16"/>
          <w:szCs w:val="16"/>
        </w:rPr>
        <w:t xml:space="preserve"> </w:t>
      </w:r>
      <w:r>
        <w:rPr>
          <w:rFonts w:cs="Arial"/>
          <w:iCs/>
          <w:sz w:val="16"/>
          <w:szCs w:val="16"/>
        </w:rPr>
        <w:t xml:space="preserve">Vous trouverez un modèle de base de protocole de collaboration avec les services de police en </w:t>
      </w:r>
      <w:hyperlink w:anchor="_Annexe_17_:" w:history="1">
        <w:r>
          <w:rPr>
            <w:rStyle w:val="Lienhypertexte"/>
            <w:rFonts w:cs="Arial"/>
            <w:iCs/>
            <w:sz w:val="16"/>
            <w:szCs w:val="16"/>
          </w:rPr>
          <w:t>Annexe 17</w:t>
        </w:r>
      </w:hyperlink>
      <w:r>
        <w:rPr>
          <w:rFonts w:cs="Arial"/>
          <w:iCs/>
          <w:sz w:val="16"/>
          <w:szCs w:val="16"/>
        </w:rPr>
        <w:t xml:space="preserve">. </w:t>
      </w:r>
    </w:p>
  </w:footnote>
  <w:footnote w:id="51">
    <w:p>
      <w:pPr>
        <w:jc w:val="both"/>
        <w:rPr>
          <w:sz w:val="16"/>
          <w:szCs w:val="16"/>
        </w:rPr>
      </w:pPr>
      <w:r>
        <w:rPr>
          <w:rStyle w:val="Caractresdenotedebasdepage"/>
          <w:szCs w:val="16"/>
        </w:rPr>
        <w:footnoteRef/>
      </w:r>
      <w:r>
        <w:rPr>
          <w:sz w:val="16"/>
          <w:szCs w:val="16"/>
        </w:rPr>
        <w:t xml:space="preserve"> A l’attention de Monsieur AERTS-BANCKEN, Directeur général, Direction Générale de l’Enseignement Obligatoire, rue Adolphe Lavallée, 1 à 1080   BRUXELLES.</w:t>
      </w:r>
    </w:p>
  </w:footnote>
  <w:footnote w:id="52">
    <w:p>
      <w:pPr>
        <w:jc w:val="both"/>
        <w:rPr>
          <w:sz w:val="16"/>
          <w:szCs w:val="16"/>
        </w:rPr>
      </w:pPr>
      <w:r>
        <w:rPr>
          <w:rStyle w:val="Appelnotedebasdep"/>
          <w:sz w:val="16"/>
          <w:szCs w:val="16"/>
        </w:rPr>
        <w:footnoteRef/>
      </w:r>
      <w:r>
        <w:rPr>
          <w:sz w:val="16"/>
          <w:szCs w:val="16"/>
        </w:rPr>
        <w:t xml:space="preserve"> V. </w:t>
      </w:r>
      <w:hyperlink r:id="rId31" w:history="1">
        <w:r>
          <w:rPr>
            <w:rStyle w:val="Lienhypertexte"/>
            <w:sz w:val="16"/>
            <w:szCs w:val="16"/>
          </w:rPr>
          <w:t>Circulaire n°4516 du 29 août 2013 relative à la Gratuité de l’accès à l’Enseignement obligatoire</w:t>
        </w:r>
      </w:hyperlink>
      <w:r>
        <w:rPr>
          <w:sz w:val="16"/>
          <w:szCs w:val="16"/>
        </w:rPr>
        <w:t>.</w:t>
      </w:r>
    </w:p>
  </w:footnote>
  <w:footnote w:id="53">
    <w:p>
      <w:pPr>
        <w:jc w:val="both"/>
        <w:rPr>
          <w:sz w:val="16"/>
          <w:szCs w:val="16"/>
        </w:rPr>
      </w:pPr>
      <w:r>
        <w:rPr>
          <w:rStyle w:val="Appelnotedebasdep"/>
          <w:rFonts w:eastAsiaTheme="minorEastAsia"/>
          <w:sz w:val="16"/>
          <w:szCs w:val="16"/>
        </w:rPr>
        <w:footnoteRef/>
      </w:r>
      <w:r>
        <w:rPr>
          <w:rStyle w:val="Appelnotedebasdep"/>
          <w:rFonts w:eastAsiaTheme="minorEastAsia"/>
          <w:sz w:val="16"/>
          <w:szCs w:val="16"/>
        </w:rPr>
        <w:t xml:space="preserve"> </w:t>
      </w:r>
      <w:r>
        <w:rPr>
          <w:sz w:val="16"/>
          <w:szCs w:val="16"/>
        </w:rPr>
        <w:t xml:space="preserve">Deux exceptions : l’une pour les élèves non soumis à l’obligation scolaire et non ressortissants des CE (cf. article 59, §1er, de la loi concernant l’enseignement du 21/06/1985) et la seconde pour les élèves en 7e année de l’enseignement secondaire général (article 12, §1er bis de </w:t>
      </w:r>
      <w:hyperlink r:id="rId32" w:history="1">
        <w:r>
          <w:rPr>
            <w:rStyle w:val="Lienhypertexte"/>
            <w:rFonts w:cstheme="minorBidi"/>
            <w:sz w:val="16"/>
            <w:szCs w:val="16"/>
          </w:rPr>
          <w:t>la loi dite du Pacte scolaire du 29/05/59</w:t>
        </w:r>
      </w:hyperlink>
      <w:r>
        <w:rPr>
          <w:sz w:val="16"/>
          <w:szCs w:val="16"/>
        </w:rPr>
        <w:t>).</w:t>
      </w:r>
    </w:p>
  </w:footnote>
  <w:footnote w:id="54">
    <w:p>
      <w:pPr>
        <w:pStyle w:val="Notedebasdepage"/>
      </w:pPr>
      <w:r>
        <w:rPr>
          <w:rStyle w:val="Appelnotedebasdep"/>
        </w:rPr>
        <w:footnoteRef/>
      </w:r>
      <w:r>
        <w:t xml:space="preserve"> </w:t>
      </w:r>
      <w:hyperlink r:id="rId33" w:history="1">
        <w:r>
          <w:rPr>
            <w:rStyle w:val="Lienhypertexte"/>
            <w:rFonts w:cs="Arial"/>
          </w:rPr>
          <w:t>Circulaire n° 7134 du 17 mai 2019 concernant la mise en œuvre de la gratuité scolaire au niveau maternel</w:t>
        </w:r>
      </w:hyperlink>
    </w:p>
  </w:footnote>
  <w:footnote w:id="55">
    <w:p>
      <w:pPr>
        <w:pStyle w:val="Notedebasdepage"/>
      </w:pPr>
      <w:r>
        <w:rPr>
          <w:rStyle w:val="Appelnotedebasdep"/>
        </w:rPr>
        <w:footnoteRef/>
      </w:r>
      <w:r>
        <w:t xml:space="preserve"> </w:t>
      </w:r>
      <w:hyperlink r:id="rId34" w:history="1">
        <w:r>
          <w:rPr>
            <w:rStyle w:val="Lienhypertexte"/>
            <w:rFonts w:cs="Arial"/>
          </w:rPr>
          <w:t>Circulaire n° 7135 du 17 mai 2019 concernant la mise en œuvre de la gratuité scolaire au niveau primaire</w:t>
        </w:r>
      </w:hyperlink>
    </w:p>
  </w:footnote>
  <w:footnote w:id="56">
    <w:p>
      <w:pPr>
        <w:jc w:val="both"/>
        <w:rPr>
          <w:sz w:val="16"/>
          <w:szCs w:val="16"/>
        </w:rPr>
      </w:pPr>
      <w:r>
        <w:rPr>
          <w:rStyle w:val="Appelnotedebasdep"/>
          <w:rFonts w:eastAsiaTheme="minorEastAsia"/>
          <w:sz w:val="16"/>
          <w:szCs w:val="16"/>
        </w:rPr>
        <w:footnoteRef/>
      </w:r>
      <w:r>
        <w:rPr>
          <w:rStyle w:val="Appelnotedebasdep"/>
          <w:rFonts w:eastAsiaTheme="minorEastAsia"/>
          <w:sz w:val="16"/>
          <w:szCs w:val="16"/>
        </w:rPr>
        <w:t xml:space="preserve"> </w:t>
      </w:r>
      <w:hyperlink r:id="rId35" w:history="1">
        <w:r>
          <w:rPr>
            <w:rStyle w:val="Lienhypertexte"/>
            <w:rFonts w:cstheme="minorBidi"/>
            <w:sz w:val="16"/>
            <w:szCs w:val="16"/>
          </w:rPr>
          <w:t>Décret « Missions » du 24 juillet 1997</w:t>
        </w:r>
      </w:hyperlink>
      <w:r>
        <w:rPr>
          <w:sz w:val="16"/>
          <w:szCs w:val="16"/>
        </w:rPr>
        <w:t>, article 5, 43°</w:t>
      </w:r>
    </w:p>
  </w:footnote>
  <w:footnote w:id="57">
    <w:p>
      <w:pPr>
        <w:jc w:val="both"/>
        <w:rPr>
          <w:sz w:val="16"/>
          <w:szCs w:val="16"/>
        </w:rPr>
      </w:pPr>
      <w:r>
        <w:rPr>
          <w:rStyle w:val="Appelnotedebasdep"/>
          <w:rFonts w:eastAsiaTheme="minorEastAsia"/>
          <w:sz w:val="16"/>
          <w:szCs w:val="16"/>
        </w:rPr>
        <w:footnoteRef/>
      </w:r>
      <w:r>
        <w:rPr>
          <w:sz w:val="16"/>
          <w:szCs w:val="16"/>
        </w:rPr>
        <w:t xml:space="preserve"> Le contrôle peut être réalisé par le Service des Vérificateurs comptables, par le Service Général de l’Inspection et par le Service Général du Pilotage des établissements.</w:t>
      </w:r>
    </w:p>
  </w:footnote>
  <w:footnote w:id="58">
    <w:p>
      <w:pPr>
        <w:jc w:val="both"/>
        <w:rPr>
          <w:sz w:val="16"/>
        </w:rPr>
      </w:pPr>
      <w:r>
        <w:rPr>
          <w:rStyle w:val="Appelnotedebasdep"/>
          <w:rFonts w:eastAsiaTheme="minorEastAsia"/>
          <w:sz w:val="16"/>
        </w:rPr>
        <w:footnoteRef/>
      </w:r>
      <w:r>
        <w:rPr>
          <w:sz w:val="16"/>
        </w:rPr>
        <w:t xml:space="preserve"> Article 69 §1 du </w:t>
      </w:r>
      <w:hyperlink r:id="rId36" w:history="1">
        <w:r>
          <w:rPr>
            <w:rStyle w:val="Lienhypertexte"/>
            <w:rFonts w:cstheme="minorBidi"/>
            <w:sz w:val="16"/>
          </w:rPr>
          <w:t>décret du 24 juillet 1997</w:t>
        </w:r>
      </w:hyperlink>
      <w:r>
        <w:rPr>
          <w:sz w:val="16"/>
        </w:rPr>
        <w:t xml:space="preserve"> définissant les missions prioritaires de l’enseignement fondamental et de l’enseignement secondaire et organisant les structures propres à les atteindre.</w:t>
      </w:r>
    </w:p>
    <w:p>
      <w:pPr>
        <w:jc w:val="both"/>
        <w:rPr>
          <w:sz w:val="16"/>
        </w:rPr>
      </w:pPr>
      <w:r>
        <w:rPr>
          <w:sz w:val="16"/>
        </w:rPr>
        <w:t>Circulaires n° 4809 du 24 avril 2014 et n° 7014 du 28 février 2019 relatives au Conseil de participation.</w:t>
      </w:r>
    </w:p>
  </w:footnote>
  <w:footnote w:id="59">
    <w:p>
      <w:pPr>
        <w:pStyle w:val="Notedebasdepage"/>
      </w:pPr>
      <w:r>
        <w:rPr>
          <w:rStyle w:val="Appelnotedebasdep"/>
        </w:rPr>
        <w:footnoteRef/>
      </w:r>
      <w:hyperlink r:id="rId37" w:history="1">
        <w:r>
          <w:t>Décret du 21 novembre 2013 organisant divers dispositifs scolaires favorisant le bien-être des jeunes à l’école, l’accrochage scolaire, la prévention de la violence à l’école et l’accompagnement des démarches d’orientation scolaire</w:t>
        </w:r>
      </w:hyperlink>
      <w:r>
        <w:t xml:space="preserve">, articles 56 à 77. </w:t>
      </w:r>
    </w:p>
  </w:footnote>
  <w:footnote w:id="60">
    <w:p>
      <w:pPr>
        <w:pStyle w:val="Notedebasdepage"/>
      </w:pPr>
      <w:r>
        <w:rPr>
          <w:rStyle w:val="Caractresdenotedebasdepage"/>
        </w:rPr>
        <w:footnoteRef/>
      </w:r>
      <w:r>
        <w:t xml:space="preserve"> Pour plus d’informations, voir le texte du </w:t>
      </w:r>
      <w:hyperlink r:id="rId38" w:history="1">
        <w:r>
          <w:rPr>
            <w:rStyle w:val="Lienhypertexte"/>
          </w:rPr>
          <w:t>Décret du 11 avril 2014 portant diverses dispositions en matière de statut des membres du personnel de l’enseignement</w:t>
        </w:r>
      </w:hyperlink>
      <w:r>
        <w:t xml:space="preserve"> </w:t>
      </w:r>
    </w:p>
  </w:footnote>
  <w:footnote w:id="61">
    <w:p>
      <w:pPr>
        <w:jc w:val="both"/>
        <w:rPr>
          <w:sz w:val="16"/>
          <w:szCs w:val="16"/>
        </w:rPr>
      </w:pPr>
      <w:r>
        <w:rPr>
          <w:rStyle w:val="Caractresdenotedebasdepage"/>
          <w:szCs w:val="16"/>
        </w:rPr>
        <w:footnoteRef/>
      </w:r>
      <w:r>
        <w:rPr>
          <w:sz w:val="16"/>
          <w:szCs w:val="16"/>
        </w:rPr>
        <w:t xml:space="preserve"> Les honoraires constituent le salaire de l’avocat, les frais sont les débours liés au dossier comme par exemple les photocopies et les frais de procédure sont par exemple les débours liés aux significations de jugement, droits de greffe etc.</w:t>
      </w:r>
    </w:p>
  </w:footnote>
  <w:footnote w:id="62">
    <w:p>
      <w:pPr>
        <w:jc w:val="both"/>
        <w:rPr>
          <w:sz w:val="16"/>
          <w:szCs w:val="16"/>
        </w:rPr>
      </w:pPr>
      <w:r>
        <w:rPr>
          <w:rStyle w:val="Caractresdenotedebasdepage"/>
          <w:szCs w:val="16"/>
        </w:rPr>
        <w:footnoteRef/>
      </w:r>
      <w:r>
        <w:rPr>
          <w:sz w:val="16"/>
          <w:szCs w:val="16"/>
        </w:rPr>
        <w:t xml:space="preserve"> Direction des Affaires juridiques et contentieuses, dépendant de Monsieur ROTHSCHILD, Directeur général adjoint expert f.f, Boulevard Léopold II, 44 à 1080 BRUXELLES</w:t>
      </w:r>
    </w:p>
    <w:p>
      <w:pPr>
        <w:pStyle w:val="Notedebasdepage"/>
      </w:pPr>
    </w:p>
    <w:p>
      <w:pPr>
        <w:pStyle w:val="Notedebasdepage"/>
      </w:pPr>
    </w:p>
  </w:footnote>
  <w:footnote w:id="63">
    <w:p>
      <w:pPr>
        <w:jc w:val="both"/>
        <w:rPr>
          <w:sz w:val="16"/>
          <w:szCs w:val="16"/>
        </w:rPr>
      </w:pPr>
      <w:r>
        <w:rPr>
          <w:rStyle w:val="Caractresdenotedebasdepage"/>
          <w:szCs w:val="16"/>
        </w:rPr>
        <w:footnoteRef/>
      </w:r>
      <w:r>
        <w:rPr>
          <w:sz w:val="16"/>
          <w:szCs w:val="16"/>
        </w:rPr>
        <w:t>Direction Générale de l’Enseignement Obligatoire, Service des Inscriptions et de l’Assistance aux établissements scolaires, Rue Adolphe Lavallée, 1 à 1080 BRUXELLES.</w:t>
      </w:r>
    </w:p>
    <w:p>
      <w:pPr>
        <w:pStyle w:val="Corpsdetexte21"/>
      </w:pPr>
    </w:p>
  </w:footnote>
  <w:footnote w:id="64">
    <w:p>
      <w:pPr>
        <w:jc w:val="both"/>
        <w:rPr>
          <w:bCs/>
          <w:sz w:val="16"/>
        </w:rPr>
      </w:pPr>
      <w:hyperlink r:id="rId39" w:history="1">
        <w:r>
          <w:rPr>
            <w:rStyle w:val="Lienhypertexte"/>
            <w:sz w:val="16"/>
            <w:vertAlign w:val="superscript"/>
          </w:rPr>
          <w:footnoteRef/>
        </w:r>
        <w:r>
          <w:rPr>
            <w:rStyle w:val="Lienhypertexte"/>
            <w:rFonts w:cstheme="minorBidi"/>
            <w:sz w:val="16"/>
          </w:rPr>
          <w:t xml:space="preserve"> Décret du 30 avril 2009</w:t>
        </w:r>
      </w:hyperlink>
      <w:r>
        <w:rPr>
          <w:sz w:val="16"/>
        </w:rPr>
        <w:t xml:space="preserve"> portant sur les associations de parents d’élèves et les Organisations représentatives d’associations de parents d’élèves en Communauté française, M.B. 6 août 2009 - </w:t>
      </w:r>
      <w:hyperlink r:id="rId40" w:history="1">
        <w:r>
          <w:rPr>
            <w:rStyle w:val="Lienhypertexte"/>
            <w:rFonts w:cstheme="minorBidi"/>
            <w:bCs/>
            <w:sz w:val="16"/>
          </w:rPr>
          <w:t>Circulaire n° 4182 du 11 octobre 2012</w:t>
        </w:r>
      </w:hyperlink>
      <w:r>
        <w:rPr>
          <w:bCs/>
          <w:sz w:val="16"/>
        </w:rPr>
        <w:t>.</w:t>
      </w:r>
    </w:p>
    <w:p>
      <w:pPr>
        <w:pStyle w:val="Notedebasdepage"/>
      </w:pPr>
    </w:p>
    <w:p>
      <w:pPr>
        <w:pStyle w:val="Notedebasdepage"/>
      </w:pPr>
    </w:p>
  </w:footnote>
  <w:footnote w:id="65">
    <w:p>
      <w:pPr>
        <w:jc w:val="both"/>
      </w:pPr>
      <w:r>
        <w:rPr>
          <w:rStyle w:val="Appelnotedebasdep"/>
          <w:sz w:val="16"/>
        </w:rPr>
        <w:footnoteRef/>
      </w:r>
      <w:r>
        <w:rPr>
          <w:sz w:val="16"/>
        </w:rPr>
        <w:t xml:space="preserve"> Le contenu des documents diffusés par l’Association de parents doit respecter les dispositions relatives à la protection de la vie privée, l’interdiction de propagande pour un parti politique, activité commerciale ou attitude relevant de la concurrence déloyale entre les établissements scolaires conformément à l’article 41 de la </w:t>
      </w:r>
      <w:hyperlink r:id="rId41" w:history="1">
        <w:r>
          <w:rPr>
            <w:rStyle w:val="Lienhypertexte"/>
            <w:rFonts w:cstheme="minorBidi"/>
            <w:sz w:val="16"/>
          </w:rPr>
          <w:t>loi du 29 mai 1959</w:t>
        </w:r>
      </w:hyperlink>
      <w:r>
        <w:rPr>
          <w:sz w:val="16"/>
        </w:rPr>
        <w:t xml:space="preserve"> modifiant certaines dispositions de la législation de l’enseignement et doit respecter les décrets relatifs à la neutralité : le </w:t>
      </w:r>
      <w:hyperlink r:id="rId42" w:history="1">
        <w:r>
          <w:rPr>
            <w:rStyle w:val="Lienhypertexte"/>
            <w:rFonts w:cstheme="minorBidi"/>
            <w:sz w:val="16"/>
          </w:rPr>
          <w:t>Décret du 31 mars 1994</w:t>
        </w:r>
      </w:hyperlink>
      <w:r>
        <w:rPr>
          <w:sz w:val="16"/>
        </w:rPr>
        <w:t xml:space="preserve"> définissant la neutralité dans l’enseignement de la Communauté et le </w:t>
      </w:r>
      <w:hyperlink r:id="rId43" w:history="1">
        <w:r>
          <w:rPr>
            <w:rStyle w:val="Lienhypertexte"/>
            <w:rFonts w:cstheme="minorBidi"/>
            <w:sz w:val="16"/>
          </w:rPr>
          <w:t>Décret du 17 décembre 2003</w:t>
        </w:r>
      </w:hyperlink>
      <w:r>
        <w:rPr>
          <w:sz w:val="16"/>
        </w:rPr>
        <w:t xml:space="preserve"> organisant la neutralité inhérente à l’enseignement officiel subventionné et portant diverses mesures en matière d’enseignement.</w:t>
      </w:r>
    </w:p>
  </w:footnote>
  <w:footnote w:id="66">
    <w:p>
      <w:pPr>
        <w:jc w:val="both"/>
        <w:rPr>
          <w:sz w:val="16"/>
          <w:szCs w:val="16"/>
        </w:rPr>
      </w:pPr>
      <w:r>
        <w:rPr>
          <w:rStyle w:val="Caractresdenotedebasdepage"/>
          <w:szCs w:val="16"/>
        </w:rPr>
        <w:footnoteRef/>
      </w:r>
      <w:r>
        <w:rPr>
          <w:sz w:val="16"/>
          <w:szCs w:val="16"/>
        </w:rPr>
        <w:t xml:space="preserve"> </w:t>
      </w:r>
      <w:hyperlink r:id="rId44" w:history="1">
        <w:r>
          <w:rPr>
            <w:rStyle w:val="Lienhypertexte"/>
            <w:sz w:val="16"/>
            <w:szCs w:val="16"/>
          </w:rPr>
          <w:t>Loi du 29 juin 1983 concernant l’obligation scolaire</w:t>
        </w:r>
      </w:hyperlink>
      <w:r>
        <w:rPr>
          <w:sz w:val="16"/>
          <w:szCs w:val="16"/>
        </w:rPr>
        <w:t>.</w:t>
      </w:r>
    </w:p>
    <w:p>
      <w:pPr>
        <w:pStyle w:val="Notedebasdepage"/>
      </w:pPr>
    </w:p>
    <w:p>
      <w:pPr>
        <w:pStyle w:val="Notedebasdepage"/>
      </w:pPr>
    </w:p>
  </w:footnote>
  <w:footnote w:id="67">
    <w:p>
      <w:pPr>
        <w:jc w:val="both"/>
        <w:rPr>
          <w:rFonts w:cs="Arial"/>
          <w:color w:val="0000FF"/>
          <w:sz w:val="16"/>
          <w:szCs w:val="16"/>
          <w:u w:val="single"/>
        </w:rPr>
      </w:pPr>
      <w:r>
        <w:rPr>
          <w:rStyle w:val="Caractresdenotedebasdepage"/>
          <w:szCs w:val="16"/>
        </w:rPr>
        <w:footnoteRef/>
      </w:r>
      <w:r>
        <w:rPr>
          <w:sz w:val="16"/>
          <w:szCs w:val="16"/>
        </w:rPr>
        <w:t xml:space="preserve"> La formation peut être reconnue comme répondant aux exigences de l’obligation scolaire à temps partiel, sur avis conforme de la Commission instituée par l'article 2 </w:t>
      </w:r>
      <w:hyperlink r:id="rId45" w:history="1">
        <w:r>
          <w:rPr>
            <w:rStyle w:val="Lienhypertexte"/>
            <w:sz w:val="16"/>
            <w:szCs w:val="16"/>
          </w:rPr>
          <w:t>de la loi du 29 juin 1983 concernant l'obligation scolaire</w:t>
        </w:r>
      </w:hyperlink>
      <w:r>
        <w:rPr>
          <w:sz w:val="16"/>
          <w:szCs w:val="16"/>
        </w:rPr>
        <w:t xml:space="preserve">, instituée à la Direction générale de l’enseignement obligatoire. Se référer à </w:t>
      </w:r>
      <w:hyperlink r:id="rId46" w:history="1">
        <w:r>
          <w:rPr>
            <w:rStyle w:val="Lienhypertexte"/>
            <w:sz w:val="16"/>
            <w:szCs w:val="16"/>
          </w:rPr>
          <w:t>l'arrêté du Gouvernement de la Communauté française du 27 mai 1995 déterminant la composition et le fonctionnement de la Commission</w:t>
        </w:r>
        <w:r>
          <w:rPr>
            <w:rStyle w:val="Lienhypertexte"/>
            <w:rFonts w:cs="Arial"/>
            <w:sz w:val="16"/>
            <w:szCs w:val="16"/>
          </w:rPr>
          <w:t>.</w:t>
        </w:r>
      </w:hyperlink>
    </w:p>
  </w:footnote>
  <w:footnote w:id="68">
    <w:p>
      <w:pPr>
        <w:jc w:val="both"/>
        <w:rPr>
          <w:sz w:val="16"/>
          <w:szCs w:val="16"/>
        </w:rPr>
      </w:pPr>
      <w:r>
        <w:rPr>
          <w:rStyle w:val="Caractresdenotedebasdepage"/>
          <w:szCs w:val="16"/>
        </w:rPr>
        <w:footnoteRef/>
      </w:r>
      <w:r>
        <w:rPr>
          <w:sz w:val="16"/>
          <w:szCs w:val="16"/>
        </w:rPr>
        <w:t xml:space="preserve"> </w:t>
      </w:r>
      <w:hyperlink r:id="rId47" w:history="1">
        <w:r>
          <w:rPr>
            <w:rStyle w:val="Lienhypertexte"/>
            <w:sz w:val="16"/>
            <w:szCs w:val="16"/>
          </w:rPr>
          <w:t>Lois sur l’enseignement primaire, coordonnées le 20 août 1957</w:t>
        </w:r>
      </w:hyperlink>
      <w:r>
        <w:rPr>
          <w:sz w:val="16"/>
          <w:szCs w:val="16"/>
        </w:rPr>
        <w:t>, article 8.</w:t>
      </w:r>
    </w:p>
  </w:footnote>
  <w:footnote w:id="69">
    <w:p>
      <w:pPr>
        <w:jc w:val="both"/>
        <w:rPr>
          <w:sz w:val="16"/>
          <w:szCs w:val="16"/>
        </w:rPr>
      </w:pPr>
      <w:r>
        <w:rPr>
          <w:sz w:val="16"/>
          <w:szCs w:val="16"/>
          <w:vertAlign w:val="superscript"/>
        </w:rPr>
        <w:footnoteRef/>
      </w:r>
      <w:r>
        <w:rPr>
          <w:sz w:val="16"/>
          <w:szCs w:val="16"/>
        </w:rPr>
        <w:t>Décret du 15 décembre 2006 renforçant le dispositif des « </w:t>
      </w:r>
      <w:hyperlink r:id="rId48" w:history="1">
        <w:r>
          <w:rPr>
            <w:rStyle w:val="Lienhypertexte"/>
            <w:sz w:val="16"/>
            <w:szCs w:val="16"/>
          </w:rPr>
          <w:t>services d’accrochage scolaire » et portant diverses mesures en matière de règles de vie collective au sein des établissements scolaires</w:t>
        </w:r>
      </w:hyperlink>
      <w:r>
        <w:rPr>
          <w:sz w:val="16"/>
          <w:szCs w:val="16"/>
        </w:rPr>
        <w:t>.</w:t>
      </w:r>
    </w:p>
  </w:footnote>
  <w:footnote w:id="70">
    <w:p>
      <w:pPr>
        <w:jc w:val="both"/>
        <w:rPr>
          <w:sz w:val="16"/>
          <w:szCs w:val="16"/>
        </w:rPr>
      </w:pPr>
      <w:r>
        <w:rPr>
          <w:sz w:val="16"/>
          <w:szCs w:val="16"/>
          <w:vertAlign w:val="superscript"/>
        </w:rPr>
        <w:footnoteRef/>
      </w:r>
      <w:hyperlink r:id="rId49" w:history="1">
        <w:r>
          <w:rPr>
            <w:rStyle w:val="Lienhypertexte"/>
            <w:sz w:val="16"/>
            <w:szCs w:val="16"/>
          </w:rPr>
          <w:t>Décret du 17 juillet 2003 de la Commission communautaire française</w:t>
        </w:r>
      </w:hyperlink>
      <w:r>
        <w:rPr>
          <w:sz w:val="16"/>
          <w:szCs w:val="16"/>
        </w:rPr>
        <w:t xml:space="preserve"> relatif à la création d’un service à gestion séparée chargé de la gestion et de la promotion de la formation permanente pour les classes moyennes et les petites et moyennes entreprises à Bruxelles et décret du 17 juillet 2003 de la Région wallonne portant constitution d’un Institut wallon de formation en alternance et des indépendants et petites et moyennes entreprises.</w:t>
      </w:r>
    </w:p>
  </w:footnote>
  <w:footnote w:id="71">
    <w:p>
      <w:pPr>
        <w:jc w:val="both"/>
        <w:rPr>
          <w:sz w:val="16"/>
          <w:szCs w:val="16"/>
        </w:rPr>
      </w:pPr>
      <w:r>
        <w:rPr>
          <w:rStyle w:val="Caractresdenotedebasdepage"/>
          <w:szCs w:val="16"/>
        </w:rPr>
        <w:footnoteRef/>
      </w:r>
      <w:r>
        <w:rPr>
          <w:rStyle w:val="Caractresdenotedebasdepage"/>
          <w:szCs w:val="16"/>
        </w:rPr>
        <w:t xml:space="preserve"> </w:t>
      </w:r>
      <w:r>
        <w:rPr>
          <w:sz w:val="16"/>
          <w:szCs w:val="16"/>
        </w:rPr>
        <w:t>Institut wallon de Formation en Alternance et des indépendants et Petites et Moyennes Entreprise (IFAPME)</w:t>
      </w:r>
    </w:p>
  </w:footnote>
  <w:footnote w:id="72">
    <w:p>
      <w:pPr>
        <w:jc w:val="both"/>
        <w:rPr>
          <w:sz w:val="16"/>
          <w:szCs w:val="16"/>
        </w:rPr>
      </w:pPr>
      <w:r>
        <w:rPr>
          <w:rStyle w:val="Caractresdenotedebasdepage"/>
          <w:szCs w:val="16"/>
        </w:rPr>
        <w:footnoteRef/>
      </w:r>
      <w:r>
        <w:rPr>
          <w:sz w:val="16"/>
          <w:szCs w:val="16"/>
        </w:rPr>
        <w:t xml:space="preserve"> Service de Formation des Petites et Moyennes Entreprises en Région bruxelloise (SFPME)</w:t>
      </w:r>
    </w:p>
  </w:footnote>
  <w:footnote w:id="73">
    <w:p>
      <w:pPr>
        <w:jc w:val="both"/>
      </w:pPr>
      <w:r>
        <w:rPr>
          <w:rStyle w:val="Caractresdenotedebasdepage"/>
          <w:szCs w:val="16"/>
        </w:rPr>
        <w:footnoteRef/>
      </w:r>
      <w:r>
        <w:rPr>
          <w:sz w:val="16"/>
          <w:szCs w:val="16"/>
        </w:rPr>
        <w:t xml:space="preserve"> </w:t>
      </w:r>
      <w:hyperlink r:id="rId50" w:history="1">
        <w:r>
          <w:rPr>
            <w:rStyle w:val="Lienhypertexte"/>
            <w:sz w:val="16"/>
            <w:szCs w:val="16"/>
          </w:rPr>
          <w:t>Lois sur l’enseignement primaire, coordonnées le 20 août 1957</w:t>
        </w:r>
      </w:hyperlink>
      <w:r>
        <w:rPr>
          <w:sz w:val="16"/>
          <w:szCs w:val="16"/>
        </w:rPr>
        <w:t>, article 8.</w:t>
      </w:r>
    </w:p>
  </w:footnote>
  <w:footnote w:id="74">
    <w:p>
      <w:pPr>
        <w:jc w:val="both"/>
        <w:rPr>
          <w:sz w:val="16"/>
          <w:szCs w:val="16"/>
        </w:rPr>
      </w:pPr>
      <w:r>
        <w:rPr>
          <w:rStyle w:val="Caractresdenotedebasdepage"/>
          <w:szCs w:val="16"/>
        </w:rPr>
        <w:footnoteRef/>
      </w:r>
      <w:r>
        <w:rPr>
          <w:sz w:val="16"/>
          <w:szCs w:val="16"/>
        </w:rPr>
        <w:t xml:space="preserve"> Par dérogation accordée par le Ministre ayant en charge l’enseignement obligatoire dans ses attributions, durant les trois premiers mois de mise en œuvre du projet de scolarisation à temps partiel, l’élève est considéré comme répondant à l’obligation scolaire s’il fréquente l’école au minimum un demi-jour par semaine. </w:t>
      </w:r>
      <w:hyperlink r:id="rId51" w:history="1">
        <w:r>
          <w:rPr>
            <w:rStyle w:val="Lienhypertexte"/>
            <w:rFonts w:cstheme="minorBidi"/>
            <w:sz w:val="16"/>
            <w:szCs w:val="16"/>
          </w:rPr>
          <w:t>Loi du 29/06/1983</w:t>
        </w:r>
      </w:hyperlink>
      <w:r>
        <w:rPr>
          <w:sz w:val="16"/>
          <w:szCs w:val="16"/>
        </w:rPr>
        <w:t>, article 1er, § 4bis, 4°</w:t>
      </w:r>
    </w:p>
  </w:footnote>
  <w:footnote w:id="75">
    <w:p>
      <w:pPr>
        <w:jc w:val="both"/>
        <w:rPr>
          <w:color w:val="00B0F0"/>
          <w:sz w:val="16"/>
          <w:szCs w:val="16"/>
        </w:rPr>
      </w:pPr>
      <w:r>
        <w:rPr>
          <w:rStyle w:val="Appelnotedebasdep"/>
          <w:sz w:val="16"/>
          <w:szCs w:val="16"/>
        </w:rPr>
        <w:footnoteRef/>
      </w:r>
      <w:r>
        <w:rPr>
          <w:sz w:val="16"/>
          <w:szCs w:val="16"/>
        </w:rPr>
        <w:t xml:space="preserve"> </w:t>
      </w:r>
      <w:hyperlink r:id="rId52" w:history="1">
        <w:r>
          <w:rPr>
            <w:rStyle w:val="Lienhypertexte"/>
            <w:sz w:val="16"/>
            <w:szCs w:val="16"/>
          </w:rPr>
          <w:t>Le modèle de la convention se trouve en annexe de l’Arrêté du Gouvernement de la Communauté Française du 1/02/2017 fixant les modalités de la scolarisation à temps partiel visée au paragraphe 4bis, 4°, de l'article 1erde la loi du 29 juin 1983 concernant l'obligation scolaire.</w:t>
        </w:r>
      </w:hyperlink>
    </w:p>
  </w:footnote>
  <w:footnote w:id="76">
    <w:p>
      <w:pPr>
        <w:jc w:val="both"/>
        <w:rPr>
          <w:rFonts w:cs="Times New Roman"/>
          <w:iCs/>
          <w:color w:val="0000FF"/>
          <w:sz w:val="16"/>
          <w:szCs w:val="16"/>
          <w:u w:val="single"/>
        </w:rPr>
      </w:pPr>
      <w:r>
        <w:rPr>
          <w:rStyle w:val="Appelnotedebasdep"/>
          <w:sz w:val="16"/>
          <w:szCs w:val="16"/>
        </w:rPr>
        <w:footnoteRef/>
      </w:r>
      <w:r>
        <w:rPr>
          <w:sz w:val="16"/>
          <w:szCs w:val="16"/>
        </w:rPr>
        <w:t xml:space="preserve"> </w:t>
      </w:r>
      <w:hyperlink r:id="rId53" w:history="1">
        <w:r>
          <w:rPr>
            <w:rStyle w:val="Lienhypertexte"/>
            <w:iCs/>
            <w:sz w:val="16"/>
            <w:szCs w:val="16"/>
          </w:rPr>
          <w:t>Décret du 3 mars 2004 organisant l’enseignement spécialisé.</w:t>
        </w:r>
      </w:hyperlink>
    </w:p>
  </w:footnote>
  <w:footnote w:id="77">
    <w:p>
      <w:pPr>
        <w:jc w:val="both"/>
        <w:rPr>
          <w:sz w:val="16"/>
          <w:szCs w:val="16"/>
          <w:highlight w:val="yellow"/>
        </w:rPr>
      </w:pPr>
      <w:r>
        <w:rPr>
          <w:rStyle w:val="Caractresdenotedebasdepage"/>
          <w:szCs w:val="16"/>
        </w:rPr>
        <w:footnoteRef/>
      </w:r>
      <w:r>
        <w:rPr>
          <w:rStyle w:val="Caractresdenotedebasdepage"/>
          <w:szCs w:val="16"/>
        </w:rPr>
        <w:t xml:space="preserve"> </w:t>
      </w:r>
      <w:hyperlink r:id="rId54" w:history="1">
        <w:r>
          <w:rPr>
            <w:rStyle w:val="Lienhypertexte"/>
            <w:rFonts w:cstheme="minorBidi"/>
            <w:sz w:val="16"/>
            <w:szCs w:val="16"/>
          </w:rPr>
          <w:t>Décret du 3 mars 2004</w:t>
        </w:r>
      </w:hyperlink>
      <w:r>
        <w:rPr>
          <w:sz w:val="16"/>
          <w:szCs w:val="16"/>
        </w:rPr>
        <w:t>, chapitre XI.</w:t>
      </w:r>
    </w:p>
  </w:footnote>
  <w:footnote w:id="78">
    <w:p>
      <w:pPr>
        <w:pStyle w:val="Corpsdetexte"/>
      </w:pPr>
      <w:r>
        <w:rPr>
          <w:rStyle w:val="Lienhypertexte"/>
          <w:color w:val="auto"/>
          <w:sz w:val="16"/>
          <w:u w:val="none"/>
          <w:vertAlign w:val="superscript"/>
        </w:rPr>
        <w:t>78</w:t>
      </w:r>
      <w:hyperlink r:id="rId55" w:history="1">
        <w:r>
          <w:rPr>
            <w:rStyle w:val="Lienhypertexte"/>
            <w:sz w:val="16"/>
          </w:rPr>
          <w:t>Décret du 18 décembre 1984 organisant l’enseignement à distance</w:t>
        </w:r>
      </w:hyperlink>
      <w:r>
        <w:t> ;</w:t>
      </w:r>
    </w:p>
  </w:footnote>
  <w:footnote w:id="79">
    <w:p>
      <w:pPr>
        <w:jc w:val="both"/>
        <w:rPr>
          <w:sz w:val="16"/>
          <w:szCs w:val="16"/>
        </w:rPr>
      </w:pPr>
      <w:r>
        <w:rPr>
          <w:rStyle w:val="Caractresdenotedebasdepage"/>
          <w:szCs w:val="16"/>
        </w:rPr>
        <w:footnoteRef/>
      </w:r>
      <w:r>
        <w:rPr>
          <w:rStyle w:val="Caractresdenotedebasdepage"/>
          <w:szCs w:val="16"/>
        </w:rPr>
        <w:t xml:space="preserve"> </w:t>
      </w:r>
      <w:hyperlink r:id="rId56" w:history="1">
        <w:r>
          <w:rPr>
            <w:rStyle w:val="Lienhypertexte"/>
            <w:sz w:val="16"/>
            <w:szCs w:val="16"/>
          </w:rPr>
          <w:t>Décret du 18 décembre 1984 organisant l'enseignement à distance de la Communauté française</w:t>
        </w:r>
      </w:hyperlink>
      <w:r>
        <w:rPr>
          <w:sz w:val="16"/>
          <w:szCs w:val="16"/>
        </w:rPr>
        <w:t>.</w:t>
      </w:r>
    </w:p>
    <w:p>
      <w:pPr>
        <w:pStyle w:val="Notedebasdepage"/>
      </w:pPr>
    </w:p>
  </w:footnote>
  <w:footnote w:id="80">
    <w:p>
      <w:pPr>
        <w:jc w:val="both"/>
        <w:rPr>
          <w:sz w:val="16"/>
          <w:szCs w:val="16"/>
        </w:rPr>
      </w:pPr>
      <w:r>
        <w:rPr>
          <w:rStyle w:val="Caractresdenotedebasdepage"/>
          <w:szCs w:val="16"/>
        </w:rPr>
        <w:footnoteRef/>
      </w:r>
      <w:r>
        <w:rPr>
          <w:sz w:val="16"/>
          <w:szCs w:val="16"/>
        </w:rPr>
        <w:t xml:space="preserve"> </w:t>
      </w:r>
      <w:hyperlink r:id="rId57" w:history="1">
        <w:r>
          <w:rPr>
            <w:rStyle w:val="Lienhypertexte"/>
            <w:rFonts w:cstheme="minorBidi"/>
            <w:sz w:val="16"/>
            <w:szCs w:val="16"/>
          </w:rPr>
          <w:t>Décret du 3 mars 2004</w:t>
        </w:r>
      </w:hyperlink>
      <w:r>
        <w:rPr>
          <w:sz w:val="16"/>
          <w:szCs w:val="16"/>
        </w:rPr>
        <w:t>, article 125, 6.</w:t>
      </w:r>
    </w:p>
  </w:footnote>
  <w:footnote w:id="81">
    <w:p>
      <w:pPr>
        <w:jc w:val="both"/>
        <w:rPr>
          <w:sz w:val="16"/>
          <w:szCs w:val="16"/>
        </w:rPr>
      </w:pPr>
      <w:r>
        <w:rPr>
          <w:rStyle w:val="Caractresdenotedebasdepage"/>
          <w:szCs w:val="16"/>
          <w:lang w:val="fr-BE"/>
        </w:rPr>
        <w:t>79</w:t>
      </w:r>
      <w:hyperlink r:id="rId58" w:history="1">
        <w:r>
          <w:rPr>
            <w:rStyle w:val="Lienhypertexte"/>
            <w:rFonts w:cstheme="minorBidi"/>
            <w:sz w:val="16"/>
            <w:szCs w:val="16"/>
          </w:rPr>
          <w:t>Lois sur l’enseignement primaire, coordonnées le 20 août 1957,</w:t>
        </w:r>
      </w:hyperlink>
      <w:r>
        <w:rPr>
          <w:sz w:val="16"/>
          <w:szCs w:val="16"/>
        </w:rPr>
        <w:t xml:space="preserve"> articles 8 et 10.</w:t>
      </w:r>
    </w:p>
    <w:p>
      <w:pPr>
        <w:rPr>
          <w:lang w:eastAsia="ar-SA"/>
        </w:rPr>
      </w:pPr>
    </w:p>
    <w:p>
      <w:pPr>
        <w:rPr>
          <w:lang w:eastAsia="ar-SA"/>
        </w:rPr>
      </w:pPr>
    </w:p>
  </w:footnote>
  <w:footnote w:id="82">
    <w:p>
      <w:pPr>
        <w:jc w:val="both"/>
        <w:rPr>
          <w:rFonts w:cs="Times New Roman"/>
          <w:color w:val="0000FF"/>
          <w:sz w:val="16"/>
          <w:u w:val="single"/>
        </w:rPr>
      </w:pPr>
      <w:r>
        <w:rPr>
          <w:rStyle w:val="Appelnotedebasdep"/>
          <w:sz w:val="16"/>
        </w:rPr>
        <w:footnoteRef/>
      </w:r>
      <w:r>
        <w:rPr>
          <w:sz w:val="16"/>
        </w:rPr>
        <w:t xml:space="preserve"> </w:t>
      </w:r>
      <w:hyperlink r:id="rId59" w:history="1">
        <w:r>
          <w:rPr>
            <w:rStyle w:val="Lienhypertexte"/>
            <w:sz w:val="16"/>
          </w:rPr>
          <w:t>https://www.ordomedic.be/fr/conseils-provinciaux/les-conseils-provinciaux/</w:t>
        </w:r>
      </w:hyperlink>
    </w:p>
  </w:footnote>
  <w:footnote w:id="83">
    <w:p>
      <w:pPr>
        <w:jc w:val="both"/>
        <w:rPr>
          <w:sz w:val="16"/>
          <w:szCs w:val="16"/>
        </w:rPr>
      </w:pPr>
      <w:r>
        <w:rPr>
          <w:rStyle w:val="Caractresdenotedebasdepage"/>
          <w:szCs w:val="16"/>
        </w:rPr>
        <w:footnoteRef/>
      </w:r>
      <w:r>
        <w:rPr>
          <w:sz w:val="16"/>
          <w:szCs w:val="16"/>
        </w:rPr>
        <w:t xml:space="preserve"> </w:t>
      </w:r>
      <w:hyperlink r:id="rId60" w:history="1">
        <w:r>
          <w:rPr>
            <w:rStyle w:val="Lienhypertexte"/>
            <w:iCs/>
            <w:sz w:val="16"/>
            <w:szCs w:val="16"/>
          </w:rPr>
          <w:t>Décret du 4 mars 1991 relatif à l’aide à la Jeunesse</w:t>
        </w:r>
      </w:hyperlink>
      <w:r>
        <w:rPr>
          <w:sz w:val="16"/>
          <w:szCs w:val="16"/>
        </w:rPr>
        <w:t>, article 2.</w:t>
      </w:r>
    </w:p>
  </w:footnote>
  <w:footnote w:id="84">
    <w:p>
      <w:pPr>
        <w:jc w:val="both"/>
        <w:rPr>
          <w:sz w:val="16"/>
          <w:szCs w:val="16"/>
        </w:rPr>
      </w:pPr>
      <w:r>
        <w:rPr>
          <w:rStyle w:val="Caractresdenotedebasdepage"/>
          <w:szCs w:val="16"/>
        </w:rPr>
        <w:footnoteRef/>
      </w:r>
      <w:r>
        <w:rPr>
          <w:sz w:val="16"/>
          <w:szCs w:val="16"/>
        </w:rPr>
        <w:t xml:space="preserve"> La liste des services d’Actions en milieu ouvert se trouve sur le Site Internet : </w:t>
      </w:r>
      <w:hyperlink r:id="rId61" w:history="1">
        <w:r>
          <w:rPr>
            <w:rStyle w:val="Lienhypertexte"/>
            <w:sz w:val="16"/>
            <w:szCs w:val="16"/>
          </w:rPr>
          <w:t>http://www.cfwb.be/aide-jeunesse/ct_amo.asp</w:t>
        </w:r>
      </w:hyperlink>
      <w:r>
        <w:rPr>
          <w:sz w:val="16"/>
          <w:szCs w:val="16"/>
        </w:rPr>
        <w:t xml:space="preserve"> </w:t>
      </w:r>
    </w:p>
  </w:footnote>
  <w:footnote w:id="85">
    <w:p>
      <w:pPr>
        <w:jc w:val="both"/>
        <w:rPr>
          <w:sz w:val="16"/>
          <w:szCs w:val="16"/>
        </w:rPr>
      </w:pPr>
      <w:r>
        <w:rPr>
          <w:rStyle w:val="Caractresdenotedebasdepage"/>
          <w:szCs w:val="16"/>
        </w:rPr>
        <w:footnoteRef/>
      </w:r>
      <w:r>
        <w:rPr>
          <w:sz w:val="16"/>
          <w:szCs w:val="16"/>
        </w:rPr>
        <w:t xml:space="preserve"> Voir la brochure « AMO et école, partenaires pour les jeunes »  – Editeur responsable : Direction générale de l’aide à la jeunesse, Boulevard Léopold II, n°44 à 1080 BRUXELLES.</w:t>
      </w:r>
    </w:p>
  </w:footnote>
  <w:footnote w:id="86">
    <w:p>
      <w:pPr>
        <w:jc w:val="both"/>
        <w:rPr>
          <w:sz w:val="16"/>
          <w:szCs w:val="16"/>
        </w:rPr>
      </w:pPr>
      <w:r>
        <w:rPr>
          <w:rStyle w:val="Caractresdenotedebasdepage"/>
          <w:szCs w:val="16"/>
        </w:rPr>
        <w:footnoteRef/>
      </w:r>
      <w:r>
        <w:rPr>
          <w:sz w:val="16"/>
          <w:szCs w:val="16"/>
        </w:rPr>
        <w:t xml:space="preserve"> Inspiré de la circulaire de septembre 2006 de chaque procureur général relative au descriptif des fonctions des criminologues engagés en appui  des sections familles-jeunesse des parquets.</w:t>
      </w:r>
    </w:p>
  </w:footnote>
  <w:footnote w:id="87">
    <w:p>
      <w:pPr>
        <w:jc w:val="both"/>
        <w:rPr>
          <w:rFonts w:cs="Arial"/>
          <w:sz w:val="16"/>
          <w:szCs w:val="16"/>
        </w:rPr>
      </w:pPr>
      <w:r>
        <w:rPr>
          <w:rStyle w:val="Caractresdenotedebasdepage"/>
          <w:szCs w:val="16"/>
        </w:rPr>
        <w:footnoteRef/>
      </w:r>
      <w:r>
        <w:rPr>
          <w:rFonts w:cs="Arial"/>
          <w:sz w:val="16"/>
          <w:szCs w:val="16"/>
        </w:rPr>
        <w:t xml:space="preserve"> Pour tout renseignement, contacter Fabienne DRUANT, criminologue-coordinatrice, Parquet général près la cour d'appel de BRUXELLES 1, Place Poelaert (Bureau M 291) 1000 Bruxelles, tél 02 508 64 68, E-mail : </w:t>
      </w:r>
      <w:hyperlink r:id="rId62" w:history="1">
        <w:r>
          <w:rPr>
            <w:rStyle w:val="Lienhypertexte"/>
            <w:sz w:val="16"/>
            <w:szCs w:val="16"/>
          </w:rPr>
          <w:t>fabienne.druant@just.fgov.be</w:t>
        </w:r>
      </w:hyperlink>
      <w:r>
        <w:rPr>
          <w:rFonts w:cs="Arial"/>
          <w:sz w:val="16"/>
          <w:szCs w:val="16"/>
        </w:rPr>
        <w:t>.</w:t>
      </w:r>
    </w:p>
  </w:footnote>
  <w:footnote w:id="88">
    <w:p>
      <w:pPr>
        <w:pStyle w:val="Notedebasdepage"/>
      </w:pPr>
      <w:r>
        <w:rPr>
          <w:rStyle w:val="Caractresdenotedebasdepage"/>
        </w:rPr>
        <w:footnoteRef/>
      </w:r>
      <w:r>
        <w:rPr>
          <w:iCs/>
          <w:sz w:val="10"/>
        </w:rPr>
        <w:t xml:space="preserve"> </w:t>
      </w:r>
      <w:hyperlink r:id="rId63" w:history="1">
        <w:r>
          <w:rPr>
            <w:rStyle w:val="Lienhypertexte"/>
            <w:rFonts w:cs="Arial"/>
            <w:szCs w:val="22"/>
          </w:rPr>
          <w:t>Décret du 24 juillet 1997 définissant les missions prioritaires de l’enseignement fondamental et de l’enseignement secondaire</w:t>
        </w:r>
      </w:hyperlink>
      <w:r>
        <w:t>, articles 81 et 89.</w:t>
      </w:r>
    </w:p>
    <w:p>
      <w:pPr>
        <w:pStyle w:val="Notedebasdepage"/>
      </w:pPr>
    </w:p>
    <w:p>
      <w:pPr>
        <w:pStyle w:val="Notedebasdepage"/>
      </w:pPr>
    </w:p>
  </w:footnote>
  <w:footnote w:id="89">
    <w:p>
      <w:pPr>
        <w:pStyle w:val="Notedebasdepage"/>
        <w:rPr>
          <w:lang w:val="fr-FR"/>
        </w:rPr>
      </w:pPr>
      <w:r>
        <w:rPr>
          <w:rStyle w:val="Caractresdenotedebasdepage"/>
        </w:rPr>
        <w:footnoteRef/>
      </w:r>
      <w:r>
        <w:t xml:space="preserve"> </w:t>
      </w:r>
      <w:hyperlink r:id="rId64" w:history="1">
        <w:r>
          <w:rPr>
            <w:rStyle w:val="Lienhypertexte"/>
            <w:rFonts w:cs="Arial"/>
            <w:lang w:val="fr-FR"/>
          </w:rPr>
          <w:t>Décret du 21 novembre 2013 organisant divers dispositifs scolaires favorisant le bien-être des jeunes à l’école, l’accrochage scolaire, la prévention de la violence à l’école et l’accompagnement des démarches d’orientation scolaire</w:t>
        </w:r>
      </w:hyperlink>
      <w:r>
        <w:rPr>
          <w:rStyle w:val="NotedebasdepageCar"/>
          <w:rFonts w:asciiTheme="majorHAnsi" w:hAnsiTheme="majorHAnsi" w:cs="Arial"/>
        </w:rPr>
        <w:t>, article 21</w:t>
      </w:r>
    </w:p>
  </w:footnote>
  <w:footnote w:id="90">
    <w:p>
      <w:pPr>
        <w:pStyle w:val="Notedebasdepage"/>
      </w:pPr>
      <w:r>
        <w:rPr>
          <w:rStyle w:val="Caractresdenotedebasdepage"/>
        </w:rPr>
        <w:footnoteRef/>
      </w:r>
      <w:r>
        <w:t xml:space="preserve"> Article 422 bis du Code pénal : « Sera puni d'un emprisonnement de huit jours à un an et d'une amende de cinquante à cinq cents francs ou d'une de ces peines seulement, celui qui s'abstient de venir en aide ou de procurer une aide à une personne exposée à un péril grave, soit qu'il ait constaté par lui-même la situation de cette personne, soit que cette situation lui soit décrite par ceux qui sollicitent son intervention ». La peine est aggravée lorsque la personne exposée au péril est mineure d’âge.</w:t>
      </w:r>
    </w:p>
    <w:p>
      <w:pPr>
        <w:pStyle w:val="Notedebasdepage"/>
      </w:pPr>
    </w:p>
    <w:p>
      <w:pPr>
        <w:pStyle w:val="Notedebasdepage"/>
      </w:pPr>
    </w:p>
  </w:footnote>
  <w:footnote w:id="91">
    <w:p>
      <w:pPr>
        <w:rPr>
          <w:sz w:val="16"/>
          <w:szCs w:val="16"/>
        </w:rPr>
      </w:pPr>
      <w:r>
        <w:rPr>
          <w:rStyle w:val="Appelnotedebasdep"/>
          <w:sz w:val="16"/>
          <w:szCs w:val="16"/>
        </w:rPr>
        <w:footnoteRef/>
      </w:r>
      <w:r>
        <w:rPr>
          <w:sz w:val="16"/>
          <w:szCs w:val="16"/>
        </w:rPr>
        <w:t xml:space="preserve"> </w:t>
      </w:r>
      <w:r>
        <w:rPr>
          <w:sz w:val="16"/>
          <w:szCs w:val="16"/>
          <w:u w:val="single"/>
        </w:rPr>
        <w:t>NB :</w:t>
      </w:r>
      <w:r>
        <w:rPr>
          <w:sz w:val="16"/>
          <w:szCs w:val="16"/>
        </w:rPr>
        <w:t xml:space="preserve"> L’arrondi : le résultat final est arrondi à l’unité supérieure lorsque la première décimale est égale ou supérieure à cinq.</w:t>
      </w:r>
    </w:p>
    <w:p/>
  </w:footnote>
  <w:footnote w:id="92">
    <w:p>
      <w:pPr>
        <w:pStyle w:val="Notedebasdepage"/>
      </w:pPr>
    </w:p>
  </w:footnote>
  <w:footnote w:id="93">
    <w:p>
      <w:pPr>
        <w:pStyle w:val="Notedebasdepage"/>
      </w:pPr>
      <w:r>
        <w:rPr>
          <w:rStyle w:val="Appelnotedebasdep"/>
        </w:rPr>
        <w:footnoteRef/>
      </w:r>
      <w:r>
        <w:t>Actuellement, ce chapitre ne concerne que le réseau subventionné.</w:t>
      </w:r>
      <w:r>
        <w:br/>
        <w:t xml:space="preserve"> Ce chapitre concerne d’une part, la création de nouveaux établissements scolaires et d’autre part, la création de nouveaux types, formes et métiers . </w:t>
      </w:r>
    </w:p>
  </w:footnote>
  <w:footnote w:id="94">
    <w:p>
      <w:pPr>
        <w:pStyle w:val="Notedebasdepage"/>
      </w:pPr>
      <w:r>
        <w:rPr>
          <w:rStyle w:val="Caractresdenotedebasdepage"/>
        </w:rPr>
        <w:footnoteRef/>
      </w:r>
      <w:r>
        <w:t xml:space="preserve"> Hygiène pour les travailleurs et assimilés.</w:t>
      </w:r>
    </w:p>
  </w:footnote>
  <w:footnote w:id="95">
    <w:p>
      <w:pPr>
        <w:pStyle w:val="Notedebasdepage"/>
      </w:pPr>
      <w:r>
        <w:rPr>
          <w:rStyle w:val="Caractresdenotedebasdepage"/>
        </w:rPr>
        <w:footnoteRef/>
      </w:r>
      <w:r>
        <w:t xml:space="preserve"> Hygiène pour les élèves.</w:t>
      </w:r>
    </w:p>
  </w:footnote>
  <w:footnote w:id="96">
    <w:p>
      <w:pPr>
        <w:pStyle w:val="Notedebasdepage"/>
        <w:rPr>
          <w:rFonts w:ascii="Arial" w:hAnsi="Arial"/>
          <w:sz w:val="19"/>
          <w:szCs w:val="19"/>
        </w:rPr>
      </w:pPr>
      <w:r>
        <w:rPr>
          <w:rStyle w:val="Caractresdenotedebasdepage"/>
        </w:rPr>
        <w:footnoteRef/>
      </w:r>
      <w:r>
        <w:t xml:space="preserve"> Hygiène cuisine.</w:t>
      </w:r>
    </w:p>
  </w:footnote>
  <w:footnote w:id="97">
    <w:p>
      <w:pPr>
        <w:pStyle w:val="Notedebasdepage"/>
      </w:pPr>
      <w:r>
        <w:rPr>
          <w:rStyle w:val="Appelnotedebasdep"/>
          <w:szCs w:val="18"/>
        </w:rPr>
        <w:footnoteRef/>
      </w:r>
      <w:r>
        <w:t xml:space="preserve"> Cette demande d’admission aux subventions s’applique aussi bien aux personnes souhaitant ouvrir une nouvelle école qu’à celles organisant déjà une école privée et qui souhaiteraient bénéficier d’un financement public.</w:t>
      </w:r>
    </w:p>
  </w:footnote>
  <w:footnote w:id="98">
    <w:p>
      <w:pPr>
        <w:pStyle w:val="Notedebasdepage"/>
      </w:pPr>
      <w:r>
        <w:rPr>
          <w:rStyle w:val="Appelnotedebasdep"/>
        </w:rPr>
        <w:footnoteRef/>
      </w:r>
      <w:r>
        <w:t xml:space="preserve"> Sauf dérogation accordée par le Gouvernement, il faut organiser au moins deux types.</w:t>
      </w:r>
    </w:p>
  </w:footnote>
  <w:footnote w:id="99">
    <w:p>
      <w:pPr>
        <w:pStyle w:val="Notedebasdepage"/>
      </w:pPr>
      <w:r>
        <w:rPr>
          <w:rStyle w:val="Caractresdenotedebasdepage"/>
          <w:sz w:val="18"/>
          <w:szCs w:val="18"/>
        </w:rPr>
        <w:t xml:space="preserve">1 </w:t>
      </w:r>
      <w:r>
        <w:t>Nom, prénoms et qualification en lettres capitales.</w:t>
      </w:r>
    </w:p>
  </w:footnote>
  <w:footnote w:id="100">
    <w:p>
      <w:pPr>
        <w:pStyle w:val="Notedebasdepage"/>
      </w:pPr>
      <w:r>
        <w:rPr>
          <w:rStyle w:val="Caractresdenotedebasdepage"/>
          <w:sz w:val="18"/>
          <w:szCs w:val="18"/>
        </w:rPr>
        <w:t>2</w:t>
      </w:r>
      <w:r>
        <w:t xml:space="preserve"> Biffer la(les) mention(s) inutile(s).</w:t>
      </w:r>
    </w:p>
  </w:footnote>
  <w:footnote w:id="101">
    <w:p>
      <w:pPr>
        <w:pStyle w:val="Notedebasdepage"/>
      </w:pPr>
      <w:r>
        <w:rPr>
          <w:rStyle w:val="Caractresdenotedebasdepage"/>
          <w:sz w:val="18"/>
          <w:szCs w:val="18"/>
        </w:rPr>
        <w:t>3</w:t>
      </w:r>
      <w:r>
        <w:t xml:space="preserve"> Adresse des locaux scolaires.</w:t>
      </w:r>
    </w:p>
  </w:footnote>
  <w:footnote w:id="102">
    <w:p>
      <w:pPr>
        <w:pStyle w:val="Notedebasdepage"/>
      </w:pPr>
      <w:r>
        <w:rPr>
          <w:rStyle w:val="Caractresdenotedebasdepage"/>
          <w:sz w:val="18"/>
          <w:szCs w:val="18"/>
        </w:rPr>
        <w:t xml:space="preserve">4 </w:t>
      </w:r>
      <w:r>
        <w:t>Préciser la référence du programme.</w:t>
      </w:r>
    </w:p>
  </w:footnote>
  <w:footnote w:id="103">
    <w:p>
      <w:pPr>
        <w:pStyle w:val="Notedebasdepage"/>
      </w:pPr>
      <w:r>
        <w:rPr>
          <w:rStyle w:val="Appelnotedebasdep"/>
        </w:rPr>
        <w:footnoteRef/>
      </w:r>
      <w:r>
        <w:t xml:space="preserve"> Biffer la mention inutile</w:t>
      </w:r>
    </w:p>
  </w:footnote>
  <w:footnote w:id="104">
    <w:p>
      <w:pPr>
        <w:pStyle w:val="Notedebasdepage"/>
      </w:pPr>
      <w:r>
        <w:rPr>
          <w:rStyle w:val="Appelnotedebasdep"/>
        </w:rPr>
        <w:footnoteRef/>
      </w:r>
      <w:r>
        <w:t xml:space="preserve"> Biffer la mention inutile</w:t>
      </w:r>
    </w:p>
  </w:footnote>
  <w:footnote w:id="105">
    <w:p>
      <w:pPr>
        <w:pStyle w:val="Notedebasdepage"/>
      </w:pPr>
      <w:r>
        <w:rPr>
          <w:rStyle w:val="Appelnotedebasdep"/>
        </w:rPr>
        <w:footnoteRef/>
      </w:r>
      <w:r>
        <w:t xml:space="preserve"> </w:t>
      </w:r>
      <w:r>
        <w:rPr>
          <w:color w:val="000000"/>
          <w:spacing w:val="-1"/>
        </w:rPr>
        <w:t>V</w:t>
      </w:r>
      <w:r>
        <w:rPr>
          <w:color w:val="000000"/>
        </w:rPr>
        <w:t>o</w:t>
      </w:r>
      <w:r>
        <w:rPr>
          <w:color w:val="000000"/>
          <w:spacing w:val="-1"/>
        </w:rPr>
        <w:t>i</w:t>
      </w:r>
      <w:r>
        <w:rPr>
          <w:color w:val="000000"/>
        </w:rPr>
        <w:t>r</w:t>
      </w:r>
      <w:r>
        <w:rPr>
          <w:color w:val="000000"/>
          <w:spacing w:val="-4"/>
        </w:rPr>
        <w:t xml:space="preserve"> </w:t>
      </w:r>
      <w:r>
        <w:rPr>
          <w:color w:val="000000"/>
        </w:rPr>
        <w:t>t</w:t>
      </w:r>
      <w:r>
        <w:rPr>
          <w:color w:val="000000"/>
          <w:spacing w:val="-1"/>
        </w:rPr>
        <w:t>i</w:t>
      </w:r>
      <w:r>
        <w:rPr>
          <w:color w:val="000000"/>
        </w:rPr>
        <w:t>t</w:t>
      </w:r>
      <w:r>
        <w:rPr>
          <w:color w:val="000000"/>
          <w:spacing w:val="2"/>
        </w:rPr>
        <w:t>r</w:t>
      </w:r>
      <w:r>
        <w:rPr>
          <w:color w:val="000000"/>
        </w:rPr>
        <w:t>es</w:t>
      </w:r>
      <w:r>
        <w:rPr>
          <w:color w:val="000000"/>
          <w:spacing w:val="-5"/>
        </w:rPr>
        <w:t xml:space="preserve"> </w:t>
      </w:r>
      <w:r>
        <w:rPr>
          <w:color w:val="000000"/>
        </w:rPr>
        <w:t>dans</w:t>
      </w:r>
      <w:r>
        <w:rPr>
          <w:color w:val="000000"/>
          <w:spacing w:val="-4"/>
        </w:rPr>
        <w:t xml:space="preserve"> </w:t>
      </w:r>
      <w:hyperlink r:id="rId65" w:history="1">
        <w:r>
          <w:t>l’Arrêté</w:t>
        </w:r>
        <w:r>
          <w:rPr>
            <w:spacing w:val="-6"/>
          </w:rPr>
          <w:t xml:space="preserve"> </w:t>
        </w:r>
        <w:r>
          <w:rPr>
            <w:spacing w:val="-1"/>
          </w:rPr>
          <w:t>R</w:t>
        </w:r>
        <w:r>
          <w:rPr>
            <w:spacing w:val="3"/>
          </w:rPr>
          <w:t>o</w:t>
        </w:r>
        <w:r>
          <w:t>yal</w:t>
        </w:r>
        <w:r>
          <w:rPr>
            <w:spacing w:val="-5"/>
          </w:rPr>
          <w:t xml:space="preserve"> </w:t>
        </w:r>
        <w:r>
          <w:t>du</w:t>
        </w:r>
        <w:r>
          <w:rPr>
            <w:spacing w:val="-3"/>
          </w:rPr>
          <w:t xml:space="preserve"> </w:t>
        </w:r>
        <w:r>
          <w:t>30</w:t>
        </w:r>
        <w:r>
          <w:rPr>
            <w:spacing w:val="-3"/>
          </w:rPr>
          <w:t xml:space="preserve"> </w:t>
        </w:r>
        <w:r>
          <w:rPr>
            <w:spacing w:val="-1"/>
          </w:rPr>
          <w:t>j</w:t>
        </w:r>
        <w:r>
          <w:t>u</w:t>
        </w:r>
        <w:r>
          <w:rPr>
            <w:spacing w:val="-1"/>
          </w:rPr>
          <w:t>i</w:t>
        </w:r>
        <w:r>
          <w:t>llet</w:t>
        </w:r>
        <w:r>
          <w:rPr>
            <w:spacing w:val="-5"/>
          </w:rPr>
          <w:t xml:space="preserve"> </w:t>
        </w:r>
        <w:r>
          <w:t>1975,</w:t>
        </w:r>
        <w:r>
          <w:rPr>
            <w:spacing w:val="-6"/>
          </w:rPr>
          <w:t xml:space="preserve"> </w:t>
        </w:r>
        <w:r>
          <w:t>art</w:t>
        </w:r>
        <w:r>
          <w:rPr>
            <w:spacing w:val="-1"/>
          </w:rPr>
          <w:t>i</w:t>
        </w:r>
        <w:r>
          <w:t>c</w:t>
        </w:r>
        <w:r>
          <w:rPr>
            <w:spacing w:val="3"/>
          </w:rPr>
          <w:t>l</w:t>
        </w:r>
        <w:r>
          <w:t>e</w:t>
        </w:r>
        <w:r>
          <w:rPr>
            <w:spacing w:val="-6"/>
          </w:rPr>
          <w:t xml:space="preserve"> </w:t>
        </w:r>
        <w:r>
          <w:t>4</w:t>
        </w:r>
      </w:hyperlink>
    </w:p>
    <w:p>
      <w:pPr>
        <w:widowControl w:val="0"/>
        <w:autoSpaceDE w:val="0"/>
        <w:autoSpaceDN w:val="0"/>
        <w:adjustRightInd w:val="0"/>
        <w:spacing w:line="204" w:lineRule="exact"/>
        <w:ind w:right="-20"/>
        <w:rPr>
          <w:rFonts w:cs="Georgia"/>
          <w:color w:val="000000"/>
          <w:sz w:val="16"/>
          <w:szCs w:val="16"/>
        </w:rPr>
      </w:pPr>
      <w:r>
        <w:rPr>
          <w:rFonts w:cs="Georgia"/>
          <w:color w:val="000000"/>
          <w:sz w:val="16"/>
          <w:szCs w:val="16"/>
        </w:rPr>
        <w:t>(</w:t>
      </w:r>
      <w:r>
        <w:rPr>
          <w:rFonts w:cs="Georgia"/>
          <w:color w:val="000000"/>
          <w:spacing w:val="-1"/>
          <w:sz w:val="16"/>
          <w:szCs w:val="16"/>
        </w:rPr>
        <w:t>1</w:t>
      </w:r>
      <w:r>
        <w:rPr>
          <w:rFonts w:cs="Georgia"/>
          <w:color w:val="000000"/>
          <w:sz w:val="16"/>
          <w:szCs w:val="16"/>
        </w:rPr>
        <w:t xml:space="preserve">) </w:t>
      </w:r>
      <w:r>
        <w:rPr>
          <w:rFonts w:cs="Georgia"/>
          <w:color w:val="000000"/>
          <w:spacing w:val="1"/>
          <w:sz w:val="16"/>
          <w:szCs w:val="16"/>
        </w:rPr>
        <w:t>P</w:t>
      </w:r>
      <w:r>
        <w:rPr>
          <w:rFonts w:cs="Georgia"/>
          <w:color w:val="000000"/>
          <w:spacing w:val="-1"/>
          <w:sz w:val="16"/>
          <w:szCs w:val="16"/>
        </w:rPr>
        <w:t>o</w:t>
      </w:r>
      <w:r>
        <w:rPr>
          <w:rFonts w:cs="Georgia"/>
          <w:color w:val="000000"/>
          <w:sz w:val="16"/>
          <w:szCs w:val="16"/>
        </w:rPr>
        <w:t xml:space="preserve">ur </w:t>
      </w:r>
      <w:r>
        <w:rPr>
          <w:rFonts w:cs="Georgia"/>
          <w:color w:val="000000"/>
          <w:spacing w:val="-1"/>
          <w:sz w:val="16"/>
          <w:szCs w:val="16"/>
        </w:rPr>
        <w:t>le</w:t>
      </w:r>
      <w:r>
        <w:rPr>
          <w:rFonts w:cs="Georgia"/>
          <w:color w:val="000000"/>
          <w:sz w:val="16"/>
          <w:szCs w:val="16"/>
        </w:rPr>
        <w:t>s</w:t>
      </w:r>
      <w:r>
        <w:rPr>
          <w:rFonts w:cs="Georgia"/>
          <w:color w:val="000000"/>
          <w:spacing w:val="42"/>
          <w:sz w:val="16"/>
          <w:szCs w:val="16"/>
        </w:rPr>
        <w:t xml:space="preserve"> </w:t>
      </w:r>
      <w:r>
        <w:rPr>
          <w:rFonts w:cs="Georgia"/>
          <w:color w:val="000000"/>
          <w:sz w:val="16"/>
          <w:szCs w:val="16"/>
        </w:rPr>
        <w:t>p</w:t>
      </w:r>
      <w:r>
        <w:rPr>
          <w:rFonts w:cs="Georgia"/>
          <w:color w:val="000000"/>
          <w:spacing w:val="1"/>
          <w:sz w:val="16"/>
          <w:szCs w:val="16"/>
        </w:rPr>
        <w:t>r</w:t>
      </w:r>
      <w:r>
        <w:rPr>
          <w:rFonts w:cs="Georgia"/>
          <w:color w:val="000000"/>
          <w:spacing w:val="-1"/>
          <w:sz w:val="16"/>
          <w:szCs w:val="16"/>
        </w:rPr>
        <w:t>es</w:t>
      </w:r>
      <w:r>
        <w:rPr>
          <w:rFonts w:cs="Georgia"/>
          <w:color w:val="000000"/>
          <w:sz w:val="16"/>
          <w:szCs w:val="16"/>
        </w:rPr>
        <w:t>tati</w:t>
      </w:r>
      <w:r>
        <w:rPr>
          <w:rFonts w:cs="Georgia"/>
          <w:color w:val="000000"/>
          <w:spacing w:val="1"/>
          <w:sz w:val="16"/>
          <w:szCs w:val="16"/>
        </w:rPr>
        <w:t>o</w:t>
      </w:r>
      <w:r>
        <w:rPr>
          <w:rFonts w:cs="Georgia"/>
          <w:color w:val="000000"/>
          <w:spacing w:val="-1"/>
          <w:sz w:val="16"/>
          <w:szCs w:val="16"/>
        </w:rPr>
        <w:t>n</w:t>
      </w:r>
      <w:r>
        <w:rPr>
          <w:rFonts w:cs="Georgia"/>
          <w:color w:val="000000"/>
          <w:sz w:val="16"/>
          <w:szCs w:val="16"/>
        </w:rPr>
        <w:t>s</w:t>
      </w:r>
      <w:r>
        <w:rPr>
          <w:rFonts w:cs="Georgia"/>
          <w:color w:val="000000"/>
          <w:spacing w:val="27"/>
          <w:sz w:val="16"/>
          <w:szCs w:val="16"/>
        </w:rPr>
        <w:t xml:space="preserve"> </w:t>
      </w:r>
      <w:r>
        <w:rPr>
          <w:rFonts w:cs="Georgia"/>
          <w:color w:val="000000"/>
          <w:sz w:val="16"/>
          <w:szCs w:val="16"/>
        </w:rPr>
        <w:t>de</w:t>
      </w:r>
      <w:r>
        <w:rPr>
          <w:rFonts w:cs="Georgia"/>
          <w:color w:val="000000"/>
          <w:spacing w:val="42"/>
          <w:sz w:val="16"/>
          <w:szCs w:val="16"/>
        </w:rPr>
        <w:t xml:space="preserve"> </w:t>
      </w:r>
      <w:r>
        <w:rPr>
          <w:rFonts w:cs="Georgia"/>
          <w:color w:val="000000"/>
          <w:sz w:val="16"/>
          <w:szCs w:val="16"/>
        </w:rPr>
        <w:t>c</w:t>
      </w:r>
      <w:r>
        <w:rPr>
          <w:rFonts w:cs="Georgia"/>
          <w:color w:val="000000"/>
          <w:spacing w:val="1"/>
          <w:sz w:val="16"/>
          <w:szCs w:val="16"/>
        </w:rPr>
        <w:t>o</w:t>
      </w:r>
      <w:r>
        <w:rPr>
          <w:rFonts w:cs="Georgia"/>
          <w:color w:val="000000"/>
          <w:spacing w:val="-1"/>
          <w:sz w:val="16"/>
          <w:szCs w:val="16"/>
        </w:rPr>
        <w:t>nse</w:t>
      </w:r>
      <w:r>
        <w:rPr>
          <w:rFonts w:cs="Georgia"/>
          <w:color w:val="000000"/>
          <w:sz w:val="16"/>
          <w:szCs w:val="16"/>
        </w:rPr>
        <w:t>il</w:t>
      </w:r>
      <w:r>
        <w:rPr>
          <w:rFonts w:cs="Georgia"/>
          <w:color w:val="000000"/>
          <w:spacing w:val="42"/>
          <w:sz w:val="16"/>
          <w:szCs w:val="16"/>
        </w:rPr>
        <w:t xml:space="preserve"> </w:t>
      </w:r>
      <w:r>
        <w:rPr>
          <w:rFonts w:cs="Georgia"/>
          <w:color w:val="000000"/>
          <w:sz w:val="16"/>
          <w:szCs w:val="16"/>
        </w:rPr>
        <w:t>de</w:t>
      </w:r>
      <w:r>
        <w:rPr>
          <w:rFonts w:cs="Georgia"/>
          <w:color w:val="000000"/>
          <w:spacing w:val="42"/>
          <w:sz w:val="16"/>
          <w:szCs w:val="16"/>
        </w:rPr>
        <w:t xml:space="preserve"> </w:t>
      </w:r>
      <w:r>
        <w:rPr>
          <w:rFonts w:cs="Georgia"/>
          <w:color w:val="000000"/>
          <w:spacing w:val="2"/>
          <w:sz w:val="16"/>
          <w:szCs w:val="16"/>
        </w:rPr>
        <w:t>c</w:t>
      </w:r>
      <w:r>
        <w:rPr>
          <w:rFonts w:cs="Georgia"/>
          <w:color w:val="000000"/>
          <w:spacing w:val="-1"/>
          <w:sz w:val="16"/>
          <w:szCs w:val="16"/>
        </w:rPr>
        <w:t>l</w:t>
      </w:r>
      <w:r>
        <w:rPr>
          <w:rFonts w:cs="Georgia"/>
          <w:color w:val="000000"/>
          <w:sz w:val="16"/>
          <w:szCs w:val="16"/>
        </w:rPr>
        <w:t>a</w:t>
      </w:r>
      <w:r>
        <w:rPr>
          <w:rFonts w:cs="Georgia"/>
          <w:color w:val="000000"/>
          <w:spacing w:val="-1"/>
          <w:sz w:val="16"/>
          <w:szCs w:val="16"/>
        </w:rPr>
        <w:t>s</w:t>
      </w:r>
      <w:r>
        <w:rPr>
          <w:rFonts w:cs="Georgia"/>
          <w:color w:val="000000"/>
          <w:spacing w:val="1"/>
          <w:sz w:val="16"/>
          <w:szCs w:val="16"/>
        </w:rPr>
        <w:t>s</w:t>
      </w:r>
      <w:r>
        <w:rPr>
          <w:rFonts w:cs="Georgia"/>
          <w:color w:val="000000"/>
          <w:spacing w:val="-1"/>
          <w:sz w:val="16"/>
          <w:szCs w:val="16"/>
        </w:rPr>
        <w:t>e</w:t>
      </w:r>
      <w:r>
        <w:rPr>
          <w:rFonts w:cs="Georgia"/>
          <w:color w:val="000000"/>
          <w:sz w:val="16"/>
          <w:szCs w:val="16"/>
        </w:rPr>
        <w:t>,</w:t>
      </w:r>
      <w:r>
        <w:rPr>
          <w:rFonts w:cs="Georgia"/>
          <w:color w:val="000000"/>
          <w:spacing w:val="42"/>
          <w:sz w:val="16"/>
          <w:szCs w:val="16"/>
        </w:rPr>
        <w:t xml:space="preserve"> </w:t>
      </w:r>
      <w:r>
        <w:rPr>
          <w:rFonts w:cs="Georgia"/>
          <w:color w:val="000000"/>
          <w:spacing w:val="-1"/>
          <w:sz w:val="16"/>
          <w:szCs w:val="16"/>
        </w:rPr>
        <w:t>vo</w:t>
      </w:r>
      <w:r>
        <w:rPr>
          <w:rFonts w:cs="Georgia"/>
          <w:color w:val="000000"/>
          <w:sz w:val="16"/>
          <w:szCs w:val="16"/>
        </w:rPr>
        <w:t>ir  tab</w:t>
      </w:r>
      <w:r>
        <w:rPr>
          <w:rFonts w:cs="Georgia"/>
          <w:color w:val="000000"/>
          <w:spacing w:val="-1"/>
          <w:sz w:val="16"/>
          <w:szCs w:val="16"/>
        </w:rPr>
        <w:t>le</w:t>
      </w:r>
      <w:r>
        <w:rPr>
          <w:rFonts w:cs="Georgia"/>
          <w:color w:val="000000"/>
          <w:sz w:val="16"/>
          <w:szCs w:val="16"/>
        </w:rPr>
        <w:t xml:space="preserve">au </w:t>
      </w:r>
      <w:r>
        <w:rPr>
          <w:rFonts w:cs="Georgia"/>
          <w:color w:val="000000"/>
          <w:spacing w:val="2"/>
          <w:sz w:val="16"/>
          <w:szCs w:val="16"/>
        </w:rPr>
        <w:t xml:space="preserve"> </w:t>
      </w:r>
      <w:r>
        <w:rPr>
          <w:rFonts w:cs="Georgia"/>
          <w:color w:val="000000"/>
          <w:sz w:val="16"/>
          <w:szCs w:val="16"/>
        </w:rPr>
        <w:t>«</w:t>
      </w:r>
      <w:r>
        <w:rPr>
          <w:rFonts w:cs="Georgia"/>
          <w:color w:val="000000"/>
          <w:spacing w:val="1"/>
          <w:sz w:val="16"/>
          <w:szCs w:val="16"/>
        </w:rPr>
        <w:t xml:space="preserve"> Pr</w:t>
      </w:r>
      <w:r>
        <w:rPr>
          <w:rFonts w:cs="Georgia"/>
          <w:color w:val="000000"/>
          <w:spacing w:val="-1"/>
          <w:sz w:val="16"/>
          <w:szCs w:val="16"/>
        </w:rPr>
        <w:t>es</w:t>
      </w:r>
      <w:r>
        <w:rPr>
          <w:rFonts w:cs="Georgia"/>
          <w:color w:val="000000"/>
          <w:sz w:val="16"/>
          <w:szCs w:val="16"/>
        </w:rPr>
        <w:t>tati</w:t>
      </w:r>
      <w:r>
        <w:rPr>
          <w:rFonts w:cs="Georgia"/>
          <w:color w:val="000000"/>
          <w:spacing w:val="-1"/>
          <w:sz w:val="16"/>
          <w:szCs w:val="16"/>
        </w:rPr>
        <w:t>on</w:t>
      </w:r>
      <w:r>
        <w:rPr>
          <w:rFonts w:cs="Georgia"/>
          <w:color w:val="000000"/>
          <w:sz w:val="16"/>
          <w:szCs w:val="16"/>
        </w:rPr>
        <w:t>s</w:t>
      </w:r>
      <w:r>
        <w:rPr>
          <w:rFonts w:cs="Georgia"/>
          <w:color w:val="000000"/>
          <w:spacing w:val="42"/>
          <w:sz w:val="16"/>
          <w:szCs w:val="16"/>
        </w:rPr>
        <w:t xml:space="preserve"> </w:t>
      </w:r>
      <w:r>
        <w:rPr>
          <w:rFonts w:cs="Georgia"/>
          <w:color w:val="000000"/>
          <w:sz w:val="16"/>
          <w:szCs w:val="16"/>
        </w:rPr>
        <w:t>du</w:t>
      </w:r>
      <w:r>
        <w:rPr>
          <w:rFonts w:cs="Georgia"/>
          <w:color w:val="000000"/>
          <w:spacing w:val="42"/>
          <w:sz w:val="16"/>
          <w:szCs w:val="16"/>
        </w:rPr>
        <w:t xml:space="preserve"> </w:t>
      </w:r>
      <w:r>
        <w:rPr>
          <w:rFonts w:cs="Georgia"/>
          <w:color w:val="000000"/>
          <w:sz w:val="16"/>
          <w:szCs w:val="16"/>
        </w:rPr>
        <w:t>p</w:t>
      </w:r>
      <w:r>
        <w:rPr>
          <w:rFonts w:cs="Georgia"/>
          <w:color w:val="000000"/>
          <w:spacing w:val="-1"/>
          <w:sz w:val="16"/>
          <w:szCs w:val="16"/>
        </w:rPr>
        <w:t>e</w:t>
      </w:r>
      <w:r>
        <w:rPr>
          <w:rFonts w:cs="Georgia"/>
          <w:color w:val="000000"/>
          <w:spacing w:val="1"/>
          <w:sz w:val="16"/>
          <w:szCs w:val="16"/>
        </w:rPr>
        <w:t>r</w:t>
      </w:r>
      <w:r>
        <w:rPr>
          <w:rFonts w:cs="Georgia"/>
          <w:color w:val="000000"/>
          <w:spacing w:val="-1"/>
          <w:sz w:val="16"/>
          <w:szCs w:val="16"/>
        </w:rPr>
        <w:t>son</w:t>
      </w:r>
      <w:r>
        <w:rPr>
          <w:rFonts w:cs="Georgia"/>
          <w:color w:val="000000"/>
          <w:spacing w:val="2"/>
          <w:sz w:val="16"/>
          <w:szCs w:val="16"/>
        </w:rPr>
        <w:t>n</w:t>
      </w:r>
      <w:r>
        <w:rPr>
          <w:rFonts w:cs="Georgia"/>
          <w:color w:val="000000"/>
          <w:spacing w:val="-1"/>
          <w:sz w:val="16"/>
          <w:szCs w:val="16"/>
        </w:rPr>
        <w:t>e</w:t>
      </w:r>
      <w:r>
        <w:rPr>
          <w:rFonts w:cs="Georgia"/>
          <w:color w:val="000000"/>
          <w:sz w:val="16"/>
          <w:szCs w:val="16"/>
        </w:rPr>
        <w:t>l</w:t>
      </w:r>
      <w:r>
        <w:rPr>
          <w:rFonts w:cs="Georgia"/>
          <w:color w:val="000000"/>
          <w:spacing w:val="42"/>
          <w:sz w:val="16"/>
          <w:szCs w:val="16"/>
        </w:rPr>
        <w:t xml:space="preserve"> </w:t>
      </w:r>
      <w:r>
        <w:rPr>
          <w:rFonts w:cs="Georgia"/>
          <w:color w:val="000000"/>
          <w:spacing w:val="2"/>
          <w:sz w:val="16"/>
          <w:szCs w:val="16"/>
        </w:rPr>
        <w:t>e</w:t>
      </w:r>
      <w:r>
        <w:rPr>
          <w:rFonts w:cs="Georgia"/>
          <w:color w:val="000000"/>
          <w:spacing w:val="-1"/>
          <w:sz w:val="16"/>
          <w:szCs w:val="16"/>
        </w:rPr>
        <w:t>nse</w:t>
      </w:r>
      <w:r>
        <w:rPr>
          <w:rFonts w:cs="Georgia"/>
          <w:color w:val="000000"/>
          <w:sz w:val="16"/>
          <w:szCs w:val="16"/>
        </w:rPr>
        <w:t>ig</w:t>
      </w:r>
      <w:r>
        <w:rPr>
          <w:rFonts w:cs="Georgia"/>
          <w:color w:val="000000"/>
          <w:spacing w:val="-1"/>
          <w:sz w:val="16"/>
          <w:szCs w:val="16"/>
        </w:rPr>
        <w:t>n</w:t>
      </w:r>
      <w:r>
        <w:rPr>
          <w:rFonts w:cs="Georgia"/>
          <w:color w:val="000000"/>
          <w:spacing w:val="3"/>
          <w:sz w:val="16"/>
          <w:szCs w:val="16"/>
        </w:rPr>
        <w:t>a</w:t>
      </w:r>
      <w:r>
        <w:rPr>
          <w:rFonts w:cs="Georgia"/>
          <w:color w:val="000000"/>
          <w:spacing w:val="-1"/>
          <w:sz w:val="16"/>
          <w:szCs w:val="16"/>
        </w:rPr>
        <w:t>n</w:t>
      </w:r>
      <w:r>
        <w:rPr>
          <w:rFonts w:cs="Georgia"/>
          <w:color w:val="000000"/>
          <w:sz w:val="16"/>
          <w:szCs w:val="16"/>
        </w:rPr>
        <w:t>t</w:t>
      </w:r>
      <w:r>
        <w:rPr>
          <w:rFonts w:cs="Georgia"/>
          <w:color w:val="000000"/>
          <w:spacing w:val="43"/>
          <w:sz w:val="16"/>
          <w:szCs w:val="16"/>
        </w:rPr>
        <w:t xml:space="preserve"> </w:t>
      </w:r>
      <w:r>
        <w:rPr>
          <w:rFonts w:cs="Georgia"/>
          <w:color w:val="000000"/>
          <w:sz w:val="16"/>
          <w:szCs w:val="16"/>
        </w:rPr>
        <w:t>de</w:t>
      </w:r>
      <w:r>
        <w:rPr>
          <w:rFonts w:cs="Georgia"/>
          <w:color w:val="000000"/>
          <w:spacing w:val="42"/>
          <w:sz w:val="16"/>
          <w:szCs w:val="16"/>
        </w:rPr>
        <w:t xml:space="preserve"> </w:t>
      </w:r>
      <w:r>
        <w:rPr>
          <w:rFonts w:cs="Georgia"/>
          <w:color w:val="000000"/>
          <w:spacing w:val="-1"/>
          <w:sz w:val="16"/>
          <w:szCs w:val="16"/>
        </w:rPr>
        <w:t>l</w:t>
      </w:r>
      <w:r>
        <w:rPr>
          <w:rFonts w:cs="Georgia"/>
          <w:color w:val="000000"/>
          <w:sz w:val="16"/>
          <w:szCs w:val="16"/>
        </w:rPr>
        <w:t>’</w:t>
      </w:r>
      <w:r>
        <w:rPr>
          <w:rFonts w:cs="Georgia"/>
          <w:color w:val="000000"/>
          <w:spacing w:val="-1"/>
          <w:sz w:val="16"/>
          <w:szCs w:val="16"/>
        </w:rPr>
        <w:t>e</w:t>
      </w:r>
      <w:r>
        <w:rPr>
          <w:rFonts w:cs="Georgia"/>
          <w:color w:val="000000"/>
          <w:spacing w:val="2"/>
          <w:sz w:val="16"/>
          <w:szCs w:val="16"/>
        </w:rPr>
        <w:t>n</w:t>
      </w:r>
      <w:r>
        <w:rPr>
          <w:rFonts w:cs="Georgia"/>
          <w:color w:val="000000"/>
          <w:spacing w:val="-1"/>
          <w:sz w:val="16"/>
          <w:szCs w:val="16"/>
        </w:rPr>
        <w:t>se</w:t>
      </w:r>
      <w:r>
        <w:rPr>
          <w:rFonts w:cs="Georgia"/>
          <w:color w:val="000000"/>
          <w:sz w:val="16"/>
          <w:szCs w:val="16"/>
        </w:rPr>
        <w:t>ig</w:t>
      </w:r>
      <w:r>
        <w:rPr>
          <w:rFonts w:cs="Georgia"/>
          <w:color w:val="000000"/>
          <w:spacing w:val="2"/>
          <w:sz w:val="16"/>
          <w:szCs w:val="16"/>
        </w:rPr>
        <w:t>n</w:t>
      </w:r>
      <w:r>
        <w:rPr>
          <w:rFonts w:cs="Georgia"/>
          <w:color w:val="000000"/>
          <w:spacing w:val="-1"/>
          <w:sz w:val="16"/>
          <w:szCs w:val="16"/>
        </w:rPr>
        <w:t>e</w:t>
      </w:r>
      <w:r>
        <w:rPr>
          <w:rFonts w:cs="Georgia"/>
          <w:color w:val="000000"/>
          <w:sz w:val="16"/>
          <w:szCs w:val="16"/>
        </w:rPr>
        <w:t>m</w:t>
      </w:r>
      <w:r>
        <w:rPr>
          <w:rFonts w:cs="Georgia"/>
          <w:color w:val="000000"/>
          <w:spacing w:val="-1"/>
          <w:sz w:val="16"/>
          <w:szCs w:val="16"/>
        </w:rPr>
        <w:t>en</w:t>
      </w:r>
      <w:r>
        <w:rPr>
          <w:rFonts w:cs="Georgia"/>
          <w:color w:val="000000"/>
          <w:sz w:val="16"/>
          <w:szCs w:val="16"/>
        </w:rPr>
        <w:t>t p</w:t>
      </w:r>
      <w:r>
        <w:rPr>
          <w:rFonts w:cs="Georgia"/>
          <w:color w:val="000000"/>
          <w:spacing w:val="1"/>
          <w:sz w:val="16"/>
          <w:szCs w:val="16"/>
        </w:rPr>
        <w:t>r</w:t>
      </w:r>
      <w:r>
        <w:rPr>
          <w:rFonts w:cs="Georgia"/>
          <w:color w:val="000000"/>
          <w:sz w:val="16"/>
          <w:szCs w:val="16"/>
        </w:rPr>
        <w:t>imai</w:t>
      </w:r>
      <w:r>
        <w:rPr>
          <w:rFonts w:cs="Georgia"/>
          <w:color w:val="000000"/>
          <w:spacing w:val="1"/>
          <w:sz w:val="16"/>
          <w:szCs w:val="16"/>
        </w:rPr>
        <w:t>r</w:t>
      </w:r>
      <w:r>
        <w:rPr>
          <w:rFonts w:cs="Georgia"/>
          <w:color w:val="000000"/>
          <w:sz w:val="16"/>
          <w:szCs w:val="16"/>
        </w:rPr>
        <w:t>e</w:t>
      </w:r>
      <w:r>
        <w:rPr>
          <w:rFonts w:cs="Georgia"/>
          <w:color w:val="000000"/>
          <w:spacing w:val="-1"/>
          <w:sz w:val="16"/>
          <w:szCs w:val="16"/>
        </w:rPr>
        <w:t xml:space="preserve"> s</w:t>
      </w:r>
      <w:r>
        <w:rPr>
          <w:rFonts w:cs="Georgia"/>
          <w:color w:val="000000"/>
          <w:sz w:val="16"/>
          <w:szCs w:val="16"/>
        </w:rPr>
        <w:t>p</w:t>
      </w:r>
      <w:r>
        <w:rPr>
          <w:rFonts w:cs="Georgia"/>
          <w:color w:val="000000"/>
          <w:spacing w:val="-1"/>
          <w:sz w:val="16"/>
          <w:szCs w:val="16"/>
        </w:rPr>
        <w:t>é</w:t>
      </w:r>
      <w:r>
        <w:rPr>
          <w:rFonts w:cs="Georgia"/>
          <w:color w:val="000000"/>
          <w:sz w:val="16"/>
          <w:szCs w:val="16"/>
        </w:rPr>
        <w:t>cia</w:t>
      </w:r>
      <w:r>
        <w:rPr>
          <w:rFonts w:cs="Georgia"/>
          <w:color w:val="000000"/>
          <w:spacing w:val="-1"/>
          <w:sz w:val="16"/>
          <w:szCs w:val="16"/>
        </w:rPr>
        <w:t>l</w:t>
      </w:r>
      <w:r>
        <w:rPr>
          <w:rFonts w:cs="Georgia"/>
          <w:color w:val="000000"/>
          <w:sz w:val="16"/>
          <w:szCs w:val="16"/>
        </w:rPr>
        <w:t>i</w:t>
      </w:r>
      <w:r>
        <w:rPr>
          <w:rFonts w:cs="Georgia"/>
          <w:color w:val="000000"/>
          <w:spacing w:val="-1"/>
          <w:sz w:val="16"/>
          <w:szCs w:val="16"/>
        </w:rPr>
        <w:t>s</w:t>
      </w:r>
      <w:r>
        <w:rPr>
          <w:rFonts w:cs="Georgia"/>
          <w:color w:val="000000"/>
          <w:sz w:val="16"/>
          <w:szCs w:val="16"/>
        </w:rPr>
        <w:t>é »</w:t>
      </w:r>
    </w:p>
    <w:p>
      <w:pPr>
        <w:widowControl w:val="0"/>
        <w:autoSpaceDE w:val="0"/>
        <w:autoSpaceDN w:val="0"/>
        <w:adjustRightInd w:val="0"/>
        <w:spacing w:before="1" w:line="204" w:lineRule="exact"/>
        <w:ind w:right="595"/>
        <w:rPr>
          <w:rFonts w:cs="Georgia"/>
          <w:color w:val="000000"/>
          <w:spacing w:val="2"/>
          <w:sz w:val="16"/>
          <w:szCs w:val="16"/>
        </w:rPr>
      </w:pPr>
      <w:r>
        <w:rPr>
          <w:rFonts w:cs="Georgia"/>
          <w:color w:val="000000"/>
          <w:sz w:val="16"/>
          <w:szCs w:val="16"/>
        </w:rPr>
        <w:t>(2)</w:t>
      </w:r>
      <w:r>
        <w:rPr>
          <w:rFonts w:cs="Georgia"/>
          <w:color w:val="000000"/>
          <w:spacing w:val="9"/>
          <w:sz w:val="16"/>
          <w:szCs w:val="16"/>
        </w:rPr>
        <w:t xml:space="preserve"> </w:t>
      </w:r>
      <w:r>
        <w:rPr>
          <w:rFonts w:cs="Georgia"/>
          <w:color w:val="000000"/>
          <w:spacing w:val="-1"/>
          <w:sz w:val="16"/>
          <w:szCs w:val="16"/>
        </w:rPr>
        <w:t>L</w:t>
      </w:r>
      <w:r>
        <w:rPr>
          <w:rFonts w:cs="Georgia"/>
          <w:color w:val="000000"/>
          <w:sz w:val="16"/>
          <w:szCs w:val="16"/>
        </w:rPr>
        <w:t>e</w:t>
      </w:r>
      <w:r>
        <w:rPr>
          <w:rFonts w:cs="Georgia"/>
          <w:color w:val="000000"/>
          <w:spacing w:val="11"/>
          <w:sz w:val="16"/>
          <w:szCs w:val="16"/>
        </w:rPr>
        <w:t xml:space="preserve"> </w:t>
      </w:r>
      <w:r>
        <w:rPr>
          <w:rFonts w:cs="Georgia"/>
          <w:color w:val="000000"/>
          <w:spacing w:val="-1"/>
          <w:sz w:val="16"/>
          <w:szCs w:val="16"/>
        </w:rPr>
        <w:t>no</w:t>
      </w:r>
      <w:r>
        <w:rPr>
          <w:rFonts w:cs="Georgia"/>
          <w:color w:val="000000"/>
          <w:sz w:val="16"/>
          <w:szCs w:val="16"/>
        </w:rPr>
        <w:t>mb</w:t>
      </w:r>
      <w:r>
        <w:rPr>
          <w:rFonts w:cs="Georgia"/>
          <w:color w:val="000000"/>
          <w:spacing w:val="1"/>
          <w:sz w:val="16"/>
          <w:szCs w:val="16"/>
        </w:rPr>
        <w:t>r</w:t>
      </w:r>
      <w:r>
        <w:rPr>
          <w:rFonts w:cs="Georgia"/>
          <w:color w:val="000000"/>
          <w:sz w:val="16"/>
          <w:szCs w:val="16"/>
        </w:rPr>
        <w:t>e</w:t>
      </w:r>
      <w:r>
        <w:rPr>
          <w:rFonts w:cs="Georgia"/>
          <w:color w:val="000000"/>
          <w:spacing w:val="11"/>
          <w:sz w:val="16"/>
          <w:szCs w:val="16"/>
        </w:rPr>
        <w:t xml:space="preserve"> </w:t>
      </w:r>
      <w:r>
        <w:rPr>
          <w:rFonts w:cs="Georgia"/>
          <w:color w:val="000000"/>
          <w:sz w:val="16"/>
          <w:szCs w:val="16"/>
        </w:rPr>
        <w:t>d’</w:t>
      </w:r>
      <w:r>
        <w:rPr>
          <w:rFonts w:cs="Georgia"/>
          <w:color w:val="000000"/>
          <w:spacing w:val="1"/>
          <w:sz w:val="16"/>
          <w:szCs w:val="16"/>
        </w:rPr>
        <w:t>h</w:t>
      </w:r>
      <w:r>
        <w:rPr>
          <w:rFonts w:cs="Georgia"/>
          <w:color w:val="000000"/>
          <w:spacing w:val="-1"/>
          <w:sz w:val="16"/>
          <w:szCs w:val="16"/>
        </w:rPr>
        <w:t>e</w:t>
      </w:r>
      <w:r>
        <w:rPr>
          <w:rFonts w:cs="Georgia"/>
          <w:color w:val="000000"/>
          <w:sz w:val="16"/>
          <w:szCs w:val="16"/>
        </w:rPr>
        <w:t>u</w:t>
      </w:r>
      <w:r>
        <w:rPr>
          <w:rFonts w:cs="Georgia"/>
          <w:color w:val="000000"/>
          <w:spacing w:val="1"/>
          <w:sz w:val="16"/>
          <w:szCs w:val="16"/>
        </w:rPr>
        <w:t>r</w:t>
      </w:r>
      <w:r>
        <w:rPr>
          <w:rFonts w:cs="Georgia"/>
          <w:color w:val="000000"/>
          <w:spacing w:val="-1"/>
          <w:sz w:val="16"/>
          <w:szCs w:val="16"/>
        </w:rPr>
        <w:t>e</w:t>
      </w:r>
      <w:r>
        <w:rPr>
          <w:rFonts w:cs="Georgia"/>
          <w:color w:val="000000"/>
          <w:sz w:val="16"/>
          <w:szCs w:val="16"/>
        </w:rPr>
        <w:t>s</w:t>
      </w:r>
      <w:r>
        <w:rPr>
          <w:rFonts w:cs="Georgia"/>
          <w:color w:val="000000"/>
          <w:spacing w:val="11"/>
          <w:sz w:val="16"/>
          <w:szCs w:val="16"/>
        </w:rPr>
        <w:t xml:space="preserve"> </w:t>
      </w:r>
      <w:r>
        <w:rPr>
          <w:rFonts w:cs="Georgia"/>
          <w:color w:val="000000"/>
          <w:sz w:val="16"/>
          <w:szCs w:val="16"/>
        </w:rPr>
        <w:t>de</w:t>
      </w:r>
      <w:r>
        <w:rPr>
          <w:rFonts w:cs="Georgia"/>
          <w:color w:val="000000"/>
          <w:spacing w:val="11"/>
          <w:sz w:val="16"/>
          <w:szCs w:val="16"/>
        </w:rPr>
        <w:t xml:space="preserve"> </w:t>
      </w:r>
      <w:r>
        <w:rPr>
          <w:rFonts w:cs="Georgia"/>
          <w:color w:val="000000"/>
          <w:sz w:val="16"/>
          <w:szCs w:val="16"/>
        </w:rPr>
        <w:t>c</w:t>
      </w:r>
      <w:r>
        <w:rPr>
          <w:rFonts w:cs="Georgia"/>
          <w:color w:val="000000"/>
          <w:spacing w:val="1"/>
          <w:sz w:val="16"/>
          <w:szCs w:val="16"/>
        </w:rPr>
        <w:t>o</w:t>
      </w:r>
      <w:r>
        <w:rPr>
          <w:rFonts w:cs="Georgia"/>
          <w:color w:val="000000"/>
          <w:spacing w:val="-1"/>
          <w:sz w:val="16"/>
          <w:szCs w:val="16"/>
        </w:rPr>
        <w:t>nse</w:t>
      </w:r>
      <w:r>
        <w:rPr>
          <w:rFonts w:cs="Georgia"/>
          <w:color w:val="000000"/>
          <w:sz w:val="16"/>
          <w:szCs w:val="16"/>
        </w:rPr>
        <w:t>il</w:t>
      </w:r>
      <w:r>
        <w:rPr>
          <w:rFonts w:cs="Georgia"/>
          <w:color w:val="000000"/>
          <w:spacing w:val="11"/>
          <w:sz w:val="16"/>
          <w:szCs w:val="16"/>
        </w:rPr>
        <w:t xml:space="preserve"> </w:t>
      </w:r>
      <w:r>
        <w:rPr>
          <w:rFonts w:cs="Georgia"/>
          <w:color w:val="000000"/>
          <w:sz w:val="16"/>
          <w:szCs w:val="16"/>
        </w:rPr>
        <w:t>de</w:t>
      </w:r>
      <w:r>
        <w:rPr>
          <w:rFonts w:cs="Georgia"/>
          <w:color w:val="000000"/>
          <w:spacing w:val="11"/>
          <w:sz w:val="16"/>
          <w:szCs w:val="16"/>
        </w:rPr>
        <w:t xml:space="preserve"> </w:t>
      </w:r>
      <w:r>
        <w:rPr>
          <w:rFonts w:cs="Georgia"/>
          <w:color w:val="000000"/>
          <w:sz w:val="16"/>
          <w:szCs w:val="16"/>
        </w:rPr>
        <w:t>c</w:t>
      </w:r>
      <w:r>
        <w:rPr>
          <w:rFonts w:cs="Georgia"/>
          <w:color w:val="000000"/>
          <w:spacing w:val="-1"/>
          <w:sz w:val="16"/>
          <w:szCs w:val="16"/>
        </w:rPr>
        <w:t>l</w:t>
      </w:r>
      <w:r>
        <w:rPr>
          <w:rFonts w:cs="Georgia"/>
          <w:color w:val="000000"/>
          <w:sz w:val="16"/>
          <w:szCs w:val="16"/>
        </w:rPr>
        <w:t>a</w:t>
      </w:r>
      <w:r>
        <w:rPr>
          <w:rFonts w:cs="Georgia"/>
          <w:color w:val="000000"/>
          <w:spacing w:val="1"/>
          <w:sz w:val="16"/>
          <w:szCs w:val="16"/>
        </w:rPr>
        <w:t>s</w:t>
      </w:r>
      <w:r>
        <w:rPr>
          <w:rFonts w:cs="Georgia"/>
          <w:color w:val="000000"/>
          <w:spacing w:val="-1"/>
          <w:sz w:val="16"/>
          <w:szCs w:val="16"/>
        </w:rPr>
        <w:t>s</w:t>
      </w:r>
      <w:r>
        <w:rPr>
          <w:rFonts w:cs="Georgia"/>
          <w:color w:val="000000"/>
          <w:sz w:val="16"/>
          <w:szCs w:val="16"/>
        </w:rPr>
        <w:t>e</w:t>
      </w:r>
      <w:r>
        <w:rPr>
          <w:rFonts w:cs="Georgia"/>
          <w:color w:val="000000"/>
          <w:spacing w:val="9"/>
          <w:sz w:val="16"/>
          <w:szCs w:val="16"/>
        </w:rPr>
        <w:t xml:space="preserve"> </w:t>
      </w:r>
      <w:r>
        <w:rPr>
          <w:rFonts w:cs="Georgia"/>
          <w:color w:val="000000"/>
          <w:sz w:val="16"/>
          <w:szCs w:val="16"/>
        </w:rPr>
        <w:t>à</w:t>
      </w:r>
      <w:r>
        <w:rPr>
          <w:rFonts w:cs="Georgia"/>
          <w:color w:val="000000"/>
          <w:spacing w:val="12"/>
          <w:sz w:val="16"/>
          <w:szCs w:val="16"/>
        </w:rPr>
        <w:t xml:space="preserve"> </w:t>
      </w:r>
      <w:r>
        <w:rPr>
          <w:rFonts w:cs="Georgia"/>
          <w:color w:val="000000"/>
          <w:sz w:val="16"/>
          <w:szCs w:val="16"/>
        </w:rPr>
        <w:t>att</w:t>
      </w:r>
      <w:r>
        <w:rPr>
          <w:rFonts w:cs="Georgia"/>
          <w:color w:val="000000"/>
          <w:spacing w:val="1"/>
          <w:sz w:val="16"/>
          <w:szCs w:val="16"/>
        </w:rPr>
        <w:t>r</w:t>
      </w:r>
      <w:r>
        <w:rPr>
          <w:rFonts w:cs="Georgia"/>
          <w:color w:val="000000"/>
          <w:sz w:val="16"/>
          <w:szCs w:val="16"/>
        </w:rPr>
        <w:t>ibu</w:t>
      </w:r>
      <w:r>
        <w:rPr>
          <w:rFonts w:cs="Georgia"/>
          <w:color w:val="000000"/>
          <w:spacing w:val="-1"/>
          <w:sz w:val="16"/>
          <w:szCs w:val="16"/>
        </w:rPr>
        <w:t>e</w:t>
      </w:r>
      <w:r>
        <w:rPr>
          <w:rFonts w:cs="Georgia"/>
          <w:color w:val="000000"/>
          <w:sz w:val="16"/>
          <w:szCs w:val="16"/>
        </w:rPr>
        <w:t>r</w:t>
      </w:r>
      <w:r>
        <w:rPr>
          <w:rFonts w:cs="Georgia"/>
          <w:color w:val="000000"/>
          <w:spacing w:val="10"/>
          <w:sz w:val="16"/>
          <w:szCs w:val="16"/>
        </w:rPr>
        <w:t xml:space="preserve"> </w:t>
      </w:r>
      <w:r>
        <w:rPr>
          <w:rFonts w:cs="Georgia"/>
          <w:color w:val="000000"/>
          <w:spacing w:val="-1"/>
          <w:sz w:val="16"/>
          <w:szCs w:val="16"/>
        </w:rPr>
        <w:t>es</w:t>
      </w:r>
      <w:r>
        <w:rPr>
          <w:rFonts w:cs="Georgia"/>
          <w:color w:val="000000"/>
          <w:sz w:val="16"/>
          <w:szCs w:val="16"/>
        </w:rPr>
        <w:t>t</w:t>
      </w:r>
      <w:r>
        <w:rPr>
          <w:rFonts w:cs="Georgia"/>
          <w:color w:val="000000"/>
          <w:spacing w:val="15"/>
          <w:sz w:val="16"/>
          <w:szCs w:val="16"/>
        </w:rPr>
        <w:t xml:space="preserve"> </w:t>
      </w:r>
      <w:r>
        <w:rPr>
          <w:rFonts w:cs="Georgia"/>
          <w:color w:val="000000"/>
          <w:spacing w:val="-1"/>
          <w:sz w:val="16"/>
          <w:szCs w:val="16"/>
        </w:rPr>
        <w:t>é</w:t>
      </w:r>
      <w:r>
        <w:rPr>
          <w:rFonts w:cs="Georgia"/>
          <w:color w:val="000000"/>
          <w:sz w:val="16"/>
          <w:szCs w:val="16"/>
        </w:rPr>
        <w:t>ga</w:t>
      </w:r>
      <w:r>
        <w:rPr>
          <w:rFonts w:cs="Georgia"/>
          <w:color w:val="000000"/>
          <w:spacing w:val="-1"/>
          <w:sz w:val="16"/>
          <w:szCs w:val="16"/>
        </w:rPr>
        <w:t>le</w:t>
      </w:r>
      <w:r>
        <w:rPr>
          <w:rFonts w:cs="Georgia"/>
          <w:color w:val="000000"/>
          <w:sz w:val="16"/>
          <w:szCs w:val="16"/>
        </w:rPr>
        <w:t>m</w:t>
      </w:r>
      <w:r>
        <w:rPr>
          <w:rFonts w:cs="Georgia"/>
          <w:color w:val="000000"/>
          <w:spacing w:val="2"/>
          <w:sz w:val="16"/>
          <w:szCs w:val="16"/>
        </w:rPr>
        <w:t>e</w:t>
      </w:r>
      <w:r>
        <w:rPr>
          <w:rFonts w:cs="Georgia"/>
          <w:color w:val="000000"/>
          <w:spacing w:val="-1"/>
          <w:sz w:val="16"/>
          <w:szCs w:val="16"/>
        </w:rPr>
        <w:t>n</w:t>
      </w:r>
      <w:r>
        <w:rPr>
          <w:rFonts w:cs="Georgia"/>
          <w:color w:val="000000"/>
          <w:sz w:val="16"/>
          <w:szCs w:val="16"/>
        </w:rPr>
        <w:t>t</w:t>
      </w:r>
      <w:r>
        <w:rPr>
          <w:rFonts w:cs="Georgia"/>
          <w:color w:val="000000"/>
          <w:spacing w:val="10"/>
          <w:sz w:val="16"/>
          <w:szCs w:val="16"/>
        </w:rPr>
        <w:t xml:space="preserve"> </w:t>
      </w:r>
      <w:r>
        <w:rPr>
          <w:rFonts w:cs="Georgia"/>
          <w:color w:val="000000"/>
          <w:sz w:val="16"/>
          <w:szCs w:val="16"/>
        </w:rPr>
        <w:t>à</w:t>
      </w:r>
      <w:r>
        <w:rPr>
          <w:rFonts w:cs="Georgia"/>
          <w:color w:val="000000"/>
          <w:spacing w:val="10"/>
          <w:sz w:val="16"/>
          <w:szCs w:val="16"/>
        </w:rPr>
        <w:t xml:space="preserve"> </w:t>
      </w:r>
      <w:r>
        <w:rPr>
          <w:rFonts w:cs="Georgia"/>
          <w:color w:val="000000"/>
          <w:sz w:val="16"/>
          <w:szCs w:val="16"/>
        </w:rPr>
        <w:t>app</w:t>
      </w:r>
      <w:r>
        <w:rPr>
          <w:rFonts w:cs="Georgia"/>
          <w:color w:val="000000"/>
          <w:spacing w:val="-1"/>
          <w:sz w:val="16"/>
          <w:szCs w:val="16"/>
        </w:rPr>
        <w:t>l</w:t>
      </w:r>
      <w:r>
        <w:rPr>
          <w:rFonts w:cs="Georgia"/>
          <w:color w:val="000000"/>
          <w:sz w:val="16"/>
          <w:szCs w:val="16"/>
        </w:rPr>
        <w:t>iqu</w:t>
      </w:r>
      <w:r>
        <w:rPr>
          <w:rFonts w:cs="Georgia"/>
          <w:color w:val="000000"/>
          <w:spacing w:val="-1"/>
          <w:sz w:val="16"/>
          <w:szCs w:val="16"/>
        </w:rPr>
        <w:t>e</w:t>
      </w:r>
      <w:r>
        <w:rPr>
          <w:rFonts w:cs="Georgia"/>
          <w:color w:val="000000"/>
          <w:sz w:val="16"/>
          <w:szCs w:val="16"/>
        </w:rPr>
        <w:t>r</w:t>
      </w:r>
      <w:r>
        <w:rPr>
          <w:rFonts w:cs="Georgia"/>
          <w:color w:val="000000"/>
          <w:spacing w:val="12"/>
          <w:sz w:val="16"/>
          <w:szCs w:val="16"/>
        </w:rPr>
        <w:t xml:space="preserve"> </w:t>
      </w:r>
      <w:r>
        <w:rPr>
          <w:rFonts w:cs="Georgia"/>
          <w:color w:val="000000"/>
          <w:sz w:val="16"/>
          <w:szCs w:val="16"/>
        </w:rPr>
        <w:t>p</w:t>
      </w:r>
      <w:r>
        <w:rPr>
          <w:rFonts w:cs="Georgia"/>
          <w:color w:val="000000"/>
          <w:spacing w:val="-1"/>
          <w:sz w:val="16"/>
          <w:szCs w:val="16"/>
        </w:rPr>
        <w:t>o</w:t>
      </w:r>
      <w:r>
        <w:rPr>
          <w:rFonts w:cs="Georgia"/>
          <w:color w:val="000000"/>
          <w:sz w:val="16"/>
          <w:szCs w:val="16"/>
        </w:rPr>
        <w:t>ur</w:t>
      </w:r>
      <w:r>
        <w:rPr>
          <w:rFonts w:cs="Georgia"/>
          <w:color w:val="000000"/>
          <w:spacing w:val="12"/>
          <w:sz w:val="16"/>
          <w:szCs w:val="16"/>
        </w:rPr>
        <w:t xml:space="preserve"> </w:t>
      </w:r>
      <w:r>
        <w:rPr>
          <w:rFonts w:cs="Georgia"/>
          <w:color w:val="000000"/>
          <w:spacing w:val="-1"/>
          <w:sz w:val="16"/>
          <w:szCs w:val="16"/>
        </w:rPr>
        <w:t>l</w:t>
      </w:r>
      <w:r>
        <w:rPr>
          <w:rFonts w:cs="Georgia"/>
          <w:color w:val="000000"/>
          <w:sz w:val="16"/>
          <w:szCs w:val="16"/>
        </w:rPr>
        <w:t>e</w:t>
      </w:r>
      <w:r>
        <w:rPr>
          <w:rFonts w:cs="Georgia"/>
          <w:color w:val="000000"/>
          <w:spacing w:val="11"/>
          <w:sz w:val="16"/>
          <w:szCs w:val="16"/>
        </w:rPr>
        <w:t xml:space="preserve"> </w:t>
      </w:r>
      <w:r>
        <w:rPr>
          <w:rFonts w:cs="Georgia"/>
          <w:color w:val="000000"/>
          <w:sz w:val="16"/>
          <w:szCs w:val="16"/>
        </w:rPr>
        <w:t>p</w:t>
      </w:r>
      <w:r>
        <w:rPr>
          <w:rFonts w:cs="Georgia"/>
          <w:color w:val="000000"/>
          <w:spacing w:val="-1"/>
          <w:sz w:val="16"/>
          <w:szCs w:val="16"/>
        </w:rPr>
        <w:t>e</w:t>
      </w:r>
      <w:r>
        <w:rPr>
          <w:rFonts w:cs="Georgia"/>
          <w:color w:val="000000"/>
          <w:spacing w:val="1"/>
          <w:sz w:val="16"/>
          <w:szCs w:val="16"/>
        </w:rPr>
        <w:t>r</w:t>
      </w:r>
      <w:r>
        <w:rPr>
          <w:rFonts w:cs="Georgia"/>
          <w:color w:val="000000"/>
          <w:spacing w:val="-1"/>
          <w:sz w:val="16"/>
          <w:szCs w:val="16"/>
        </w:rPr>
        <w:t>so</w:t>
      </w:r>
      <w:r>
        <w:rPr>
          <w:rFonts w:cs="Georgia"/>
          <w:color w:val="000000"/>
          <w:spacing w:val="2"/>
          <w:sz w:val="16"/>
          <w:szCs w:val="16"/>
        </w:rPr>
        <w:t>n</w:t>
      </w:r>
      <w:r>
        <w:rPr>
          <w:rFonts w:cs="Georgia"/>
          <w:color w:val="000000"/>
          <w:spacing w:val="-1"/>
          <w:sz w:val="16"/>
          <w:szCs w:val="16"/>
        </w:rPr>
        <w:t>ne</w:t>
      </w:r>
      <w:r>
        <w:rPr>
          <w:rFonts w:cs="Georgia"/>
          <w:color w:val="000000"/>
          <w:sz w:val="16"/>
          <w:szCs w:val="16"/>
        </w:rPr>
        <w:t>l</w:t>
      </w:r>
      <w:r>
        <w:rPr>
          <w:rFonts w:cs="Georgia"/>
          <w:color w:val="000000"/>
          <w:spacing w:val="11"/>
          <w:sz w:val="16"/>
          <w:szCs w:val="16"/>
        </w:rPr>
        <w:t xml:space="preserve"> </w:t>
      </w:r>
      <w:r>
        <w:rPr>
          <w:rFonts w:cs="Georgia"/>
          <w:color w:val="000000"/>
          <w:sz w:val="16"/>
          <w:szCs w:val="16"/>
        </w:rPr>
        <w:t>acc</w:t>
      </w:r>
      <w:r>
        <w:rPr>
          <w:rFonts w:cs="Georgia"/>
          <w:color w:val="000000"/>
          <w:spacing w:val="-1"/>
          <w:sz w:val="16"/>
          <w:szCs w:val="16"/>
        </w:rPr>
        <w:t>o</w:t>
      </w:r>
      <w:r>
        <w:rPr>
          <w:rFonts w:cs="Georgia"/>
          <w:color w:val="000000"/>
          <w:sz w:val="16"/>
          <w:szCs w:val="16"/>
        </w:rPr>
        <w:t>mpag</w:t>
      </w:r>
      <w:r>
        <w:rPr>
          <w:rFonts w:cs="Georgia"/>
          <w:color w:val="000000"/>
          <w:spacing w:val="-1"/>
          <w:sz w:val="16"/>
          <w:szCs w:val="16"/>
        </w:rPr>
        <w:t>n</w:t>
      </w:r>
      <w:r>
        <w:rPr>
          <w:rFonts w:cs="Georgia"/>
          <w:color w:val="000000"/>
          <w:spacing w:val="3"/>
          <w:sz w:val="16"/>
          <w:szCs w:val="16"/>
        </w:rPr>
        <w:t>a</w:t>
      </w:r>
      <w:r>
        <w:rPr>
          <w:rFonts w:cs="Georgia"/>
          <w:color w:val="000000"/>
          <w:spacing w:val="-1"/>
          <w:sz w:val="16"/>
          <w:szCs w:val="16"/>
        </w:rPr>
        <w:t>n</w:t>
      </w:r>
      <w:r>
        <w:rPr>
          <w:rFonts w:cs="Georgia"/>
          <w:color w:val="000000"/>
          <w:sz w:val="16"/>
          <w:szCs w:val="16"/>
        </w:rPr>
        <w:t>t</w:t>
      </w:r>
      <w:r>
        <w:rPr>
          <w:rFonts w:cs="Georgia"/>
          <w:color w:val="000000"/>
          <w:spacing w:val="10"/>
          <w:sz w:val="16"/>
          <w:szCs w:val="16"/>
        </w:rPr>
        <w:t xml:space="preserve"> </w:t>
      </w:r>
      <w:r>
        <w:rPr>
          <w:rFonts w:cs="Georgia"/>
          <w:color w:val="000000"/>
          <w:sz w:val="16"/>
          <w:szCs w:val="16"/>
        </w:rPr>
        <w:t>d</w:t>
      </w:r>
      <w:r>
        <w:rPr>
          <w:rFonts w:cs="Georgia"/>
          <w:color w:val="000000"/>
          <w:spacing w:val="2"/>
          <w:sz w:val="16"/>
          <w:szCs w:val="16"/>
        </w:rPr>
        <w:t>e</w:t>
      </w:r>
      <w:r>
        <w:rPr>
          <w:rFonts w:cs="Georgia"/>
          <w:color w:val="000000"/>
          <w:sz w:val="16"/>
          <w:szCs w:val="16"/>
        </w:rPr>
        <w:t xml:space="preserve">s </w:t>
      </w:r>
      <w:r>
        <w:rPr>
          <w:rFonts w:cs="Georgia"/>
          <w:color w:val="000000"/>
          <w:spacing w:val="-1"/>
          <w:sz w:val="16"/>
          <w:szCs w:val="16"/>
        </w:rPr>
        <w:t>élèv</w:t>
      </w:r>
      <w:r>
        <w:rPr>
          <w:rFonts w:cs="Georgia"/>
          <w:color w:val="000000"/>
          <w:spacing w:val="2"/>
          <w:sz w:val="16"/>
          <w:szCs w:val="16"/>
        </w:rPr>
        <w:t>e</w:t>
      </w:r>
      <w:r>
        <w:rPr>
          <w:rFonts w:cs="Georgia"/>
          <w:color w:val="000000"/>
          <w:sz w:val="16"/>
          <w:szCs w:val="16"/>
        </w:rPr>
        <w:t>s</w:t>
      </w:r>
      <w:r>
        <w:rPr>
          <w:rFonts w:cs="Georgia"/>
          <w:color w:val="000000"/>
          <w:spacing w:val="-1"/>
          <w:sz w:val="16"/>
          <w:szCs w:val="16"/>
        </w:rPr>
        <w:t xml:space="preserve"> </w:t>
      </w:r>
      <w:r>
        <w:rPr>
          <w:rFonts w:cs="Georgia"/>
          <w:color w:val="000000"/>
          <w:spacing w:val="2"/>
          <w:sz w:val="16"/>
          <w:szCs w:val="16"/>
        </w:rPr>
        <w:t>e</w:t>
      </w:r>
      <w:r>
        <w:rPr>
          <w:rFonts w:cs="Georgia"/>
          <w:color w:val="000000"/>
          <w:sz w:val="16"/>
          <w:szCs w:val="16"/>
        </w:rPr>
        <w:t>n</w:t>
      </w:r>
      <w:r>
        <w:rPr>
          <w:rFonts w:cs="Georgia"/>
          <w:color w:val="000000"/>
          <w:spacing w:val="-1"/>
          <w:sz w:val="16"/>
          <w:szCs w:val="16"/>
        </w:rPr>
        <w:t xml:space="preserve"> </w:t>
      </w:r>
      <w:r>
        <w:rPr>
          <w:rFonts w:cs="Georgia"/>
          <w:color w:val="000000"/>
          <w:sz w:val="16"/>
          <w:szCs w:val="16"/>
        </w:rPr>
        <w:t>i</w:t>
      </w:r>
      <w:r>
        <w:rPr>
          <w:rFonts w:cs="Georgia"/>
          <w:color w:val="000000"/>
          <w:spacing w:val="-1"/>
          <w:sz w:val="16"/>
          <w:szCs w:val="16"/>
        </w:rPr>
        <w:t>n</w:t>
      </w:r>
      <w:r>
        <w:rPr>
          <w:rFonts w:cs="Georgia"/>
          <w:color w:val="000000"/>
          <w:sz w:val="16"/>
          <w:szCs w:val="16"/>
        </w:rPr>
        <w:t>t</w:t>
      </w:r>
      <w:r>
        <w:rPr>
          <w:rFonts w:cs="Georgia"/>
          <w:color w:val="000000"/>
          <w:spacing w:val="-1"/>
          <w:sz w:val="16"/>
          <w:szCs w:val="16"/>
        </w:rPr>
        <w:t>é</w:t>
      </w:r>
      <w:r>
        <w:rPr>
          <w:rFonts w:cs="Georgia"/>
          <w:color w:val="000000"/>
          <w:sz w:val="16"/>
          <w:szCs w:val="16"/>
        </w:rPr>
        <w:t>g</w:t>
      </w:r>
      <w:r>
        <w:rPr>
          <w:rFonts w:cs="Georgia"/>
          <w:color w:val="000000"/>
          <w:spacing w:val="1"/>
          <w:sz w:val="16"/>
          <w:szCs w:val="16"/>
        </w:rPr>
        <w:t>r</w:t>
      </w:r>
      <w:r>
        <w:rPr>
          <w:rFonts w:cs="Georgia"/>
          <w:color w:val="000000"/>
          <w:sz w:val="16"/>
          <w:szCs w:val="16"/>
        </w:rPr>
        <w:t>ati</w:t>
      </w:r>
      <w:r>
        <w:rPr>
          <w:rFonts w:cs="Georgia"/>
          <w:color w:val="000000"/>
          <w:spacing w:val="-1"/>
          <w:sz w:val="16"/>
          <w:szCs w:val="16"/>
        </w:rPr>
        <w:t>o</w:t>
      </w:r>
      <w:r>
        <w:rPr>
          <w:rFonts w:cs="Georgia"/>
          <w:color w:val="000000"/>
          <w:spacing w:val="2"/>
          <w:sz w:val="16"/>
          <w:szCs w:val="16"/>
        </w:rPr>
        <w:t>n</w:t>
      </w:r>
    </w:p>
    <w:p>
      <w:pPr>
        <w:widowControl w:val="0"/>
        <w:autoSpaceDE w:val="0"/>
        <w:autoSpaceDN w:val="0"/>
        <w:adjustRightInd w:val="0"/>
        <w:spacing w:line="204" w:lineRule="exact"/>
        <w:ind w:right="595"/>
      </w:pPr>
      <w:r>
        <w:t xml:space="preserve"> </w:t>
      </w:r>
    </w:p>
  </w:footnote>
  <w:footnote w:id="106">
    <w:p>
      <w:pPr>
        <w:pStyle w:val="Notedebasdepage"/>
        <w:rPr>
          <w:highlight w:val="yellow"/>
        </w:rPr>
      </w:pPr>
      <w:r>
        <w:rPr>
          <w:rStyle w:val="Appelnotedebasdep"/>
          <w:sz w:val="20"/>
        </w:rPr>
        <w:footnoteRef/>
      </w:r>
      <w:r>
        <w:t xml:space="preserve"> </w:t>
      </w:r>
      <w:r>
        <w:rPr>
          <w:color w:val="000000"/>
          <w:spacing w:val="-1"/>
        </w:rPr>
        <w:t>V</w:t>
      </w:r>
      <w:r>
        <w:rPr>
          <w:color w:val="000000"/>
        </w:rPr>
        <w:t>o</w:t>
      </w:r>
      <w:r>
        <w:rPr>
          <w:color w:val="000000"/>
          <w:spacing w:val="-1"/>
        </w:rPr>
        <w:t>i</w:t>
      </w:r>
      <w:r>
        <w:rPr>
          <w:color w:val="000000"/>
        </w:rPr>
        <w:t>r</w:t>
      </w:r>
      <w:r>
        <w:rPr>
          <w:color w:val="000000"/>
          <w:spacing w:val="-4"/>
        </w:rPr>
        <w:t xml:space="preserve"> </w:t>
      </w:r>
      <w:r>
        <w:rPr>
          <w:color w:val="000000"/>
        </w:rPr>
        <w:t>t</w:t>
      </w:r>
      <w:r>
        <w:rPr>
          <w:color w:val="000000"/>
          <w:spacing w:val="-1"/>
        </w:rPr>
        <w:t>i</w:t>
      </w:r>
      <w:r>
        <w:rPr>
          <w:color w:val="000000"/>
        </w:rPr>
        <w:t>t</w:t>
      </w:r>
      <w:r>
        <w:rPr>
          <w:color w:val="000000"/>
          <w:spacing w:val="2"/>
        </w:rPr>
        <w:t>r</w:t>
      </w:r>
      <w:r>
        <w:rPr>
          <w:color w:val="000000"/>
        </w:rPr>
        <w:t>es</w:t>
      </w:r>
      <w:r>
        <w:rPr>
          <w:color w:val="000000"/>
          <w:spacing w:val="-5"/>
        </w:rPr>
        <w:t xml:space="preserve"> </w:t>
      </w:r>
      <w:r>
        <w:rPr>
          <w:color w:val="000000"/>
        </w:rPr>
        <w:t>dans</w:t>
      </w:r>
      <w:r>
        <w:rPr>
          <w:color w:val="000000"/>
          <w:spacing w:val="-4"/>
        </w:rPr>
        <w:t xml:space="preserve"> </w:t>
      </w:r>
      <w:hyperlink r:id="rId66" w:history="1">
        <w:r>
          <w:rPr>
            <w:rStyle w:val="Lienhypertexte"/>
            <w:rFonts w:cs="Arial"/>
          </w:rPr>
          <w:t>l’Arrêté</w:t>
        </w:r>
        <w:r>
          <w:rPr>
            <w:rStyle w:val="Lienhypertexte"/>
            <w:rFonts w:cs="Arial"/>
            <w:spacing w:val="-6"/>
          </w:rPr>
          <w:t xml:space="preserve"> </w:t>
        </w:r>
        <w:r>
          <w:rPr>
            <w:rStyle w:val="Lienhypertexte"/>
            <w:rFonts w:cs="Arial"/>
            <w:spacing w:val="-1"/>
          </w:rPr>
          <w:t>R</w:t>
        </w:r>
        <w:r>
          <w:rPr>
            <w:rStyle w:val="Lienhypertexte"/>
            <w:rFonts w:cs="Arial"/>
            <w:spacing w:val="3"/>
          </w:rPr>
          <w:t>o</w:t>
        </w:r>
        <w:r>
          <w:rPr>
            <w:rStyle w:val="Lienhypertexte"/>
            <w:rFonts w:cs="Arial"/>
          </w:rPr>
          <w:t>yal</w:t>
        </w:r>
        <w:r>
          <w:rPr>
            <w:rStyle w:val="Lienhypertexte"/>
            <w:rFonts w:cs="Arial"/>
            <w:spacing w:val="-5"/>
          </w:rPr>
          <w:t xml:space="preserve"> </w:t>
        </w:r>
        <w:r>
          <w:rPr>
            <w:rStyle w:val="Lienhypertexte"/>
            <w:rFonts w:cs="Arial"/>
          </w:rPr>
          <w:t>du</w:t>
        </w:r>
        <w:r>
          <w:rPr>
            <w:rStyle w:val="Lienhypertexte"/>
            <w:rFonts w:cs="Arial"/>
            <w:spacing w:val="-3"/>
          </w:rPr>
          <w:t xml:space="preserve"> </w:t>
        </w:r>
        <w:r>
          <w:rPr>
            <w:rStyle w:val="Lienhypertexte"/>
            <w:rFonts w:cs="Arial"/>
          </w:rPr>
          <w:t>30</w:t>
        </w:r>
        <w:r>
          <w:rPr>
            <w:rStyle w:val="Lienhypertexte"/>
            <w:rFonts w:cs="Arial"/>
            <w:spacing w:val="-3"/>
          </w:rPr>
          <w:t xml:space="preserve"> </w:t>
        </w:r>
        <w:r>
          <w:rPr>
            <w:rStyle w:val="Lienhypertexte"/>
            <w:rFonts w:cs="Arial"/>
            <w:spacing w:val="-1"/>
          </w:rPr>
          <w:t>j</w:t>
        </w:r>
        <w:r>
          <w:rPr>
            <w:rStyle w:val="Lienhypertexte"/>
            <w:rFonts w:cs="Arial"/>
          </w:rPr>
          <w:t>u</w:t>
        </w:r>
        <w:r>
          <w:rPr>
            <w:rStyle w:val="Lienhypertexte"/>
            <w:rFonts w:cs="Arial"/>
            <w:spacing w:val="-1"/>
          </w:rPr>
          <w:t>i</w:t>
        </w:r>
        <w:r>
          <w:rPr>
            <w:rStyle w:val="Lienhypertexte"/>
            <w:rFonts w:cs="Arial"/>
          </w:rPr>
          <w:t>llet</w:t>
        </w:r>
        <w:r>
          <w:rPr>
            <w:rStyle w:val="Lienhypertexte"/>
            <w:rFonts w:cs="Arial"/>
            <w:spacing w:val="-5"/>
          </w:rPr>
          <w:t xml:space="preserve"> </w:t>
        </w:r>
        <w:r>
          <w:rPr>
            <w:rStyle w:val="Lienhypertexte"/>
            <w:rFonts w:cs="Arial"/>
          </w:rPr>
          <w:t>1975</w:t>
        </w:r>
      </w:hyperlink>
      <w:r>
        <w:t>,</w:t>
      </w:r>
      <w:r>
        <w:rPr>
          <w:spacing w:val="-6"/>
        </w:rPr>
        <w:t xml:space="preserve"> </w:t>
      </w:r>
      <w:r>
        <w:t>art</w:t>
      </w:r>
      <w:r>
        <w:rPr>
          <w:spacing w:val="-1"/>
        </w:rPr>
        <w:t>i</w:t>
      </w:r>
      <w:r>
        <w:t>c</w:t>
      </w:r>
      <w:r>
        <w:rPr>
          <w:spacing w:val="3"/>
        </w:rPr>
        <w:t>l</w:t>
      </w:r>
      <w:r>
        <w:t>e</w:t>
      </w:r>
      <w:r>
        <w:rPr>
          <w:spacing w:val="-6"/>
        </w:rPr>
        <w:t xml:space="preserve"> </w:t>
      </w:r>
      <w:r>
        <w:t xml:space="preserve">4 </w:t>
      </w:r>
    </w:p>
  </w:footnote>
  <w:footnote w:id="107">
    <w:p>
      <w:pPr>
        <w:pStyle w:val="Notedebasdepage"/>
      </w:pPr>
      <w:r>
        <w:rPr>
          <w:rStyle w:val="Appelnotedebasdep"/>
        </w:rPr>
        <w:footnoteRef/>
      </w:r>
      <w:r>
        <w:t xml:space="preserve"> Pour plus de détail, voir </w:t>
      </w:r>
      <w:hyperlink r:id="rId67" w:history="1">
        <w:r>
          <w:rPr>
            <w:rStyle w:val="Lienhypertexte"/>
            <w:rFonts w:cs="Arial"/>
          </w:rPr>
          <w:t>Circulaire 7167 du 03/06/2019</w:t>
        </w:r>
      </w:hyperlink>
    </w:p>
  </w:footnote>
  <w:footnote w:id="108">
    <w:p>
      <w:pPr>
        <w:pStyle w:val="Notedebasdepage"/>
      </w:pPr>
      <w:r>
        <w:rPr>
          <w:rStyle w:val="Appelnotedebasdep"/>
        </w:rPr>
        <w:footnoteRef/>
      </w:r>
      <w:r>
        <w:t xml:space="preserve"> Pour plus de détail, voir </w:t>
      </w:r>
      <w:hyperlink r:id="rId68" w:history="1">
        <w:r>
          <w:rPr>
            <w:rStyle w:val="Lienhypertexte"/>
            <w:rFonts w:cs="Arial"/>
          </w:rPr>
          <w:t>Circulaire 7167 du 03/06/2019</w:t>
        </w:r>
      </w:hyperlink>
    </w:p>
  </w:footnote>
  <w:footnote w:id="109">
    <w:p>
      <w:pPr>
        <w:pStyle w:val="Notedebasdepage"/>
      </w:pPr>
      <w:r>
        <w:rPr>
          <w:rStyle w:val="Appelnotedebasdep"/>
        </w:rPr>
        <w:footnoteRef/>
      </w:r>
      <w:r>
        <w:t xml:space="preserve"> </w:t>
      </w:r>
      <w:r>
        <w:rPr>
          <w:rFonts w:cstheme="minorHAnsi"/>
        </w:rPr>
        <w:t xml:space="preserve">Base légale : article 5 </w:t>
      </w:r>
      <w:r>
        <w:t xml:space="preserve">du décret du 11 avril 2014 réglementant les titres et fonctions dans l'enseignement fondamental et secondaire organisé et subventionné par la Communauté française. Par contre, lorsqu’une école primaire inscrit un enfant en enseignement maternel, elle doit engager une institutrice maternelle qui prestera 26 périodes. </w:t>
      </w:r>
    </w:p>
  </w:footnote>
  <w:footnote w:id="110">
    <w:p>
      <w:pPr>
        <w:pStyle w:val="Notedebasdepage"/>
      </w:pPr>
      <w:r>
        <w:rPr>
          <w:vertAlign w:val="superscript"/>
        </w:rPr>
        <w:footnoteRef/>
      </w:r>
      <w:r>
        <w:rPr>
          <w:vertAlign w:val="superscript"/>
        </w:rPr>
        <w:t xml:space="preserve"> </w:t>
      </w:r>
      <w:r>
        <w:t xml:space="preserve">L’élève doit avoir 12 ans à la date du 1er octobre. </w:t>
      </w:r>
    </w:p>
  </w:footnote>
  <w:footnote w:id="111">
    <w:p>
      <w:pPr>
        <w:rPr>
          <w:sz w:val="20"/>
          <w:szCs w:val="20"/>
        </w:rPr>
      </w:pPr>
      <w:r>
        <w:rPr>
          <w:rStyle w:val="Appelnotedebasdep"/>
          <w:sz w:val="16"/>
          <w:szCs w:val="20"/>
        </w:rPr>
        <w:footnoteRef/>
      </w:r>
      <w:r>
        <w:rPr>
          <w:sz w:val="16"/>
          <w:szCs w:val="20"/>
        </w:rPr>
        <w:t xml:space="preserve">Uniquement les élèves polyhandicapés et les élèves avec handicaps physiques lourds (...) mais disposant de compétences intellectuelles leur permettant d’accéder aux apprentissages scolaires. </w:t>
      </w:r>
    </w:p>
  </w:footnote>
  <w:footnote w:id="112">
    <w:p>
      <w:pPr>
        <w:pStyle w:val="Corpsdetexte"/>
      </w:pPr>
      <w:r>
        <w:rPr>
          <w:rStyle w:val="Caractresdenotedebasdepage"/>
        </w:rPr>
        <w:footnoteRef/>
      </w:r>
      <w:r>
        <w:t xml:space="preserve"> Dans le respect des règles statutaires, cet emploi ne peut être organisé qu’à partir du moment où le membre du personnel titulaire de la fonction de correspondant - comptable cesse définitivement l’exercice de ses fonctions.</w:t>
      </w:r>
    </w:p>
  </w:footnote>
  <w:footnote w:id="113">
    <w:p>
      <w:pPr>
        <w:rPr>
          <w:sz w:val="16"/>
          <w:szCs w:val="16"/>
        </w:rPr>
      </w:pPr>
      <w:r>
        <w:rPr>
          <w:rStyle w:val="Caractresdenotedebasdepage"/>
          <w:szCs w:val="16"/>
        </w:rPr>
        <w:footnoteRef/>
      </w:r>
      <w:r>
        <w:rPr>
          <w:sz w:val="16"/>
          <w:szCs w:val="16"/>
        </w:rPr>
        <w:t xml:space="preserve"> Les conditions de titres sont identiques à celles définies au secondaire. </w:t>
      </w:r>
    </w:p>
  </w:footnote>
  <w:footnote w:id="114">
    <w:p>
      <w:pPr>
        <w:pStyle w:val="Notedebasdepage"/>
      </w:pPr>
      <w:r>
        <w:rPr>
          <w:rStyle w:val="Appelnotedebasdep"/>
        </w:rPr>
        <w:footnoteRef/>
      </w:r>
      <w:r>
        <w:t xml:space="preserve"> Article 42 du </w:t>
      </w:r>
      <w:hyperlink r:id="rId69" w:history="1">
        <w:r>
          <w:rPr>
            <w:rStyle w:val="Lienhypertexte"/>
            <w:rFonts w:cs="Arial"/>
          </w:rPr>
          <w:t>Décret du 14/03/2019</w:t>
        </w:r>
      </w:hyperlink>
    </w:p>
  </w:footnote>
  <w:footnote w:id="115">
    <w:p>
      <w:pPr>
        <w:pStyle w:val="Notedebasdepage"/>
      </w:pPr>
      <w:r>
        <w:rPr>
          <w:rStyle w:val="Appelnotedebasdep"/>
        </w:rPr>
        <w:footnoteRef/>
      </w:r>
      <w:r>
        <w:t xml:space="preserve"> Concernant l’enseignement fondamental spécialisé : l’année scolaire 2012-2013 est la première à prendre en compte.</w:t>
      </w:r>
    </w:p>
  </w:footnote>
  <w:footnote w:id="116">
    <w:p>
      <w:pPr>
        <w:pStyle w:val="Notedebasdepage"/>
        <w:rPr>
          <w:b/>
        </w:rPr>
      </w:pPr>
      <w:r>
        <w:rPr>
          <w:rStyle w:val="Caractresdenotedebasdepage"/>
        </w:rPr>
        <w:footnoteRef/>
      </w:r>
      <w:r>
        <w:t xml:space="preserve"> Préciser la  nature du reliquat</w:t>
      </w:r>
    </w:p>
  </w:footnote>
  <w:footnote w:id="117">
    <w:p>
      <w:pPr>
        <w:pStyle w:val="Notedebasdepage"/>
        <w:rPr>
          <w:b/>
        </w:rPr>
      </w:pPr>
      <w:r>
        <w:rPr>
          <w:rStyle w:val="Caractresdenotedebasdepage"/>
        </w:rPr>
        <w:footnoteRef/>
      </w:r>
      <w:r>
        <w:t xml:space="preserve"> Exemple : 12 périodes de reliquat enseignant = 12 : 24, soit 0,5 charge</w:t>
      </w:r>
    </w:p>
  </w:footnote>
  <w:footnote w:id="118">
    <w:p>
      <w:pPr>
        <w:pStyle w:val="Notedebasdepage"/>
      </w:pPr>
      <w:r>
        <w:rPr>
          <w:rStyle w:val="Appelnotedebasdep"/>
        </w:rPr>
        <w:footnoteRef/>
      </w:r>
      <w:r>
        <w:t xml:space="preserve"> Choisir la ou les périodes d’application du transfert parmi celles proposées.</w:t>
      </w:r>
    </w:p>
  </w:footnote>
  <w:footnote w:id="119">
    <w:p>
      <w:pPr>
        <w:pStyle w:val="Notedebasdepage"/>
        <w:rPr>
          <w:b/>
        </w:rPr>
      </w:pPr>
      <w:r>
        <w:rPr>
          <w:rStyle w:val="Appelnotedebasdep"/>
        </w:rPr>
        <w:footnoteRef/>
      </w:r>
      <w:r>
        <w:t xml:space="preserve"> Base réglementaire : </w:t>
      </w:r>
      <w:hyperlink r:id="rId70" w:history="1">
        <w:r>
          <w:rPr>
            <w:rStyle w:val="Lienhypertexte"/>
            <w:rFonts w:cs="Arial"/>
          </w:rPr>
          <w:t>arrêté ministériel du 1er juillet 2011 relatif aux modalités de transmission du Plan Individuel d’Apprentissage</w:t>
        </w:r>
      </w:hyperlink>
    </w:p>
  </w:footnote>
  <w:footnote w:id="120">
    <w:p>
      <w:pPr>
        <w:pStyle w:val="Notedebasdepage"/>
      </w:pPr>
      <w:r>
        <w:rPr>
          <w:vertAlign w:val="superscript"/>
        </w:rPr>
        <w:footnoteRef/>
      </w:r>
      <w:r>
        <w:rPr>
          <w:vertAlign w:val="superscript"/>
        </w:rPr>
        <w:t xml:space="preserve"> </w:t>
      </w:r>
      <w:r>
        <w:rPr>
          <w:rFonts w:cs="Times New Roman"/>
        </w:rPr>
        <w:t xml:space="preserve">Voir </w:t>
      </w:r>
      <w:hyperlink r:id="rId71" w:history="1">
        <w:r>
          <w:rPr>
            <w:rStyle w:val="Lienhypertexte"/>
            <w:rFonts w:cs="Arial"/>
            <w:spacing w:val="2"/>
          </w:rPr>
          <w:t>Circulaire 6087 afférente aux Dispositions relatives à l’octroi du Certificat d’études de base (CEB) à l’issue de l’épreuve externe commune pour l’année scolaire 2016-2017</w:t>
        </w:r>
      </w:hyperlink>
      <w:r>
        <w:rPr>
          <w:rFonts w:cs="Times New Roman"/>
          <w:highlight w:val="yellow"/>
        </w:rPr>
        <w:t xml:space="preserve"> </w:t>
      </w:r>
    </w:p>
  </w:footnote>
  <w:footnote w:id="121">
    <w:p>
      <w:pPr>
        <w:pStyle w:val="Notedebasdepage"/>
      </w:pPr>
      <w:r>
        <w:rPr>
          <w:rStyle w:val="Appelnotedebasdep"/>
        </w:rPr>
        <w:footnoteRef/>
      </w:r>
      <w:r>
        <w:t xml:space="preserve">  </w:t>
      </w:r>
      <w:hyperlink r:id="rId72" w:history="1">
        <w:r>
          <w:rPr>
            <w:rStyle w:val="Lienhypertexte"/>
            <w:rFonts w:cs="Arial"/>
          </w:rPr>
          <w:t>Voir Arrêté du Gouvernement de la Communauté Française du 4 mai 2016 déterminant les modalités d’inscription, de distribution, de passation, de correction et de sécurisation de l’épreuve externe commune octroyant le certificat d’études de base (C.E.B.) et la forme de ce certificat</w:t>
        </w:r>
      </w:hyperlink>
    </w:p>
  </w:footnote>
  <w:footnote w:id="122">
    <w:p>
      <w:pPr>
        <w:pStyle w:val="Notedebasdepage"/>
        <w:rPr>
          <w:b/>
        </w:rPr>
      </w:pPr>
      <w:r>
        <w:rPr>
          <w:rStyle w:val="Appelnotedebasdep"/>
        </w:rPr>
        <w:footnoteRef/>
      </w:r>
      <w:r>
        <w:t xml:space="preserve"> Base réglementaire : </w:t>
      </w:r>
      <w:hyperlink r:id="rId73" w:history="1">
        <w:r>
          <w:rPr>
            <w:rStyle w:val="Lienhypertexte"/>
            <w:rFonts w:cs="Arial"/>
          </w:rPr>
          <w:t>arrêté ministériel du 1er juillet 2011 relatif aux modalités de transmission du Plan Individuel d’Apprentissage.</w:t>
        </w:r>
      </w:hyperlink>
    </w:p>
  </w:footnote>
  <w:footnote w:id="123">
    <w:p>
      <w:pPr>
        <w:pStyle w:val="Notedebasdepage"/>
      </w:pPr>
      <w:r>
        <w:rPr>
          <w:rStyle w:val="Appelnotedebasdep"/>
        </w:rPr>
        <w:footnoteRef/>
      </w:r>
      <w:r>
        <w:t xml:space="preserve"> Arrêté royal fixant la façon de déterminer, pour les instituts d’enseignement spécialisé de l’Etat et les homes d’accueil de l’Etat, les fonctions du personnel paramédical et du personnel attribué dans le cadre de l’internat.</w:t>
      </w:r>
    </w:p>
  </w:footnote>
  <w:footnote w:id="124">
    <w:p>
      <w:pPr>
        <w:pStyle w:val="Notedebasdepage"/>
      </w:pPr>
      <w:r>
        <w:rPr>
          <w:rStyle w:val="Appelnotedebasdep"/>
        </w:rPr>
        <w:footnoteRef/>
      </w:r>
      <w:r>
        <w:t xml:space="preserve"> Arrêté royal portant rationalisation et programmation des internats de l'enseignement organisé ou subventionné par l'Etat</w:t>
      </w:r>
      <w:r>
        <w:rPr>
          <w:lang w:val="fr-FR" w:eastAsia="fr-FR"/>
        </w:rPr>
        <w:t>.</w:t>
      </w:r>
    </w:p>
  </w:footnote>
  <w:footnote w:id="125">
    <w:p>
      <w:pPr>
        <w:pStyle w:val="Notedebasdepage"/>
      </w:pPr>
      <w:r>
        <w:rPr>
          <w:rStyle w:val="Caractresdenotedebasdepage"/>
        </w:rPr>
        <w:footnoteRef/>
      </w:r>
      <w:r>
        <w:t xml:space="preserve"> Seul un CPMS ou un organisme habilité peut attester qu’un élève a des besoins spécifiques.</w:t>
      </w:r>
    </w:p>
  </w:footnote>
  <w:footnote w:id="126">
    <w:p>
      <w:pPr>
        <w:pStyle w:val="Notedebasdepage"/>
        <w:rPr>
          <w:color w:val="FF0000"/>
        </w:rPr>
      </w:pPr>
      <w:r>
        <w:rPr>
          <w:rStyle w:val="Caractresdenotedebasdepage"/>
          <w:rFonts w:cs="Arial"/>
          <w:lang w:eastAsia="en-US"/>
        </w:rPr>
        <w:footnoteRef/>
      </w:r>
      <w:r>
        <w:t xml:space="preserve"> Compétences SPW transport et COCOF</w:t>
      </w:r>
    </w:p>
  </w:footnote>
  <w:footnote w:id="127">
    <w:p>
      <w:pPr>
        <w:pStyle w:val="Notedebasdepage"/>
      </w:pPr>
      <w:r>
        <w:rPr>
          <w:rStyle w:val="Caractresdenotedebasdepage"/>
          <w:rFonts w:cs="Arial"/>
        </w:rPr>
        <w:footnoteRef/>
      </w:r>
      <w:r>
        <w:t xml:space="preserve"> Il n’est pas obligatoire de fréquenter physiquement l’enseignement spécialisé, mais bien d’y être inscrit administrativement selon les conditions fixées par l’article 12 du </w:t>
      </w:r>
      <w:hyperlink r:id="rId74" w:history="1">
        <w:r>
          <w:rPr>
            <w:rStyle w:val="Lienhypertexte"/>
            <w:rFonts w:cs="Arial"/>
          </w:rPr>
          <w:t>décret du 3 mars 2004</w:t>
        </w:r>
      </w:hyperlink>
      <w:r>
        <w:t xml:space="preserve"> organisant l’enseignement spécialisé.</w:t>
      </w:r>
    </w:p>
  </w:footnote>
  <w:footnote w:id="128">
    <w:p>
      <w:pPr>
        <w:pStyle w:val="Notedebasdepage"/>
      </w:pPr>
      <w:r>
        <w:rPr>
          <w:rStyle w:val="Appelnotedebasdep"/>
        </w:rPr>
        <w:footnoteRef/>
      </w:r>
      <w:r>
        <w:t xml:space="preserve"> Les partenaires doivent tendre à rallier l’unanimité</w:t>
      </w:r>
    </w:p>
  </w:footnote>
  <w:footnote w:id="129">
    <w:p>
      <w:pPr>
        <w:pStyle w:val="Notedebasdepage"/>
      </w:pPr>
      <w:r>
        <w:rPr>
          <w:rStyle w:val="Appelnotedebasdep"/>
        </w:rPr>
        <w:footnoteRef/>
      </w:r>
      <w:r>
        <w:t xml:space="preserve"> Les partenaires doivent tendre à rallier l’unanimité</w:t>
      </w:r>
    </w:p>
  </w:footnote>
  <w:footnote w:id="130">
    <w:p>
      <w:pPr>
        <w:pStyle w:val="Notedebasdepage"/>
      </w:pPr>
      <w:r>
        <w:rPr>
          <w:rStyle w:val="Caractresdenotedebasdepage"/>
        </w:rPr>
        <w:footnoteRef/>
      </w:r>
      <w:r>
        <w:t xml:space="preserve"> Article 142 al 2 Le membre du personnel de l’enseignement spécialisé chargé de l’accompagnement reste placé sous la seule autorité de la direction de l’établissement d’enseignement spécialisé dont il relève.</w:t>
      </w:r>
    </w:p>
  </w:footnote>
  <w:footnote w:id="131">
    <w:p>
      <w:pPr>
        <w:pStyle w:val="Notedebasdepage"/>
      </w:pPr>
      <w:r>
        <w:rPr>
          <w:rStyle w:val="Appelnotedebasdep"/>
        </w:rPr>
        <w:footnoteRef/>
      </w:r>
      <w:r>
        <w:t xml:space="preserve"> Ce document doit être inséré au protocole d’intégration.</w:t>
      </w:r>
    </w:p>
  </w:footnote>
  <w:footnote w:id="132">
    <w:p>
      <w:pPr>
        <w:pStyle w:val="Notedebasdepage"/>
      </w:pPr>
      <w:r>
        <w:rPr>
          <w:rStyle w:val="Appelnotedebasdep"/>
          <w:rFonts w:cs="Arial"/>
        </w:rPr>
        <w:footnoteRef/>
      </w:r>
      <w:r>
        <w:t xml:space="preserve"> Mentionner l’année d’étude et la date à laquelle l’intégration a commencé.</w:t>
      </w:r>
    </w:p>
  </w:footnote>
  <w:footnote w:id="133">
    <w:p>
      <w:pPr>
        <w:pStyle w:val="Notedebasdepage"/>
      </w:pPr>
      <w:r>
        <w:rPr>
          <w:rStyle w:val="Appelnotedebasdep"/>
          <w:rFonts w:cs="Arial"/>
        </w:rPr>
        <w:footnoteRef/>
      </w:r>
      <w:r>
        <w:t xml:space="preserve"> Exemples : retour dans l’école d’enseignement spécialisé, réorientation dans l’école d’enseignement ordinaire, fin de scolarité, …</w:t>
      </w:r>
    </w:p>
  </w:footnote>
  <w:footnote w:id="134">
    <w:p>
      <w:pPr>
        <w:pStyle w:val="Notedebasdepage"/>
      </w:pPr>
      <w:r>
        <w:rPr>
          <w:rStyle w:val="Appelnotedebasdep"/>
        </w:rPr>
        <w:footnoteRef/>
      </w:r>
      <w:r>
        <w:t xml:space="preserve"> Le choix du réseau d’enseignement est laissé à l’appréciation des parents</w:t>
      </w:r>
    </w:p>
  </w:footnote>
  <w:footnote w:id="135">
    <w:p>
      <w:pPr>
        <w:pStyle w:val="Notedebasdepage"/>
      </w:pPr>
      <w:r>
        <w:rPr>
          <w:rStyle w:val="Caractresdenotedebasdepage"/>
        </w:rPr>
        <w:footnoteRef/>
      </w:r>
      <w:r>
        <w:t xml:space="preserve"> Une école ne peut valablement accepter un enfant dans l’enseignement spécialisé que lorsqu’elle est en possession de l’attestation d’orientation. </w:t>
      </w:r>
    </w:p>
  </w:footnote>
  <w:footnote w:id="136">
    <w:p>
      <w:pPr>
        <w:pStyle w:val="Notedebasdepage"/>
      </w:pPr>
      <w:r>
        <w:rPr>
          <w:rStyle w:val="Appelnotedebasdep"/>
          <w:rFonts w:ascii="Georgia" w:hAnsi="Georgia"/>
          <w:szCs w:val="18"/>
        </w:rPr>
        <w:footnoteRef/>
      </w:r>
      <w:r>
        <w:t xml:space="preserve"> Motivation(s) notifiée(s) dans un courrier annexe.</w:t>
      </w:r>
    </w:p>
  </w:footnote>
  <w:footnote w:id="137">
    <w:p>
      <w:pPr>
        <w:pStyle w:val="Notedebasdepage"/>
      </w:pPr>
      <w:r>
        <w:rPr>
          <w:rStyle w:val="Appelnotedebasdep"/>
          <w:szCs w:val="18"/>
        </w:rPr>
        <w:footnoteRef/>
      </w:r>
      <w:r>
        <w:t xml:space="preserve"> Motivation(s) notifiée(s) dans un courrier annexe.</w:t>
      </w:r>
    </w:p>
  </w:footnote>
  <w:footnote w:id="138">
    <w:p>
      <w:pPr>
        <w:pStyle w:val="Notedebasdepage"/>
        <w:rPr>
          <w:color w:val="auto"/>
        </w:rPr>
      </w:pPr>
      <w:r>
        <w:rPr>
          <w:rStyle w:val="Appelnotedebasdep"/>
        </w:rPr>
        <w:footnoteRef/>
      </w:r>
      <w:r>
        <w:t xml:space="preserve"> Voir </w:t>
      </w:r>
      <w:hyperlink w:anchor="_Chapitre_14_:" w:history="1">
        <w:r>
          <w:rPr>
            <w:rStyle w:val="Lienhypertexte"/>
            <w:rFonts w:cs="Arial"/>
          </w:rPr>
          <w:t>Chapitre 14 : Organisation d’une pédagogie adaptée</w:t>
        </w:r>
      </w:hyperlink>
    </w:p>
  </w:footnote>
  <w:footnote w:id="139">
    <w:p>
      <w:pPr>
        <w:pStyle w:val="Notedebasdepage"/>
      </w:pPr>
      <w:r>
        <w:rPr>
          <w:rStyle w:val="Appelnotedebasdep"/>
        </w:rPr>
        <w:footnoteRef/>
      </w:r>
      <w:r>
        <w:t xml:space="preserve"> Uniquement dans la situation où le Centre PMS qui a modifié l’attestation n’est pas le même que celui qui assure la guidance de l’établissement d’enseignement spécialisé fréquenté par l’élève.</w:t>
      </w:r>
    </w:p>
  </w:footnote>
  <w:footnote w:id="140">
    <w:p>
      <w:pPr>
        <w:pStyle w:val="Notedebasdepage"/>
        <w:rPr>
          <w:rFonts w:ascii="Calibri" w:hAnsi="Calibri" w:cs="Times New Roman"/>
        </w:rPr>
      </w:pPr>
      <w:r>
        <w:rPr>
          <w:rStyle w:val="Appelnotedebasdep"/>
          <w:rFonts w:eastAsiaTheme="minorEastAsia"/>
        </w:rPr>
        <w:footnoteRef/>
      </w:r>
      <w:r>
        <w:t xml:space="preserve"> (Règlement 679/2016)</w:t>
      </w:r>
    </w:p>
  </w:footnote>
  <w:footnote w:id="141">
    <w:p>
      <w:pPr>
        <w:pStyle w:val="Notedebasdepage"/>
      </w:pPr>
      <w:r>
        <w:rPr>
          <w:rStyle w:val="Appelnotedebasdep"/>
          <w:rFonts w:eastAsiaTheme="minorEastAsia"/>
        </w:rPr>
        <w:footnoteRef/>
      </w:r>
      <w:r>
        <w:t xml:space="preserve"> </w:t>
      </w:r>
      <w:hyperlink r:id="rId75" w:history="1">
        <w:r>
          <w:rPr>
            <w:rStyle w:val="Lienhypertexte"/>
          </w:rPr>
          <w:t>https://eur-lex.europa.eu/legal-content/FR/TXT/HTML/?uri=CELEX:32016R0679&amp;from=EN</w:t>
        </w:r>
      </w:hyperlink>
      <w:r>
        <w:t xml:space="preserve"> </w:t>
      </w:r>
    </w:p>
  </w:footnote>
  <w:footnote w:id="142">
    <w:p>
      <w:pPr>
        <w:pStyle w:val="Notedebasdepage"/>
      </w:pPr>
      <w:r>
        <w:rPr>
          <w:rStyle w:val="Appelnotedebasdep"/>
          <w:rFonts w:eastAsiaTheme="minorEastAsia"/>
        </w:rPr>
        <w:footnoteRef/>
      </w:r>
      <w:r>
        <w:rPr>
          <w:lang w:val="fr-FR"/>
        </w:rPr>
        <w:t xml:space="preserve"> </w:t>
      </w:r>
      <w:r>
        <w:t>L’article 30 du RGPD liste les informations visées.</w:t>
      </w:r>
    </w:p>
  </w:footnote>
  <w:footnote w:id="143">
    <w:p>
      <w:pPr>
        <w:pStyle w:val="Notedebasdepage"/>
      </w:pPr>
      <w:r>
        <w:rPr>
          <w:rStyle w:val="Appelnotedebasdep"/>
          <w:rFonts w:eastAsiaTheme="minorEastAsia"/>
        </w:rPr>
        <w:footnoteRef/>
      </w:r>
      <w:r>
        <w:t xml:space="preserve"> Les informations relatives au traitement de données à caractères personnels peuvent être insérées dans le Règlement d’Ordre Intérieur pour ce qui concerne les élèves et leurs parents.</w:t>
      </w:r>
    </w:p>
  </w:footnote>
  <w:footnote w:id="144">
    <w:p>
      <w:pPr>
        <w:pStyle w:val="Notedebasdepage"/>
      </w:pPr>
      <w:r>
        <w:rPr>
          <w:rStyle w:val="Appelnotedebasdep"/>
          <w:rFonts w:eastAsiaTheme="minorEastAsia"/>
        </w:rPr>
        <w:footnoteRef/>
      </w:r>
      <w:r>
        <w:t xml:space="preserve"> Un modèle est disponible sur le site de l’Autorité de protection des données : </w:t>
      </w:r>
      <w:hyperlink r:id="rId76" w:history="1">
        <w:r>
          <w:rPr>
            <w:rStyle w:val="Lienhypertexte"/>
          </w:rPr>
          <w:t>https://www.autoriteprotectiondonnees.be/canevas-de-registre-des-activites-de-traitement</w:t>
        </w:r>
      </w:hyperlink>
      <w:r>
        <w:t xml:space="preserve"> </w:t>
      </w:r>
    </w:p>
  </w:footnote>
  <w:footnote w:id="145">
    <w:p>
      <w:pPr>
        <w:pStyle w:val="Notedebasdepage"/>
      </w:pPr>
      <w:r>
        <w:footnoteRef/>
      </w:r>
      <w:r>
        <w:t xml:space="preserve"> Un seul « non » devrait empêcher la contractualisation.</w:t>
      </w:r>
    </w:p>
  </w:footnote>
  <w:footnote w:id="146">
    <w:p>
      <w:pPr>
        <w:pStyle w:val="Notedebasdepage"/>
      </w:pPr>
      <w:r>
        <w:rPr>
          <w:rStyle w:val="Appelnotedebasdep"/>
          <w:rFonts w:eastAsiaTheme="minorEastAsia"/>
        </w:rPr>
        <w:footnoteRef/>
      </w:r>
      <w:r>
        <w:t xml:space="preserve"> </w:t>
      </w:r>
      <w:hyperlink r:id="rId77" w:history="1">
        <w:r>
          <w:rPr>
            <w:rStyle w:val="Lienhypertexte"/>
          </w:rPr>
          <w:t>https://eur-lex.europa.eu/legal-content/FR/TXT/HTML/?uri=CELEX:32016R0679&amp;from=EN</w:t>
        </w:r>
      </w:hyperlink>
      <w:r>
        <w:t xml:space="preserve"> </w:t>
      </w:r>
    </w:p>
  </w:footnote>
  <w:footnote w:id="147">
    <w:p>
      <w:pPr>
        <w:pStyle w:val="Notedebasdepage"/>
      </w:pPr>
      <w:r>
        <w:rPr>
          <w:rStyle w:val="Appelnotedebasdep"/>
          <w:rFonts w:ascii="Verdana" w:hAnsi="Verdana"/>
        </w:rPr>
        <w:footnoteRef/>
      </w:r>
      <w:r>
        <w:t xml:space="preserve"> Ce projet alternatif peut être de nature différente (visite d’un musée, séance de cinéma, activité sportive, …) et ne comprend pas nécessairement de nuitées.</w:t>
      </w:r>
    </w:p>
  </w:footnote>
  <w:footnote w:id="148">
    <w:p>
      <w:pPr>
        <w:pStyle w:val="Notedebasdepage"/>
      </w:pPr>
      <w:r>
        <w:rPr>
          <w:rStyle w:val="Appelnotedebasdep"/>
          <w:rFonts w:ascii="Verdana" w:hAnsi="Verdana"/>
          <w:szCs w:val="18"/>
        </w:rPr>
        <w:footnoteRef/>
      </w:r>
      <w:r>
        <w:t xml:space="preserve"> Voir point 2.5. Catégories d’accompagnateur(trice)s. </w:t>
      </w:r>
    </w:p>
  </w:footnote>
  <w:footnote w:id="149">
    <w:p>
      <w:pPr>
        <w:pStyle w:val="Notedebasdepage"/>
      </w:pPr>
      <w:r>
        <w:rPr>
          <w:rStyle w:val="Appelnotedebasdep"/>
          <w:rFonts w:ascii="Verdana" w:hAnsi="Verdana"/>
          <w:szCs w:val="18"/>
        </w:rPr>
        <w:footnoteRef/>
      </w:r>
      <w:r>
        <w:t xml:space="preserve"> Voir circulaire n°4516 du 29/08/2013 relative à la gratuité de l’accès à l’Enseignement obligatoire.</w:t>
      </w:r>
    </w:p>
  </w:footnote>
  <w:footnote w:id="150">
    <w:p>
      <w:pPr>
        <w:pStyle w:val="Notedebasdepage"/>
      </w:pPr>
      <w:r>
        <w:rPr>
          <w:rStyle w:val="Appelnotedebasdep"/>
          <w:rFonts w:ascii="Calibri" w:hAnsi="Calibri" w:cs="Calibri"/>
        </w:rPr>
        <w:footnoteRef/>
      </w:r>
      <w:r>
        <w:t xml:space="preserve"> En cas de départ échelonné, joindre un calendrier au présent formulaire.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rPr>
        <w:sz w:val="23"/>
        <w:szCs w:val="23"/>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rPr>
        <w:sz w:val="23"/>
        <w:szCs w:val="23"/>
      </w:rPr>
    </w:pPr>
  </w:p>
  <w:p>
    <w:pPr>
      <w:pStyle w:val="En-tte"/>
      <w:rPr>
        <w:sz w:val="23"/>
        <w:szCs w:val="23"/>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rPr>
        <w:sz w:val="23"/>
        <w:szCs w:val="23"/>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rPr>
        <w:sz w:val="23"/>
        <w:szCs w:val="23"/>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rPr>
        <w:sz w:val="23"/>
        <w:szCs w:val="23"/>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rPr>
        <w:sz w:val="23"/>
        <w:szCs w:val="23"/>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51DE270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pPr>
      <w:rPr>
        <w:rFonts w:cs="Times New Roman"/>
      </w:rPr>
    </w:lvl>
  </w:abstractNum>
  <w:abstractNum w:abstractNumId="2" w15:restartNumberingAfterBreak="0">
    <w:nsid w:val="00000004"/>
    <w:multiLevelType w:val="singleLevel"/>
    <w:tmpl w:val="EEAAAE68"/>
    <w:name w:val="WW8Num4"/>
    <w:lvl w:ilvl="0">
      <w:start w:val="1"/>
      <w:numFmt w:val="decimal"/>
      <w:lvlText w:val="%1"/>
      <w:lvlJc w:val="left"/>
      <w:pPr>
        <w:tabs>
          <w:tab w:val="num" w:pos="0"/>
        </w:tabs>
      </w:pPr>
      <w:rPr>
        <w:rFonts w:cs="Times New Roman"/>
        <w:b w:val="0"/>
      </w:rPr>
    </w:lvl>
  </w:abstractNum>
  <w:abstractNum w:abstractNumId="3"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8"/>
    <w:multiLevelType w:val="singleLevel"/>
    <w:tmpl w:val="00000008"/>
    <w:name w:val="WW8Num8"/>
    <w:lvl w:ilvl="0">
      <w:start w:val="1"/>
      <w:numFmt w:val="bullet"/>
      <w:lvlText w:val=""/>
      <w:lvlJc w:val="left"/>
      <w:pPr>
        <w:tabs>
          <w:tab w:val="num" w:pos="357"/>
        </w:tabs>
        <w:ind w:left="340" w:hanging="340"/>
      </w:pPr>
      <w:rPr>
        <w:rFonts w:ascii="Wingdings" w:hAnsi="Wingdings"/>
      </w:rPr>
    </w:lvl>
  </w:abstractNum>
  <w:abstractNum w:abstractNumId="5" w15:restartNumberingAfterBreak="0">
    <w:nsid w:val="00000009"/>
    <w:multiLevelType w:val="multilevel"/>
    <w:tmpl w:val="00000009"/>
    <w:name w:val="WW8Num9"/>
    <w:lvl w:ilvl="0">
      <w:start w:val="1"/>
      <w:numFmt w:val="upperRoman"/>
      <w:lvlText w:val="%1."/>
      <w:lvlJc w:val="left"/>
      <w:pPr>
        <w:tabs>
          <w:tab w:val="num" w:pos="720"/>
        </w:tabs>
        <w:ind w:left="720" w:hanging="72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980"/>
        </w:tabs>
        <w:ind w:left="1980" w:hanging="360"/>
      </w:pPr>
      <w:rPr>
        <w:rFonts w:cs="Times New Roman"/>
        <w:b/>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lef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left"/>
      <w:pPr>
        <w:tabs>
          <w:tab w:val="num" w:pos="6120"/>
        </w:tabs>
        <w:ind w:left="6120" w:hanging="180"/>
      </w:pPr>
      <w:rPr>
        <w:rFonts w:cs="Times New Roman"/>
      </w:rPr>
    </w:lvl>
  </w:abstractNum>
  <w:abstractNum w:abstractNumId="6" w15:restartNumberingAfterBreak="0">
    <w:nsid w:val="0000000A"/>
    <w:multiLevelType w:val="singleLevel"/>
    <w:tmpl w:val="0000000A"/>
    <w:name w:val="WW8Num10"/>
    <w:lvl w:ilvl="0">
      <w:start w:val="1"/>
      <w:numFmt w:val="bullet"/>
      <w:lvlText w:val=""/>
      <w:lvlJc w:val="left"/>
      <w:pPr>
        <w:tabs>
          <w:tab w:val="num" w:pos="360"/>
        </w:tabs>
        <w:ind w:left="360" w:hanging="360"/>
      </w:pPr>
      <w:rPr>
        <w:rFonts w:ascii="Wingdings" w:hAnsi="Wingdings"/>
      </w:rPr>
    </w:lvl>
  </w:abstractNum>
  <w:abstractNum w:abstractNumId="7" w15:restartNumberingAfterBreak="0">
    <w:nsid w:val="0000000B"/>
    <w:multiLevelType w:val="singleLevel"/>
    <w:tmpl w:val="0000000B"/>
    <w:name w:val="WW8Num11"/>
    <w:lvl w:ilvl="0">
      <w:start w:val="1"/>
      <w:numFmt w:val="bullet"/>
      <w:lvlText w:val=""/>
      <w:lvlJc w:val="left"/>
      <w:pPr>
        <w:tabs>
          <w:tab w:val="num" w:pos="360"/>
        </w:tabs>
        <w:ind w:left="360" w:hanging="360"/>
      </w:pPr>
      <w:rPr>
        <w:rFonts w:ascii="Wingdings" w:hAnsi="Wingdings"/>
      </w:rPr>
    </w:lvl>
  </w:abstractNum>
  <w:abstractNum w:abstractNumId="8" w15:restartNumberingAfterBreak="0">
    <w:nsid w:val="0000000C"/>
    <w:multiLevelType w:val="singleLevel"/>
    <w:tmpl w:val="0000000C"/>
    <w:name w:val="WW8Num12"/>
    <w:lvl w:ilvl="0">
      <w:start w:val="1"/>
      <w:numFmt w:val="bullet"/>
      <w:lvlText w:val=""/>
      <w:lvlJc w:val="left"/>
      <w:pPr>
        <w:tabs>
          <w:tab w:val="num" w:pos="720"/>
        </w:tabs>
        <w:ind w:left="720" w:hanging="360"/>
      </w:pPr>
      <w:rPr>
        <w:rFonts w:ascii="Symbol" w:hAnsi="Symbol"/>
      </w:rPr>
    </w:lvl>
  </w:abstractNum>
  <w:abstractNum w:abstractNumId="9" w15:restartNumberingAfterBreak="0">
    <w:nsid w:val="0000000D"/>
    <w:multiLevelType w:val="multilevel"/>
    <w:tmpl w:val="0000000D"/>
    <w:name w:val="WW8Num13"/>
    <w:lvl w:ilvl="0">
      <w:start w:val="1"/>
      <w:numFmt w:val="bullet"/>
      <w:lvlText w:val=""/>
      <w:lvlJc w:val="left"/>
      <w:pPr>
        <w:tabs>
          <w:tab w:val="num" w:pos="357"/>
        </w:tabs>
        <w:ind w:left="340" w:hanging="340"/>
      </w:pPr>
      <w:rPr>
        <w:rFonts w:ascii="Wingdings" w:hAnsi="Wingdings"/>
      </w:rPr>
    </w:lvl>
    <w:lvl w:ilvl="1">
      <w:start w:val="1"/>
      <w:numFmt w:val="bullet"/>
      <w:lvlText w:val=""/>
      <w:lvlJc w:val="left"/>
      <w:pPr>
        <w:tabs>
          <w:tab w:val="num" w:pos="0"/>
        </w:tabs>
      </w:pPr>
      <w:rPr>
        <w:rFonts w:ascii="Symbol" w:hAnsi="Symbol"/>
        <w:color w:val="auto"/>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0" w15:restartNumberingAfterBreak="0">
    <w:nsid w:val="0000000F"/>
    <w:multiLevelType w:val="singleLevel"/>
    <w:tmpl w:val="0000000F"/>
    <w:name w:val="WW8Num15"/>
    <w:lvl w:ilvl="0">
      <w:start w:val="1"/>
      <w:numFmt w:val="bullet"/>
      <w:lvlText w:val=""/>
      <w:lvlJc w:val="left"/>
      <w:pPr>
        <w:tabs>
          <w:tab w:val="num" w:pos="357"/>
        </w:tabs>
        <w:ind w:left="340" w:hanging="340"/>
      </w:pPr>
      <w:rPr>
        <w:rFonts w:ascii="Wingdings" w:hAnsi="Wingdings"/>
      </w:rPr>
    </w:lvl>
  </w:abstractNum>
  <w:abstractNum w:abstractNumId="11" w15:restartNumberingAfterBreak="0">
    <w:nsid w:val="00000011"/>
    <w:multiLevelType w:val="singleLevel"/>
    <w:tmpl w:val="00000011"/>
    <w:name w:val="WW8Num17"/>
    <w:lvl w:ilvl="0">
      <w:start w:val="1"/>
      <w:numFmt w:val="bullet"/>
      <w:lvlText w:val=""/>
      <w:lvlJc w:val="left"/>
      <w:pPr>
        <w:tabs>
          <w:tab w:val="num" w:pos="360"/>
        </w:tabs>
        <w:ind w:left="360" w:hanging="360"/>
      </w:pPr>
      <w:rPr>
        <w:rFonts w:ascii="Wingdings" w:hAnsi="Wingdings"/>
      </w:rPr>
    </w:lvl>
  </w:abstractNum>
  <w:abstractNum w:abstractNumId="12" w15:restartNumberingAfterBreak="0">
    <w:nsid w:val="00000014"/>
    <w:multiLevelType w:val="singleLevel"/>
    <w:tmpl w:val="00000014"/>
    <w:name w:val="WW8Num20"/>
    <w:lvl w:ilvl="0">
      <w:start w:val="1"/>
      <w:numFmt w:val="bullet"/>
      <w:lvlText w:val=""/>
      <w:lvlJc w:val="left"/>
      <w:pPr>
        <w:tabs>
          <w:tab w:val="num" w:pos="360"/>
        </w:tabs>
        <w:ind w:left="360"/>
      </w:pPr>
      <w:rPr>
        <w:rFonts w:ascii="Symbol" w:hAnsi="Symbol"/>
      </w:rPr>
    </w:lvl>
  </w:abstractNum>
  <w:abstractNum w:abstractNumId="13" w15:restartNumberingAfterBreak="0">
    <w:nsid w:val="00000015"/>
    <w:multiLevelType w:val="singleLevel"/>
    <w:tmpl w:val="00000015"/>
    <w:name w:val="WW8Num21"/>
    <w:lvl w:ilvl="0">
      <w:start w:val="1"/>
      <w:numFmt w:val="upperLetter"/>
      <w:lvlText w:val="%1."/>
      <w:lvlJc w:val="left"/>
      <w:pPr>
        <w:tabs>
          <w:tab w:val="num" w:pos="360"/>
        </w:tabs>
        <w:ind w:left="360" w:hanging="360"/>
      </w:pPr>
      <w:rPr>
        <w:rFonts w:cs="Times New Roman"/>
      </w:rPr>
    </w:lvl>
  </w:abstractNum>
  <w:abstractNum w:abstractNumId="14" w15:restartNumberingAfterBreak="0">
    <w:nsid w:val="00000018"/>
    <w:multiLevelType w:val="singleLevel"/>
    <w:tmpl w:val="00000018"/>
    <w:name w:val="WW8Num24"/>
    <w:lvl w:ilvl="0">
      <w:start w:val="1"/>
      <w:numFmt w:val="bullet"/>
      <w:lvlText w:val=""/>
      <w:lvlJc w:val="left"/>
      <w:pPr>
        <w:tabs>
          <w:tab w:val="num" w:pos="720"/>
        </w:tabs>
        <w:ind w:left="720" w:hanging="360"/>
      </w:pPr>
      <w:rPr>
        <w:rFonts w:ascii="Symbol" w:hAnsi="Symbol"/>
      </w:rPr>
    </w:lvl>
  </w:abstractNum>
  <w:abstractNum w:abstractNumId="15" w15:restartNumberingAfterBreak="0">
    <w:nsid w:val="0000001A"/>
    <w:multiLevelType w:val="singleLevel"/>
    <w:tmpl w:val="0000001A"/>
    <w:name w:val="WW8Num26"/>
    <w:lvl w:ilvl="0">
      <w:start w:val="1"/>
      <w:numFmt w:val="bullet"/>
      <w:lvlText w:val=""/>
      <w:lvlJc w:val="left"/>
      <w:pPr>
        <w:tabs>
          <w:tab w:val="num" w:pos="360"/>
        </w:tabs>
        <w:ind w:left="360" w:hanging="360"/>
      </w:pPr>
      <w:rPr>
        <w:rFonts w:ascii="Wingdings" w:hAnsi="Wingdings"/>
      </w:rPr>
    </w:lvl>
  </w:abstractNum>
  <w:abstractNum w:abstractNumId="16" w15:restartNumberingAfterBreak="0">
    <w:nsid w:val="0000001D"/>
    <w:multiLevelType w:val="singleLevel"/>
    <w:tmpl w:val="0000001D"/>
    <w:name w:val="WW8Num29"/>
    <w:lvl w:ilvl="0">
      <w:start w:val="1"/>
      <w:numFmt w:val="bullet"/>
      <w:lvlText w:val=""/>
      <w:lvlJc w:val="left"/>
      <w:pPr>
        <w:tabs>
          <w:tab w:val="num" w:pos="357"/>
        </w:tabs>
        <w:ind w:left="340" w:hanging="340"/>
      </w:pPr>
      <w:rPr>
        <w:rFonts w:ascii="Wingdings" w:hAnsi="Wingdings"/>
      </w:rPr>
    </w:lvl>
  </w:abstractNum>
  <w:abstractNum w:abstractNumId="17" w15:restartNumberingAfterBreak="0">
    <w:nsid w:val="0000001E"/>
    <w:multiLevelType w:val="multilevel"/>
    <w:tmpl w:val="0000001E"/>
    <w:name w:val="WW8Num30"/>
    <w:lvl w:ilvl="0">
      <w:start w:val="1"/>
      <w:numFmt w:val="bullet"/>
      <w:lvlText w:val="-"/>
      <w:lvlJc w:val="left"/>
      <w:pPr>
        <w:tabs>
          <w:tab w:val="num" w:pos="360"/>
        </w:tabs>
        <w:ind w:left="360" w:hanging="360"/>
      </w:pPr>
      <w:rPr>
        <w:rFonts w:ascii="Arial" w:hAnsi="Arial"/>
      </w:rPr>
    </w:lvl>
    <w:lvl w:ilvl="1">
      <w:start w:val="1"/>
      <w:numFmt w:val="bullet"/>
      <w:lvlText w:val=""/>
      <w:lvlJc w:val="left"/>
      <w:pPr>
        <w:tabs>
          <w:tab w:val="num" w:pos="357"/>
        </w:tabs>
        <w:ind w:left="340" w:hanging="34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8" w15:restartNumberingAfterBreak="0">
    <w:nsid w:val="00000021"/>
    <w:multiLevelType w:val="singleLevel"/>
    <w:tmpl w:val="EDE2A4FC"/>
    <w:name w:val="WW8Num33"/>
    <w:lvl w:ilvl="0">
      <w:start w:val="1"/>
      <w:numFmt w:val="decimal"/>
      <w:lvlText w:val="%1."/>
      <w:lvlJc w:val="left"/>
      <w:pPr>
        <w:tabs>
          <w:tab w:val="num" w:pos="284"/>
        </w:tabs>
        <w:ind w:left="284" w:hanging="284"/>
      </w:pPr>
      <w:rPr>
        <w:rFonts w:cs="Times New Roman"/>
        <w:b/>
      </w:rPr>
    </w:lvl>
  </w:abstractNum>
  <w:abstractNum w:abstractNumId="19" w15:restartNumberingAfterBreak="0">
    <w:nsid w:val="00000022"/>
    <w:multiLevelType w:val="singleLevel"/>
    <w:tmpl w:val="00000022"/>
    <w:name w:val="WW8Num34"/>
    <w:lvl w:ilvl="0">
      <w:start w:val="1"/>
      <w:numFmt w:val="bullet"/>
      <w:lvlText w:val=""/>
      <w:lvlJc w:val="left"/>
      <w:pPr>
        <w:tabs>
          <w:tab w:val="num" w:pos="360"/>
        </w:tabs>
        <w:ind w:left="360"/>
      </w:pPr>
      <w:rPr>
        <w:rFonts w:ascii="Symbol" w:hAnsi="Symbol"/>
      </w:rPr>
    </w:lvl>
  </w:abstractNum>
  <w:abstractNum w:abstractNumId="20" w15:restartNumberingAfterBreak="0">
    <w:nsid w:val="00000024"/>
    <w:multiLevelType w:val="singleLevel"/>
    <w:tmpl w:val="00000024"/>
    <w:name w:val="WW8Num36"/>
    <w:lvl w:ilvl="0">
      <w:start w:val="1"/>
      <w:numFmt w:val="bullet"/>
      <w:lvlText w:val=""/>
      <w:lvlJc w:val="left"/>
      <w:pPr>
        <w:tabs>
          <w:tab w:val="num" w:pos="357"/>
        </w:tabs>
        <w:ind w:left="340" w:hanging="340"/>
      </w:pPr>
      <w:rPr>
        <w:rFonts w:ascii="Wingdings" w:hAnsi="Wingdings"/>
      </w:rPr>
    </w:lvl>
  </w:abstractNum>
  <w:abstractNum w:abstractNumId="21" w15:restartNumberingAfterBreak="0">
    <w:nsid w:val="00000026"/>
    <w:multiLevelType w:val="singleLevel"/>
    <w:tmpl w:val="00000026"/>
    <w:name w:val="WW8Num38"/>
    <w:lvl w:ilvl="0">
      <w:start w:val="1"/>
      <w:numFmt w:val="bullet"/>
      <w:lvlText w:val=""/>
      <w:lvlJc w:val="left"/>
      <w:pPr>
        <w:tabs>
          <w:tab w:val="num" w:pos="360"/>
        </w:tabs>
        <w:ind w:left="360" w:hanging="360"/>
      </w:pPr>
      <w:rPr>
        <w:rFonts w:ascii="Wingdings" w:hAnsi="Wingdings"/>
      </w:rPr>
    </w:lvl>
  </w:abstractNum>
  <w:abstractNum w:abstractNumId="22" w15:restartNumberingAfterBreak="0">
    <w:nsid w:val="00000029"/>
    <w:multiLevelType w:val="singleLevel"/>
    <w:tmpl w:val="00000029"/>
    <w:name w:val="WW8Num41"/>
    <w:lvl w:ilvl="0">
      <w:start w:val="1"/>
      <w:numFmt w:val="bullet"/>
      <w:lvlText w:val=""/>
      <w:lvlJc w:val="left"/>
      <w:pPr>
        <w:tabs>
          <w:tab w:val="num" w:pos="587"/>
        </w:tabs>
        <w:ind w:left="624" w:hanging="454"/>
      </w:pPr>
      <w:rPr>
        <w:rFonts w:ascii="Symbol" w:hAnsi="Symbol"/>
        <w:color w:val="000000"/>
        <w14:textOutline w14:w="0" w14:cap="rnd" w14:cmpd="sng" w14:algn="ctr">
          <w14:noFill/>
          <w14:prstDash w14:val="solid"/>
          <w14:bevel/>
        </w14:textOutline>
      </w:rPr>
    </w:lvl>
  </w:abstractNum>
  <w:abstractNum w:abstractNumId="23" w15:restartNumberingAfterBreak="0">
    <w:nsid w:val="0000002C"/>
    <w:multiLevelType w:val="singleLevel"/>
    <w:tmpl w:val="0000002C"/>
    <w:name w:val="WW8Num44"/>
    <w:lvl w:ilvl="0">
      <w:start w:val="1"/>
      <w:numFmt w:val="bullet"/>
      <w:lvlText w:val=""/>
      <w:lvlJc w:val="left"/>
      <w:pPr>
        <w:tabs>
          <w:tab w:val="num" w:pos="357"/>
        </w:tabs>
        <w:ind w:left="340" w:hanging="340"/>
      </w:pPr>
      <w:rPr>
        <w:rFonts w:ascii="Wingdings" w:hAnsi="Wingdings"/>
      </w:rPr>
    </w:lvl>
  </w:abstractNum>
  <w:abstractNum w:abstractNumId="24" w15:restartNumberingAfterBreak="0">
    <w:nsid w:val="0000002D"/>
    <w:multiLevelType w:val="singleLevel"/>
    <w:tmpl w:val="0000002D"/>
    <w:name w:val="WW8Num45"/>
    <w:lvl w:ilvl="0">
      <w:start w:val="1"/>
      <w:numFmt w:val="bullet"/>
      <w:lvlText w:val=""/>
      <w:lvlJc w:val="left"/>
      <w:pPr>
        <w:tabs>
          <w:tab w:val="num" w:pos="0"/>
        </w:tabs>
      </w:pPr>
      <w:rPr>
        <w:rFonts w:ascii="Symbol" w:hAnsi="Symbol"/>
        <w:color w:val="auto"/>
      </w:rPr>
    </w:lvl>
  </w:abstractNum>
  <w:abstractNum w:abstractNumId="25" w15:restartNumberingAfterBreak="0">
    <w:nsid w:val="0000002E"/>
    <w:multiLevelType w:val="singleLevel"/>
    <w:tmpl w:val="0000002E"/>
    <w:name w:val="WW8Num46"/>
    <w:lvl w:ilvl="0">
      <w:start w:val="6061"/>
      <w:numFmt w:val="decimal"/>
      <w:lvlText w:val="%1"/>
      <w:lvlJc w:val="left"/>
      <w:pPr>
        <w:tabs>
          <w:tab w:val="num" w:pos="720"/>
        </w:tabs>
        <w:ind w:left="720" w:hanging="360"/>
      </w:pPr>
      <w:rPr>
        <w:rFonts w:cs="Times New Roman"/>
      </w:rPr>
    </w:lvl>
  </w:abstractNum>
  <w:abstractNum w:abstractNumId="26" w15:restartNumberingAfterBreak="0">
    <w:nsid w:val="00000031"/>
    <w:multiLevelType w:val="singleLevel"/>
    <w:tmpl w:val="00000031"/>
    <w:name w:val="WW8Num49"/>
    <w:lvl w:ilvl="0">
      <w:start w:val="1"/>
      <w:numFmt w:val="bullet"/>
      <w:lvlText w:val=""/>
      <w:lvlJc w:val="left"/>
      <w:pPr>
        <w:tabs>
          <w:tab w:val="num" w:pos="360"/>
        </w:tabs>
        <w:ind w:left="360" w:hanging="360"/>
      </w:pPr>
      <w:rPr>
        <w:rFonts w:ascii="Wingdings" w:hAnsi="Wingdings"/>
      </w:rPr>
    </w:lvl>
  </w:abstractNum>
  <w:abstractNum w:abstractNumId="27" w15:restartNumberingAfterBreak="0">
    <w:nsid w:val="00000032"/>
    <w:multiLevelType w:val="multilevel"/>
    <w:tmpl w:val="00000032"/>
    <w:name w:val="WW8Num5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28" w15:restartNumberingAfterBreak="0">
    <w:nsid w:val="00000033"/>
    <w:multiLevelType w:val="singleLevel"/>
    <w:tmpl w:val="00000033"/>
    <w:name w:val="WW8Num51"/>
    <w:lvl w:ilvl="0">
      <w:start w:val="1"/>
      <w:numFmt w:val="bullet"/>
      <w:lvlText w:val=""/>
      <w:lvlJc w:val="left"/>
      <w:pPr>
        <w:tabs>
          <w:tab w:val="num" w:pos="360"/>
        </w:tabs>
        <w:ind w:left="360" w:hanging="360"/>
      </w:pPr>
      <w:rPr>
        <w:rFonts w:ascii="Wingdings" w:hAnsi="Wingdings"/>
      </w:rPr>
    </w:lvl>
  </w:abstractNum>
  <w:abstractNum w:abstractNumId="29" w15:restartNumberingAfterBreak="0">
    <w:nsid w:val="00000034"/>
    <w:multiLevelType w:val="singleLevel"/>
    <w:tmpl w:val="00000034"/>
    <w:name w:val="WW8Num52"/>
    <w:lvl w:ilvl="0">
      <w:start w:val="1"/>
      <w:numFmt w:val="bullet"/>
      <w:lvlText w:val=""/>
      <w:lvlJc w:val="left"/>
      <w:pPr>
        <w:tabs>
          <w:tab w:val="num" w:pos="387"/>
        </w:tabs>
        <w:ind w:left="387" w:hanging="360"/>
      </w:pPr>
      <w:rPr>
        <w:rFonts w:ascii="Wingdings" w:hAnsi="Wingdings"/>
      </w:rPr>
    </w:lvl>
  </w:abstractNum>
  <w:abstractNum w:abstractNumId="30" w15:restartNumberingAfterBreak="0">
    <w:nsid w:val="00000037"/>
    <w:multiLevelType w:val="singleLevel"/>
    <w:tmpl w:val="00000037"/>
    <w:name w:val="WW8Num55"/>
    <w:lvl w:ilvl="0">
      <w:start w:val="2"/>
      <w:numFmt w:val="bullet"/>
      <w:lvlText w:val="-"/>
      <w:lvlJc w:val="left"/>
      <w:pPr>
        <w:tabs>
          <w:tab w:val="num" w:pos="360"/>
        </w:tabs>
        <w:ind w:left="360" w:hanging="360"/>
      </w:pPr>
      <w:rPr>
        <w:rFonts w:ascii="Times New Roman" w:hAnsi="Times New Roman"/>
      </w:rPr>
    </w:lvl>
  </w:abstractNum>
  <w:abstractNum w:abstractNumId="31" w15:restartNumberingAfterBreak="0">
    <w:nsid w:val="00000038"/>
    <w:multiLevelType w:val="singleLevel"/>
    <w:tmpl w:val="00000038"/>
    <w:name w:val="WW8Num56"/>
    <w:lvl w:ilvl="0">
      <w:start w:val="1"/>
      <w:numFmt w:val="bullet"/>
      <w:lvlText w:val=""/>
      <w:lvlJc w:val="left"/>
      <w:pPr>
        <w:tabs>
          <w:tab w:val="num" w:pos="360"/>
        </w:tabs>
        <w:ind w:left="360" w:hanging="360"/>
      </w:pPr>
      <w:rPr>
        <w:rFonts w:ascii="Wingdings" w:hAnsi="Wingdings"/>
      </w:rPr>
    </w:lvl>
  </w:abstractNum>
  <w:abstractNum w:abstractNumId="32" w15:restartNumberingAfterBreak="0">
    <w:nsid w:val="0000003A"/>
    <w:multiLevelType w:val="multilevel"/>
    <w:tmpl w:val="D144CAFA"/>
    <w:name w:val="WW8Num58"/>
    <w:lvl w:ilvl="0">
      <w:start w:val="1"/>
      <w:numFmt w:val="decimal"/>
      <w:lvlText w:val="%1."/>
      <w:lvlJc w:val="left"/>
      <w:pPr>
        <w:tabs>
          <w:tab w:val="num" w:pos="284"/>
        </w:tabs>
        <w:ind w:left="284" w:hanging="284"/>
      </w:pPr>
      <w:rPr>
        <w:rFonts w:cs="Times New Roman"/>
        <w:b/>
      </w:rPr>
    </w:lvl>
    <w:lvl w:ilvl="1">
      <w:start w:val="1"/>
      <w:numFmt w:val="decimal"/>
      <w:isLgl/>
      <w:lvlText w:val="%1.%2."/>
      <w:lvlJc w:val="left"/>
      <w:pPr>
        <w:tabs>
          <w:tab w:val="num" w:pos="720"/>
        </w:tabs>
        <w:ind w:left="720" w:hanging="7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1080"/>
        </w:tabs>
        <w:ind w:left="1080" w:hanging="1080"/>
      </w:pPr>
      <w:rPr>
        <w:rFonts w:cs="Times New Roman" w:hint="default"/>
      </w:rPr>
    </w:lvl>
    <w:lvl w:ilvl="4">
      <w:start w:val="1"/>
      <w:numFmt w:val="decimal"/>
      <w:isLgl/>
      <w:lvlText w:val="%1.%2.%3.%4.%5."/>
      <w:lvlJc w:val="left"/>
      <w:pPr>
        <w:tabs>
          <w:tab w:val="num" w:pos="1440"/>
        </w:tabs>
        <w:ind w:left="1440" w:hanging="1440"/>
      </w:pPr>
      <w:rPr>
        <w:rFonts w:cs="Times New Roman" w:hint="default"/>
      </w:rPr>
    </w:lvl>
    <w:lvl w:ilvl="5">
      <w:start w:val="1"/>
      <w:numFmt w:val="decimal"/>
      <w:isLgl/>
      <w:lvlText w:val="%1.%2.%3.%4.%5.%6."/>
      <w:lvlJc w:val="left"/>
      <w:pPr>
        <w:tabs>
          <w:tab w:val="num" w:pos="1440"/>
        </w:tabs>
        <w:ind w:left="1440" w:hanging="1440"/>
      </w:pPr>
      <w:rPr>
        <w:rFonts w:cs="Times New Roman" w:hint="default"/>
      </w:rPr>
    </w:lvl>
    <w:lvl w:ilvl="6">
      <w:start w:val="1"/>
      <w:numFmt w:val="decimal"/>
      <w:isLgl/>
      <w:lvlText w:val="%1.%2.%3.%4.%5.%6.%7."/>
      <w:lvlJc w:val="left"/>
      <w:pPr>
        <w:tabs>
          <w:tab w:val="num" w:pos="1800"/>
        </w:tabs>
        <w:ind w:left="1800" w:hanging="1800"/>
      </w:pPr>
      <w:rPr>
        <w:rFonts w:cs="Times New Roman" w:hint="default"/>
      </w:rPr>
    </w:lvl>
    <w:lvl w:ilvl="7">
      <w:start w:val="1"/>
      <w:numFmt w:val="decimal"/>
      <w:isLgl/>
      <w:lvlText w:val="%1.%2.%3.%4.%5.%6.%7.%8."/>
      <w:lvlJc w:val="left"/>
      <w:pPr>
        <w:tabs>
          <w:tab w:val="num" w:pos="2160"/>
        </w:tabs>
        <w:ind w:left="2160" w:hanging="2160"/>
      </w:pPr>
      <w:rPr>
        <w:rFonts w:cs="Times New Roman" w:hint="default"/>
      </w:rPr>
    </w:lvl>
    <w:lvl w:ilvl="8">
      <w:start w:val="1"/>
      <w:numFmt w:val="decimal"/>
      <w:isLgl/>
      <w:lvlText w:val="%1.%2.%3.%4.%5.%6.%7.%8.%9."/>
      <w:lvlJc w:val="left"/>
      <w:pPr>
        <w:tabs>
          <w:tab w:val="num" w:pos="2160"/>
        </w:tabs>
        <w:ind w:left="2160" w:hanging="2160"/>
      </w:pPr>
      <w:rPr>
        <w:rFonts w:cs="Times New Roman" w:hint="default"/>
      </w:rPr>
    </w:lvl>
  </w:abstractNum>
  <w:abstractNum w:abstractNumId="33" w15:restartNumberingAfterBreak="0">
    <w:nsid w:val="0000003C"/>
    <w:multiLevelType w:val="multilevel"/>
    <w:tmpl w:val="0000003C"/>
    <w:name w:val="WW8Num6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15:restartNumberingAfterBreak="0">
    <w:nsid w:val="0000003E"/>
    <w:multiLevelType w:val="singleLevel"/>
    <w:tmpl w:val="0000003E"/>
    <w:name w:val="WW8Num62"/>
    <w:lvl w:ilvl="0">
      <w:start w:val="1"/>
      <w:numFmt w:val="bullet"/>
      <w:lvlText w:val=""/>
      <w:lvlJc w:val="left"/>
      <w:pPr>
        <w:tabs>
          <w:tab w:val="num" w:pos="720"/>
        </w:tabs>
        <w:ind w:left="720" w:hanging="360"/>
      </w:pPr>
      <w:rPr>
        <w:rFonts w:ascii="Wingdings" w:hAnsi="Wingdings"/>
      </w:rPr>
    </w:lvl>
  </w:abstractNum>
  <w:abstractNum w:abstractNumId="35" w15:restartNumberingAfterBreak="0">
    <w:nsid w:val="00000043"/>
    <w:multiLevelType w:val="singleLevel"/>
    <w:tmpl w:val="00000043"/>
    <w:name w:val="WW8Num67"/>
    <w:lvl w:ilvl="0">
      <w:start w:val="1"/>
      <w:numFmt w:val="bullet"/>
      <w:lvlText w:val=""/>
      <w:lvlJc w:val="left"/>
      <w:pPr>
        <w:tabs>
          <w:tab w:val="num" w:pos="357"/>
        </w:tabs>
        <w:ind w:left="340" w:hanging="340"/>
      </w:pPr>
      <w:rPr>
        <w:rFonts w:ascii="Wingdings" w:hAnsi="Wingdings"/>
      </w:rPr>
    </w:lvl>
  </w:abstractNum>
  <w:abstractNum w:abstractNumId="36" w15:restartNumberingAfterBreak="0">
    <w:nsid w:val="00000044"/>
    <w:multiLevelType w:val="singleLevel"/>
    <w:tmpl w:val="00000044"/>
    <w:name w:val="WW8Num68"/>
    <w:lvl w:ilvl="0">
      <w:start w:val="1"/>
      <w:numFmt w:val="bullet"/>
      <w:lvlText w:val=""/>
      <w:lvlJc w:val="left"/>
      <w:pPr>
        <w:tabs>
          <w:tab w:val="num" w:pos="587"/>
        </w:tabs>
        <w:ind w:left="624" w:hanging="454"/>
      </w:pPr>
      <w:rPr>
        <w:rFonts w:ascii="Symbol" w:hAnsi="Symbol"/>
        <w:color w:val="000000"/>
        <w14:textOutline w14:w="0" w14:cap="rnd" w14:cmpd="sng" w14:algn="ctr">
          <w14:noFill/>
          <w14:prstDash w14:val="solid"/>
          <w14:bevel/>
        </w14:textOutline>
      </w:rPr>
    </w:lvl>
  </w:abstractNum>
  <w:abstractNum w:abstractNumId="37" w15:restartNumberingAfterBreak="0">
    <w:nsid w:val="00000046"/>
    <w:multiLevelType w:val="singleLevel"/>
    <w:tmpl w:val="00000046"/>
    <w:name w:val="WW8Num70"/>
    <w:lvl w:ilvl="0">
      <w:start w:val="1"/>
      <w:numFmt w:val="bullet"/>
      <w:lvlText w:val=""/>
      <w:lvlJc w:val="left"/>
      <w:pPr>
        <w:tabs>
          <w:tab w:val="num" w:pos="357"/>
        </w:tabs>
        <w:ind w:left="340" w:hanging="340"/>
      </w:pPr>
      <w:rPr>
        <w:rFonts w:ascii="Wingdings" w:hAnsi="Wingdings"/>
      </w:rPr>
    </w:lvl>
  </w:abstractNum>
  <w:abstractNum w:abstractNumId="38" w15:restartNumberingAfterBreak="0">
    <w:nsid w:val="0000004A"/>
    <w:multiLevelType w:val="singleLevel"/>
    <w:tmpl w:val="0000004A"/>
    <w:name w:val="WW8Num74"/>
    <w:lvl w:ilvl="0">
      <w:start w:val="1"/>
      <w:numFmt w:val="bullet"/>
      <w:lvlText w:val=""/>
      <w:lvlJc w:val="left"/>
      <w:pPr>
        <w:tabs>
          <w:tab w:val="num" w:pos="360"/>
        </w:tabs>
        <w:ind w:left="360" w:hanging="360"/>
      </w:pPr>
      <w:rPr>
        <w:rFonts w:ascii="Wingdings" w:hAnsi="Wingdings"/>
      </w:rPr>
    </w:lvl>
  </w:abstractNum>
  <w:abstractNum w:abstractNumId="39" w15:restartNumberingAfterBreak="0">
    <w:nsid w:val="0000004C"/>
    <w:multiLevelType w:val="singleLevel"/>
    <w:tmpl w:val="0000004C"/>
    <w:name w:val="WW8Num76"/>
    <w:lvl w:ilvl="0">
      <w:start w:val="1"/>
      <w:numFmt w:val="bullet"/>
      <w:lvlText w:val=""/>
      <w:lvlJc w:val="left"/>
      <w:pPr>
        <w:tabs>
          <w:tab w:val="num" w:pos="357"/>
        </w:tabs>
        <w:ind w:left="340" w:hanging="340"/>
      </w:pPr>
      <w:rPr>
        <w:rFonts w:ascii="Wingdings" w:hAnsi="Wingdings"/>
      </w:rPr>
    </w:lvl>
  </w:abstractNum>
  <w:abstractNum w:abstractNumId="40" w15:restartNumberingAfterBreak="0">
    <w:nsid w:val="0000004D"/>
    <w:multiLevelType w:val="singleLevel"/>
    <w:tmpl w:val="0000004D"/>
    <w:name w:val="WW8Num77"/>
    <w:lvl w:ilvl="0">
      <w:start w:val="1"/>
      <w:numFmt w:val="bullet"/>
      <w:lvlText w:val=""/>
      <w:lvlJc w:val="left"/>
      <w:pPr>
        <w:tabs>
          <w:tab w:val="num" w:pos="0"/>
        </w:tabs>
      </w:pPr>
      <w:rPr>
        <w:rFonts w:ascii="Symbol" w:hAnsi="Symbol"/>
        <w:color w:val="auto"/>
      </w:rPr>
    </w:lvl>
  </w:abstractNum>
  <w:abstractNum w:abstractNumId="41" w15:restartNumberingAfterBreak="0">
    <w:nsid w:val="0000004E"/>
    <w:multiLevelType w:val="singleLevel"/>
    <w:tmpl w:val="0000004E"/>
    <w:name w:val="WW8Num78"/>
    <w:lvl w:ilvl="0">
      <w:start w:val="1"/>
      <w:numFmt w:val="bullet"/>
      <w:lvlText w:val=""/>
      <w:lvlJc w:val="left"/>
      <w:pPr>
        <w:tabs>
          <w:tab w:val="num" w:pos="360"/>
        </w:tabs>
        <w:ind w:left="360" w:hanging="360"/>
      </w:pPr>
      <w:rPr>
        <w:rFonts w:ascii="Wingdings" w:hAnsi="Wingdings"/>
        <w:color w:val="auto"/>
      </w:rPr>
    </w:lvl>
  </w:abstractNum>
  <w:abstractNum w:abstractNumId="42" w15:restartNumberingAfterBreak="0">
    <w:nsid w:val="00000050"/>
    <w:multiLevelType w:val="singleLevel"/>
    <w:tmpl w:val="00000050"/>
    <w:name w:val="WW8Num80"/>
    <w:lvl w:ilvl="0">
      <w:start w:val="1"/>
      <w:numFmt w:val="bullet"/>
      <w:lvlText w:val=""/>
      <w:lvlJc w:val="left"/>
      <w:pPr>
        <w:tabs>
          <w:tab w:val="num" w:pos="0"/>
        </w:tabs>
        <w:ind w:left="720" w:hanging="360"/>
      </w:pPr>
      <w:rPr>
        <w:rFonts w:ascii="Symbol" w:hAnsi="Symbol"/>
      </w:rPr>
    </w:lvl>
  </w:abstractNum>
  <w:abstractNum w:abstractNumId="43" w15:restartNumberingAfterBreak="0">
    <w:nsid w:val="00000053"/>
    <w:multiLevelType w:val="singleLevel"/>
    <w:tmpl w:val="00000053"/>
    <w:name w:val="WW8Num83"/>
    <w:lvl w:ilvl="0">
      <w:start w:val="1"/>
      <w:numFmt w:val="bullet"/>
      <w:lvlText w:val=""/>
      <w:lvlJc w:val="left"/>
      <w:pPr>
        <w:tabs>
          <w:tab w:val="num" w:pos="357"/>
        </w:tabs>
        <w:ind w:left="340" w:hanging="340"/>
      </w:pPr>
      <w:rPr>
        <w:rFonts w:ascii="Wingdings" w:hAnsi="Wingdings"/>
      </w:rPr>
    </w:lvl>
  </w:abstractNum>
  <w:abstractNum w:abstractNumId="44" w15:restartNumberingAfterBreak="0">
    <w:nsid w:val="00000054"/>
    <w:multiLevelType w:val="singleLevel"/>
    <w:tmpl w:val="00000054"/>
    <w:name w:val="WW8Num84"/>
    <w:lvl w:ilvl="0">
      <w:start w:val="1"/>
      <w:numFmt w:val="bullet"/>
      <w:lvlText w:val=""/>
      <w:lvlJc w:val="left"/>
      <w:pPr>
        <w:tabs>
          <w:tab w:val="num" w:pos="357"/>
        </w:tabs>
        <w:ind w:left="340" w:hanging="340"/>
      </w:pPr>
      <w:rPr>
        <w:rFonts w:ascii="Wingdings" w:hAnsi="Wingdings"/>
      </w:rPr>
    </w:lvl>
  </w:abstractNum>
  <w:abstractNum w:abstractNumId="45" w15:restartNumberingAfterBreak="0">
    <w:nsid w:val="00000055"/>
    <w:multiLevelType w:val="singleLevel"/>
    <w:tmpl w:val="00000055"/>
    <w:name w:val="WW8Num85"/>
    <w:lvl w:ilvl="0">
      <w:start w:val="1"/>
      <w:numFmt w:val="bullet"/>
      <w:lvlText w:val=""/>
      <w:lvlJc w:val="left"/>
      <w:pPr>
        <w:tabs>
          <w:tab w:val="num" w:pos="284"/>
        </w:tabs>
        <w:ind w:left="284"/>
      </w:pPr>
      <w:rPr>
        <w:rFonts w:ascii="Symbol" w:hAnsi="Symbol"/>
      </w:rPr>
    </w:lvl>
  </w:abstractNum>
  <w:abstractNum w:abstractNumId="46" w15:restartNumberingAfterBreak="0">
    <w:nsid w:val="00000058"/>
    <w:multiLevelType w:val="singleLevel"/>
    <w:tmpl w:val="00000058"/>
    <w:name w:val="WW8Num88"/>
    <w:lvl w:ilvl="0">
      <w:start w:val="1"/>
      <w:numFmt w:val="bullet"/>
      <w:lvlText w:val=""/>
      <w:lvlJc w:val="left"/>
      <w:pPr>
        <w:tabs>
          <w:tab w:val="num" w:pos="360"/>
        </w:tabs>
        <w:ind w:left="360" w:hanging="360"/>
      </w:pPr>
      <w:rPr>
        <w:rFonts w:ascii="Wingdings" w:hAnsi="Wingdings"/>
      </w:rPr>
    </w:lvl>
  </w:abstractNum>
  <w:abstractNum w:abstractNumId="47" w15:restartNumberingAfterBreak="0">
    <w:nsid w:val="0000005E"/>
    <w:multiLevelType w:val="singleLevel"/>
    <w:tmpl w:val="0000005E"/>
    <w:name w:val="WW8Num94"/>
    <w:lvl w:ilvl="0">
      <w:start w:val="1"/>
      <w:numFmt w:val="bullet"/>
      <w:lvlText w:val=""/>
      <w:lvlJc w:val="left"/>
      <w:pPr>
        <w:tabs>
          <w:tab w:val="num" w:pos="360"/>
        </w:tabs>
        <w:ind w:left="360" w:hanging="360"/>
      </w:pPr>
      <w:rPr>
        <w:rFonts w:ascii="Wingdings" w:hAnsi="Wingdings"/>
      </w:rPr>
    </w:lvl>
  </w:abstractNum>
  <w:abstractNum w:abstractNumId="48" w15:restartNumberingAfterBreak="0">
    <w:nsid w:val="00000060"/>
    <w:multiLevelType w:val="singleLevel"/>
    <w:tmpl w:val="00000060"/>
    <w:name w:val="WW8Num96"/>
    <w:lvl w:ilvl="0">
      <w:start w:val="1"/>
      <w:numFmt w:val="bullet"/>
      <w:lvlText w:val=""/>
      <w:lvlJc w:val="left"/>
      <w:pPr>
        <w:tabs>
          <w:tab w:val="num" w:pos="0"/>
        </w:tabs>
      </w:pPr>
      <w:rPr>
        <w:rFonts w:ascii="Symbol" w:hAnsi="Symbol"/>
        <w:color w:val="auto"/>
      </w:rPr>
    </w:lvl>
  </w:abstractNum>
  <w:abstractNum w:abstractNumId="49" w15:restartNumberingAfterBreak="0">
    <w:nsid w:val="00000061"/>
    <w:multiLevelType w:val="singleLevel"/>
    <w:tmpl w:val="00000061"/>
    <w:name w:val="WW8Num97"/>
    <w:lvl w:ilvl="0">
      <w:start w:val="1"/>
      <w:numFmt w:val="bullet"/>
      <w:lvlText w:val=""/>
      <w:lvlJc w:val="left"/>
      <w:pPr>
        <w:tabs>
          <w:tab w:val="num" w:pos="360"/>
        </w:tabs>
        <w:ind w:left="360" w:hanging="360"/>
      </w:pPr>
      <w:rPr>
        <w:rFonts w:ascii="Wingdings" w:hAnsi="Wingdings"/>
        <w:color w:val="auto"/>
      </w:rPr>
    </w:lvl>
  </w:abstractNum>
  <w:abstractNum w:abstractNumId="50" w15:restartNumberingAfterBreak="0">
    <w:nsid w:val="00000063"/>
    <w:multiLevelType w:val="singleLevel"/>
    <w:tmpl w:val="00000063"/>
    <w:name w:val="WW8Num99"/>
    <w:lvl w:ilvl="0">
      <w:start w:val="1"/>
      <w:numFmt w:val="bullet"/>
      <w:lvlText w:val=""/>
      <w:lvlJc w:val="left"/>
      <w:pPr>
        <w:tabs>
          <w:tab w:val="num" w:pos="360"/>
        </w:tabs>
        <w:ind w:left="360" w:hanging="360"/>
      </w:pPr>
      <w:rPr>
        <w:rFonts w:ascii="Wingdings" w:hAnsi="Wingdings"/>
      </w:rPr>
    </w:lvl>
  </w:abstractNum>
  <w:abstractNum w:abstractNumId="51" w15:restartNumberingAfterBreak="0">
    <w:nsid w:val="00000064"/>
    <w:multiLevelType w:val="singleLevel"/>
    <w:tmpl w:val="00000064"/>
    <w:name w:val="WW8Num100"/>
    <w:lvl w:ilvl="0">
      <w:start w:val="1"/>
      <w:numFmt w:val="bullet"/>
      <w:lvlText w:val=""/>
      <w:lvlJc w:val="left"/>
      <w:pPr>
        <w:tabs>
          <w:tab w:val="num" w:pos="340"/>
        </w:tabs>
        <w:ind w:left="340"/>
      </w:pPr>
      <w:rPr>
        <w:rFonts w:ascii="Symbol" w:hAnsi="Symbol"/>
      </w:rPr>
    </w:lvl>
  </w:abstractNum>
  <w:abstractNum w:abstractNumId="52" w15:restartNumberingAfterBreak="0">
    <w:nsid w:val="00000065"/>
    <w:multiLevelType w:val="singleLevel"/>
    <w:tmpl w:val="00000065"/>
    <w:name w:val="WW8Num101"/>
    <w:lvl w:ilvl="0">
      <w:start w:val="1"/>
      <w:numFmt w:val="bullet"/>
      <w:lvlText w:val=""/>
      <w:lvlJc w:val="left"/>
      <w:pPr>
        <w:tabs>
          <w:tab w:val="num" w:pos="360"/>
        </w:tabs>
        <w:ind w:left="360" w:hanging="360"/>
      </w:pPr>
      <w:rPr>
        <w:rFonts w:ascii="Wingdings" w:hAnsi="Wingdings"/>
      </w:rPr>
    </w:lvl>
  </w:abstractNum>
  <w:abstractNum w:abstractNumId="53" w15:restartNumberingAfterBreak="0">
    <w:nsid w:val="00000066"/>
    <w:multiLevelType w:val="singleLevel"/>
    <w:tmpl w:val="00000066"/>
    <w:name w:val="WW8Num102"/>
    <w:lvl w:ilvl="0">
      <w:start w:val="1"/>
      <w:numFmt w:val="bullet"/>
      <w:lvlText w:val=""/>
      <w:lvlJc w:val="left"/>
      <w:pPr>
        <w:tabs>
          <w:tab w:val="num" w:pos="360"/>
        </w:tabs>
        <w:ind w:left="360" w:hanging="360"/>
      </w:pPr>
      <w:rPr>
        <w:rFonts w:ascii="Wingdings" w:hAnsi="Wingdings"/>
      </w:rPr>
    </w:lvl>
  </w:abstractNum>
  <w:abstractNum w:abstractNumId="54" w15:restartNumberingAfterBreak="0">
    <w:nsid w:val="00000067"/>
    <w:multiLevelType w:val="singleLevel"/>
    <w:tmpl w:val="00000067"/>
    <w:name w:val="WW8Num103"/>
    <w:lvl w:ilvl="0">
      <w:start w:val="1"/>
      <w:numFmt w:val="bullet"/>
      <w:lvlText w:val=""/>
      <w:lvlJc w:val="left"/>
      <w:pPr>
        <w:tabs>
          <w:tab w:val="num" w:pos="360"/>
        </w:tabs>
        <w:ind w:left="360" w:hanging="360"/>
      </w:pPr>
      <w:rPr>
        <w:rFonts w:ascii="Wingdings" w:hAnsi="Wingdings"/>
      </w:rPr>
    </w:lvl>
  </w:abstractNum>
  <w:abstractNum w:abstractNumId="55" w15:restartNumberingAfterBreak="0">
    <w:nsid w:val="0000006A"/>
    <w:multiLevelType w:val="singleLevel"/>
    <w:tmpl w:val="0000006A"/>
    <w:name w:val="WW8Num106"/>
    <w:lvl w:ilvl="0">
      <w:start w:val="1"/>
      <w:numFmt w:val="bullet"/>
      <w:lvlText w:val=""/>
      <w:lvlJc w:val="left"/>
      <w:pPr>
        <w:tabs>
          <w:tab w:val="num" w:pos="360"/>
        </w:tabs>
        <w:ind w:left="360" w:hanging="360"/>
      </w:pPr>
      <w:rPr>
        <w:rFonts w:ascii="Wingdings" w:hAnsi="Wingdings"/>
      </w:rPr>
    </w:lvl>
  </w:abstractNum>
  <w:abstractNum w:abstractNumId="56" w15:restartNumberingAfterBreak="0">
    <w:nsid w:val="0000006D"/>
    <w:multiLevelType w:val="singleLevel"/>
    <w:tmpl w:val="0000006D"/>
    <w:name w:val="WW8Num109"/>
    <w:lvl w:ilvl="0">
      <w:start w:val="1"/>
      <w:numFmt w:val="bullet"/>
      <w:lvlText w:val=""/>
      <w:lvlJc w:val="left"/>
      <w:pPr>
        <w:tabs>
          <w:tab w:val="num" w:pos="357"/>
        </w:tabs>
        <w:ind w:left="340" w:hanging="340"/>
      </w:pPr>
      <w:rPr>
        <w:rFonts w:ascii="Wingdings" w:hAnsi="Wingdings"/>
      </w:rPr>
    </w:lvl>
  </w:abstractNum>
  <w:abstractNum w:abstractNumId="57" w15:restartNumberingAfterBreak="0">
    <w:nsid w:val="0000006E"/>
    <w:multiLevelType w:val="singleLevel"/>
    <w:tmpl w:val="0000006E"/>
    <w:name w:val="WW8Num110"/>
    <w:lvl w:ilvl="0">
      <w:start w:val="1"/>
      <w:numFmt w:val="bullet"/>
      <w:lvlText w:val=""/>
      <w:lvlJc w:val="left"/>
      <w:pPr>
        <w:tabs>
          <w:tab w:val="num" w:pos="360"/>
        </w:tabs>
        <w:ind w:left="360" w:hanging="360"/>
      </w:pPr>
      <w:rPr>
        <w:rFonts w:ascii="Wingdings" w:hAnsi="Wingdings"/>
      </w:rPr>
    </w:lvl>
  </w:abstractNum>
  <w:abstractNum w:abstractNumId="58" w15:restartNumberingAfterBreak="0">
    <w:nsid w:val="0000006F"/>
    <w:multiLevelType w:val="singleLevel"/>
    <w:tmpl w:val="0000006F"/>
    <w:name w:val="WW8Num111"/>
    <w:lvl w:ilvl="0">
      <w:start w:val="1"/>
      <w:numFmt w:val="bullet"/>
      <w:lvlText w:val=""/>
      <w:lvlJc w:val="left"/>
      <w:pPr>
        <w:tabs>
          <w:tab w:val="num" w:pos="360"/>
        </w:tabs>
        <w:ind w:left="360" w:hanging="360"/>
      </w:pPr>
      <w:rPr>
        <w:rFonts w:ascii="Wingdings" w:hAnsi="Wingdings"/>
      </w:rPr>
    </w:lvl>
  </w:abstractNum>
  <w:abstractNum w:abstractNumId="59" w15:restartNumberingAfterBreak="0">
    <w:nsid w:val="00000070"/>
    <w:multiLevelType w:val="singleLevel"/>
    <w:tmpl w:val="00000070"/>
    <w:name w:val="WW8Num112"/>
    <w:lvl w:ilvl="0">
      <w:start w:val="1"/>
      <w:numFmt w:val="bullet"/>
      <w:lvlText w:val=""/>
      <w:lvlJc w:val="left"/>
      <w:pPr>
        <w:tabs>
          <w:tab w:val="num" w:pos="360"/>
        </w:tabs>
        <w:ind w:left="360" w:hanging="360"/>
      </w:pPr>
      <w:rPr>
        <w:rFonts w:ascii="Wingdings" w:hAnsi="Wingdings"/>
      </w:rPr>
    </w:lvl>
  </w:abstractNum>
  <w:abstractNum w:abstractNumId="60" w15:restartNumberingAfterBreak="0">
    <w:nsid w:val="00000071"/>
    <w:multiLevelType w:val="singleLevel"/>
    <w:tmpl w:val="00000071"/>
    <w:name w:val="WW8Num113"/>
    <w:lvl w:ilvl="0">
      <w:start w:val="1"/>
      <w:numFmt w:val="bullet"/>
      <w:lvlText w:val=""/>
      <w:lvlJc w:val="left"/>
      <w:pPr>
        <w:tabs>
          <w:tab w:val="num" w:pos="357"/>
        </w:tabs>
        <w:ind w:left="340" w:hanging="340"/>
      </w:pPr>
      <w:rPr>
        <w:rFonts w:ascii="Wingdings" w:hAnsi="Wingdings"/>
      </w:rPr>
    </w:lvl>
  </w:abstractNum>
  <w:abstractNum w:abstractNumId="61" w15:restartNumberingAfterBreak="0">
    <w:nsid w:val="00000075"/>
    <w:multiLevelType w:val="singleLevel"/>
    <w:tmpl w:val="00000075"/>
    <w:name w:val="WW8Num117"/>
    <w:lvl w:ilvl="0">
      <w:start w:val="1"/>
      <w:numFmt w:val="bullet"/>
      <w:lvlText w:val=""/>
      <w:lvlJc w:val="left"/>
      <w:pPr>
        <w:tabs>
          <w:tab w:val="num" w:pos="360"/>
        </w:tabs>
        <w:ind w:left="360"/>
      </w:pPr>
      <w:rPr>
        <w:rFonts w:ascii="Symbol" w:hAnsi="Symbol"/>
      </w:rPr>
    </w:lvl>
  </w:abstractNum>
  <w:abstractNum w:abstractNumId="62" w15:restartNumberingAfterBreak="0">
    <w:nsid w:val="0000007A"/>
    <w:multiLevelType w:val="singleLevel"/>
    <w:tmpl w:val="0000007A"/>
    <w:name w:val="WW8Num122"/>
    <w:lvl w:ilvl="0">
      <w:start w:val="1"/>
      <w:numFmt w:val="bullet"/>
      <w:lvlText w:val=""/>
      <w:lvlJc w:val="left"/>
      <w:pPr>
        <w:tabs>
          <w:tab w:val="num" w:pos="360"/>
        </w:tabs>
        <w:ind w:left="360" w:hanging="360"/>
      </w:pPr>
      <w:rPr>
        <w:rFonts w:ascii="Wingdings" w:hAnsi="Wingdings"/>
      </w:rPr>
    </w:lvl>
  </w:abstractNum>
  <w:abstractNum w:abstractNumId="63" w15:restartNumberingAfterBreak="0">
    <w:nsid w:val="0000007C"/>
    <w:multiLevelType w:val="singleLevel"/>
    <w:tmpl w:val="0000007C"/>
    <w:name w:val="WW8Num124"/>
    <w:lvl w:ilvl="0">
      <w:start w:val="1"/>
      <w:numFmt w:val="bullet"/>
      <w:lvlText w:val=""/>
      <w:lvlJc w:val="left"/>
      <w:pPr>
        <w:tabs>
          <w:tab w:val="num" w:pos="360"/>
        </w:tabs>
        <w:ind w:left="360" w:hanging="360"/>
      </w:pPr>
      <w:rPr>
        <w:rFonts w:ascii="Wingdings" w:hAnsi="Wingdings"/>
      </w:rPr>
    </w:lvl>
  </w:abstractNum>
  <w:abstractNum w:abstractNumId="64" w15:restartNumberingAfterBreak="0">
    <w:nsid w:val="0000007E"/>
    <w:multiLevelType w:val="singleLevel"/>
    <w:tmpl w:val="0000007E"/>
    <w:name w:val="WW8Num126"/>
    <w:lvl w:ilvl="0">
      <w:start w:val="1"/>
      <w:numFmt w:val="bullet"/>
      <w:lvlText w:val=""/>
      <w:lvlJc w:val="left"/>
      <w:pPr>
        <w:tabs>
          <w:tab w:val="num" w:pos="360"/>
        </w:tabs>
        <w:ind w:left="360" w:hanging="360"/>
      </w:pPr>
      <w:rPr>
        <w:rFonts w:ascii="Wingdings" w:hAnsi="Wingdings"/>
        <w:color w:val="auto"/>
      </w:rPr>
    </w:lvl>
  </w:abstractNum>
  <w:abstractNum w:abstractNumId="65" w15:restartNumberingAfterBreak="0">
    <w:nsid w:val="0000007F"/>
    <w:multiLevelType w:val="singleLevel"/>
    <w:tmpl w:val="0000007F"/>
    <w:name w:val="WW8Num127"/>
    <w:lvl w:ilvl="0">
      <w:start w:val="1"/>
      <w:numFmt w:val="bullet"/>
      <w:lvlText w:val=""/>
      <w:lvlJc w:val="left"/>
      <w:pPr>
        <w:tabs>
          <w:tab w:val="num" w:pos="720"/>
        </w:tabs>
        <w:ind w:left="720" w:hanging="360"/>
      </w:pPr>
      <w:rPr>
        <w:rFonts w:ascii="Symbol" w:hAnsi="Symbol"/>
      </w:rPr>
    </w:lvl>
  </w:abstractNum>
  <w:abstractNum w:abstractNumId="66" w15:restartNumberingAfterBreak="0">
    <w:nsid w:val="00000080"/>
    <w:multiLevelType w:val="multilevel"/>
    <w:tmpl w:val="00000080"/>
    <w:name w:val="WW8Num128"/>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284"/>
        </w:tabs>
        <w:ind w:left="567" w:hanging="283"/>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67" w15:restartNumberingAfterBreak="0">
    <w:nsid w:val="00000082"/>
    <w:multiLevelType w:val="singleLevel"/>
    <w:tmpl w:val="00000082"/>
    <w:name w:val="WW8Num130"/>
    <w:lvl w:ilvl="0">
      <w:start w:val="1"/>
      <w:numFmt w:val="bullet"/>
      <w:lvlText w:val=""/>
      <w:lvlJc w:val="left"/>
      <w:pPr>
        <w:tabs>
          <w:tab w:val="num" w:pos="360"/>
        </w:tabs>
        <w:ind w:left="360" w:hanging="360"/>
      </w:pPr>
      <w:rPr>
        <w:rFonts w:ascii="Wingdings" w:hAnsi="Wingdings"/>
      </w:rPr>
    </w:lvl>
  </w:abstractNum>
  <w:abstractNum w:abstractNumId="68" w15:restartNumberingAfterBreak="0">
    <w:nsid w:val="00000083"/>
    <w:multiLevelType w:val="singleLevel"/>
    <w:tmpl w:val="00000083"/>
    <w:name w:val="WW8Num131"/>
    <w:lvl w:ilvl="0">
      <w:start w:val="1"/>
      <w:numFmt w:val="bullet"/>
      <w:lvlText w:val=""/>
      <w:lvlJc w:val="left"/>
      <w:pPr>
        <w:tabs>
          <w:tab w:val="num" w:pos="357"/>
        </w:tabs>
        <w:ind w:left="340" w:hanging="340"/>
      </w:pPr>
      <w:rPr>
        <w:rFonts w:ascii="Wingdings" w:hAnsi="Wingdings"/>
      </w:rPr>
    </w:lvl>
  </w:abstractNum>
  <w:abstractNum w:abstractNumId="69" w15:restartNumberingAfterBreak="0">
    <w:nsid w:val="00000086"/>
    <w:multiLevelType w:val="singleLevel"/>
    <w:tmpl w:val="00000086"/>
    <w:name w:val="WW8Num134"/>
    <w:lvl w:ilvl="0">
      <w:start w:val="1"/>
      <w:numFmt w:val="bullet"/>
      <w:lvlText w:val=""/>
      <w:lvlJc w:val="left"/>
      <w:pPr>
        <w:tabs>
          <w:tab w:val="num" w:pos="360"/>
        </w:tabs>
        <w:ind w:left="360" w:hanging="360"/>
      </w:pPr>
      <w:rPr>
        <w:rFonts w:ascii="Wingdings" w:hAnsi="Wingdings"/>
      </w:rPr>
    </w:lvl>
  </w:abstractNum>
  <w:abstractNum w:abstractNumId="70" w15:restartNumberingAfterBreak="0">
    <w:nsid w:val="00000087"/>
    <w:multiLevelType w:val="singleLevel"/>
    <w:tmpl w:val="00000087"/>
    <w:name w:val="WW8Num135"/>
    <w:lvl w:ilvl="0">
      <w:start w:val="1"/>
      <w:numFmt w:val="bullet"/>
      <w:lvlText w:val=""/>
      <w:lvlJc w:val="left"/>
      <w:pPr>
        <w:tabs>
          <w:tab w:val="num" w:pos="360"/>
        </w:tabs>
        <w:ind w:left="360" w:hanging="360"/>
      </w:pPr>
      <w:rPr>
        <w:rFonts w:ascii="Wingdings" w:hAnsi="Wingdings"/>
      </w:rPr>
    </w:lvl>
  </w:abstractNum>
  <w:abstractNum w:abstractNumId="71" w15:restartNumberingAfterBreak="0">
    <w:nsid w:val="00000088"/>
    <w:multiLevelType w:val="singleLevel"/>
    <w:tmpl w:val="00000088"/>
    <w:name w:val="WW8Num136"/>
    <w:lvl w:ilvl="0">
      <w:start w:val="1"/>
      <w:numFmt w:val="bullet"/>
      <w:lvlText w:val=""/>
      <w:lvlJc w:val="left"/>
      <w:pPr>
        <w:tabs>
          <w:tab w:val="num" w:pos="360"/>
        </w:tabs>
        <w:ind w:left="360" w:hanging="360"/>
      </w:pPr>
      <w:rPr>
        <w:rFonts w:ascii="Wingdings" w:hAnsi="Wingdings"/>
      </w:rPr>
    </w:lvl>
  </w:abstractNum>
  <w:abstractNum w:abstractNumId="72" w15:restartNumberingAfterBreak="0">
    <w:nsid w:val="0000008A"/>
    <w:multiLevelType w:val="singleLevel"/>
    <w:tmpl w:val="0000008A"/>
    <w:name w:val="WW8Num138"/>
    <w:lvl w:ilvl="0">
      <w:start w:val="1"/>
      <w:numFmt w:val="bullet"/>
      <w:lvlText w:val=""/>
      <w:lvlJc w:val="left"/>
      <w:pPr>
        <w:tabs>
          <w:tab w:val="num" w:pos="357"/>
        </w:tabs>
        <w:ind w:left="340" w:hanging="340"/>
      </w:pPr>
      <w:rPr>
        <w:rFonts w:ascii="Wingdings" w:hAnsi="Wingdings"/>
      </w:rPr>
    </w:lvl>
  </w:abstractNum>
  <w:abstractNum w:abstractNumId="73" w15:restartNumberingAfterBreak="0">
    <w:nsid w:val="0000008B"/>
    <w:multiLevelType w:val="singleLevel"/>
    <w:tmpl w:val="0000008B"/>
    <w:name w:val="WW8Num139"/>
    <w:lvl w:ilvl="0">
      <w:start w:val="1"/>
      <w:numFmt w:val="bullet"/>
      <w:lvlText w:val=""/>
      <w:lvlJc w:val="left"/>
      <w:pPr>
        <w:tabs>
          <w:tab w:val="num" w:pos="360"/>
        </w:tabs>
        <w:ind w:left="360" w:hanging="360"/>
      </w:pPr>
      <w:rPr>
        <w:rFonts w:ascii="Wingdings" w:hAnsi="Wingdings"/>
      </w:rPr>
    </w:lvl>
  </w:abstractNum>
  <w:abstractNum w:abstractNumId="74" w15:restartNumberingAfterBreak="0">
    <w:nsid w:val="0000008C"/>
    <w:multiLevelType w:val="singleLevel"/>
    <w:tmpl w:val="0000008C"/>
    <w:name w:val="WW8Num140"/>
    <w:lvl w:ilvl="0">
      <w:start w:val="1"/>
      <w:numFmt w:val="lowerLetter"/>
      <w:lvlText w:val="%1)"/>
      <w:lvlJc w:val="left"/>
      <w:pPr>
        <w:tabs>
          <w:tab w:val="num" w:pos="360"/>
        </w:tabs>
        <w:ind w:left="643" w:hanging="283"/>
      </w:pPr>
      <w:rPr>
        <w:rFonts w:cs="Times New Roman"/>
      </w:rPr>
    </w:lvl>
  </w:abstractNum>
  <w:abstractNum w:abstractNumId="75" w15:restartNumberingAfterBreak="0">
    <w:nsid w:val="0000008E"/>
    <w:multiLevelType w:val="singleLevel"/>
    <w:tmpl w:val="0000008E"/>
    <w:name w:val="WW8Num142"/>
    <w:lvl w:ilvl="0">
      <w:start w:val="1"/>
      <w:numFmt w:val="bullet"/>
      <w:lvlText w:val=""/>
      <w:lvlJc w:val="left"/>
      <w:pPr>
        <w:tabs>
          <w:tab w:val="num" w:pos="0"/>
        </w:tabs>
      </w:pPr>
      <w:rPr>
        <w:rFonts w:ascii="Symbol" w:hAnsi="Symbol"/>
        <w:b w:val="0"/>
      </w:rPr>
    </w:lvl>
  </w:abstractNum>
  <w:abstractNum w:abstractNumId="76" w15:restartNumberingAfterBreak="0">
    <w:nsid w:val="0000008F"/>
    <w:multiLevelType w:val="singleLevel"/>
    <w:tmpl w:val="0000008F"/>
    <w:name w:val="WW8Num143"/>
    <w:lvl w:ilvl="0">
      <w:start w:val="1"/>
      <w:numFmt w:val="decimal"/>
      <w:lvlText w:val="%1."/>
      <w:lvlJc w:val="left"/>
      <w:pPr>
        <w:tabs>
          <w:tab w:val="num" w:pos="284"/>
        </w:tabs>
        <w:ind w:left="284" w:hanging="284"/>
      </w:pPr>
      <w:rPr>
        <w:rFonts w:cs="Times New Roman"/>
      </w:rPr>
    </w:lvl>
  </w:abstractNum>
  <w:abstractNum w:abstractNumId="77" w15:restartNumberingAfterBreak="0">
    <w:nsid w:val="00000090"/>
    <w:multiLevelType w:val="singleLevel"/>
    <w:tmpl w:val="00000090"/>
    <w:name w:val="WW8Num144"/>
    <w:lvl w:ilvl="0">
      <w:start w:val="1"/>
      <w:numFmt w:val="bullet"/>
      <w:lvlText w:val=""/>
      <w:lvlJc w:val="left"/>
      <w:pPr>
        <w:tabs>
          <w:tab w:val="num" w:pos="1307"/>
        </w:tabs>
        <w:ind w:left="1344" w:hanging="454"/>
      </w:pPr>
      <w:rPr>
        <w:rFonts w:ascii="Symbol" w:hAnsi="Symbol"/>
        <w:color w:val="000000"/>
        <w14:textOutline w14:w="0" w14:cap="rnd" w14:cmpd="sng" w14:algn="ctr">
          <w14:noFill/>
          <w14:prstDash w14:val="solid"/>
          <w14:bevel/>
        </w14:textOutline>
      </w:rPr>
    </w:lvl>
  </w:abstractNum>
  <w:abstractNum w:abstractNumId="78" w15:restartNumberingAfterBreak="0">
    <w:nsid w:val="00000093"/>
    <w:multiLevelType w:val="singleLevel"/>
    <w:tmpl w:val="00000093"/>
    <w:name w:val="WW8Num147"/>
    <w:lvl w:ilvl="0">
      <w:start w:val="1"/>
      <w:numFmt w:val="bullet"/>
      <w:lvlText w:val=""/>
      <w:lvlJc w:val="left"/>
      <w:pPr>
        <w:tabs>
          <w:tab w:val="num" w:pos="360"/>
        </w:tabs>
        <w:ind w:left="360" w:hanging="360"/>
      </w:pPr>
      <w:rPr>
        <w:rFonts w:ascii="Wingdings" w:hAnsi="Wingdings"/>
      </w:rPr>
    </w:lvl>
  </w:abstractNum>
  <w:abstractNum w:abstractNumId="79" w15:restartNumberingAfterBreak="0">
    <w:nsid w:val="00000098"/>
    <w:multiLevelType w:val="singleLevel"/>
    <w:tmpl w:val="00000098"/>
    <w:name w:val="WW8Num152"/>
    <w:lvl w:ilvl="0">
      <w:start w:val="1"/>
      <w:numFmt w:val="bullet"/>
      <w:lvlText w:val=""/>
      <w:lvlJc w:val="left"/>
      <w:pPr>
        <w:tabs>
          <w:tab w:val="num" w:pos="360"/>
        </w:tabs>
        <w:ind w:left="360" w:hanging="360"/>
      </w:pPr>
      <w:rPr>
        <w:rFonts w:ascii="Wingdings" w:hAnsi="Wingdings"/>
      </w:rPr>
    </w:lvl>
  </w:abstractNum>
  <w:abstractNum w:abstractNumId="80" w15:restartNumberingAfterBreak="0">
    <w:nsid w:val="00000099"/>
    <w:multiLevelType w:val="singleLevel"/>
    <w:tmpl w:val="00000099"/>
    <w:name w:val="WW8Num153"/>
    <w:lvl w:ilvl="0">
      <w:start w:val="1"/>
      <w:numFmt w:val="bullet"/>
      <w:lvlText w:val=""/>
      <w:lvlJc w:val="left"/>
      <w:pPr>
        <w:tabs>
          <w:tab w:val="num" w:pos="360"/>
        </w:tabs>
        <w:ind w:left="360" w:hanging="360"/>
      </w:pPr>
      <w:rPr>
        <w:rFonts w:ascii="Wingdings" w:hAnsi="Wingdings"/>
      </w:rPr>
    </w:lvl>
  </w:abstractNum>
  <w:abstractNum w:abstractNumId="81" w15:restartNumberingAfterBreak="0">
    <w:nsid w:val="0000009A"/>
    <w:multiLevelType w:val="singleLevel"/>
    <w:tmpl w:val="0000009A"/>
    <w:name w:val="WW8Num154"/>
    <w:lvl w:ilvl="0">
      <w:start w:val="1"/>
      <w:numFmt w:val="bullet"/>
      <w:lvlText w:val=""/>
      <w:lvlJc w:val="left"/>
      <w:pPr>
        <w:tabs>
          <w:tab w:val="num" w:pos="360"/>
        </w:tabs>
        <w:ind w:left="360" w:hanging="360"/>
      </w:pPr>
      <w:rPr>
        <w:rFonts w:ascii="Wingdings" w:hAnsi="Wingdings"/>
      </w:rPr>
    </w:lvl>
  </w:abstractNum>
  <w:abstractNum w:abstractNumId="82" w15:restartNumberingAfterBreak="0">
    <w:nsid w:val="0000009B"/>
    <w:multiLevelType w:val="singleLevel"/>
    <w:tmpl w:val="0000009B"/>
    <w:name w:val="WW8Num155"/>
    <w:lvl w:ilvl="0">
      <w:start w:val="1"/>
      <w:numFmt w:val="bullet"/>
      <w:lvlText w:val=""/>
      <w:lvlJc w:val="left"/>
      <w:pPr>
        <w:tabs>
          <w:tab w:val="num" w:pos="360"/>
        </w:tabs>
        <w:ind w:left="360" w:hanging="360"/>
      </w:pPr>
      <w:rPr>
        <w:rFonts w:ascii="Wingdings" w:hAnsi="Wingdings"/>
      </w:rPr>
    </w:lvl>
  </w:abstractNum>
  <w:abstractNum w:abstractNumId="83" w15:restartNumberingAfterBreak="0">
    <w:nsid w:val="0000009F"/>
    <w:multiLevelType w:val="singleLevel"/>
    <w:tmpl w:val="0000009F"/>
    <w:name w:val="WW8Num159"/>
    <w:lvl w:ilvl="0">
      <w:start w:val="1"/>
      <w:numFmt w:val="bullet"/>
      <w:lvlText w:val=""/>
      <w:lvlJc w:val="left"/>
      <w:pPr>
        <w:tabs>
          <w:tab w:val="num" w:pos="720"/>
        </w:tabs>
        <w:ind w:left="720" w:hanging="360"/>
      </w:pPr>
      <w:rPr>
        <w:rFonts w:ascii="Wingdings" w:hAnsi="Wingdings"/>
      </w:rPr>
    </w:lvl>
  </w:abstractNum>
  <w:abstractNum w:abstractNumId="84" w15:restartNumberingAfterBreak="0">
    <w:nsid w:val="000000A1"/>
    <w:multiLevelType w:val="singleLevel"/>
    <w:tmpl w:val="000000A1"/>
    <w:name w:val="WW8Num161"/>
    <w:lvl w:ilvl="0">
      <w:start w:val="1"/>
      <w:numFmt w:val="bullet"/>
      <w:lvlText w:val=""/>
      <w:lvlJc w:val="left"/>
      <w:pPr>
        <w:tabs>
          <w:tab w:val="num" w:pos="360"/>
        </w:tabs>
        <w:ind w:left="360" w:hanging="360"/>
      </w:pPr>
      <w:rPr>
        <w:rFonts w:ascii="Wingdings" w:hAnsi="Wingdings"/>
      </w:rPr>
    </w:lvl>
  </w:abstractNum>
  <w:abstractNum w:abstractNumId="85" w15:restartNumberingAfterBreak="0">
    <w:nsid w:val="000000A2"/>
    <w:multiLevelType w:val="singleLevel"/>
    <w:tmpl w:val="000000A2"/>
    <w:name w:val="WW8Num162"/>
    <w:lvl w:ilvl="0">
      <w:start w:val="1"/>
      <w:numFmt w:val="bullet"/>
      <w:lvlText w:val=""/>
      <w:lvlJc w:val="left"/>
      <w:pPr>
        <w:tabs>
          <w:tab w:val="num" w:pos="357"/>
        </w:tabs>
        <w:ind w:left="340" w:hanging="340"/>
      </w:pPr>
      <w:rPr>
        <w:rFonts w:ascii="Wingdings" w:hAnsi="Wingdings"/>
      </w:rPr>
    </w:lvl>
  </w:abstractNum>
  <w:abstractNum w:abstractNumId="86" w15:restartNumberingAfterBreak="0">
    <w:nsid w:val="000000A3"/>
    <w:multiLevelType w:val="singleLevel"/>
    <w:tmpl w:val="000000A3"/>
    <w:name w:val="WW8Num163"/>
    <w:lvl w:ilvl="0">
      <w:start w:val="1"/>
      <w:numFmt w:val="bullet"/>
      <w:lvlText w:val=""/>
      <w:lvlJc w:val="left"/>
      <w:pPr>
        <w:tabs>
          <w:tab w:val="num" w:pos="357"/>
        </w:tabs>
        <w:ind w:left="340" w:hanging="340"/>
      </w:pPr>
      <w:rPr>
        <w:rFonts w:ascii="Wingdings" w:hAnsi="Wingdings"/>
      </w:rPr>
    </w:lvl>
  </w:abstractNum>
  <w:abstractNum w:abstractNumId="87" w15:restartNumberingAfterBreak="0">
    <w:nsid w:val="000000A4"/>
    <w:multiLevelType w:val="singleLevel"/>
    <w:tmpl w:val="000000A4"/>
    <w:name w:val="WW8Num164"/>
    <w:lvl w:ilvl="0">
      <w:start w:val="1"/>
      <w:numFmt w:val="bullet"/>
      <w:lvlText w:val=""/>
      <w:lvlJc w:val="left"/>
      <w:pPr>
        <w:tabs>
          <w:tab w:val="num" w:pos="360"/>
        </w:tabs>
        <w:ind w:left="360" w:hanging="360"/>
      </w:pPr>
      <w:rPr>
        <w:rFonts w:ascii="Wingdings" w:hAnsi="Wingdings"/>
      </w:rPr>
    </w:lvl>
  </w:abstractNum>
  <w:abstractNum w:abstractNumId="88" w15:restartNumberingAfterBreak="0">
    <w:nsid w:val="000000A5"/>
    <w:multiLevelType w:val="singleLevel"/>
    <w:tmpl w:val="000000A5"/>
    <w:name w:val="WW8Num165"/>
    <w:lvl w:ilvl="0">
      <w:start w:val="1"/>
      <w:numFmt w:val="bullet"/>
      <w:lvlText w:val=""/>
      <w:lvlJc w:val="left"/>
      <w:pPr>
        <w:tabs>
          <w:tab w:val="num" w:pos="360"/>
        </w:tabs>
        <w:ind w:left="360" w:hanging="360"/>
      </w:pPr>
      <w:rPr>
        <w:rFonts w:ascii="Wingdings" w:hAnsi="Wingdings"/>
      </w:rPr>
    </w:lvl>
  </w:abstractNum>
  <w:abstractNum w:abstractNumId="89" w15:restartNumberingAfterBreak="0">
    <w:nsid w:val="000000A7"/>
    <w:multiLevelType w:val="singleLevel"/>
    <w:tmpl w:val="000000A7"/>
    <w:name w:val="WW8Num167"/>
    <w:lvl w:ilvl="0">
      <w:start w:val="1"/>
      <w:numFmt w:val="bullet"/>
      <w:lvlText w:val=""/>
      <w:lvlJc w:val="left"/>
      <w:pPr>
        <w:tabs>
          <w:tab w:val="num" w:pos="0"/>
        </w:tabs>
      </w:pPr>
      <w:rPr>
        <w:rFonts w:ascii="Symbol" w:hAnsi="Symbol"/>
      </w:rPr>
    </w:lvl>
  </w:abstractNum>
  <w:abstractNum w:abstractNumId="90" w15:restartNumberingAfterBreak="0">
    <w:nsid w:val="000000A8"/>
    <w:multiLevelType w:val="singleLevel"/>
    <w:tmpl w:val="000000A8"/>
    <w:name w:val="WW8Num168"/>
    <w:lvl w:ilvl="0">
      <w:start w:val="1"/>
      <w:numFmt w:val="bullet"/>
      <w:lvlText w:val=""/>
      <w:lvlJc w:val="left"/>
      <w:pPr>
        <w:tabs>
          <w:tab w:val="num" w:pos="567"/>
        </w:tabs>
        <w:ind w:left="567"/>
      </w:pPr>
      <w:rPr>
        <w:rFonts w:ascii="Symbol" w:hAnsi="Symbol"/>
        <w:color w:val="auto"/>
      </w:rPr>
    </w:lvl>
  </w:abstractNum>
  <w:abstractNum w:abstractNumId="91" w15:restartNumberingAfterBreak="0">
    <w:nsid w:val="000000A9"/>
    <w:multiLevelType w:val="singleLevel"/>
    <w:tmpl w:val="000000A9"/>
    <w:name w:val="WW8Num169"/>
    <w:lvl w:ilvl="0">
      <w:start w:val="1"/>
      <w:numFmt w:val="bullet"/>
      <w:lvlText w:val=""/>
      <w:lvlJc w:val="left"/>
      <w:pPr>
        <w:tabs>
          <w:tab w:val="num" w:pos="90"/>
        </w:tabs>
        <w:ind w:left="90"/>
      </w:pPr>
      <w:rPr>
        <w:rFonts w:ascii="Symbol" w:hAnsi="Symbol"/>
      </w:rPr>
    </w:lvl>
  </w:abstractNum>
  <w:abstractNum w:abstractNumId="92" w15:restartNumberingAfterBreak="0">
    <w:nsid w:val="000000AC"/>
    <w:multiLevelType w:val="singleLevel"/>
    <w:tmpl w:val="000000AC"/>
    <w:name w:val="WW8Num172"/>
    <w:lvl w:ilvl="0">
      <w:start w:val="1"/>
      <w:numFmt w:val="bullet"/>
      <w:lvlText w:val=""/>
      <w:lvlJc w:val="left"/>
      <w:pPr>
        <w:tabs>
          <w:tab w:val="num" w:pos="360"/>
        </w:tabs>
        <w:ind w:left="360" w:hanging="360"/>
      </w:pPr>
      <w:rPr>
        <w:rFonts w:ascii="Wingdings" w:hAnsi="Wingdings"/>
      </w:rPr>
    </w:lvl>
  </w:abstractNum>
  <w:abstractNum w:abstractNumId="93" w15:restartNumberingAfterBreak="0">
    <w:nsid w:val="000000AD"/>
    <w:multiLevelType w:val="multilevel"/>
    <w:tmpl w:val="48DED4A0"/>
    <w:name w:val="WW8Num173"/>
    <w:lvl w:ilvl="0">
      <w:start w:val="1"/>
      <w:numFmt w:val="decimal"/>
      <w:lvlText w:val="%1."/>
      <w:lvlJc w:val="left"/>
      <w:pPr>
        <w:tabs>
          <w:tab w:val="num" w:pos="284"/>
        </w:tabs>
        <w:ind w:left="284" w:hanging="284"/>
      </w:pPr>
      <w:rPr>
        <w:rFonts w:cs="Times New Roman"/>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94" w15:restartNumberingAfterBreak="0">
    <w:nsid w:val="000000B1"/>
    <w:multiLevelType w:val="multilevel"/>
    <w:tmpl w:val="000000B1"/>
    <w:name w:val="WW8Num177"/>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15:restartNumberingAfterBreak="0">
    <w:nsid w:val="000000B6"/>
    <w:multiLevelType w:val="singleLevel"/>
    <w:tmpl w:val="000000B6"/>
    <w:name w:val="WW8Num182"/>
    <w:lvl w:ilvl="0">
      <w:start w:val="1"/>
      <w:numFmt w:val="decimal"/>
      <w:lvlText w:val="%1."/>
      <w:lvlJc w:val="left"/>
      <w:pPr>
        <w:tabs>
          <w:tab w:val="num" w:pos="360"/>
        </w:tabs>
        <w:ind w:left="360" w:hanging="360"/>
      </w:pPr>
      <w:rPr>
        <w:rFonts w:cs="Times New Roman"/>
      </w:rPr>
    </w:lvl>
  </w:abstractNum>
  <w:abstractNum w:abstractNumId="96" w15:restartNumberingAfterBreak="0">
    <w:nsid w:val="000000B7"/>
    <w:multiLevelType w:val="singleLevel"/>
    <w:tmpl w:val="66E24196"/>
    <w:name w:val="WW8Num183"/>
    <w:lvl w:ilvl="0">
      <w:start w:val="1"/>
      <w:numFmt w:val="decimal"/>
      <w:lvlText w:val="(%1)"/>
      <w:lvlJc w:val="left"/>
      <w:pPr>
        <w:tabs>
          <w:tab w:val="num" w:pos="0"/>
        </w:tabs>
        <w:ind w:left="720" w:hanging="360"/>
      </w:pPr>
      <w:rPr>
        <w:rFonts w:cs="Bookman"/>
        <w:b/>
      </w:rPr>
    </w:lvl>
  </w:abstractNum>
  <w:abstractNum w:abstractNumId="97" w15:restartNumberingAfterBreak="0">
    <w:nsid w:val="000000B8"/>
    <w:multiLevelType w:val="singleLevel"/>
    <w:tmpl w:val="000000B8"/>
    <w:name w:val="WW8Num184"/>
    <w:lvl w:ilvl="0">
      <w:start w:val="1"/>
      <w:numFmt w:val="bullet"/>
      <w:lvlText w:val=""/>
      <w:lvlJc w:val="left"/>
      <w:pPr>
        <w:tabs>
          <w:tab w:val="num" w:pos="360"/>
        </w:tabs>
        <w:ind w:left="360" w:hanging="360"/>
      </w:pPr>
      <w:rPr>
        <w:rFonts w:ascii="Wingdings" w:hAnsi="Wingdings"/>
      </w:rPr>
    </w:lvl>
  </w:abstractNum>
  <w:abstractNum w:abstractNumId="98" w15:restartNumberingAfterBreak="0">
    <w:nsid w:val="000000B9"/>
    <w:multiLevelType w:val="singleLevel"/>
    <w:tmpl w:val="000000B9"/>
    <w:name w:val="WW8Num185"/>
    <w:lvl w:ilvl="0">
      <w:start w:val="1"/>
      <w:numFmt w:val="bullet"/>
      <w:lvlText w:val=""/>
      <w:lvlJc w:val="left"/>
      <w:pPr>
        <w:tabs>
          <w:tab w:val="num" w:pos="720"/>
        </w:tabs>
        <w:ind w:left="720" w:hanging="360"/>
      </w:pPr>
      <w:rPr>
        <w:rFonts w:ascii="Symbol" w:hAnsi="Symbol"/>
      </w:rPr>
    </w:lvl>
  </w:abstractNum>
  <w:abstractNum w:abstractNumId="99" w15:restartNumberingAfterBreak="0">
    <w:nsid w:val="000000BB"/>
    <w:multiLevelType w:val="singleLevel"/>
    <w:tmpl w:val="000000BB"/>
    <w:name w:val="WW8Num187"/>
    <w:lvl w:ilvl="0">
      <w:start w:val="1"/>
      <w:numFmt w:val="bullet"/>
      <w:lvlText w:val=""/>
      <w:lvlJc w:val="left"/>
      <w:pPr>
        <w:tabs>
          <w:tab w:val="num" w:pos="360"/>
        </w:tabs>
        <w:ind w:left="360" w:hanging="360"/>
      </w:pPr>
      <w:rPr>
        <w:rFonts w:ascii="Wingdings" w:hAnsi="Wingdings"/>
      </w:rPr>
    </w:lvl>
  </w:abstractNum>
  <w:abstractNum w:abstractNumId="100" w15:restartNumberingAfterBreak="0">
    <w:nsid w:val="000000BC"/>
    <w:multiLevelType w:val="singleLevel"/>
    <w:tmpl w:val="000000BC"/>
    <w:name w:val="WW8Num188"/>
    <w:lvl w:ilvl="0">
      <w:start w:val="1"/>
      <w:numFmt w:val="bullet"/>
      <w:lvlText w:val=""/>
      <w:lvlJc w:val="left"/>
      <w:pPr>
        <w:ind w:left="1287" w:hanging="360"/>
      </w:pPr>
      <w:rPr>
        <w:rFonts w:ascii="Symbol" w:hAnsi="Symbol"/>
      </w:rPr>
    </w:lvl>
  </w:abstractNum>
  <w:abstractNum w:abstractNumId="101" w15:restartNumberingAfterBreak="0">
    <w:nsid w:val="000000BD"/>
    <w:multiLevelType w:val="singleLevel"/>
    <w:tmpl w:val="000000BD"/>
    <w:name w:val="WW8Num189"/>
    <w:lvl w:ilvl="0">
      <w:start w:val="1"/>
      <w:numFmt w:val="bullet"/>
      <w:lvlText w:val=""/>
      <w:lvlJc w:val="left"/>
      <w:pPr>
        <w:tabs>
          <w:tab w:val="num" w:pos="360"/>
        </w:tabs>
        <w:ind w:left="360" w:hanging="360"/>
      </w:pPr>
      <w:rPr>
        <w:rFonts w:ascii="Wingdings" w:hAnsi="Wingdings"/>
      </w:rPr>
    </w:lvl>
  </w:abstractNum>
  <w:abstractNum w:abstractNumId="102" w15:restartNumberingAfterBreak="0">
    <w:nsid w:val="000000BF"/>
    <w:multiLevelType w:val="multilevel"/>
    <w:tmpl w:val="341A5A08"/>
    <w:name w:val="WW8Num191"/>
    <w:lvl w:ilvl="0">
      <w:start w:val="1"/>
      <w:numFmt w:val="decimal"/>
      <w:lvlText w:val="%1."/>
      <w:lvlJc w:val="left"/>
      <w:pPr>
        <w:tabs>
          <w:tab w:val="num" w:pos="984"/>
        </w:tabs>
        <w:ind w:left="984" w:hanging="360"/>
      </w:pPr>
      <w:rPr>
        <w:rFonts w:cs="Times New Roman"/>
      </w:rPr>
    </w:lvl>
    <w:lvl w:ilvl="1">
      <w:start w:val="1"/>
      <w:numFmt w:val="bullet"/>
      <w:lvlText w:val=""/>
      <w:lvlJc w:val="left"/>
      <w:pPr>
        <w:tabs>
          <w:tab w:val="num" w:pos="1440"/>
        </w:tabs>
        <w:ind w:left="1440" w:hanging="360"/>
      </w:pPr>
      <w:rPr>
        <w:rFonts w:ascii="Symbol" w:hAnsi="Symbol"/>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03" w15:restartNumberingAfterBreak="0">
    <w:nsid w:val="000000C0"/>
    <w:multiLevelType w:val="singleLevel"/>
    <w:tmpl w:val="000000C0"/>
    <w:name w:val="WW8Num192"/>
    <w:lvl w:ilvl="0">
      <w:start w:val="1"/>
      <w:numFmt w:val="bullet"/>
      <w:lvlText w:val=""/>
      <w:lvlJc w:val="left"/>
      <w:pPr>
        <w:tabs>
          <w:tab w:val="num" w:pos="360"/>
        </w:tabs>
        <w:ind w:left="360" w:hanging="360"/>
      </w:pPr>
      <w:rPr>
        <w:rFonts w:ascii="Wingdings" w:hAnsi="Wingdings"/>
      </w:rPr>
    </w:lvl>
  </w:abstractNum>
  <w:abstractNum w:abstractNumId="104" w15:restartNumberingAfterBreak="0">
    <w:nsid w:val="000000C1"/>
    <w:multiLevelType w:val="multilevel"/>
    <w:tmpl w:val="000000C1"/>
    <w:name w:val="WW8Num193"/>
    <w:lvl w:ilvl="0">
      <w:start w:val="1"/>
      <w:numFmt w:val="bullet"/>
      <w:lvlText w:val=""/>
      <w:lvlJc w:val="left"/>
      <w:pPr>
        <w:tabs>
          <w:tab w:val="num" w:pos="0"/>
        </w:tabs>
      </w:pPr>
      <w:rPr>
        <w:rFonts w:ascii="Symbol" w:hAnsi="Symbol"/>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05" w15:restartNumberingAfterBreak="0">
    <w:nsid w:val="000000C2"/>
    <w:multiLevelType w:val="singleLevel"/>
    <w:tmpl w:val="000000C2"/>
    <w:name w:val="WW8Num194"/>
    <w:lvl w:ilvl="0">
      <w:start w:val="1"/>
      <w:numFmt w:val="bullet"/>
      <w:lvlText w:val=""/>
      <w:lvlJc w:val="left"/>
      <w:pPr>
        <w:tabs>
          <w:tab w:val="num" w:pos="360"/>
        </w:tabs>
        <w:ind w:left="360" w:hanging="360"/>
      </w:pPr>
      <w:rPr>
        <w:rFonts w:ascii="Wingdings" w:hAnsi="Wingdings"/>
      </w:rPr>
    </w:lvl>
  </w:abstractNum>
  <w:abstractNum w:abstractNumId="106" w15:restartNumberingAfterBreak="0">
    <w:nsid w:val="000000C3"/>
    <w:multiLevelType w:val="multilevel"/>
    <w:tmpl w:val="000000C3"/>
    <w:name w:val="WW8Num195"/>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15:restartNumberingAfterBreak="0">
    <w:nsid w:val="000000C4"/>
    <w:multiLevelType w:val="singleLevel"/>
    <w:tmpl w:val="000000C4"/>
    <w:name w:val="WW8Num196"/>
    <w:lvl w:ilvl="0">
      <w:start w:val="1"/>
      <w:numFmt w:val="bullet"/>
      <w:lvlText w:val=""/>
      <w:lvlJc w:val="left"/>
      <w:pPr>
        <w:tabs>
          <w:tab w:val="num" w:pos="1068"/>
        </w:tabs>
        <w:ind w:left="1068" w:hanging="360"/>
      </w:pPr>
      <w:rPr>
        <w:rFonts w:ascii="Symbol" w:hAnsi="Symbol"/>
      </w:rPr>
    </w:lvl>
  </w:abstractNum>
  <w:abstractNum w:abstractNumId="108" w15:restartNumberingAfterBreak="0">
    <w:nsid w:val="000000C5"/>
    <w:multiLevelType w:val="singleLevel"/>
    <w:tmpl w:val="000000C5"/>
    <w:name w:val="WW8Num197"/>
    <w:lvl w:ilvl="0">
      <w:start w:val="1"/>
      <w:numFmt w:val="bullet"/>
      <w:lvlText w:val=""/>
      <w:lvlJc w:val="left"/>
      <w:pPr>
        <w:tabs>
          <w:tab w:val="num" w:pos="360"/>
        </w:tabs>
        <w:ind w:left="360" w:hanging="360"/>
      </w:pPr>
      <w:rPr>
        <w:rFonts w:ascii="Wingdings" w:hAnsi="Wingdings"/>
      </w:rPr>
    </w:lvl>
  </w:abstractNum>
  <w:abstractNum w:abstractNumId="109" w15:restartNumberingAfterBreak="0">
    <w:nsid w:val="000000C7"/>
    <w:multiLevelType w:val="singleLevel"/>
    <w:tmpl w:val="000000C7"/>
    <w:name w:val="WW8Num199"/>
    <w:lvl w:ilvl="0">
      <w:start w:val="1"/>
      <w:numFmt w:val="bullet"/>
      <w:lvlText w:val=""/>
      <w:lvlJc w:val="left"/>
      <w:pPr>
        <w:tabs>
          <w:tab w:val="num" w:pos="357"/>
        </w:tabs>
        <w:ind w:left="340" w:hanging="340"/>
      </w:pPr>
      <w:rPr>
        <w:rFonts w:ascii="Wingdings" w:hAnsi="Wingdings"/>
      </w:rPr>
    </w:lvl>
  </w:abstractNum>
  <w:abstractNum w:abstractNumId="110" w15:restartNumberingAfterBreak="0">
    <w:nsid w:val="000000C8"/>
    <w:multiLevelType w:val="singleLevel"/>
    <w:tmpl w:val="000000C8"/>
    <w:name w:val="WW8Num200"/>
    <w:lvl w:ilvl="0">
      <w:start w:val="1"/>
      <w:numFmt w:val="bullet"/>
      <w:lvlText w:val=""/>
      <w:lvlJc w:val="left"/>
      <w:pPr>
        <w:tabs>
          <w:tab w:val="num" w:pos="360"/>
        </w:tabs>
        <w:ind w:left="360" w:hanging="360"/>
      </w:pPr>
      <w:rPr>
        <w:rFonts w:ascii="Wingdings" w:hAnsi="Wingdings"/>
      </w:rPr>
    </w:lvl>
  </w:abstractNum>
  <w:abstractNum w:abstractNumId="111" w15:restartNumberingAfterBreak="0">
    <w:nsid w:val="000000C9"/>
    <w:multiLevelType w:val="singleLevel"/>
    <w:tmpl w:val="000000C9"/>
    <w:name w:val="WW8Num201"/>
    <w:lvl w:ilvl="0">
      <w:start w:val="1"/>
      <w:numFmt w:val="bullet"/>
      <w:lvlText w:val=""/>
      <w:lvlJc w:val="left"/>
      <w:pPr>
        <w:tabs>
          <w:tab w:val="num" w:pos="360"/>
        </w:tabs>
        <w:ind w:left="360" w:hanging="360"/>
      </w:pPr>
      <w:rPr>
        <w:rFonts w:ascii="Wingdings" w:hAnsi="Wingdings"/>
      </w:rPr>
    </w:lvl>
  </w:abstractNum>
  <w:abstractNum w:abstractNumId="112" w15:restartNumberingAfterBreak="0">
    <w:nsid w:val="000000CA"/>
    <w:multiLevelType w:val="singleLevel"/>
    <w:tmpl w:val="000000CA"/>
    <w:name w:val="WW8Num202"/>
    <w:lvl w:ilvl="0">
      <w:start w:val="1"/>
      <w:numFmt w:val="bullet"/>
      <w:lvlText w:val=""/>
      <w:lvlJc w:val="left"/>
      <w:pPr>
        <w:tabs>
          <w:tab w:val="num" w:pos="357"/>
        </w:tabs>
        <w:ind w:left="340" w:hanging="340"/>
      </w:pPr>
      <w:rPr>
        <w:rFonts w:ascii="Wingdings" w:hAnsi="Wingdings"/>
      </w:rPr>
    </w:lvl>
  </w:abstractNum>
  <w:abstractNum w:abstractNumId="113" w15:restartNumberingAfterBreak="0">
    <w:nsid w:val="000000CB"/>
    <w:multiLevelType w:val="multilevel"/>
    <w:tmpl w:val="000000CB"/>
    <w:name w:val="WW8Num203"/>
    <w:lvl w:ilvl="0">
      <w:start w:val="1"/>
      <w:numFmt w:val="decimal"/>
      <w:lvlText w:val="%1."/>
      <w:lvlJc w:val="left"/>
      <w:pPr>
        <w:tabs>
          <w:tab w:val="num" w:pos="284"/>
        </w:tabs>
        <w:ind w:left="284" w:hanging="284"/>
      </w:pPr>
      <w:rPr>
        <w:rFonts w:cs="Times New Roman"/>
      </w:rPr>
    </w:lvl>
    <w:lvl w:ilvl="1">
      <w:start w:val="1"/>
      <w:numFmt w:val="lowerLetter"/>
      <w:lvlText w:val="%2)"/>
      <w:lvlJc w:val="left"/>
      <w:pPr>
        <w:tabs>
          <w:tab w:val="num" w:pos="284"/>
        </w:tabs>
        <w:ind w:left="567" w:hanging="283"/>
      </w:pPr>
      <w:rPr>
        <w:rFonts w:cs="Times New Roman"/>
      </w:rPr>
    </w:lvl>
    <w:lvl w:ilvl="2">
      <w:start w:val="1"/>
      <w:numFmt w:val="decimal"/>
      <w:lvlText w:val="%3."/>
      <w:lvlJc w:val="left"/>
      <w:pPr>
        <w:tabs>
          <w:tab w:val="num" w:pos="2264"/>
        </w:tabs>
        <w:ind w:left="2264" w:hanging="284"/>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14" w15:restartNumberingAfterBreak="0">
    <w:nsid w:val="000000CD"/>
    <w:multiLevelType w:val="singleLevel"/>
    <w:tmpl w:val="000000CD"/>
    <w:name w:val="WW8Num205"/>
    <w:lvl w:ilvl="0">
      <w:start w:val="1"/>
      <w:numFmt w:val="bullet"/>
      <w:lvlText w:val=""/>
      <w:lvlJc w:val="left"/>
      <w:pPr>
        <w:tabs>
          <w:tab w:val="num" w:pos="357"/>
        </w:tabs>
        <w:ind w:left="340" w:hanging="340"/>
      </w:pPr>
      <w:rPr>
        <w:rFonts w:ascii="Wingdings" w:hAnsi="Wingdings"/>
      </w:rPr>
    </w:lvl>
  </w:abstractNum>
  <w:abstractNum w:abstractNumId="115" w15:restartNumberingAfterBreak="0">
    <w:nsid w:val="000000D0"/>
    <w:multiLevelType w:val="singleLevel"/>
    <w:tmpl w:val="000000D0"/>
    <w:name w:val="WW8Num208"/>
    <w:lvl w:ilvl="0">
      <w:start w:val="2"/>
      <w:numFmt w:val="bullet"/>
      <w:lvlText w:val="-"/>
      <w:lvlJc w:val="left"/>
      <w:pPr>
        <w:tabs>
          <w:tab w:val="num" w:pos="720"/>
        </w:tabs>
        <w:ind w:left="720" w:hanging="360"/>
      </w:pPr>
      <w:rPr>
        <w:rFonts w:ascii="Times New Roman" w:hAnsi="Times New Roman"/>
      </w:rPr>
    </w:lvl>
  </w:abstractNum>
  <w:abstractNum w:abstractNumId="116" w15:restartNumberingAfterBreak="0">
    <w:nsid w:val="000000D1"/>
    <w:multiLevelType w:val="singleLevel"/>
    <w:tmpl w:val="000000D1"/>
    <w:name w:val="WW8Num209"/>
    <w:lvl w:ilvl="0">
      <w:start w:val="1"/>
      <w:numFmt w:val="bullet"/>
      <w:lvlText w:val=""/>
      <w:lvlJc w:val="left"/>
      <w:pPr>
        <w:tabs>
          <w:tab w:val="num" w:pos="360"/>
        </w:tabs>
        <w:ind w:left="360" w:hanging="360"/>
      </w:pPr>
      <w:rPr>
        <w:rFonts w:ascii="Wingdings" w:hAnsi="Wingdings"/>
      </w:rPr>
    </w:lvl>
  </w:abstractNum>
  <w:abstractNum w:abstractNumId="117" w15:restartNumberingAfterBreak="0">
    <w:nsid w:val="000000D2"/>
    <w:multiLevelType w:val="singleLevel"/>
    <w:tmpl w:val="000000D2"/>
    <w:name w:val="WW8Num210"/>
    <w:lvl w:ilvl="0">
      <w:start w:val="1"/>
      <w:numFmt w:val="bullet"/>
      <w:lvlText w:val=""/>
      <w:lvlJc w:val="left"/>
      <w:pPr>
        <w:tabs>
          <w:tab w:val="num" w:pos="360"/>
        </w:tabs>
        <w:ind w:left="360" w:hanging="360"/>
      </w:pPr>
      <w:rPr>
        <w:rFonts w:ascii="Wingdings" w:hAnsi="Wingdings"/>
      </w:rPr>
    </w:lvl>
  </w:abstractNum>
  <w:abstractNum w:abstractNumId="118" w15:restartNumberingAfterBreak="0">
    <w:nsid w:val="000000D3"/>
    <w:multiLevelType w:val="singleLevel"/>
    <w:tmpl w:val="000000D3"/>
    <w:name w:val="WW8Num211"/>
    <w:lvl w:ilvl="0">
      <w:start w:val="1"/>
      <w:numFmt w:val="bullet"/>
      <w:lvlText w:val=""/>
      <w:lvlJc w:val="left"/>
      <w:pPr>
        <w:tabs>
          <w:tab w:val="num" w:pos="357"/>
        </w:tabs>
        <w:ind w:left="340" w:hanging="340"/>
      </w:pPr>
      <w:rPr>
        <w:rFonts w:ascii="Wingdings" w:hAnsi="Wingdings"/>
      </w:rPr>
    </w:lvl>
  </w:abstractNum>
  <w:abstractNum w:abstractNumId="119" w15:restartNumberingAfterBreak="0">
    <w:nsid w:val="000000D4"/>
    <w:multiLevelType w:val="singleLevel"/>
    <w:tmpl w:val="000000D4"/>
    <w:name w:val="WW8Num212"/>
    <w:lvl w:ilvl="0">
      <w:start w:val="1"/>
      <w:numFmt w:val="bullet"/>
      <w:lvlText w:val=""/>
      <w:lvlJc w:val="left"/>
      <w:pPr>
        <w:tabs>
          <w:tab w:val="num" w:pos="360"/>
        </w:tabs>
        <w:ind w:left="360" w:hanging="360"/>
      </w:pPr>
      <w:rPr>
        <w:rFonts w:ascii="Wingdings" w:hAnsi="Wingdings"/>
      </w:rPr>
    </w:lvl>
  </w:abstractNum>
  <w:abstractNum w:abstractNumId="120" w15:restartNumberingAfterBreak="0">
    <w:nsid w:val="000000D5"/>
    <w:multiLevelType w:val="singleLevel"/>
    <w:tmpl w:val="000000D5"/>
    <w:name w:val="WW8Num213"/>
    <w:lvl w:ilvl="0">
      <w:start w:val="1"/>
      <w:numFmt w:val="bullet"/>
      <w:lvlText w:val=""/>
      <w:lvlJc w:val="left"/>
      <w:pPr>
        <w:tabs>
          <w:tab w:val="num" w:pos="360"/>
        </w:tabs>
        <w:ind w:left="360" w:hanging="360"/>
      </w:pPr>
      <w:rPr>
        <w:rFonts w:ascii="Wingdings" w:hAnsi="Wingdings"/>
      </w:rPr>
    </w:lvl>
  </w:abstractNum>
  <w:abstractNum w:abstractNumId="121" w15:restartNumberingAfterBreak="0">
    <w:nsid w:val="000000D6"/>
    <w:multiLevelType w:val="singleLevel"/>
    <w:tmpl w:val="000000D6"/>
    <w:name w:val="WW8Num214"/>
    <w:lvl w:ilvl="0">
      <w:start w:val="1"/>
      <w:numFmt w:val="bullet"/>
      <w:lvlText w:val=""/>
      <w:lvlJc w:val="left"/>
      <w:pPr>
        <w:tabs>
          <w:tab w:val="num" w:pos="360"/>
        </w:tabs>
        <w:ind w:left="360" w:hanging="360"/>
      </w:pPr>
      <w:rPr>
        <w:rFonts w:ascii="Wingdings" w:hAnsi="Wingdings"/>
      </w:rPr>
    </w:lvl>
  </w:abstractNum>
  <w:abstractNum w:abstractNumId="122" w15:restartNumberingAfterBreak="0">
    <w:nsid w:val="000000D7"/>
    <w:multiLevelType w:val="singleLevel"/>
    <w:tmpl w:val="000000D7"/>
    <w:name w:val="WW8Num215"/>
    <w:lvl w:ilvl="0">
      <w:start w:val="1"/>
      <w:numFmt w:val="bullet"/>
      <w:lvlText w:val=""/>
      <w:lvlJc w:val="left"/>
      <w:pPr>
        <w:tabs>
          <w:tab w:val="num" w:pos="360"/>
        </w:tabs>
        <w:ind w:left="360" w:hanging="360"/>
      </w:pPr>
      <w:rPr>
        <w:rFonts w:ascii="Wingdings" w:hAnsi="Wingdings"/>
      </w:rPr>
    </w:lvl>
  </w:abstractNum>
  <w:abstractNum w:abstractNumId="123" w15:restartNumberingAfterBreak="0">
    <w:nsid w:val="000000D9"/>
    <w:multiLevelType w:val="singleLevel"/>
    <w:tmpl w:val="000000D9"/>
    <w:name w:val="WW8Num217"/>
    <w:lvl w:ilvl="0">
      <w:start w:val="2"/>
      <w:numFmt w:val="decimal"/>
      <w:lvlText w:val="%1."/>
      <w:lvlJc w:val="left"/>
      <w:pPr>
        <w:tabs>
          <w:tab w:val="num" w:pos="720"/>
        </w:tabs>
        <w:ind w:left="720" w:hanging="360"/>
      </w:pPr>
      <w:rPr>
        <w:rFonts w:cs="Times New Roman"/>
      </w:rPr>
    </w:lvl>
  </w:abstractNum>
  <w:abstractNum w:abstractNumId="124" w15:restartNumberingAfterBreak="0">
    <w:nsid w:val="000000DA"/>
    <w:multiLevelType w:val="singleLevel"/>
    <w:tmpl w:val="000000DA"/>
    <w:name w:val="WW8Num218"/>
    <w:lvl w:ilvl="0">
      <w:start w:val="1"/>
      <w:numFmt w:val="bullet"/>
      <w:lvlText w:val=""/>
      <w:lvlJc w:val="left"/>
      <w:pPr>
        <w:tabs>
          <w:tab w:val="num" w:pos="360"/>
        </w:tabs>
        <w:ind w:left="360" w:hanging="360"/>
      </w:pPr>
      <w:rPr>
        <w:rFonts w:ascii="Wingdings" w:hAnsi="Wingdings"/>
      </w:rPr>
    </w:lvl>
  </w:abstractNum>
  <w:abstractNum w:abstractNumId="125" w15:restartNumberingAfterBreak="0">
    <w:nsid w:val="000000DC"/>
    <w:multiLevelType w:val="singleLevel"/>
    <w:tmpl w:val="000000DC"/>
    <w:name w:val="WW8Num220"/>
    <w:lvl w:ilvl="0">
      <w:start w:val="1"/>
      <w:numFmt w:val="bullet"/>
      <w:lvlText w:val=""/>
      <w:lvlJc w:val="left"/>
      <w:pPr>
        <w:tabs>
          <w:tab w:val="num" w:pos="0"/>
        </w:tabs>
      </w:pPr>
      <w:rPr>
        <w:rFonts w:ascii="Symbol" w:hAnsi="Symbol"/>
      </w:rPr>
    </w:lvl>
  </w:abstractNum>
  <w:abstractNum w:abstractNumId="126" w15:restartNumberingAfterBreak="0">
    <w:nsid w:val="000000E1"/>
    <w:multiLevelType w:val="singleLevel"/>
    <w:tmpl w:val="000000E1"/>
    <w:lvl w:ilvl="0">
      <w:start w:val="1"/>
      <w:numFmt w:val="bullet"/>
      <w:lvlText w:val=""/>
      <w:lvlJc w:val="left"/>
      <w:pPr>
        <w:ind w:left="720" w:hanging="360"/>
      </w:pPr>
      <w:rPr>
        <w:rFonts w:ascii="Symbol" w:hAnsi="Symbol"/>
      </w:rPr>
    </w:lvl>
  </w:abstractNum>
  <w:abstractNum w:abstractNumId="127" w15:restartNumberingAfterBreak="0">
    <w:nsid w:val="000000E2"/>
    <w:multiLevelType w:val="singleLevel"/>
    <w:tmpl w:val="000000E2"/>
    <w:name w:val="WW8Num226"/>
    <w:lvl w:ilvl="0">
      <w:start w:val="1"/>
      <w:numFmt w:val="bullet"/>
      <w:lvlText w:val=""/>
      <w:lvlJc w:val="left"/>
      <w:pPr>
        <w:tabs>
          <w:tab w:val="num" w:pos="357"/>
        </w:tabs>
        <w:ind w:left="340" w:hanging="340"/>
      </w:pPr>
      <w:rPr>
        <w:rFonts w:ascii="Wingdings" w:hAnsi="Wingdings"/>
      </w:rPr>
    </w:lvl>
  </w:abstractNum>
  <w:abstractNum w:abstractNumId="128" w15:restartNumberingAfterBreak="0">
    <w:nsid w:val="000000E4"/>
    <w:multiLevelType w:val="multilevel"/>
    <w:tmpl w:val="000000E4"/>
    <w:name w:val="WW8Num2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9" w15:restartNumberingAfterBreak="0">
    <w:nsid w:val="000000E5"/>
    <w:multiLevelType w:val="multilevel"/>
    <w:tmpl w:val="000000E5"/>
    <w:name w:val="WW8Num229"/>
    <w:lvl w:ilvl="0">
      <w:start w:val="1"/>
      <w:numFmt w:val="bullet"/>
      <w:lvlText w:val=""/>
      <w:lvlJc w:val="left"/>
      <w:pPr>
        <w:tabs>
          <w:tab w:val="num" w:pos="360"/>
        </w:tabs>
        <w:ind w:left="360" w:hanging="360"/>
      </w:pPr>
      <w:rPr>
        <w:rFonts w:ascii="Wingdings" w:hAnsi="Wingdings"/>
      </w:rPr>
    </w:lvl>
    <w:lvl w:ilvl="1">
      <w:start w:val="1"/>
      <w:numFmt w:val="decimal"/>
      <w:lvlText w:val="%2."/>
      <w:lvlJc w:val="left"/>
      <w:pPr>
        <w:tabs>
          <w:tab w:val="num" w:pos="1440"/>
        </w:tabs>
        <w:ind w:left="1440" w:hanging="360"/>
      </w:pPr>
      <w:rPr>
        <w:rFonts w:cs="Times New Roman"/>
      </w:rPr>
    </w:lvl>
    <w:lvl w:ilvl="2">
      <w:start w:val="1"/>
      <w:numFmt w:val="upperLetter"/>
      <w:lvlText w:val="%3."/>
      <w:lvlJc w:val="left"/>
      <w:pPr>
        <w:tabs>
          <w:tab w:val="num" w:pos="360"/>
        </w:tabs>
        <w:ind w:left="360" w:hanging="360"/>
      </w:pPr>
      <w:rPr>
        <w:rFonts w:cs="Times New Roman"/>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0" w15:restartNumberingAfterBreak="0">
    <w:nsid w:val="000000E8"/>
    <w:multiLevelType w:val="singleLevel"/>
    <w:tmpl w:val="000000E8"/>
    <w:name w:val="WW8Num232"/>
    <w:lvl w:ilvl="0">
      <w:start w:val="1"/>
      <w:numFmt w:val="bullet"/>
      <w:lvlText w:val=""/>
      <w:lvlJc w:val="left"/>
      <w:pPr>
        <w:tabs>
          <w:tab w:val="num" w:pos="705"/>
        </w:tabs>
        <w:ind w:left="1068" w:hanging="360"/>
      </w:pPr>
      <w:rPr>
        <w:rFonts w:ascii="Symbol" w:hAnsi="Symbol"/>
      </w:rPr>
    </w:lvl>
  </w:abstractNum>
  <w:abstractNum w:abstractNumId="131" w15:restartNumberingAfterBreak="0">
    <w:nsid w:val="000000E9"/>
    <w:multiLevelType w:val="multilevel"/>
    <w:tmpl w:val="000000E9"/>
    <w:name w:val="WW8Num233"/>
    <w:lvl w:ilvl="0">
      <w:start w:val="1"/>
      <w:numFmt w:val="upperRoman"/>
      <w:lvlText w:val="%1."/>
      <w:lvlJc w:val="left"/>
      <w:pPr>
        <w:tabs>
          <w:tab w:val="num" w:pos="1080"/>
        </w:tabs>
        <w:ind w:left="1080" w:hanging="720"/>
      </w:pPr>
      <w:rPr>
        <w:rFonts w:cs="Times New Roman"/>
      </w:rPr>
    </w:lvl>
    <w:lvl w:ilvl="1">
      <w:numFmt w:val="none"/>
      <w:suff w:val="nothing"/>
      <w:lvlText w:val=""/>
      <w:lvlJc w:val="left"/>
      <w:pPr>
        <w:tabs>
          <w:tab w:val="num" w:pos="0"/>
        </w:tabs>
      </w:pPr>
      <w:rPr>
        <w:rFonts w:cs="Times New Roman"/>
      </w:rPr>
    </w:lvl>
    <w:lvl w:ilvl="2">
      <w:numFmt w:val="none"/>
      <w:suff w:val="nothing"/>
      <w:lvlText w:val=""/>
      <w:lvlJc w:val="left"/>
      <w:pPr>
        <w:tabs>
          <w:tab w:val="num" w:pos="0"/>
        </w:tabs>
      </w:pPr>
      <w:rPr>
        <w:rFonts w:cs="Times New Roman"/>
      </w:rPr>
    </w:lvl>
    <w:lvl w:ilvl="3">
      <w:numFmt w:val="none"/>
      <w:suff w:val="nothing"/>
      <w:lvlText w:val=""/>
      <w:lvlJc w:val="left"/>
      <w:pPr>
        <w:tabs>
          <w:tab w:val="num" w:pos="0"/>
        </w:tabs>
      </w:pPr>
      <w:rPr>
        <w:rFonts w:cs="Times New Roman"/>
      </w:rPr>
    </w:lvl>
    <w:lvl w:ilvl="4">
      <w:numFmt w:val="none"/>
      <w:suff w:val="nothing"/>
      <w:lvlText w:val=""/>
      <w:lvlJc w:val="left"/>
      <w:pPr>
        <w:tabs>
          <w:tab w:val="num" w:pos="0"/>
        </w:tabs>
      </w:pPr>
      <w:rPr>
        <w:rFonts w:cs="Times New Roman"/>
      </w:rPr>
    </w:lvl>
    <w:lvl w:ilvl="5">
      <w:numFmt w:val="none"/>
      <w:suff w:val="nothing"/>
      <w:lvlText w:val=""/>
      <w:lvlJc w:val="left"/>
      <w:pPr>
        <w:tabs>
          <w:tab w:val="num" w:pos="0"/>
        </w:tabs>
      </w:pPr>
      <w:rPr>
        <w:rFonts w:cs="Times New Roman"/>
      </w:rPr>
    </w:lvl>
    <w:lvl w:ilvl="6">
      <w:numFmt w:val="none"/>
      <w:suff w:val="nothing"/>
      <w:lvlText w:val=""/>
      <w:lvlJc w:val="left"/>
      <w:pPr>
        <w:tabs>
          <w:tab w:val="num" w:pos="0"/>
        </w:tabs>
      </w:pPr>
      <w:rPr>
        <w:rFonts w:cs="Times New Roman"/>
      </w:rPr>
    </w:lvl>
    <w:lvl w:ilvl="7">
      <w:numFmt w:val="none"/>
      <w:suff w:val="nothing"/>
      <w:lvlText w:val=""/>
      <w:lvlJc w:val="left"/>
      <w:pPr>
        <w:tabs>
          <w:tab w:val="num" w:pos="0"/>
        </w:tabs>
      </w:pPr>
      <w:rPr>
        <w:rFonts w:cs="Times New Roman"/>
      </w:rPr>
    </w:lvl>
    <w:lvl w:ilvl="8">
      <w:numFmt w:val="none"/>
      <w:suff w:val="nothing"/>
      <w:lvlText w:val=""/>
      <w:lvlJc w:val="left"/>
      <w:pPr>
        <w:tabs>
          <w:tab w:val="num" w:pos="0"/>
        </w:tabs>
      </w:pPr>
      <w:rPr>
        <w:rFonts w:cs="Times New Roman"/>
      </w:rPr>
    </w:lvl>
  </w:abstractNum>
  <w:abstractNum w:abstractNumId="132" w15:restartNumberingAfterBreak="0">
    <w:nsid w:val="000000EC"/>
    <w:multiLevelType w:val="singleLevel"/>
    <w:tmpl w:val="000000EC"/>
    <w:name w:val="WW8Num236"/>
    <w:lvl w:ilvl="0">
      <w:start w:val="1"/>
      <w:numFmt w:val="bullet"/>
      <w:lvlText w:val=""/>
      <w:lvlJc w:val="left"/>
      <w:pPr>
        <w:tabs>
          <w:tab w:val="num" w:pos="360"/>
        </w:tabs>
        <w:ind w:left="360" w:hanging="360"/>
      </w:pPr>
      <w:rPr>
        <w:rFonts w:ascii="Wingdings" w:hAnsi="Wingdings"/>
      </w:rPr>
    </w:lvl>
  </w:abstractNum>
  <w:abstractNum w:abstractNumId="133" w15:restartNumberingAfterBreak="0">
    <w:nsid w:val="000000ED"/>
    <w:multiLevelType w:val="singleLevel"/>
    <w:tmpl w:val="000000ED"/>
    <w:name w:val="WW8Num237"/>
    <w:lvl w:ilvl="0">
      <w:start w:val="1"/>
      <w:numFmt w:val="bullet"/>
      <w:lvlText w:val=""/>
      <w:lvlJc w:val="left"/>
      <w:pPr>
        <w:tabs>
          <w:tab w:val="num" w:pos="360"/>
        </w:tabs>
        <w:ind w:left="360" w:hanging="360"/>
      </w:pPr>
      <w:rPr>
        <w:rFonts w:ascii="Wingdings" w:hAnsi="Wingdings"/>
      </w:rPr>
    </w:lvl>
  </w:abstractNum>
  <w:abstractNum w:abstractNumId="134" w15:restartNumberingAfterBreak="0">
    <w:nsid w:val="000000EE"/>
    <w:multiLevelType w:val="singleLevel"/>
    <w:tmpl w:val="000000EE"/>
    <w:name w:val="WW8Num238"/>
    <w:lvl w:ilvl="0">
      <w:start w:val="1"/>
      <w:numFmt w:val="bullet"/>
      <w:lvlText w:val=""/>
      <w:lvlJc w:val="left"/>
      <w:pPr>
        <w:tabs>
          <w:tab w:val="num" w:pos="360"/>
        </w:tabs>
        <w:ind w:left="360" w:hanging="360"/>
      </w:pPr>
      <w:rPr>
        <w:rFonts w:ascii="Wingdings" w:hAnsi="Wingdings"/>
      </w:rPr>
    </w:lvl>
  </w:abstractNum>
  <w:abstractNum w:abstractNumId="135" w15:restartNumberingAfterBreak="0">
    <w:nsid w:val="000000EF"/>
    <w:multiLevelType w:val="singleLevel"/>
    <w:tmpl w:val="000000EF"/>
    <w:name w:val="WW8Num239"/>
    <w:lvl w:ilvl="0">
      <w:start w:val="1"/>
      <w:numFmt w:val="bullet"/>
      <w:lvlText w:val=""/>
      <w:lvlJc w:val="left"/>
      <w:pPr>
        <w:tabs>
          <w:tab w:val="num" w:pos="360"/>
        </w:tabs>
        <w:ind w:left="360" w:hanging="360"/>
      </w:pPr>
      <w:rPr>
        <w:rFonts w:ascii="Wingdings" w:hAnsi="Wingdings"/>
      </w:rPr>
    </w:lvl>
  </w:abstractNum>
  <w:abstractNum w:abstractNumId="136" w15:restartNumberingAfterBreak="0">
    <w:nsid w:val="000000F1"/>
    <w:multiLevelType w:val="singleLevel"/>
    <w:tmpl w:val="000000F1"/>
    <w:name w:val="WW8Num241"/>
    <w:lvl w:ilvl="0">
      <w:start w:val="1"/>
      <w:numFmt w:val="decimal"/>
      <w:lvlText w:val="%1."/>
      <w:lvlJc w:val="left"/>
      <w:pPr>
        <w:tabs>
          <w:tab w:val="num" w:pos="360"/>
        </w:tabs>
        <w:ind w:left="360" w:hanging="360"/>
      </w:pPr>
      <w:rPr>
        <w:rFonts w:cs="Times New Roman"/>
      </w:rPr>
    </w:lvl>
  </w:abstractNum>
  <w:abstractNum w:abstractNumId="137" w15:restartNumberingAfterBreak="0">
    <w:nsid w:val="000000F3"/>
    <w:multiLevelType w:val="singleLevel"/>
    <w:tmpl w:val="000000F3"/>
    <w:name w:val="WW8Num243"/>
    <w:lvl w:ilvl="0">
      <w:start w:val="13"/>
      <w:numFmt w:val="bullet"/>
      <w:lvlText w:val="-"/>
      <w:lvlJc w:val="left"/>
      <w:pPr>
        <w:tabs>
          <w:tab w:val="num" w:pos="720"/>
        </w:tabs>
        <w:ind w:left="720" w:hanging="360"/>
      </w:pPr>
      <w:rPr>
        <w:rFonts w:ascii="Times New Roman" w:hAnsi="Times New Roman"/>
      </w:rPr>
    </w:lvl>
  </w:abstractNum>
  <w:abstractNum w:abstractNumId="138" w15:restartNumberingAfterBreak="0">
    <w:nsid w:val="000000F4"/>
    <w:multiLevelType w:val="multilevel"/>
    <w:tmpl w:val="4BEE405C"/>
    <w:name w:val="WW8Num244"/>
    <w:lvl w:ilvl="0">
      <w:start w:val="1"/>
      <w:numFmt w:val="decimal"/>
      <w:lvlText w:val="%1."/>
      <w:lvlJc w:val="left"/>
      <w:pPr>
        <w:tabs>
          <w:tab w:val="num" w:pos="360"/>
        </w:tabs>
        <w:ind w:left="360" w:hanging="360"/>
      </w:pPr>
      <w:rPr>
        <w:rFonts w:cs="Times New Roman"/>
      </w:rPr>
    </w:lvl>
    <w:lvl w:ilvl="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39" w15:restartNumberingAfterBreak="0">
    <w:nsid w:val="000000F5"/>
    <w:multiLevelType w:val="singleLevel"/>
    <w:tmpl w:val="000000F5"/>
    <w:name w:val="WW8Num245"/>
    <w:lvl w:ilvl="0">
      <w:start w:val="1"/>
      <w:numFmt w:val="bullet"/>
      <w:lvlText w:val=""/>
      <w:lvlJc w:val="left"/>
      <w:pPr>
        <w:tabs>
          <w:tab w:val="num" w:pos="360"/>
        </w:tabs>
        <w:ind w:left="360" w:hanging="360"/>
      </w:pPr>
      <w:rPr>
        <w:rFonts w:ascii="Wingdings" w:hAnsi="Wingdings"/>
      </w:rPr>
    </w:lvl>
  </w:abstractNum>
  <w:abstractNum w:abstractNumId="140" w15:restartNumberingAfterBreak="0">
    <w:nsid w:val="000000F9"/>
    <w:multiLevelType w:val="singleLevel"/>
    <w:tmpl w:val="000000F9"/>
    <w:name w:val="WW8Num249"/>
    <w:lvl w:ilvl="0">
      <w:start w:val="1"/>
      <w:numFmt w:val="bullet"/>
      <w:lvlText w:val=""/>
      <w:lvlJc w:val="left"/>
      <w:pPr>
        <w:tabs>
          <w:tab w:val="num" w:pos="360"/>
        </w:tabs>
        <w:ind w:left="360" w:hanging="360"/>
      </w:pPr>
      <w:rPr>
        <w:rFonts w:ascii="Wingdings" w:hAnsi="Wingdings"/>
      </w:rPr>
    </w:lvl>
  </w:abstractNum>
  <w:abstractNum w:abstractNumId="141" w15:restartNumberingAfterBreak="0">
    <w:nsid w:val="000000FA"/>
    <w:multiLevelType w:val="singleLevel"/>
    <w:tmpl w:val="000000FA"/>
    <w:name w:val="WW8Num250"/>
    <w:lvl w:ilvl="0">
      <w:start w:val="1"/>
      <w:numFmt w:val="bullet"/>
      <w:lvlText w:val=""/>
      <w:lvlJc w:val="left"/>
      <w:pPr>
        <w:tabs>
          <w:tab w:val="num" w:pos="360"/>
        </w:tabs>
        <w:ind w:left="360" w:hanging="360"/>
      </w:pPr>
      <w:rPr>
        <w:rFonts w:ascii="Wingdings" w:hAnsi="Wingdings"/>
      </w:rPr>
    </w:lvl>
  </w:abstractNum>
  <w:abstractNum w:abstractNumId="142" w15:restartNumberingAfterBreak="0">
    <w:nsid w:val="000000FB"/>
    <w:multiLevelType w:val="multilevel"/>
    <w:tmpl w:val="000000FB"/>
    <w:name w:val="WW8Num251"/>
    <w:lvl w:ilvl="0">
      <w:start w:val="1"/>
      <w:numFmt w:val="decimal"/>
      <w:lvlText w:val="%1."/>
      <w:lvlJc w:val="left"/>
      <w:pPr>
        <w:tabs>
          <w:tab w:val="num" w:pos="360"/>
        </w:tabs>
        <w:ind w:left="360" w:hanging="360"/>
      </w:pPr>
      <w:rPr>
        <w:rFonts w:cs="Times New Roman"/>
      </w:rPr>
    </w:lvl>
    <w:lvl w:ilvl="1">
      <w:start w:val="1"/>
      <w:numFmt w:val="bullet"/>
      <w:lvlText w:val=""/>
      <w:lvlJc w:val="left"/>
      <w:pPr>
        <w:tabs>
          <w:tab w:val="num" w:pos="1497"/>
        </w:tabs>
        <w:ind w:left="1534" w:hanging="454"/>
      </w:pPr>
      <w:rPr>
        <w:rFonts w:ascii="Symbol" w:hAnsi="Symbol"/>
      </w:rPr>
    </w:lvl>
    <w:lvl w:ilvl="2">
      <w:start w:val="1"/>
      <w:numFmt w:val="bullet"/>
      <w:lvlText w:val=""/>
      <w:lvlJc w:val="left"/>
      <w:pPr>
        <w:tabs>
          <w:tab w:val="num" w:pos="1980"/>
        </w:tabs>
        <w:ind w:left="1980"/>
      </w:pPr>
      <w:rPr>
        <w:rFonts w:ascii="Symbol" w:hAnsi="Symbol"/>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43" w15:restartNumberingAfterBreak="0">
    <w:nsid w:val="000000FF"/>
    <w:multiLevelType w:val="singleLevel"/>
    <w:tmpl w:val="000000FF"/>
    <w:name w:val="WW8Num255"/>
    <w:lvl w:ilvl="0">
      <w:start w:val="1"/>
      <w:numFmt w:val="bullet"/>
      <w:lvlText w:val=""/>
      <w:lvlJc w:val="left"/>
      <w:pPr>
        <w:tabs>
          <w:tab w:val="num" w:pos="360"/>
        </w:tabs>
        <w:ind w:left="360" w:hanging="360"/>
      </w:pPr>
      <w:rPr>
        <w:rFonts w:ascii="Wingdings" w:hAnsi="Wingdings"/>
      </w:rPr>
    </w:lvl>
  </w:abstractNum>
  <w:abstractNum w:abstractNumId="144" w15:restartNumberingAfterBreak="0">
    <w:nsid w:val="00000101"/>
    <w:multiLevelType w:val="singleLevel"/>
    <w:tmpl w:val="00000101"/>
    <w:name w:val="WW8Num257"/>
    <w:lvl w:ilvl="0">
      <w:start w:val="1"/>
      <w:numFmt w:val="bullet"/>
      <w:lvlText w:val=""/>
      <w:lvlJc w:val="left"/>
      <w:pPr>
        <w:tabs>
          <w:tab w:val="num" w:pos="357"/>
        </w:tabs>
        <w:ind w:left="340" w:hanging="340"/>
      </w:pPr>
      <w:rPr>
        <w:rFonts w:ascii="Wingdings" w:hAnsi="Wingdings"/>
      </w:rPr>
    </w:lvl>
  </w:abstractNum>
  <w:abstractNum w:abstractNumId="145" w15:restartNumberingAfterBreak="0">
    <w:nsid w:val="00000105"/>
    <w:multiLevelType w:val="singleLevel"/>
    <w:tmpl w:val="00000105"/>
    <w:name w:val="WW8Num261"/>
    <w:lvl w:ilvl="0">
      <w:start w:val="1"/>
      <w:numFmt w:val="bullet"/>
      <w:lvlText w:val=""/>
      <w:lvlJc w:val="left"/>
      <w:pPr>
        <w:tabs>
          <w:tab w:val="num" w:pos="360"/>
        </w:tabs>
        <w:ind w:left="360" w:hanging="360"/>
      </w:pPr>
      <w:rPr>
        <w:rFonts w:ascii="Wingdings" w:hAnsi="Wingdings"/>
        <w:color w:val="auto"/>
      </w:rPr>
    </w:lvl>
  </w:abstractNum>
  <w:abstractNum w:abstractNumId="146" w15:restartNumberingAfterBreak="0">
    <w:nsid w:val="00000108"/>
    <w:multiLevelType w:val="singleLevel"/>
    <w:tmpl w:val="00000108"/>
    <w:name w:val="WW8Num264"/>
    <w:lvl w:ilvl="0">
      <w:start w:val="1"/>
      <w:numFmt w:val="bullet"/>
      <w:lvlText w:val=""/>
      <w:lvlJc w:val="left"/>
      <w:pPr>
        <w:tabs>
          <w:tab w:val="num" w:pos="357"/>
        </w:tabs>
        <w:ind w:left="340" w:hanging="340"/>
      </w:pPr>
      <w:rPr>
        <w:rFonts w:ascii="Wingdings" w:hAnsi="Wingdings"/>
      </w:rPr>
    </w:lvl>
  </w:abstractNum>
  <w:abstractNum w:abstractNumId="147" w15:restartNumberingAfterBreak="0">
    <w:nsid w:val="00000109"/>
    <w:multiLevelType w:val="singleLevel"/>
    <w:tmpl w:val="00000109"/>
    <w:lvl w:ilvl="0">
      <w:start w:val="1"/>
      <w:numFmt w:val="bullet"/>
      <w:lvlText w:val=""/>
      <w:lvlJc w:val="left"/>
      <w:pPr>
        <w:tabs>
          <w:tab w:val="num" w:pos="357"/>
        </w:tabs>
        <w:ind w:left="340" w:hanging="340"/>
      </w:pPr>
      <w:rPr>
        <w:rFonts w:ascii="Wingdings" w:hAnsi="Wingdings"/>
      </w:rPr>
    </w:lvl>
  </w:abstractNum>
  <w:abstractNum w:abstractNumId="148" w15:restartNumberingAfterBreak="0">
    <w:nsid w:val="0000010A"/>
    <w:multiLevelType w:val="singleLevel"/>
    <w:tmpl w:val="0000010A"/>
    <w:name w:val="WW8Num266"/>
    <w:lvl w:ilvl="0">
      <w:start w:val="1"/>
      <w:numFmt w:val="bullet"/>
      <w:lvlText w:val=""/>
      <w:lvlJc w:val="left"/>
      <w:pPr>
        <w:tabs>
          <w:tab w:val="num" w:pos="357"/>
        </w:tabs>
        <w:ind w:left="340" w:hanging="340"/>
      </w:pPr>
      <w:rPr>
        <w:rFonts w:ascii="Wingdings" w:hAnsi="Wingdings"/>
      </w:rPr>
    </w:lvl>
  </w:abstractNum>
  <w:abstractNum w:abstractNumId="149" w15:restartNumberingAfterBreak="0">
    <w:nsid w:val="0000010E"/>
    <w:multiLevelType w:val="singleLevel"/>
    <w:tmpl w:val="0000010E"/>
    <w:name w:val="WW8Num270"/>
    <w:lvl w:ilvl="0">
      <w:start w:val="1"/>
      <w:numFmt w:val="bullet"/>
      <w:lvlText w:val=""/>
      <w:lvlJc w:val="left"/>
      <w:pPr>
        <w:tabs>
          <w:tab w:val="num" w:pos="357"/>
        </w:tabs>
        <w:ind w:left="340" w:hanging="340"/>
      </w:pPr>
      <w:rPr>
        <w:rFonts w:ascii="Wingdings" w:hAnsi="Wingdings"/>
        <w:color w:val="auto"/>
      </w:rPr>
    </w:lvl>
  </w:abstractNum>
  <w:abstractNum w:abstractNumId="150" w15:restartNumberingAfterBreak="0">
    <w:nsid w:val="02564F29"/>
    <w:multiLevelType w:val="hybridMultilevel"/>
    <w:tmpl w:val="E22097B0"/>
    <w:lvl w:ilvl="0" w:tplc="080C0011">
      <w:start w:val="1"/>
      <w:numFmt w:val="decimal"/>
      <w:lvlText w:val="%1)"/>
      <w:lvlJc w:val="left"/>
      <w:pPr>
        <w:ind w:left="786" w:hanging="360"/>
      </w:pPr>
      <w:rPr>
        <w:rFonts w:hint="default"/>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151" w15:restartNumberingAfterBreak="0">
    <w:nsid w:val="0292490F"/>
    <w:multiLevelType w:val="hybridMultilevel"/>
    <w:tmpl w:val="6E7ABAD2"/>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52" w15:restartNumberingAfterBreak="0">
    <w:nsid w:val="04ED1EA9"/>
    <w:multiLevelType w:val="hybridMultilevel"/>
    <w:tmpl w:val="C416157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057F76DF"/>
    <w:multiLevelType w:val="multilevel"/>
    <w:tmpl w:val="4DE0DA82"/>
    <w:lvl w:ilvl="0">
      <w:start w:val="1"/>
      <w:numFmt w:val="decimal"/>
      <w:lvlText w:val="%1."/>
      <w:lvlJc w:val="left"/>
      <w:pPr>
        <w:tabs>
          <w:tab w:val="num" w:pos="1800"/>
        </w:tabs>
        <w:ind w:left="1800" w:hanging="360"/>
      </w:pPr>
      <w:rPr>
        <w:rFonts w:cs="Times New Roman"/>
        <w:b/>
      </w:rPr>
    </w:lvl>
    <w:lvl w:ilvl="1">
      <w:start w:val="3"/>
      <w:numFmt w:val="decimal"/>
      <w:isLgl/>
      <w:lvlText w:val="%1.%2"/>
      <w:lvlJc w:val="left"/>
      <w:pPr>
        <w:ind w:left="1965" w:hanging="525"/>
      </w:pPr>
      <w:rPr>
        <w:rFonts w:cs="Times New Roman" w:hint="default"/>
        <w:b/>
      </w:rPr>
    </w:lvl>
    <w:lvl w:ilvl="2">
      <w:start w:val="1"/>
      <w:numFmt w:val="decimal"/>
      <w:isLgl/>
      <w:lvlText w:val="%1.%2.%3"/>
      <w:lvlJc w:val="left"/>
      <w:pPr>
        <w:ind w:left="2160" w:hanging="720"/>
      </w:pPr>
      <w:rPr>
        <w:rFonts w:cs="Times New Roman" w:hint="default"/>
        <w:b/>
        <w:u w:val="single"/>
      </w:rPr>
    </w:lvl>
    <w:lvl w:ilvl="3">
      <w:start w:val="1"/>
      <w:numFmt w:val="decimal"/>
      <w:isLgl/>
      <w:lvlText w:val="%1.%2.%3.%4"/>
      <w:lvlJc w:val="left"/>
      <w:pPr>
        <w:ind w:left="2520" w:hanging="1080"/>
      </w:pPr>
      <w:rPr>
        <w:rFonts w:cs="Times New Roman" w:hint="default"/>
        <w:b/>
      </w:rPr>
    </w:lvl>
    <w:lvl w:ilvl="4">
      <w:start w:val="1"/>
      <w:numFmt w:val="decimal"/>
      <w:isLgl/>
      <w:lvlText w:val="%1.%2.%3.%4.%5"/>
      <w:lvlJc w:val="left"/>
      <w:pPr>
        <w:ind w:left="2520" w:hanging="1080"/>
      </w:pPr>
      <w:rPr>
        <w:rFonts w:cs="Times New Roman" w:hint="default"/>
        <w:b/>
      </w:rPr>
    </w:lvl>
    <w:lvl w:ilvl="5">
      <w:start w:val="1"/>
      <w:numFmt w:val="decimal"/>
      <w:isLgl/>
      <w:lvlText w:val="%1.%2.%3.%4.%5.%6"/>
      <w:lvlJc w:val="left"/>
      <w:pPr>
        <w:ind w:left="2880" w:hanging="1440"/>
      </w:pPr>
      <w:rPr>
        <w:rFonts w:cs="Times New Roman" w:hint="default"/>
        <w:b/>
      </w:rPr>
    </w:lvl>
    <w:lvl w:ilvl="6">
      <w:start w:val="1"/>
      <w:numFmt w:val="decimal"/>
      <w:isLgl/>
      <w:lvlText w:val="%1.%2.%3.%4.%5.%6.%7"/>
      <w:lvlJc w:val="left"/>
      <w:pPr>
        <w:ind w:left="2880" w:hanging="1440"/>
      </w:pPr>
      <w:rPr>
        <w:rFonts w:cs="Times New Roman" w:hint="default"/>
        <w:b/>
      </w:rPr>
    </w:lvl>
    <w:lvl w:ilvl="7">
      <w:start w:val="1"/>
      <w:numFmt w:val="decimal"/>
      <w:isLgl/>
      <w:lvlText w:val="%1.%2.%3.%4.%5.%6.%7.%8"/>
      <w:lvlJc w:val="left"/>
      <w:pPr>
        <w:ind w:left="3240" w:hanging="1800"/>
      </w:pPr>
      <w:rPr>
        <w:rFonts w:cs="Times New Roman" w:hint="default"/>
        <w:b/>
      </w:rPr>
    </w:lvl>
    <w:lvl w:ilvl="8">
      <w:start w:val="1"/>
      <w:numFmt w:val="decimal"/>
      <w:isLgl/>
      <w:lvlText w:val="%1.%2.%3.%4.%5.%6.%7.%8.%9"/>
      <w:lvlJc w:val="left"/>
      <w:pPr>
        <w:ind w:left="3240" w:hanging="1800"/>
      </w:pPr>
      <w:rPr>
        <w:rFonts w:cs="Times New Roman" w:hint="default"/>
        <w:b/>
      </w:rPr>
    </w:lvl>
  </w:abstractNum>
  <w:abstractNum w:abstractNumId="154" w15:restartNumberingAfterBreak="0">
    <w:nsid w:val="062F61CD"/>
    <w:multiLevelType w:val="hybridMultilevel"/>
    <w:tmpl w:val="22EE47EE"/>
    <w:lvl w:ilvl="0" w:tplc="0BB8E3DC">
      <w:start w:val="1"/>
      <w:numFmt w:val="lowerLetter"/>
      <w:lvlText w:val="%1)"/>
      <w:lvlJc w:val="left"/>
      <w:pPr>
        <w:ind w:left="785" w:hanging="360"/>
      </w:pPr>
      <w:rPr>
        <w:rFonts w:hint="default"/>
        <w:b/>
      </w:rPr>
    </w:lvl>
    <w:lvl w:ilvl="1" w:tplc="080C0019" w:tentative="1">
      <w:start w:val="1"/>
      <w:numFmt w:val="lowerLetter"/>
      <w:lvlText w:val="%2."/>
      <w:lvlJc w:val="left"/>
      <w:pPr>
        <w:ind w:left="1505" w:hanging="360"/>
      </w:pPr>
    </w:lvl>
    <w:lvl w:ilvl="2" w:tplc="080C001B">
      <w:start w:val="1"/>
      <w:numFmt w:val="lowerRoman"/>
      <w:lvlText w:val="%3."/>
      <w:lvlJc w:val="right"/>
      <w:pPr>
        <w:ind w:left="2225" w:hanging="180"/>
      </w:pPr>
    </w:lvl>
    <w:lvl w:ilvl="3" w:tplc="080C000F" w:tentative="1">
      <w:start w:val="1"/>
      <w:numFmt w:val="decimal"/>
      <w:lvlText w:val="%4."/>
      <w:lvlJc w:val="left"/>
      <w:pPr>
        <w:ind w:left="2945" w:hanging="360"/>
      </w:pPr>
    </w:lvl>
    <w:lvl w:ilvl="4" w:tplc="080C0019" w:tentative="1">
      <w:start w:val="1"/>
      <w:numFmt w:val="lowerLetter"/>
      <w:lvlText w:val="%5."/>
      <w:lvlJc w:val="left"/>
      <w:pPr>
        <w:ind w:left="3665" w:hanging="360"/>
      </w:pPr>
    </w:lvl>
    <w:lvl w:ilvl="5" w:tplc="080C001B" w:tentative="1">
      <w:start w:val="1"/>
      <w:numFmt w:val="lowerRoman"/>
      <w:lvlText w:val="%6."/>
      <w:lvlJc w:val="right"/>
      <w:pPr>
        <w:ind w:left="4385" w:hanging="180"/>
      </w:pPr>
    </w:lvl>
    <w:lvl w:ilvl="6" w:tplc="080C000F" w:tentative="1">
      <w:start w:val="1"/>
      <w:numFmt w:val="decimal"/>
      <w:lvlText w:val="%7."/>
      <w:lvlJc w:val="left"/>
      <w:pPr>
        <w:ind w:left="5105" w:hanging="360"/>
      </w:pPr>
    </w:lvl>
    <w:lvl w:ilvl="7" w:tplc="080C0019" w:tentative="1">
      <w:start w:val="1"/>
      <w:numFmt w:val="lowerLetter"/>
      <w:lvlText w:val="%8."/>
      <w:lvlJc w:val="left"/>
      <w:pPr>
        <w:ind w:left="5825" w:hanging="360"/>
      </w:pPr>
    </w:lvl>
    <w:lvl w:ilvl="8" w:tplc="080C001B" w:tentative="1">
      <w:start w:val="1"/>
      <w:numFmt w:val="lowerRoman"/>
      <w:lvlText w:val="%9."/>
      <w:lvlJc w:val="right"/>
      <w:pPr>
        <w:ind w:left="6545" w:hanging="180"/>
      </w:pPr>
    </w:lvl>
  </w:abstractNum>
  <w:abstractNum w:abstractNumId="155" w15:restartNumberingAfterBreak="0">
    <w:nsid w:val="06D077BC"/>
    <w:multiLevelType w:val="hybridMultilevel"/>
    <w:tmpl w:val="6284C2C8"/>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07FF7112"/>
    <w:multiLevelType w:val="hybridMultilevel"/>
    <w:tmpl w:val="45240C7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7" w15:restartNumberingAfterBreak="0">
    <w:nsid w:val="091D5D2E"/>
    <w:multiLevelType w:val="hybridMultilevel"/>
    <w:tmpl w:val="F98C1142"/>
    <w:lvl w:ilvl="0" w:tplc="040C0005">
      <w:start w:val="1"/>
      <w:numFmt w:val="bullet"/>
      <w:lvlText w:val=""/>
      <w:lvlJc w:val="left"/>
      <w:pPr>
        <w:tabs>
          <w:tab w:val="num" w:pos="3011"/>
        </w:tabs>
        <w:ind w:left="3011"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09CB6D58"/>
    <w:multiLevelType w:val="hybridMultilevel"/>
    <w:tmpl w:val="4A4EF5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9" w15:restartNumberingAfterBreak="0">
    <w:nsid w:val="0A201806"/>
    <w:multiLevelType w:val="hybridMultilevel"/>
    <w:tmpl w:val="CC64A208"/>
    <w:lvl w:ilvl="0" w:tplc="8FA8870C">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0B027786"/>
    <w:multiLevelType w:val="hybridMultilevel"/>
    <w:tmpl w:val="30BE562A"/>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1" w15:restartNumberingAfterBreak="0">
    <w:nsid w:val="0B1D1259"/>
    <w:multiLevelType w:val="hybridMultilevel"/>
    <w:tmpl w:val="0854DCE0"/>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2" w15:restartNumberingAfterBreak="0">
    <w:nsid w:val="0C13634E"/>
    <w:multiLevelType w:val="hybridMultilevel"/>
    <w:tmpl w:val="45342AB6"/>
    <w:lvl w:ilvl="0" w:tplc="5C4C3BE6">
      <w:start w:val="3"/>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0CEC5E6A"/>
    <w:multiLevelType w:val="hybridMultilevel"/>
    <w:tmpl w:val="BA6C3F7C"/>
    <w:lvl w:ilvl="0" w:tplc="040C0017">
      <w:start w:val="1"/>
      <w:numFmt w:val="lowerLetter"/>
      <w:lvlText w:val="%1)"/>
      <w:lvlJc w:val="left"/>
      <w:pPr>
        <w:tabs>
          <w:tab w:val="num" w:pos="1080"/>
        </w:tabs>
        <w:ind w:left="1080" w:hanging="360"/>
      </w:pPr>
      <w:rPr>
        <w:rFonts w:cs="Times New Roman"/>
      </w:rPr>
    </w:lvl>
    <w:lvl w:ilvl="1" w:tplc="040C0019" w:tentative="1">
      <w:start w:val="1"/>
      <w:numFmt w:val="lowerLetter"/>
      <w:lvlText w:val="%2."/>
      <w:lvlJc w:val="left"/>
      <w:pPr>
        <w:tabs>
          <w:tab w:val="num" w:pos="1800"/>
        </w:tabs>
        <w:ind w:left="1800" w:hanging="360"/>
      </w:pPr>
      <w:rPr>
        <w:rFonts w:cs="Times New Roman"/>
      </w:rPr>
    </w:lvl>
    <w:lvl w:ilvl="2" w:tplc="040C001B" w:tentative="1">
      <w:start w:val="1"/>
      <w:numFmt w:val="lowerRoman"/>
      <w:lvlText w:val="%3."/>
      <w:lvlJc w:val="right"/>
      <w:pPr>
        <w:tabs>
          <w:tab w:val="num" w:pos="2520"/>
        </w:tabs>
        <w:ind w:left="2520" w:hanging="180"/>
      </w:pPr>
      <w:rPr>
        <w:rFonts w:cs="Times New Roman"/>
      </w:rPr>
    </w:lvl>
    <w:lvl w:ilvl="3" w:tplc="040C000F" w:tentative="1">
      <w:start w:val="1"/>
      <w:numFmt w:val="decimal"/>
      <w:lvlText w:val="%4."/>
      <w:lvlJc w:val="left"/>
      <w:pPr>
        <w:tabs>
          <w:tab w:val="num" w:pos="3240"/>
        </w:tabs>
        <w:ind w:left="3240" w:hanging="360"/>
      </w:pPr>
      <w:rPr>
        <w:rFonts w:cs="Times New Roman"/>
      </w:rPr>
    </w:lvl>
    <w:lvl w:ilvl="4" w:tplc="040C0019" w:tentative="1">
      <w:start w:val="1"/>
      <w:numFmt w:val="lowerLetter"/>
      <w:lvlText w:val="%5."/>
      <w:lvlJc w:val="left"/>
      <w:pPr>
        <w:tabs>
          <w:tab w:val="num" w:pos="3960"/>
        </w:tabs>
        <w:ind w:left="3960" w:hanging="360"/>
      </w:pPr>
      <w:rPr>
        <w:rFonts w:cs="Times New Roman"/>
      </w:rPr>
    </w:lvl>
    <w:lvl w:ilvl="5" w:tplc="040C001B" w:tentative="1">
      <w:start w:val="1"/>
      <w:numFmt w:val="lowerRoman"/>
      <w:lvlText w:val="%6."/>
      <w:lvlJc w:val="right"/>
      <w:pPr>
        <w:tabs>
          <w:tab w:val="num" w:pos="4680"/>
        </w:tabs>
        <w:ind w:left="4680" w:hanging="180"/>
      </w:pPr>
      <w:rPr>
        <w:rFonts w:cs="Times New Roman"/>
      </w:rPr>
    </w:lvl>
    <w:lvl w:ilvl="6" w:tplc="040C000F" w:tentative="1">
      <w:start w:val="1"/>
      <w:numFmt w:val="decimal"/>
      <w:lvlText w:val="%7."/>
      <w:lvlJc w:val="left"/>
      <w:pPr>
        <w:tabs>
          <w:tab w:val="num" w:pos="5400"/>
        </w:tabs>
        <w:ind w:left="5400" w:hanging="360"/>
      </w:pPr>
      <w:rPr>
        <w:rFonts w:cs="Times New Roman"/>
      </w:rPr>
    </w:lvl>
    <w:lvl w:ilvl="7" w:tplc="040C0019" w:tentative="1">
      <w:start w:val="1"/>
      <w:numFmt w:val="lowerLetter"/>
      <w:lvlText w:val="%8."/>
      <w:lvlJc w:val="left"/>
      <w:pPr>
        <w:tabs>
          <w:tab w:val="num" w:pos="6120"/>
        </w:tabs>
        <w:ind w:left="6120" w:hanging="360"/>
      </w:pPr>
      <w:rPr>
        <w:rFonts w:cs="Times New Roman"/>
      </w:rPr>
    </w:lvl>
    <w:lvl w:ilvl="8" w:tplc="040C001B" w:tentative="1">
      <w:start w:val="1"/>
      <w:numFmt w:val="lowerRoman"/>
      <w:lvlText w:val="%9."/>
      <w:lvlJc w:val="right"/>
      <w:pPr>
        <w:tabs>
          <w:tab w:val="num" w:pos="6840"/>
        </w:tabs>
        <w:ind w:left="6840" w:hanging="180"/>
      </w:pPr>
      <w:rPr>
        <w:rFonts w:cs="Times New Roman"/>
      </w:rPr>
    </w:lvl>
  </w:abstractNum>
  <w:abstractNum w:abstractNumId="164" w15:restartNumberingAfterBreak="0">
    <w:nsid w:val="0D220F60"/>
    <w:multiLevelType w:val="multilevel"/>
    <w:tmpl w:val="81B47D30"/>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5" w15:restartNumberingAfterBreak="0">
    <w:nsid w:val="0E005B32"/>
    <w:multiLevelType w:val="hybridMultilevel"/>
    <w:tmpl w:val="9B28C5A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6" w15:restartNumberingAfterBreak="0">
    <w:nsid w:val="0E5A416A"/>
    <w:multiLevelType w:val="hybridMultilevel"/>
    <w:tmpl w:val="71C286B0"/>
    <w:name w:val="WW8Num1452"/>
    <w:lvl w:ilvl="0" w:tplc="040C0019">
      <w:start w:val="1"/>
      <w:numFmt w:val="lowerLetter"/>
      <w:lvlText w:val="%1."/>
      <w:lvlJc w:val="left"/>
      <w:pPr>
        <w:tabs>
          <w:tab w:val="num" w:pos="502"/>
        </w:tabs>
        <w:ind w:left="502" w:hanging="360"/>
      </w:pPr>
      <w:rPr>
        <w:rFonts w:cs="Times New Roman"/>
      </w:rPr>
    </w:lvl>
    <w:lvl w:ilvl="1" w:tplc="040C0019" w:tentative="1">
      <w:start w:val="1"/>
      <w:numFmt w:val="lowerLetter"/>
      <w:lvlText w:val="%2."/>
      <w:lvlJc w:val="left"/>
      <w:pPr>
        <w:tabs>
          <w:tab w:val="num" w:pos="1222"/>
        </w:tabs>
        <w:ind w:left="1222" w:hanging="360"/>
      </w:pPr>
      <w:rPr>
        <w:rFonts w:cs="Times New Roman"/>
      </w:rPr>
    </w:lvl>
    <w:lvl w:ilvl="2" w:tplc="040C001B" w:tentative="1">
      <w:start w:val="1"/>
      <w:numFmt w:val="lowerRoman"/>
      <w:lvlText w:val="%3."/>
      <w:lvlJc w:val="right"/>
      <w:pPr>
        <w:tabs>
          <w:tab w:val="num" w:pos="1942"/>
        </w:tabs>
        <w:ind w:left="1942" w:hanging="180"/>
      </w:pPr>
      <w:rPr>
        <w:rFonts w:cs="Times New Roman"/>
      </w:rPr>
    </w:lvl>
    <w:lvl w:ilvl="3" w:tplc="040C000F" w:tentative="1">
      <w:start w:val="1"/>
      <w:numFmt w:val="decimal"/>
      <w:lvlText w:val="%4."/>
      <w:lvlJc w:val="left"/>
      <w:pPr>
        <w:tabs>
          <w:tab w:val="num" w:pos="2662"/>
        </w:tabs>
        <w:ind w:left="2662" w:hanging="360"/>
      </w:pPr>
      <w:rPr>
        <w:rFonts w:cs="Times New Roman"/>
      </w:rPr>
    </w:lvl>
    <w:lvl w:ilvl="4" w:tplc="040C0019" w:tentative="1">
      <w:start w:val="1"/>
      <w:numFmt w:val="lowerLetter"/>
      <w:lvlText w:val="%5."/>
      <w:lvlJc w:val="left"/>
      <w:pPr>
        <w:tabs>
          <w:tab w:val="num" w:pos="3382"/>
        </w:tabs>
        <w:ind w:left="3382" w:hanging="360"/>
      </w:pPr>
      <w:rPr>
        <w:rFonts w:cs="Times New Roman"/>
      </w:rPr>
    </w:lvl>
    <w:lvl w:ilvl="5" w:tplc="040C001B" w:tentative="1">
      <w:start w:val="1"/>
      <w:numFmt w:val="lowerRoman"/>
      <w:lvlText w:val="%6."/>
      <w:lvlJc w:val="right"/>
      <w:pPr>
        <w:tabs>
          <w:tab w:val="num" w:pos="4102"/>
        </w:tabs>
        <w:ind w:left="4102" w:hanging="180"/>
      </w:pPr>
      <w:rPr>
        <w:rFonts w:cs="Times New Roman"/>
      </w:rPr>
    </w:lvl>
    <w:lvl w:ilvl="6" w:tplc="040C000F" w:tentative="1">
      <w:start w:val="1"/>
      <w:numFmt w:val="decimal"/>
      <w:lvlText w:val="%7."/>
      <w:lvlJc w:val="left"/>
      <w:pPr>
        <w:tabs>
          <w:tab w:val="num" w:pos="4822"/>
        </w:tabs>
        <w:ind w:left="4822" w:hanging="360"/>
      </w:pPr>
      <w:rPr>
        <w:rFonts w:cs="Times New Roman"/>
      </w:rPr>
    </w:lvl>
    <w:lvl w:ilvl="7" w:tplc="040C0019" w:tentative="1">
      <w:start w:val="1"/>
      <w:numFmt w:val="lowerLetter"/>
      <w:lvlText w:val="%8."/>
      <w:lvlJc w:val="left"/>
      <w:pPr>
        <w:tabs>
          <w:tab w:val="num" w:pos="5542"/>
        </w:tabs>
        <w:ind w:left="5542" w:hanging="360"/>
      </w:pPr>
      <w:rPr>
        <w:rFonts w:cs="Times New Roman"/>
      </w:rPr>
    </w:lvl>
    <w:lvl w:ilvl="8" w:tplc="040C001B" w:tentative="1">
      <w:start w:val="1"/>
      <w:numFmt w:val="lowerRoman"/>
      <w:lvlText w:val="%9."/>
      <w:lvlJc w:val="right"/>
      <w:pPr>
        <w:tabs>
          <w:tab w:val="num" w:pos="6262"/>
        </w:tabs>
        <w:ind w:left="6262" w:hanging="180"/>
      </w:pPr>
      <w:rPr>
        <w:rFonts w:cs="Times New Roman"/>
      </w:rPr>
    </w:lvl>
  </w:abstractNum>
  <w:abstractNum w:abstractNumId="167" w15:restartNumberingAfterBreak="0">
    <w:nsid w:val="0EE16DBC"/>
    <w:multiLevelType w:val="hybridMultilevel"/>
    <w:tmpl w:val="B1D00CC2"/>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0F3C2A6E"/>
    <w:multiLevelType w:val="hybridMultilevel"/>
    <w:tmpl w:val="CCB25FE0"/>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9" w15:restartNumberingAfterBreak="0">
    <w:nsid w:val="104610EA"/>
    <w:multiLevelType w:val="hybridMultilevel"/>
    <w:tmpl w:val="CB8E7FEA"/>
    <w:lvl w:ilvl="0" w:tplc="080C0005">
      <w:start w:val="1"/>
      <w:numFmt w:val="bullet"/>
      <w:lvlText w:val=""/>
      <w:lvlJc w:val="left"/>
      <w:pPr>
        <w:ind w:left="1428" w:hanging="360"/>
      </w:pPr>
      <w:rPr>
        <w:rFonts w:ascii="Wingdings" w:hAnsi="Wingdings" w:hint="default"/>
      </w:rPr>
    </w:lvl>
    <w:lvl w:ilvl="1" w:tplc="080C0003">
      <w:start w:val="1"/>
      <w:numFmt w:val="bullet"/>
      <w:lvlText w:val="o"/>
      <w:lvlJc w:val="left"/>
      <w:pPr>
        <w:ind w:left="2148" w:hanging="360"/>
      </w:pPr>
      <w:rPr>
        <w:rFonts w:ascii="Courier New" w:hAnsi="Courier New" w:cs="Courier New" w:hint="default"/>
      </w:rPr>
    </w:lvl>
    <w:lvl w:ilvl="2" w:tplc="080C0005">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70" w15:restartNumberingAfterBreak="0">
    <w:nsid w:val="104E44DC"/>
    <w:multiLevelType w:val="hybridMultilevel"/>
    <w:tmpl w:val="B9B8798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71" w15:restartNumberingAfterBreak="0">
    <w:nsid w:val="13583B26"/>
    <w:multiLevelType w:val="hybridMultilevel"/>
    <w:tmpl w:val="B6E8981E"/>
    <w:lvl w:ilvl="0" w:tplc="0000003E">
      <w:start w:val="1"/>
      <w:numFmt w:val="bullet"/>
      <w:lvlText w:val=""/>
      <w:lvlJc w:val="left"/>
      <w:pPr>
        <w:ind w:left="1004" w:hanging="360"/>
      </w:pPr>
      <w:rPr>
        <w:rFonts w:ascii="Wingdings" w:hAnsi="Wingdings"/>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172" w15:restartNumberingAfterBreak="0">
    <w:nsid w:val="1440065B"/>
    <w:multiLevelType w:val="hybridMultilevel"/>
    <w:tmpl w:val="F5C2B28E"/>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3" w15:restartNumberingAfterBreak="0">
    <w:nsid w:val="1446708D"/>
    <w:multiLevelType w:val="hybridMultilevel"/>
    <w:tmpl w:val="5EA8BD74"/>
    <w:lvl w:ilvl="0" w:tplc="84622EFE">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51F22052">
      <w:start w:val="1"/>
      <w:numFmt w:val="bullet"/>
      <w:lvlText w:val="o"/>
      <w:lvlJc w:val="left"/>
      <w:pPr>
        <w:ind w:left="11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62CA36A6">
      <w:start w:val="1"/>
      <w:numFmt w:val="bullet"/>
      <w:lvlText w:val="▪"/>
      <w:lvlJc w:val="left"/>
      <w:pPr>
        <w:ind w:left="19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CAF24F86">
      <w:start w:val="1"/>
      <w:numFmt w:val="bullet"/>
      <w:lvlText w:val="•"/>
      <w:lvlJc w:val="left"/>
      <w:pPr>
        <w:ind w:left="26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1BECB6C2">
      <w:start w:val="1"/>
      <w:numFmt w:val="bullet"/>
      <w:lvlText w:val="o"/>
      <w:lvlJc w:val="left"/>
      <w:pPr>
        <w:ind w:left="33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D6947E0C">
      <w:start w:val="1"/>
      <w:numFmt w:val="bullet"/>
      <w:lvlText w:val="▪"/>
      <w:lvlJc w:val="left"/>
      <w:pPr>
        <w:ind w:left="40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18A83168">
      <w:start w:val="1"/>
      <w:numFmt w:val="bullet"/>
      <w:lvlText w:val="•"/>
      <w:lvlJc w:val="left"/>
      <w:pPr>
        <w:ind w:left="47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D3F0286C">
      <w:start w:val="1"/>
      <w:numFmt w:val="bullet"/>
      <w:lvlText w:val="o"/>
      <w:lvlJc w:val="left"/>
      <w:pPr>
        <w:ind w:left="55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20DCFAEA">
      <w:start w:val="1"/>
      <w:numFmt w:val="bullet"/>
      <w:lvlText w:val="▪"/>
      <w:lvlJc w:val="left"/>
      <w:pPr>
        <w:ind w:left="62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174" w15:restartNumberingAfterBreak="0">
    <w:nsid w:val="1514587D"/>
    <w:multiLevelType w:val="hybridMultilevel"/>
    <w:tmpl w:val="07862118"/>
    <w:lvl w:ilvl="0" w:tplc="000000A8">
      <w:start w:val="1"/>
      <w:numFmt w:val="bullet"/>
      <w:lvlText w:val=""/>
      <w:lvlJc w:val="left"/>
      <w:pPr>
        <w:tabs>
          <w:tab w:val="num" w:pos="851"/>
        </w:tabs>
        <w:ind w:left="851"/>
      </w:pPr>
      <w:rPr>
        <w:rFonts w:ascii="Symbol" w:hAnsi="Symbol"/>
        <w:color w:val="auto"/>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175" w15:restartNumberingAfterBreak="0">
    <w:nsid w:val="152A29EE"/>
    <w:multiLevelType w:val="hybridMultilevel"/>
    <w:tmpl w:val="9992082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6" w15:restartNumberingAfterBreak="0">
    <w:nsid w:val="15883577"/>
    <w:multiLevelType w:val="hybridMultilevel"/>
    <w:tmpl w:val="8DA0B9EA"/>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7" w15:restartNumberingAfterBreak="0">
    <w:nsid w:val="15B14C88"/>
    <w:multiLevelType w:val="hybridMultilevel"/>
    <w:tmpl w:val="0FD4788E"/>
    <w:lvl w:ilvl="0" w:tplc="040C000F">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178" w15:restartNumberingAfterBreak="0">
    <w:nsid w:val="1698746F"/>
    <w:multiLevelType w:val="hybridMultilevel"/>
    <w:tmpl w:val="231AF78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9" w15:restartNumberingAfterBreak="0">
    <w:nsid w:val="179D10AC"/>
    <w:multiLevelType w:val="hybridMultilevel"/>
    <w:tmpl w:val="93D61AF8"/>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0" w15:restartNumberingAfterBreak="0">
    <w:nsid w:val="17CF1D4D"/>
    <w:multiLevelType w:val="hybridMultilevel"/>
    <w:tmpl w:val="A218E51A"/>
    <w:lvl w:ilvl="0" w:tplc="080C0001">
      <w:start w:val="1"/>
      <w:numFmt w:val="bullet"/>
      <w:lvlText w:val=""/>
      <w:lvlJc w:val="left"/>
      <w:pPr>
        <w:ind w:left="2138" w:hanging="360"/>
      </w:pPr>
      <w:rPr>
        <w:rFonts w:ascii="Symbol" w:hAnsi="Symbol" w:hint="default"/>
        <w:sz w:val="32"/>
      </w:rPr>
    </w:lvl>
    <w:lvl w:ilvl="1" w:tplc="080C0003" w:tentative="1">
      <w:start w:val="1"/>
      <w:numFmt w:val="bullet"/>
      <w:lvlText w:val="o"/>
      <w:lvlJc w:val="left"/>
      <w:pPr>
        <w:ind w:left="2858" w:hanging="360"/>
      </w:pPr>
      <w:rPr>
        <w:rFonts w:ascii="Courier New" w:hAnsi="Courier New" w:cs="Courier New" w:hint="default"/>
      </w:rPr>
    </w:lvl>
    <w:lvl w:ilvl="2" w:tplc="080C0005" w:tentative="1">
      <w:start w:val="1"/>
      <w:numFmt w:val="bullet"/>
      <w:lvlText w:val=""/>
      <w:lvlJc w:val="left"/>
      <w:pPr>
        <w:ind w:left="3578" w:hanging="360"/>
      </w:pPr>
      <w:rPr>
        <w:rFonts w:ascii="Wingdings" w:hAnsi="Wingdings" w:hint="default"/>
      </w:rPr>
    </w:lvl>
    <w:lvl w:ilvl="3" w:tplc="080C0001" w:tentative="1">
      <w:start w:val="1"/>
      <w:numFmt w:val="bullet"/>
      <w:lvlText w:val=""/>
      <w:lvlJc w:val="left"/>
      <w:pPr>
        <w:ind w:left="4298" w:hanging="360"/>
      </w:pPr>
      <w:rPr>
        <w:rFonts w:ascii="Symbol" w:hAnsi="Symbol" w:hint="default"/>
      </w:rPr>
    </w:lvl>
    <w:lvl w:ilvl="4" w:tplc="080C0003" w:tentative="1">
      <w:start w:val="1"/>
      <w:numFmt w:val="bullet"/>
      <w:lvlText w:val="o"/>
      <w:lvlJc w:val="left"/>
      <w:pPr>
        <w:ind w:left="5018" w:hanging="360"/>
      </w:pPr>
      <w:rPr>
        <w:rFonts w:ascii="Courier New" w:hAnsi="Courier New" w:cs="Courier New" w:hint="default"/>
      </w:rPr>
    </w:lvl>
    <w:lvl w:ilvl="5" w:tplc="080C0005" w:tentative="1">
      <w:start w:val="1"/>
      <w:numFmt w:val="bullet"/>
      <w:lvlText w:val=""/>
      <w:lvlJc w:val="left"/>
      <w:pPr>
        <w:ind w:left="5738" w:hanging="360"/>
      </w:pPr>
      <w:rPr>
        <w:rFonts w:ascii="Wingdings" w:hAnsi="Wingdings" w:hint="default"/>
      </w:rPr>
    </w:lvl>
    <w:lvl w:ilvl="6" w:tplc="080C0001" w:tentative="1">
      <w:start w:val="1"/>
      <w:numFmt w:val="bullet"/>
      <w:lvlText w:val=""/>
      <w:lvlJc w:val="left"/>
      <w:pPr>
        <w:ind w:left="6458" w:hanging="360"/>
      </w:pPr>
      <w:rPr>
        <w:rFonts w:ascii="Symbol" w:hAnsi="Symbol" w:hint="default"/>
      </w:rPr>
    </w:lvl>
    <w:lvl w:ilvl="7" w:tplc="080C0003" w:tentative="1">
      <w:start w:val="1"/>
      <w:numFmt w:val="bullet"/>
      <w:lvlText w:val="o"/>
      <w:lvlJc w:val="left"/>
      <w:pPr>
        <w:ind w:left="7178" w:hanging="360"/>
      </w:pPr>
      <w:rPr>
        <w:rFonts w:ascii="Courier New" w:hAnsi="Courier New" w:cs="Courier New" w:hint="default"/>
      </w:rPr>
    </w:lvl>
    <w:lvl w:ilvl="8" w:tplc="080C0005" w:tentative="1">
      <w:start w:val="1"/>
      <w:numFmt w:val="bullet"/>
      <w:lvlText w:val=""/>
      <w:lvlJc w:val="left"/>
      <w:pPr>
        <w:ind w:left="7898" w:hanging="360"/>
      </w:pPr>
      <w:rPr>
        <w:rFonts w:ascii="Wingdings" w:hAnsi="Wingdings" w:hint="default"/>
      </w:rPr>
    </w:lvl>
  </w:abstractNum>
  <w:abstractNum w:abstractNumId="181" w15:restartNumberingAfterBreak="0">
    <w:nsid w:val="18616E54"/>
    <w:multiLevelType w:val="hybridMultilevel"/>
    <w:tmpl w:val="370641D8"/>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191D2EE8"/>
    <w:multiLevelType w:val="hybridMultilevel"/>
    <w:tmpl w:val="509269F6"/>
    <w:lvl w:ilvl="0" w:tplc="782C9568">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28EAF80C">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ABBE4184">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E0BE6314">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5080C1AA">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8546602">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F86849AE">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0DC0F56C">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DF684E74">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183" w15:restartNumberingAfterBreak="0">
    <w:nsid w:val="192A236B"/>
    <w:multiLevelType w:val="hybridMultilevel"/>
    <w:tmpl w:val="D696C62C"/>
    <w:lvl w:ilvl="0" w:tplc="080C0001">
      <w:start w:val="1"/>
      <w:numFmt w:val="bullet"/>
      <w:lvlText w:val=""/>
      <w:lvlJc w:val="left"/>
      <w:pPr>
        <w:ind w:left="2520" w:hanging="360"/>
      </w:pPr>
      <w:rPr>
        <w:rFonts w:ascii="Symbol" w:hAnsi="Symbol" w:hint="default"/>
      </w:rPr>
    </w:lvl>
    <w:lvl w:ilvl="1" w:tplc="080C0003" w:tentative="1">
      <w:start w:val="1"/>
      <w:numFmt w:val="bullet"/>
      <w:lvlText w:val="o"/>
      <w:lvlJc w:val="left"/>
      <w:pPr>
        <w:ind w:left="3240" w:hanging="360"/>
      </w:pPr>
      <w:rPr>
        <w:rFonts w:ascii="Courier New" w:hAnsi="Courier New" w:cs="Courier New" w:hint="default"/>
      </w:rPr>
    </w:lvl>
    <w:lvl w:ilvl="2" w:tplc="080C0005" w:tentative="1">
      <w:start w:val="1"/>
      <w:numFmt w:val="bullet"/>
      <w:lvlText w:val=""/>
      <w:lvlJc w:val="left"/>
      <w:pPr>
        <w:ind w:left="3960" w:hanging="360"/>
      </w:pPr>
      <w:rPr>
        <w:rFonts w:ascii="Wingdings" w:hAnsi="Wingdings" w:hint="default"/>
      </w:rPr>
    </w:lvl>
    <w:lvl w:ilvl="3" w:tplc="080C0001" w:tentative="1">
      <w:start w:val="1"/>
      <w:numFmt w:val="bullet"/>
      <w:lvlText w:val=""/>
      <w:lvlJc w:val="left"/>
      <w:pPr>
        <w:ind w:left="4680" w:hanging="360"/>
      </w:pPr>
      <w:rPr>
        <w:rFonts w:ascii="Symbol" w:hAnsi="Symbol" w:hint="default"/>
      </w:rPr>
    </w:lvl>
    <w:lvl w:ilvl="4" w:tplc="080C0003" w:tentative="1">
      <w:start w:val="1"/>
      <w:numFmt w:val="bullet"/>
      <w:lvlText w:val="o"/>
      <w:lvlJc w:val="left"/>
      <w:pPr>
        <w:ind w:left="5400" w:hanging="360"/>
      </w:pPr>
      <w:rPr>
        <w:rFonts w:ascii="Courier New" w:hAnsi="Courier New" w:cs="Courier New" w:hint="default"/>
      </w:rPr>
    </w:lvl>
    <w:lvl w:ilvl="5" w:tplc="080C0005" w:tentative="1">
      <w:start w:val="1"/>
      <w:numFmt w:val="bullet"/>
      <w:lvlText w:val=""/>
      <w:lvlJc w:val="left"/>
      <w:pPr>
        <w:ind w:left="6120" w:hanging="360"/>
      </w:pPr>
      <w:rPr>
        <w:rFonts w:ascii="Wingdings" w:hAnsi="Wingdings" w:hint="default"/>
      </w:rPr>
    </w:lvl>
    <w:lvl w:ilvl="6" w:tplc="080C0001" w:tentative="1">
      <w:start w:val="1"/>
      <w:numFmt w:val="bullet"/>
      <w:lvlText w:val=""/>
      <w:lvlJc w:val="left"/>
      <w:pPr>
        <w:ind w:left="6840" w:hanging="360"/>
      </w:pPr>
      <w:rPr>
        <w:rFonts w:ascii="Symbol" w:hAnsi="Symbol" w:hint="default"/>
      </w:rPr>
    </w:lvl>
    <w:lvl w:ilvl="7" w:tplc="080C0003" w:tentative="1">
      <w:start w:val="1"/>
      <w:numFmt w:val="bullet"/>
      <w:lvlText w:val="o"/>
      <w:lvlJc w:val="left"/>
      <w:pPr>
        <w:ind w:left="7560" w:hanging="360"/>
      </w:pPr>
      <w:rPr>
        <w:rFonts w:ascii="Courier New" w:hAnsi="Courier New" w:cs="Courier New" w:hint="default"/>
      </w:rPr>
    </w:lvl>
    <w:lvl w:ilvl="8" w:tplc="080C0005" w:tentative="1">
      <w:start w:val="1"/>
      <w:numFmt w:val="bullet"/>
      <w:lvlText w:val=""/>
      <w:lvlJc w:val="left"/>
      <w:pPr>
        <w:ind w:left="8280" w:hanging="360"/>
      </w:pPr>
      <w:rPr>
        <w:rFonts w:ascii="Wingdings" w:hAnsi="Wingdings" w:hint="default"/>
      </w:rPr>
    </w:lvl>
  </w:abstractNum>
  <w:abstractNum w:abstractNumId="184" w15:restartNumberingAfterBreak="0">
    <w:nsid w:val="19F45945"/>
    <w:multiLevelType w:val="hybridMultilevel"/>
    <w:tmpl w:val="35FEA544"/>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5" w15:restartNumberingAfterBreak="0">
    <w:nsid w:val="1B4B4D61"/>
    <w:multiLevelType w:val="hybridMultilevel"/>
    <w:tmpl w:val="6EEA902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6" w15:restartNumberingAfterBreak="0">
    <w:nsid w:val="1B6F1DB4"/>
    <w:multiLevelType w:val="multilevel"/>
    <w:tmpl w:val="07A0E892"/>
    <w:lvl w:ilvl="0">
      <w:start w:val="1"/>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7" w15:restartNumberingAfterBreak="0">
    <w:nsid w:val="1C5D49E3"/>
    <w:multiLevelType w:val="hybridMultilevel"/>
    <w:tmpl w:val="7764C4F0"/>
    <w:lvl w:ilvl="0" w:tplc="D18694F2">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B0926A3C">
      <w:start w:val="1"/>
      <w:numFmt w:val="bullet"/>
      <w:lvlText w:val="o"/>
      <w:lvlJc w:val="left"/>
      <w:pPr>
        <w:ind w:left="11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DB6EC6D8">
      <w:start w:val="1"/>
      <w:numFmt w:val="bullet"/>
      <w:lvlText w:val="▪"/>
      <w:lvlJc w:val="left"/>
      <w:pPr>
        <w:ind w:left="19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D2E066D8">
      <w:start w:val="1"/>
      <w:numFmt w:val="bullet"/>
      <w:lvlText w:val="•"/>
      <w:lvlJc w:val="left"/>
      <w:pPr>
        <w:ind w:left="26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EA6A879A">
      <w:start w:val="1"/>
      <w:numFmt w:val="bullet"/>
      <w:lvlText w:val="o"/>
      <w:lvlJc w:val="left"/>
      <w:pPr>
        <w:ind w:left="33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C11001A2">
      <w:start w:val="1"/>
      <w:numFmt w:val="bullet"/>
      <w:lvlText w:val="▪"/>
      <w:lvlJc w:val="left"/>
      <w:pPr>
        <w:ind w:left="40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F60230CA">
      <w:start w:val="1"/>
      <w:numFmt w:val="bullet"/>
      <w:lvlText w:val="•"/>
      <w:lvlJc w:val="left"/>
      <w:pPr>
        <w:ind w:left="47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12FCB050">
      <w:start w:val="1"/>
      <w:numFmt w:val="bullet"/>
      <w:lvlText w:val="o"/>
      <w:lvlJc w:val="left"/>
      <w:pPr>
        <w:ind w:left="55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132D308">
      <w:start w:val="1"/>
      <w:numFmt w:val="bullet"/>
      <w:lvlText w:val="▪"/>
      <w:lvlJc w:val="left"/>
      <w:pPr>
        <w:ind w:left="62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188" w15:restartNumberingAfterBreak="0">
    <w:nsid w:val="1C72063F"/>
    <w:multiLevelType w:val="hybridMultilevel"/>
    <w:tmpl w:val="3252E644"/>
    <w:lvl w:ilvl="0" w:tplc="040C0017">
      <w:start w:val="1"/>
      <w:numFmt w:val="lowerLetter"/>
      <w:lvlText w:val="%1)"/>
      <w:lvlJc w:val="left"/>
      <w:pPr>
        <w:tabs>
          <w:tab w:val="num" w:pos="720"/>
        </w:tabs>
        <w:ind w:left="720" w:hanging="360"/>
      </w:pPr>
      <w:rPr>
        <w:rFonts w:cs="Times New Roman"/>
      </w:rPr>
    </w:lvl>
    <w:lvl w:ilvl="1" w:tplc="3DC4F648">
      <w:start w:val="1"/>
      <w:numFmt w:val="decimal"/>
      <w:lvlText w:val="%2."/>
      <w:lvlJc w:val="left"/>
      <w:pPr>
        <w:tabs>
          <w:tab w:val="num" w:pos="1440"/>
        </w:tabs>
        <w:ind w:left="1440" w:hanging="360"/>
      </w:pPr>
      <w:rPr>
        <w:rFonts w:cs="Times New Roman"/>
        <w:b/>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89" w15:restartNumberingAfterBreak="0">
    <w:nsid w:val="1C9247D2"/>
    <w:multiLevelType w:val="hybridMultilevel"/>
    <w:tmpl w:val="6B10DB6E"/>
    <w:lvl w:ilvl="0" w:tplc="040C000F">
      <w:start w:val="1"/>
      <w:numFmt w:val="decimal"/>
      <w:lvlText w:val="%1."/>
      <w:lvlJc w:val="left"/>
      <w:pPr>
        <w:tabs>
          <w:tab w:val="num" w:pos="720"/>
        </w:tabs>
        <w:ind w:left="720" w:hanging="360"/>
      </w:pPr>
      <w:rPr>
        <w:rFonts w:cs="Times New Roman"/>
      </w:rPr>
    </w:lvl>
    <w:lvl w:ilvl="1" w:tplc="040C0019">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90" w15:restartNumberingAfterBreak="0">
    <w:nsid w:val="1CE11DAD"/>
    <w:multiLevelType w:val="multilevel"/>
    <w:tmpl w:val="F72E3644"/>
    <w:numStyleLink w:val="Style5"/>
  </w:abstractNum>
  <w:abstractNum w:abstractNumId="191" w15:restartNumberingAfterBreak="0">
    <w:nsid w:val="1D0F6E0D"/>
    <w:multiLevelType w:val="hybridMultilevel"/>
    <w:tmpl w:val="7864FD22"/>
    <w:lvl w:ilvl="0" w:tplc="98EE5FC6">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92" w15:restartNumberingAfterBreak="0">
    <w:nsid w:val="1E1F2FD1"/>
    <w:multiLevelType w:val="hybridMultilevel"/>
    <w:tmpl w:val="573C2940"/>
    <w:lvl w:ilvl="0" w:tplc="040C0001">
      <w:start w:val="1"/>
      <w:numFmt w:val="bullet"/>
      <w:lvlText w:val=""/>
      <w:lvlJc w:val="left"/>
      <w:pPr>
        <w:tabs>
          <w:tab w:val="num" w:pos="720"/>
        </w:tabs>
        <w:ind w:left="720" w:hanging="360"/>
      </w:pPr>
      <w:rPr>
        <w:rFonts w:ascii="Symbol" w:hAnsi="Symbol" w:hint="default"/>
      </w:r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193" w15:restartNumberingAfterBreak="0">
    <w:nsid w:val="1E3B6744"/>
    <w:multiLevelType w:val="hybridMultilevel"/>
    <w:tmpl w:val="5254CC72"/>
    <w:name w:val="WW8Num392"/>
    <w:lvl w:ilvl="0" w:tplc="B47437A6">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194" w15:restartNumberingAfterBreak="0">
    <w:nsid w:val="1E9A3B25"/>
    <w:multiLevelType w:val="hybridMultilevel"/>
    <w:tmpl w:val="62921444"/>
    <w:lvl w:ilvl="0" w:tplc="00000108">
      <w:start w:val="1"/>
      <w:numFmt w:val="bullet"/>
      <w:lvlText w:val=""/>
      <w:lvlJc w:val="left"/>
      <w:pPr>
        <w:ind w:left="1288" w:hanging="360"/>
      </w:pPr>
      <w:rPr>
        <w:rFonts w:ascii="Wingdings" w:hAnsi="Wingdings"/>
      </w:rPr>
    </w:lvl>
    <w:lvl w:ilvl="1" w:tplc="080C0003" w:tentative="1">
      <w:start w:val="1"/>
      <w:numFmt w:val="bullet"/>
      <w:lvlText w:val="o"/>
      <w:lvlJc w:val="left"/>
      <w:pPr>
        <w:ind w:left="2008" w:hanging="360"/>
      </w:pPr>
      <w:rPr>
        <w:rFonts w:ascii="Courier New" w:hAnsi="Courier New" w:cs="Courier New" w:hint="default"/>
      </w:rPr>
    </w:lvl>
    <w:lvl w:ilvl="2" w:tplc="080C0005" w:tentative="1">
      <w:start w:val="1"/>
      <w:numFmt w:val="bullet"/>
      <w:lvlText w:val=""/>
      <w:lvlJc w:val="left"/>
      <w:pPr>
        <w:ind w:left="2728" w:hanging="360"/>
      </w:pPr>
      <w:rPr>
        <w:rFonts w:ascii="Wingdings" w:hAnsi="Wingdings" w:hint="default"/>
      </w:rPr>
    </w:lvl>
    <w:lvl w:ilvl="3" w:tplc="080C0001" w:tentative="1">
      <w:start w:val="1"/>
      <w:numFmt w:val="bullet"/>
      <w:lvlText w:val=""/>
      <w:lvlJc w:val="left"/>
      <w:pPr>
        <w:ind w:left="3448" w:hanging="360"/>
      </w:pPr>
      <w:rPr>
        <w:rFonts w:ascii="Symbol" w:hAnsi="Symbol" w:hint="default"/>
      </w:rPr>
    </w:lvl>
    <w:lvl w:ilvl="4" w:tplc="080C0003" w:tentative="1">
      <w:start w:val="1"/>
      <w:numFmt w:val="bullet"/>
      <w:lvlText w:val="o"/>
      <w:lvlJc w:val="left"/>
      <w:pPr>
        <w:ind w:left="4168" w:hanging="360"/>
      </w:pPr>
      <w:rPr>
        <w:rFonts w:ascii="Courier New" w:hAnsi="Courier New" w:cs="Courier New" w:hint="default"/>
      </w:rPr>
    </w:lvl>
    <w:lvl w:ilvl="5" w:tplc="080C0005" w:tentative="1">
      <w:start w:val="1"/>
      <w:numFmt w:val="bullet"/>
      <w:lvlText w:val=""/>
      <w:lvlJc w:val="left"/>
      <w:pPr>
        <w:ind w:left="4888" w:hanging="360"/>
      </w:pPr>
      <w:rPr>
        <w:rFonts w:ascii="Wingdings" w:hAnsi="Wingdings" w:hint="default"/>
      </w:rPr>
    </w:lvl>
    <w:lvl w:ilvl="6" w:tplc="080C0001" w:tentative="1">
      <w:start w:val="1"/>
      <w:numFmt w:val="bullet"/>
      <w:lvlText w:val=""/>
      <w:lvlJc w:val="left"/>
      <w:pPr>
        <w:ind w:left="5608" w:hanging="360"/>
      </w:pPr>
      <w:rPr>
        <w:rFonts w:ascii="Symbol" w:hAnsi="Symbol" w:hint="default"/>
      </w:rPr>
    </w:lvl>
    <w:lvl w:ilvl="7" w:tplc="080C0003" w:tentative="1">
      <w:start w:val="1"/>
      <w:numFmt w:val="bullet"/>
      <w:lvlText w:val="o"/>
      <w:lvlJc w:val="left"/>
      <w:pPr>
        <w:ind w:left="6328" w:hanging="360"/>
      </w:pPr>
      <w:rPr>
        <w:rFonts w:ascii="Courier New" w:hAnsi="Courier New" w:cs="Courier New" w:hint="default"/>
      </w:rPr>
    </w:lvl>
    <w:lvl w:ilvl="8" w:tplc="080C0005" w:tentative="1">
      <w:start w:val="1"/>
      <w:numFmt w:val="bullet"/>
      <w:lvlText w:val=""/>
      <w:lvlJc w:val="left"/>
      <w:pPr>
        <w:ind w:left="7048" w:hanging="360"/>
      </w:pPr>
      <w:rPr>
        <w:rFonts w:ascii="Wingdings" w:hAnsi="Wingdings" w:hint="default"/>
      </w:rPr>
    </w:lvl>
  </w:abstractNum>
  <w:abstractNum w:abstractNumId="195" w15:restartNumberingAfterBreak="0">
    <w:nsid w:val="21E7506E"/>
    <w:multiLevelType w:val="hybridMultilevel"/>
    <w:tmpl w:val="F8A0AE42"/>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96" w15:restartNumberingAfterBreak="0">
    <w:nsid w:val="220547A9"/>
    <w:multiLevelType w:val="hybridMultilevel"/>
    <w:tmpl w:val="DC4E1D7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7" w15:restartNumberingAfterBreak="0">
    <w:nsid w:val="2214180B"/>
    <w:multiLevelType w:val="hybridMultilevel"/>
    <w:tmpl w:val="31644176"/>
    <w:lvl w:ilvl="0" w:tplc="89EA80FA">
      <w:start w:val="1"/>
      <w:numFmt w:val="bullet"/>
      <w:lvlText w:val=""/>
      <w:lvlJc w:val="left"/>
      <w:pPr>
        <w:tabs>
          <w:tab w:val="num" w:pos="357"/>
        </w:tabs>
        <w:ind w:left="340" w:hanging="340"/>
      </w:pPr>
      <w:rPr>
        <w:rFonts w:ascii="Wingdings" w:hAnsi="Wingdings" w:hint="default"/>
        <w:sz w:val="4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8" w15:restartNumberingAfterBreak="0">
    <w:nsid w:val="22A70ABB"/>
    <w:multiLevelType w:val="hybridMultilevel"/>
    <w:tmpl w:val="BC629C3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9" w15:restartNumberingAfterBreak="0">
    <w:nsid w:val="243833DC"/>
    <w:multiLevelType w:val="hybridMultilevel"/>
    <w:tmpl w:val="AE6AC35A"/>
    <w:lvl w:ilvl="0" w:tplc="B5A61DE2">
      <w:start w:val="1"/>
      <w:numFmt w:val="decimal"/>
      <w:lvlText w:val="%1)"/>
      <w:lvlJc w:val="left"/>
      <w:pPr>
        <w:ind w:left="20" w:hanging="360"/>
      </w:pPr>
      <w:rPr>
        <w:rFonts w:hint="default"/>
        <w:b/>
      </w:rPr>
    </w:lvl>
    <w:lvl w:ilvl="1" w:tplc="080C0019" w:tentative="1">
      <w:start w:val="1"/>
      <w:numFmt w:val="lowerLetter"/>
      <w:lvlText w:val="%2."/>
      <w:lvlJc w:val="left"/>
      <w:pPr>
        <w:ind w:left="740" w:hanging="360"/>
      </w:pPr>
    </w:lvl>
    <w:lvl w:ilvl="2" w:tplc="080C001B" w:tentative="1">
      <w:start w:val="1"/>
      <w:numFmt w:val="lowerRoman"/>
      <w:lvlText w:val="%3."/>
      <w:lvlJc w:val="right"/>
      <w:pPr>
        <w:ind w:left="1460" w:hanging="180"/>
      </w:pPr>
    </w:lvl>
    <w:lvl w:ilvl="3" w:tplc="080C000F" w:tentative="1">
      <w:start w:val="1"/>
      <w:numFmt w:val="decimal"/>
      <w:lvlText w:val="%4."/>
      <w:lvlJc w:val="left"/>
      <w:pPr>
        <w:ind w:left="2180" w:hanging="360"/>
      </w:pPr>
    </w:lvl>
    <w:lvl w:ilvl="4" w:tplc="080C0019" w:tentative="1">
      <w:start w:val="1"/>
      <w:numFmt w:val="lowerLetter"/>
      <w:lvlText w:val="%5."/>
      <w:lvlJc w:val="left"/>
      <w:pPr>
        <w:ind w:left="2900" w:hanging="360"/>
      </w:pPr>
    </w:lvl>
    <w:lvl w:ilvl="5" w:tplc="080C001B" w:tentative="1">
      <w:start w:val="1"/>
      <w:numFmt w:val="lowerRoman"/>
      <w:lvlText w:val="%6."/>
      <w:lvlJc w:val="right"/>
      <w:pPr>
        <w:ind w:left="3620" w:hanging="180"/>
      </w:pPr>
    </w:lvl>
    <w:lvl w:ilvl="6" w:tplc="080C000F" w:tentative="1">
      <w:start w:val="1"/>
      <w:numFmt w:val="decimal"/>
      <w:lvlText w:val="%7."/>
      <w:lvlJc w:val="left"/>
      <w:pPr>
        <w:ind w:left="4340" w:hanging="360"/>
      </w:pPr>
    </w:lvl>
    <w:lvl w:ilvl="7" w:tplc="080C0019" w:tentative="1">
      <w:start w:val="1"/>
      <w:numFmt w:val="lowerLetter"/>
      <w:lvlText w:val="%8."/>
      <w:lvlJc w:val="left"/>
      <w:pPr>
        <w:ind w:left="5060" w:hanging="360"/>
      </w:pPr>
    </w:lvl>
    <w:lvl w:ilvl="8" w:tplc="080C001B" w:tentative="1">
      <w:start w:val="1"/>
      <w:numFmt w:val="lowerRoman"/>
      <w:lvlText w:val="%9."/>
      <w:lvlJc w:val="right"/>
      <w:pPr>
        <w:ind w:left="5780" w:hanging="180"/>
      </w:pPr>
    </w:lvl>
  </w:abstractNum>
  <w:abstractNum w:abstractNumId="200" w15:restartNumberingAfterBreak="0">
    <w:nsid w:val="243A70D2"/>
    <w:multiLevelType w:val="hybridMultilevel"/>
    <w:tmpl w:val="86249E82"/>
    <w:lvl w:ilvl="0" w:tplc="43625848">
      <w:start w:val="8"/>
      <w:numFmt w:val="bullet"/>
      <w:lvlText w:val="-"/>
      <w:lvlJc w:val="left"/>
      <w:pPr>
        <w:tabs>
          <w:tab w:val="num" w:pos="1614"/>
        </w:tabs>
        <w:ind w:left="1614" w:hanging="360"/>
      </w:pPr>
      <w:rPr>
        <w:rFonts w:ascii="Arial" w:hAnsi="Arial" w:hint="default"/>
        <w:spacing w:val="-20"/>
        <w:position w:val="0"/>
      </w:rPr>
    </w:lvl>
    <w:lvl w:ilvl="1" w:tplc="FFFFFFFF">
      <w:start w:val="1"/>
      <w:numFmt w:val="bullet"/>
      <w:lvlText w:val="o"/>
      <w:lvlJc w:val="left"/>
      <w:pPr>
        <w:tabs>
          <w:tab w:val="num" w:pos="2154"/>
        </w:tabs>
        <w:ind w:left="2154" w:hanging="360"/>
      </w:pPr>
      <w:rPr>
        <w:rFonts w:ascii="Courier New" w:hAnsi="Courier New" w:hint="default"/>
      </w:rPr>
    </w:lvl>
    <w:lvl w:ilvl="2" w:tplc="FFFFFFFF">
      <w:start w:val="1"/>
      <w:numFmt w:val="bullet"/>
      <w:lvlText w:val=""/>
      <w:lvlJc w:val="left"/>
      <w:pPr>
        <w:tabs>
          <w:tab w:val="num" w:pos="2874"/>
        </w:tabs>
        <w:ind w:left="2874" w:hanging="360"/>
      </w:pPr>
      <w:rPr>
        <w:rFonts w:ascii="Wingdings" w:hAnsi="Wingdings" w:hint="default"/>
      </w:rPr>
    </w:lvl>
    <w:lvl w:ilvl="3" w:tplc="FFFFFFFF" w:tentative="1">
      <w:start w:val="1"/>
      <w:numFmt w:val="bullet"/>
      <w:lvlText w:val=""/>
      <w:lvlJc w:val="left"/>
      <w:pPr>
        <w:tabs>
          <w:tab w:val="num" w:pos="3594"/>
        </w:tabs>
        <w:ind w:left="3594" w:hanging="360"/>
      </w:pPr>
      <w:rPr>
        <w:rFonts w:ascii="Symbol" w:hAnsi="Symbol" w:hint="default"/>
      </w:rPr>
    </w:lvl>
    <w:lvl w:ilvl="4" w:tplc="FFFFFFFF" w:tentative="1">
      <w:start w:val="1"/>
      <w:numFmt w:val="bullet"/>
      <w:lvlText w:val="o"/>
      <w:lvlJc w:val="left"/>
      <w:pPr>
        <w:tabs>
          <w:tab w:val="num" w:pos="4314"/>
        </w:tabs>
        <w:ind w:left="4314" w:hanging="360"/>
      </w:pPr>
      <w:rPr>
        <w:rFonts w:ascii="Courier New" w:hAnsi="Courier New" w:hint="default"/>
      </w:rPr>
    </w:lvl>
    <w:lvl w:ilvl="5" w:tplc="FFFFFFFF" w:tentative="1">
      <w:start w:val="1"/>
      <w:numFmt w:val="bullet"/>
      <w:lvlText w:val=""/>
      <w:lvlJc w:val="left"/>
      <w:pPr>
        <w:tabs>
          <w:tab w:val="num" w:pos="5034"/>
        </w:tabs>
        <w:ind w:left="5034" w:hanging="360"/>
      </w:pPr>
      <w:rPr>
        <w:rFonts w:ascii="Wingdings" w:hAnsi="Wingdings" w:hint="default"/>
      </w:rPr>
    </w:lvl>
    <w:lvl w:ilvl="6" w:tplc="FFFFFFFF" w:tentative="1">
      <w:start w:val="1"/>
      <w:numFmt w:val="bullet"/>
      <w:lvlText w:val=""/>
      <w:lvlJc w:val="left"/>
      <w:pPr>
        <w:tabs>
          <w:tab w:val="num" w:pos="5754"/>
        </w:tabs>
        <w:ind w:left="5754" w:hanging="360"/>
      </w:pPr>
      <w:rPr>
        <w:rFonts w:ascii="Symbol" w:hAnsi="Symbol" w:hint="default"/>
      </w:rPr>
    </w:lvl>
    <w:lvl w:ilvl="7" w:tplc="FFFFFFFF" w:tentative="1">
      <w:start w:val="1"/>
      <w:numFmt w:val="bullet"/>
      <w:lvlText w:val="o"/>
      <w:lvlJc w:val="left"/>
      <w:pPr>
        <w:tabs>
          <w:tab w:val="num" w:pos="6474"/>
        </w:tabs>
        <w:ind w:left="6474" w:hanging="360"/>
      </w:pPr>
      <w:rPr>
        <w:rFonts w:ascii="Courier New" w:hAnsi="Courier New" w:hint="default"/>
      </w:rPr>
    </w:lvl>
    <w:lvl w:ilvl="8" w:tplc="FFFFFFFF" w:tentative="1">
      <w:start w:val="1"/>
      <w:numFmt w:val="bullet"/>
      <w:lvlText w:val=""/>
      <w:lvlJc w:val="left"/>
      <w:pPr>
        <w:tabs>
          <w:tab w:val="num" w:pos="7194"/>
        </w:tabs>
        <w:ind w:left="7194" w:hanging="360"/>
      </w:pPr>
      <w:rPr>
        <w:rFonts w:ascii="Wingdings" w:hAnsi="Wingdings" w:hint="default"/>
      </w:rPr>
    </w:lvl>
  </w:abstractNum>
  <w:abstractNum w:abstractNumId="201" w15:restartNumberingAfterBreak="0">
    <w:nsid w:val="24D2364D"/>
    <w:multiLevelType w:val="hybridMultilevel"/>
    <w:tmpl w:val="B204D49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2541581C"/>
    <w:multiLevelType w:val="hybridMultilevel"/>
    <w:tmpl w:val="C0308B2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3" w15:restartNumberingAfterBreak="0">
    <w:nsid w:val="26245FB9"/>
    <w:multiLevelType w:val="multilevel"/>
    <w:tmpl w:val="C1962F6E"/>
    <w:lvl w:ilvl="0">
      <w:start w:val="1"/>
      <w:numFmt w:val="decimal"/>
      <w:lvlText w:val="%1."/>
      <w:lvlJc w:val="left"/>
      <w:pPr>
        <w:tabs>
          <w:tab w:val="num" w:pos="720"/>
        </w:tabs>
        <w:ind w:left="720" w:hanging="360"/>
      </w:pPr>
      <w:rPr>
        <w:rFonts w:cs="Times New Roman"/>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4" w15:restartNumberingAfterBreak="0">
    <w:nsid w:val="26537239"/>
    <w:multiLevelType w:val="multilevel"/>
    <w:tmpl w:val="0DBE8A1A"/>
    <w:lvl w:ilvl="0">
      <w:start w:val="1"/>
      <w:numFmt w:val="decimal"/>
      <w:lvlText w:val="%1."/>
      <w:lvlJc w:val="left"/>
      <w:pPr>
        <w:tabs>
          <w:tab w:val="num" w:pos="720"/>
        </w:tabs>
        <w:ind w:left="720" w:hanging="360"/>
      </w:pPr>
      <w:rPr>
        <w:rFonts w:cs="Times New Roman" w:hint="default"/>
      </w:rPr>
    </w:lvl>
    <w:lvl w:ilvl="1">
      <w:start w:val="2"/>
      <w:numFmt w:val="decimal"/>
      <w:isLgl/>
      <w:lvlText w:val="%1.%2"/>
      <w:lvlJc w:val="left"/>
      <w:pPr>
        <w:tabs>
          <w:tab w:val="num" w:pos="870"/>
        </w:tabs>
        <w:ind w:left="870" w:hanging="51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440"/>
        </w:tabs>
        <w:ind w:left="1440" w:hanging="108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800"/>
        </w:tabs>
        <w:ind w:left="1800" w:hanging="144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2160"/>
        </w:tabs>
        <w:ind w:left="2160" w:hanging="180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05" w15:restartNumberingAfterBreak="0">
    <w:nsid w:val="26D60BA0"/>
    <w:multiLevelType w:val="hybridMultilevel"/>
    <w:tmpl w:val="7AA48128"/>
    <w:lvl w:ilvl="0" w:tplc="7EAC0266">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49523A2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D3089932">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A76C598C">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B776E22A">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E09A2446">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DA14B404">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76BC65C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E4C8A70">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06" w15:restartNumberingAfterBreak="0">
    <w:nsid w:val="2710543A"/>
    <w:multiLevelType w:val="hybridMultilevel"/>
    <w:tmpl w:val="8CC013C2"/>
    <w:lvl w:ilvl="0" w:tplc="FFFFFFFF">
      <w:numFmt w:val="bullet"/>
      <w:lvlText w:val="-"/>
      <w:lvlJc w:val="left"/>
      <w:pPr>
        <w:ind w:left="1211" w:hanging="360"/>
      </w:pPr>
      <w:rPr>
        <w:rFonts w:ascii="Times New Roman" w:eastAsia="Times New Roman" w:hAnsi="Times New Roman" w:cs="Times New Roman" w:hint="default"/>
      </w:rPr>
    </w:lvl>
    <w:lvl w:ilvl="1" w:tplc="080C0003" w:tentative="1">
      <w:start w:val="1"/>
      <w:numFmt w:val="bullet"/>
      <w:lvlText w:val="o"/>
      <w:lvlJc w:val="left"/>
      <w:pPr>
        <w:ind w:left="1931" w:hanging="360"/>
      </w:pPr>
      <w:rPr>
        <w:rFonts w:ascii="Courier New" w:hAnsi="Courier New" w:cs="Courier New" w:hint="default"/>
      </w:rPr>
    </w:lvl>
    <w:lvl w:ilvl="2" w:tplc="080C0005" w:tentative="1">
      <w:start w:val="1"/>
      <w:numFmt w:val="bullet"/>
      <w:lvlText w:val=""/>
      <w:lvlJc w:val="left"/>
      <w:pPr>
        <w:ind w:left="2651" w:hanging="360"/>
      </w:pPr>
      <w:rPr>
        <w:rFonts w:ascii="Wingdings" w:hAnsi="Wingdings" w:hint="default"/>
      </w:rPr>
    </w:lvl>
    <w:lvl w:ilvl="3" w:tplc="080C0001" w:tentative="1">
      <w:start w:val="1"/>
      <w:numFmt w:val="bullet"/>
      <w:lvlText w:val=""/>
      <w:lvlJc w:val="left"/>
      <w:pPr>
        <w:ind w:left="3371" w:hanging="360"/>
      </w:pPr>
      <w:rPr>
        <w:rFonts w:ascii="Symbol" w:hAnsi="Symbol" w:hint="default"/>
      </w:rPr>
    </w:lvl>
    <w:lvl w:ilvl="4" w:tplc="080C0003" w:tentative="1">
      <w:start w:val="1"/>
      <w:numFmt w:val="bullet"/>
      <w:lvlText w:val="o"/>
      <w:lvlJc w:val="left"/>
      <w:pPr>
        <w:ind w:left="4091" w:hanging="360"/>
      </w:pPr>
      <w:rPr>
        <w:rFonts w:ascii="Courier New" w:hAnsi="Courier New" w:cs="Courier New" w:hint="default"/>
      </w:rPr>
    </w:lvl>
    <w:lvl w:ilvl="5" w:tplc="080C0005" w:tentative="1">
      <w:start w:val="1"/>
      <w:numFmt w:val="bullet"/>
      <w:lvlText w:val=""/>
      <w:lvlJc w:val="left"/>
      <w:pPr>
        <w:ind w:left="4811" w:hanging="360"/>
      </w:pPr>
      <w:rPr>
        <w:rFonts w:ascii="Wingdings" w:hAnsi="Wingdings" w:hint="default"/>
      </w:rPr>
    </w:lvl>
    <w:lvl w:ilvl="6" w:tplc="080C0001" w:tentative="1">
      <w:start w:val="1"/>
      <w:numFmt w:val="bullet"/>
      <w:lvlText w:val=""/>
      <w:lvlJc w:val="left"/>
      <w:pPr>
        <w:ind w:left="5531" w:hanging="360"/>
      </w:pPr>
      <w:rPr>
        <w:rFonts w:ascii="Symbol" w:hAnsi="Symbol" w:hint="default"/>
      </w:rPr>
    </w:lvl>
    <w:lvl w:ilvl="7" w:tplc="080C0003" w:tentative="1">
      <w:start w:val="1"/>
      <w:numFmt w:val="bullet"/>
      <w:lvlText w:val="o"/>
      <w:lvlJc w:val="left"/>
      <w:pPr>
        <w:ind w:left="6251" w:hanging="360"/>
      </w:pPr>
      <w:rPr>
        <w:rFonts w:ascii="Courier New" w:hAnsi="Courier New" w:cs="Courier New" w:hint="default"/>
      </w:rPr>
    </w:lvl>
    <w:lvl w:ilvl="8" w:tplc="080C0005" w:tentative="1">
      <w:start w:val="1"/>
      <w:numFmt w:val="bullet"/>
      <w:lvlText w:val=""/>
      <w:lvlJc w:val="left"/>
      <w:pPr>
        <w:ind w:left="6971" w:hanging="360"/>
      </w:pPr>
      <w:rPr>
        <w:rFonts w:ascii="Wingdings" w:hAnsi="Wingdings" w:hint="default"/>
      </w:rPr>
    </w:lvl>
  </w:abstractNum>
  <w:abstractNum w:abstractNumId="207" w15:restartNumberingAfterBreak="0">
    <w:nsid w:val="285575EB"/>
    <w:multiLevelType w:val="multilevel"/>
    <w:tmpl w:val="F72E3644"/>
    <w:styleLink w:val="Style5"/>
    <w:lvl w:ilvl="0">
      <w:start w:val="1"/>
      <w:numFmt w:val="bullet"/>
      <w:lvlText w:val="□"/>
      <w:lvlJc w:val="left"/>
      <w:pPr>
        <w:ind w:left="2136" w:hanging="360"/>
      </w:pPr>
      <w:rPr>
        <w:rFonts w:ascii="Calibri" w:hAnsi="Calibri"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289A51C6"/>
    <w:multiLevelType w:val="hybridMultilevel"/>
    <w:tmpl w:val="1772EBFA"/>
    <w:lvl w:ilvl="0" w:tplc="5200489C">
      <w:start w:val="1"/>
      <w:numFmt w:val="lowerLetter"/>
      <w:lvlText w:val="%1)"/>
      <w:lvlJc w:val="left"/>
      <w:pPr>
        <w:ind w:left="1065"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09" w15:restartNumberingAfterBreak="0">
    <w:nsid w:val="29310324"/>
    <w:multiLevelType w:val="hybridMultilevel"/>
    <w:tmpl w:val="8B269AC4"/>
    <w:lvl w:ilvl="0" w:tplc="080C0017">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10" w15:restartNumberingAfterBreak="0">
    <w:nsid w:val="294A482D"/>
    <w:multiLevelType w:val="hybridMultilevel"/>
    <w:tmpl w:val="44ACF27A"/>
    <w:lvl w:ilvl="0" w:tplc="CB3A2A2C">
      <w:start w:val="1"/>
      <w:numFmt w:val="bullet"/>
      <w:lvlText w:val=""/>
      <w:lvlJc w:val="left"/>
      <w:pPr>
        <w:ind w:left="81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34FCF9B6">
      <w:start w:val="1"/>
      <w:numFmt w:val="bullet"/>
      <w:lvlText w:val="o"/>
      <w:lvlJc w:val="left"/>
      <w:pPr>
        <w:ind w:left="155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75FCA8C0">
      <w:start w:val="1"/>
      <w:numFmt w:val="bullet"/>
      <w:lvlText w:val="▪"/>
      <w:lvlJc w:val="left"/>
      <w:pPr>
        <w:ind w:left="227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6E3426B6">
      <w:start w:val="1"/>
      <w:numFmt w:val="bullet"/>
      <w:lvlText w:val="•"/>
      <w:lvlJc w:val="left"/>
      <w:pPr>
        <w:ind w:left="299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7F28BACA">
      <w:start w:val="1"/>
      <w:numFmt w:val="bullet"/>
      <w:lvlText w:val="o"/>
      <w:lvlJc w:val="left"/>
      <w:pPr>
        <w:ind w:left="371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5386A7D6">
      <w:start w:val="1"/>
      <w:numFmt w:val="bullet"/>
      <w:lvlText w:val="▪"/>
      <w:lvlJc w:val="left"/>
      <w:pPr>
        <w:ind w:left="443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63E823DA">
      <w:start w:val="1"/>
      <w:numFmt w:val="bullet"/>
      <w:lvlText w:val="•"/>
      <w:lvlJc w:val="left"/>
      <w:pPr>
        <w:ind w:left="515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AB58BEF4">
      <w:start w:val="1"/>
      <w:numFmt w:val="bullet"/>
      <w:lvlText w:val="o"/>
      <w:lvlJc w:val="left"/>
      <w:pPr>
        <w:ind w:left="587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3CAE377C">
      <w:start w:val="1"/>
      <w:numFmt w:val="bullet"/>
      <w:lvlText w:val="▪"/>
      <w:lvlJc w:val="left"/>
      <w:pPr>
        <w:ind w:left="659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11" w15:restartNumberingAfterBreak="0">
    <w:nsid w:val="29805278"/>
    <w:multiLevelType w:val="hybridMultilevel"/>
    <w:tmpl w:val="9E22ED2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2" w15:restartNumberingAfterBreak="0">
    <w:nsid w:val="2B657FD0"/>
    <w:multiLevelType w:val="hybridMultilevel"/>
    <w:tmpl w:val="2F263624"/>
    <w:lvl w:ilvl="0" w:tplc="61046E9C">
      <w:numFmt w:val="bullet"/>
      <w:lvlText w:val="-"/>
      <w:lvlJc w:val="left"/>
      <w:pPr>
        <w:ind w:left="720" w:hanging="360"/>
      </w:pPr>
      <w:rPr>
        <w:rFonts w:ascii="Georgia" w:eastAsia="Times New Roman" w:hAnsi="Georgia"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3" w15:restartNumberingAfterBreak="0">
    <w:nsid w:val="2C19674B"/>
    <w:multiLevelType w:val="hybridMultilevel"/>
    <w:tmpl w:val="E864E32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4" w15:restartNumberingAfterBreak="0">
    <w:nsid w:val="2D5E2ABA"/>
    <w:multiLevelType w:val="hybridMultilevel"/>
    <w:tmpl w:val="120214F8"/>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5" w15:restartNumberingAfterBreak="0">
    <w:nsid w:val="2DA250BF"/>
    <w:multiLevelType w:val="hybridMultilevel"/>
    <w:tmpl w:val="0980B2F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6" w15:restartNumberingAfterBreak="0">
    <w:nsid w:val="2DEE4CAF"/>
    <w:multiLevelType w:val="hybridMultilevel"/>
    <w:tmpl w:val="0F7A091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7" w15:restartNumberingAfterBreak="0">
    <w:nsid w:val="2E2A4663"/>
    <w:multiLevelType w:val="hybridMultilevel"/>
    <w:tmpl w:val="02F611CC"/>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8" w15:restartNumberingAfterBreak="0">
    <w:nsid w:val="2EB87A13"/>
    <w:multiLevelType w:val="hybridMultilevel"/>
    <w:tmpl w:val="58E4B88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19" w15:restartNumberingAfterBreak="0">
    <w:nsid w:val="306C604A"/>
    <w:multiLevelType w:val="hybridMultilevel"/>
    <w:tmpl w:val="5FAA542C"/>
    <w:lvl w:ilvl="0" w:tplc="7FC070AC">
      <w:start w:val="1"/>
      <w:numFmt w:val="bullet"/>
      <w:lvlText w:val=""/>
      <w:lvlJc w:val="left"/>
      <w:pPr>
        <w:ind w:left="7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D90C2ED0">
      <w:start w:val="1"/>
      <w:numFmt w:val="bullet"/>
      <w:lvlText w:val="o"/>
      <w:lvlJc w:val="left"/>
      <w:pPr>
        <w:ind w:left="15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65062516">
      <w:start w:val="1"/>
      <w:numFmt w:val="bullet"/>
      <w:lvlText w:val="▪"/>
      <w:lvlJc w:val="left"/>
      <w:pPr>
        <w:ind w:left="22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0C905C62">
      <w:start w:val="1"/>
      <w:numFmt w:val="bullet"/>
      <w:lvlText w:val="•"/>
      <w:lvlJc w:val="left"/>
      <w:pPr>
        <w:ind w:left="29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970E63E2">
      <w:start w:val="1"/>
      <w:numFmt w:val="bullet"/>
      <w:lvlText w:val="o"/>
      <w:lvlJc w:val="left"/>
      <w:pPr>
        <w:ind w:left="37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D6A7228">
      <w:start w:val="1"/>
      <w:numFmt w:val="bullet"/>
      <w:lvlText w:val="▪"/>
      <w:lvlJc w:val="left"/>
      <w:pPr>
        <w:ind w:left="44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02468D18">
      <w:start w:val="1"/>
      <w:numFmt w:val="bullet"/>
      <w:lvlText w:val="•"/>
      <w:lvlJc w:val="left"/>
      <w:pPr>
        <w:ind w:left="51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5906B58E">
      <w:start w:val="1"/>
      <w:numFmt w:val="bullet"/>
      <w:lvlText w:val="o"/>
      <w:lvlJc w:val="left"/>
      <w:pPr>
        <w:ind w:left="58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A8462FB8">
      <w:start w:val="1"/>
      <w:numFmt w:val="bullet"/>
      <w:lvlText w:val="▪"/>
      <w:lvlJc w:val="left"/>
      <w:pPr>
        <w:ind w:left="65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20" w15:restartNumberingAfterBreak="0">
    <w:nsid w:val="30C83032"/>
    <w:multiLevelType w:val="hybridMultilevel"/>
    <w:tmpl w:val="00228F6A"/>
    <w:lvl w:ilvl="0" w:tplc="040C0009">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8AA8F87A">
      <w:numFmt w:val="bullet"/>
      <w:lvlText w:val="-"/>
      <w:lvlJc w:val="left"/>
      <w:pPr>
        <w:tabs>
          <w:tab w:val="num" w:pos="2160"/>
        </w:tabs>
        <w:ind w:left="2160" w:hanging="360"/>
      </w:pPr>
      <w:rPr>
        <w:rFonts w:ascii="Arial" w:eastAsia="Times New Roman" w:hAnsi="Arial"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1" w15:restartNumberingAfterBreak="0">
    <w:nsid w:val="310142E9"/>
    <w:multiLevelType w:val="multilevel"/>
    <w:tmpl w:val="D5D8796C"/>
    <w:lvl w:ilvl="0">
      <w:start w:val="1"/>
      <w:numFmt w:val="decimal"/>
      <w:lvlText w:val="%1."/>
      <w:lvlJc w:val="left"/>
      <w:pPr>
        <w:ind w:left="585" w:hanging="58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2" w15:restartNumberingAfterBreak="0">
    <w:nsid w:val="3123566F"/>
    <w:multiLevelType w:val="hybridMultilevel"/>
    <w:tmpl w:val="5764066E"/>
    <w:lvl w:ilvl="0" w:tplc="00000109">
      <w:start w:val="1"/>
      <w:numFmt w:val="bullet"/>
      <w:lvlText w:val=""/>
      <w:lvlJc w:val="left"/>
      <w:pPr>
        <w:tabs>
          <w:tab w:val="num" w:pos="357"/>
        </w:tabs>
        <w:ind w:left="340" w:hanging="340"/>
      </w:pPr>
      <w:rPr>
        <w:rFonts w:ascii="Wingdings" w:hAnsi="Wingdings"/>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3" w15:restartNumberingAfterBreak="0">
    <w:nsid w:val="32830DF0"/>
    <w:multiLevelType w:val="hybridMultilevel"/>
    <w:tmpl w:val="A9E658B2"/>
    <w:lvl w:ilvl="0" w:tplc="080C000F">
      <w:start w:val="1"/>
      <w:numFmt w:val="decimal"/>
      <w:lvlText w:val="%1."/>
      <w:lvlJc w:val="left"/>
      <w:pPr>
        <w:ind w:left="1287" w:hanging="360"/>
      </w:pPr>
    </w:lvl>
    <w:lvl w:ilvl="1" w:tplc="080C0019" w:tentative="1">
      <w:start w:val="1"/>
      <w:numFmt w:val="lowerLetter"/>
      <w:lvlText w:val="%2."/>
      <w:lvlJc w:val="left"/>
      <w:pPr>
        <w:ind w:left="2007" w:hanging="360"/>
      </w:pPr>
    </w:lvl>
    <w:lvl w:ilvl="2" w:tplc="080C001B" w:tentative="1">
      <w:start w:val="1"/>
      <w:numFmt w:val="lowerRoman"/>
      <w:lvlText w:val="%3."/>
      <w:lvlJc w:val="right"/>
      <w:pPr>
        <w:ind w:left="2727" w:hanging="180"/>
      </w:pPr>
    </w:lvl>
    <w:lvl w:ilvl="3" w:tplc="080C000F" w:tentative="1">
      <w:start w:val="1"/>
      <w:numFmt w:val="decimal"/>
      <w:lvlText w:val="%4."/>
      <w:lvlJc w:val="left"/>
      <w:pPr>
        <w:ind w:left="3447" w:hanging="360"/>
      </w:pPr>
    </w:lvl>
    <w:lvl w:ilvl="4" w:tplc="080C0019" w:tentative="1">
      <w:start w:val="1"/>
      <w:numFmt w:val="lowerLetter"/>
      <w:lvlText w:val="%5."/>
      <w:lvlJc w:val="left"/>
      <w:pPr>
        <w:ind w:left="4167" w:hanging="360"/>
      </w:pPr>
    </w:lvl>
    <w:lvl w:ilvl="5" w:tplc="080C001B" w:tentative="1">
      <w:start w:val="1"/>
      <w:numFmt w:val="lowerRoman"/>
      <w:lvlText w:val="%6."/>
      <w:lvlJc w:val="right"/>
      <w:pPr>
        <w:ind w:left="4887" w:hanging="180"/>
      </w:pPr>
    </w:lvl>
    <w:lvl w:ilvl="6" w:tplc="080C000F" w:tentative="1">
      <w:start w:val="1"/>
      <w:numFmt w:val="decimal"/>
      <w:lvlText w:val="%7."/>
      <w:lvlJc w:val="left"/>
      <w:pPr>
        <w:ind w:left="5607" w:hanging="360"/>
      </w:pPr>
    </w:lvl>
    <w:lvl w:ilvl="7" w:tplc="080C0019" w:tentative="1">
      <w:start w:val="1"/>
      <w:numFmt w:val="lowerLetter"/>
      <w:lvlText w:val="%8."/>
      <w:lvlJc w:val="left"/>
      <w:pPr>
        <w:ind w:left="6327" w:hanging="360"/>
      </w:pPr>
    </w:lvl>
    <w:lvl w:ilvl="8" w:tplc="080C001B" w:tentative="1">
      <w:start w:val="1"/>
      <w:numFmt w:val="lowerRoman"/>
      <w:lvlText w:val="%9."/>
      <w:lvlJc w:val="right"/>
      <w:pPr>
        <w:ind w:left="7047" w:hanging="180"/>
      </w:pPr>
    </w:lvl>
  </w:abstractNum>
  <w:abstractNum w:abstractNumId="224" w15:restartNumberingAfterBreak="0">
    <w:nsid w:val="340E2EEB"/>
    <w:multiLevelType w:val="hybridMultilevel"/>
    <w:tmpl w:val="6024D47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5" w15:restartNumberingAfterBreak="0">
    <w:nsid w:val="346B3965"/>
    <w:multiLevelType w:val="hybridMultilevel"/>
    <w:tmpl w:val="11425264"/>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26" w15:restartNumberingAfterBreak="0">
    <w:nsid w:val="34851405"/>
    <w:multiLevelType w:val="hybridMultilevel"/>
    <w:tmpl w:val="95009E24"/>
    <w:lvl w:ilvl="0" w:tplc="62C46466">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3D7AE928">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34D641D4">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CFA6B5C8">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5D168FDC">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63307E46">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A53A1C36">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D6CC3FA">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F7F6393E">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27" w15:restartNumberingAfterBreak="0">
    <w:nsid w:val="36550D7B"/>
    <w:multiLevelType w:val="multilevel"/>
    <w:tmpl w:val="C2942A36"/>
    <w:lvl w:ilvl="0">
      <w:start w:val="1"/>
      <w:numFmt w:val="decimal"/>
      <w:lvlText w:val="%1."/>
      <w:lvlJc w:val="left"/>
      <w:pPr>
        <w:ind w:left="780" w:hanging="780"/>
      </w:pPr>
      <w:rPr>
        <w:rFonts w:hint="default"/>
      </w:rPr>
    </w:lvl>
    <w:lvl w:ilvl="1">
      <w:start w:val="2"/>
      <w:numFmt w:val="decimal"/>
      <w:lvlText w:val="%1.%2."/>
      <w:lvlJc w:val="left"/>
      <w:pPr>
        <w:ind w:left="780" w:hanging="780"/>
      </w:pPr>
      <w:rPr>
        <w:rFonts w:hint="default"/>
      </w:rPr>
    </w:lvl>
    <w:lvl w:ilvl="2">
      <w:start w:val="3"/>
      <w:numFmt w:val="decimal"/>
      <w:lvlText w:val="%1.%2.%3."/>
      <w:lvlJc w:val="left"/>
      <w:pPr>
        <w:ind w:left="780" w:hanging="78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790" w:hanging="1080"/>
      </w:pPr>
      <w:rPr>
        <w:rFonts w:ascii="Cambria" w:hAnsi="Cambria" w:hint="default"/>
        <w:b/>
        <w:sz w:val="21"/>
        <w:szCs w:val="21"/>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8" w15:restartNumberingAfterBreak="0">
    <w:nsid w:val="370A3943"/>
    <w:multiLevelType w:val="hybridMultilevel"/>
    <w:tmpl w:val="E3D61078"/>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29" w15:restartNumberingAfterBreak="0">
    <w:nsid w:val="370B58A4"/>
    <w:multiLevelType w:val="hybridMultilevel"/>
    <w:tmpl w:val="48B6C65A"/>
    <w:name w:val="WW8Num962"/>
    <w:lvl w:ilvl="0" w:tplc="00000060">
      <w:start w:val="1"/>
      <w:numFmt w:val="bullet"/>
      <w:lvlText w:val=""/>
      <w:lvlJc w:val="left"/>
      <w:pPr>
        <w:tabs>
          <w:tab w:val="num" w:pos="0"/>
        </w:tabs>
      </w:pPr>
      <w:rPr>
        <w:rFonts w:ascii="Symbol" w:hAnsi="Symbol"/>
        <w:color w:val="auto"/>
      </w:rPr>
    </w:lvl>
    <w:lvl w:ilvl="1" w:tplc="2E2A8D56">
      <w:start w:val="1"/>
      <w:numFmt w:val="bullet"/>
      <w:lvlText w:val=""/>
      <w:lvlJc w:val="left"/>
      <w:pPr>
        <w:tabs>
          <w:tab w:val="num" w:pos="1437"/>
        </w:tabs>
        <w:ind w:left="1420" w:hanging="340"/>
      </w:pPr>
      <w:rPr>
        <w:rFonts w:ascii="Wingdings" w:hAnsi="Wingdings"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0" w15:restartNumberingAfterBreak="0">
    <w:nsid w:val="370B69D1"/>
    <w:multiLevelType w:val="multilevel"/>
    <w:tmpl w:val="F14EE8EA"/>
    <w:name w:val="WW8Num96222"/>
    <w:lvl w:ilvl="0">
      <w:start w:val="1"/>
      <w:numFmt w:val="decimal"/>
      <w:lvlText w:val="%1."/>
      <w:lvlJc w:val="left"/>
      <w:pPr>
        <w:tabs>
          <w:tab w:val="num" w:pos="510"/>
        </w:tabs>
        <w:ind w:left="510" w:hanging="51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31" w15:restartNumberingAfterBreak="0">
    <w:nsid w:val="37F274E6"/>
    <w:multiLevelType w:val="multilevel"/>
    <w:tmpl w:val="0EE23B36"/>
    <w:lvl w:ilvl="0">
      <w:start w:val="1"/>
      <w:numFmt w:val="decimal"/>
      <w:pStyle w:val="Chapitre"/>
      <w:lvlText w:val="%1."/>
      <w:lvlJc w:val="left"/>
      <w:pPr>
        <w:ind w:left="720" w:hanging="360"/>
      </w:pPr>
      <w:rPr>
        <w:rFonts w:hint="default"/>
      </w:rPr>
    </w:lvl>
    <w:lvl w:ilvl="1">
      <w:start w:val="1"/>
      <w:numFmt w:val="decimal"/>
      <w:isLgl/>
      <w:lvlText w:val="%1.%2."/>
      <w:lvlJc w:val="left"/>
      <w:pPr>
        <w:ind w:left="1247" w:hanging="340"/>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2" w15:restartNumberingAfterBreak="0">
    <w:nsid w:val="382810CC"/>
    <w:multiLevelType w:val="hybridMultilevel"/>
    <w:tmpl w:val="2ADC91D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3" w15:restartNumberingAfterBreak="0">
    <w:nsid w:val="38F429DC"/>
    <w:multiLevelType w:val="hybridMultilevel"/>
    <w:tmpl w:val="288030E8"/>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4" w15:restartNumberingAfterBreak="0">
    <w:nsid w:val="39327AB8"/>
    <w:multiLevelType w:val="hybridMultilevel"/>
    <w:tmpl w:val="5ACCCAD4"/>
    <w:lvl w:ilvl="0" w:tplc="AE0A2506">
      <w:start w:val="1"/>
      <w:numFmt w:val="bullet"/>
      <w:lvlText w:val=""/>
      <w:lvlJc w:val="left"/>
      <w:pPr>
        <w:ind w:left="7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BA829962">
      <w:start w:val="1"/>
      <w:numFmt w:val="bullet"/>
      <w:lvlText w:val="o"/>
      <w:lvlJc w:val="left"/>
      <w:pPr>
        <w:ind w:left="15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B56462FC">
      <w:start w:val="1"/>
      <w:numFmt w:val="bullet"/>
      <w:lvlText w:val="▪"/>
      <w:lvlJc w:val="left"/>
      <w:pPr>
        <w:ind w:left="22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E4505890">
      <w:start w:val="1"/>
      <w:numFmt w:val="bullet"/>
      <w:lvlText w:val="•"/>
      <w:lvlJc w:val="left"/>
      <w:pPr>
        <w:ind w:left="29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22B27A4A">
      <w:start w:val="1"/>
      <w:numFmt w:val="bullet"/>
      <w:lvlText w:val="o"/>
      <w:lvlJc w:val="left"/>
      <w:pPr>
        <w:ind w:left="37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F07EA340">
      <w:start w:val="1"/>
      <w:numFmt w:val="bullet"/>
      <w:lvlText w:val="▪"/>
      <w:lvlJc w:val="left"/>
      <w:pPr>
        <w:ind w:left="44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0ECF264">
      <w:start w:val="1"/>
      <w:numFmt w:val="bullet"/>
      <w:lvlText w:val="•"/>
      <w:lvlJc w:val="left"/>
      <w:pPr>
        <w:ind w:left="51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AB8A80B4">
      <w:start w:val="1"/>
      <w:numFmt w:val="bullet"/>
      <w:lvlText w:val="o"/>
      <w:lvlJc w:val="left"/>
      <w:pPr>
        <w:ind w:left="58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10086F32">
      <w:start w:val="1"/>
      <w:numFmt w:val="bullet"/>
      <w:lvlText w:val="▪"/>
      <w:lvlJc w:val="left"/>
      <w:pPr>
        <w:ind w:left="65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35" w15:restartNumberingAfterBreak="0">
    <w:nsid w:val="39D02A8C"/>
    <w:multiLevelType w:val="hybridMultilevel"/>
    <w:tmpl w:val="F2182D08"/>
    <w:lvl w:ilvl="0" w:tplc="89FE389A">
      <w:start w:val="1"/>
      <w:numFmt w:val="bullet"/>
      <w:lvlText w:val=""/>
      <w:lvlJc w:val="center"/>
      <w:pPr>
        <w:ind w:left="1996" w:hanging="360"/>
      </w:pPr>
      <w:rPr>
        <w:rFonts w:ascii="Symbol" w:hAnsi="Symbol" w:hint="default"/>
      </w:rPr>
    </w:lvl>
    <w:lvl w:ilvl="1" w:tplc="080C0003" w:tentative="1">
      <w:start w:val="1"/>
      <w:numFmt w:val="bullet"/>
      <w:lvlText w:val="o"/>
      <w:lvlJc w:val="left"/>
      <w:pPr>
        <w:ind w:left="2716" w:hanging="360"/>
      </w:pPr>
      <w:rPr>
        <w:rFonts w:ascii="Courier New" w:hAnsi="Courier New" w:cs="Courier New" w:hint="default"/>
      </w:rPr>
    </w:lvl>
    <w:lvl w:ilvl="2" w:tplc="080C0005" w:tentative="1">
      <w:start w:val="1"/>
      <w:numFmt w:val="bullet"/>
      <w:lvlText w:val=""/>
      <w:lvlJc w:val="left"/>
      <w:pPr>
        <w:ind w:left="3436" w:hanging="360"/>
      </w:pPr>
      <w:rPr>
        <w:rFonts w:ascii="Wingdings" w:hAnsi="Wingdings" w:hint="default"/>
      </w:rPr>
    </w:lvl>
    <w:lvl w:ilvl="3" w:tplc="080C0001" w:tentative="1">
      <w:start w:val="1"/>
      <w:numFmt w:val="bullet"/>
      <w:lvlText w:val=""/>
      <w:lvlJc w:val="left"/>
      <w:pPr>
        <w:ind w:left="4156" w:hanging="360"/>
      </w:pPr>
      <w:rPr>
        <w:rFonts w:ascii="Symbol" w:hAnsi="Symbol" w:hint="default"/>
      </w:rPr>
    </w:lvl>
    <w:lvl w:ilvl="4" w:tplc="080C0003" w:tentative="1">
      <w:start w:val="1"/>
      <w:numFmt w:val="bullet"/>
      <w:lvlText w:val="o"/>
      <w:lvlJc w:val="left"/>
      <w:pPr>
        <w:ind w:left="4876" w:hanging="360"/>
      </w:pPr>
      <w:rPr>
        <w:rFonts w:ascii="Courier New" w:hAnsi="Courier New" w:cs="Courier New" w:hint="default"/>
      </w:rPr>
    </w:lvl>
    <w:lvl w:ilvl="5" w:tplc="080C0005" w:tentative="1">
      <w:start w:val="1"/>
      <w:numFmt w:val="bullet"/>
      <w:lvlText w:val=""/>
      <w:lvlJc w:val="left"/>
      <w:pPr>
        <w:ind w:left="5596" w:hanging="360"/>
      </w:pPr>
      <w:rPr>
        <w:rFonts w:ascii="Wingdings" w:hAnsi="Wingdings" w:hint="default"/>
      </w:rPr>
    </w:lvl>
    <w:lvl w:ilvl="6" w:tplc="080C0001" w:tentative="1">
      <w:start w:val="1"/>
      <w:numFmt w:val="bullet"/>
      <w:lvlText w:val=""/>
      <w:lvlJc w:val="left"/>
      <w:pPr>
        <w:ind w:left="6316" w:hanging="360"/>
      </w:pPr>
      <w:rPr>
        <w:rFonts w:ascii="Symbol" w:hAnsi="Symbol" w:hint="default"/>
      </w:rPr>
    </w:lvl>
    <w:lvl w:ilvl="7" w:tplc="080C0003" w:tentative="1">
      <w:start w:val="1"/>
      <w:numFmt w:val="bullet"/>
      <w:lvlText w:val="o"/>
      <w:lvlJc w:val="left"/>
      <w:pPr>
        <w:ind w:left="7036" w:hanging="360"/>
      </w:pPr>
      <w:rPr>
        <w:rFonts w:ascii="Courier New" w:hAnsi="Courier New" w:cs="Courier New" w:hint="default"/>
      </w:rPr>
    </w:lvl>
    <w:lvl w:ilvl="8" w:tplc="080C0005" w:tentative="1">
      <w:start w:val="1"/>
      <w:numFmt w:val="bullet"/>
      <w:lvlText w:val=""/>
      <w:lvlJc w:val="left"/>
      <w:pPr>
        <w:ind w:left="7756" w:hanging="360"/>
      </w:pPr>
      <w:rPr>
        <w:rFonts w:ascii="Wingdings" w:hAnsi="Wingdings" w:hint="default"/>
      </w:rPr>
    </w:lvl>
  </w:abstractNum>
  <w:abstractNum w:abstractNumId="236" w15:restartNumberingAfterBreak="0">
    <w:nsid w:val="3AE77F0E"/>
    <w:multiLevelType w:val="hybridMultilevel"/>
    <w:tmpl w:val="0484B544"/>
    <w:lvl w:ilvl="0" w:tplc="080C0001">
      <w:start w:val="1"/>
      <w:numFmt w:val="bullet"/>
      <w:lvlText w:val=""/>
      <w:lvlJc w:val="left"/>
      <w:pPr>
        <w:ind w:left="360" w:hanging="360"/>
      </w:pPr>
      <w:rPr>
        <w:rFonts w:ascii="Symbol" w:hAnsi="Symbol" w:hint="default"/>
      </w:rPr>
    </w:lvl>
    <w:lvl w:ilvl="1" w:tplc="080C0001">
      <w:start w:val="1"/>
      <w:numFmt w:val="bullet"/>
      <w:lvlText w:val=""/>
      <w:lvlJc w:val="left"/>
      <w:pPr>
        <w:ind w:left="1080" w:hanging="360"/>
      </w:pPr>
      <w:rPr>
        <w:rFonts w:ascii="Symbol" w:hAnsi="Symbol"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237" w15:restartNumberingAfterBreak="0">
    <w:nsid w:val="3B1F5A69"/>
    <w:multiLevelType w:val="hybridMultilevel"/>
    <w:tmpl w:val="7CE6F7D4"/>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8" w15:restartNumberingAfterBreak="0">
    <w:nsid w:val="3B4D2AB9"/>
    <w:multiLevelType w:val="hybridMultilevel"/>
    <w:tmpl w:val="830A7598"/>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9" w15:restartNumberingAfterBreak="0">
    <w:nsid w:val="3C4D160B"/>
    <w:multiLevelType w:val="multilevel"/>
    <w:tmpl w:val="F72E3644"/>
    <w:numStyleLink w:val="Style5"/>
  </w:abstractNum>
  <w:abstractNum w:abstractNumId="240" w15:restartNumberingAfterBreak="0">
    <w:nsid w:val="3CB82103"/>
    <w:multiLevelType w:val="hybridMultilevel"/>
    <w:tmpl w:val="13C270E0"/>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1" w15:restartNumberingAfterBreak="0">
    <w:nsid w:val="3DC16235"/>
    <w:multiLevelType w:val="hybridMultilevel"/>
    <w:tmpl w:val="8C7609E2"/>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42" w15:restartNumberingAfterBreak="0">
    <w:nsid w:val="3F433538"/>
    <w:multiLevelType w:val="multilevel"/>
    <w:tmpl w:val="6428B88E"/>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3" w15:restartNumberingAfterBreak="0">
    <w:nsid w:val="3F4F7707"/>
    <w:multiLevelType w:val="hybridMultilevel"/>
    <w:tmpl w:val="21F87394"/>
    <w:name w:val="WW8Num1882"/>
    <w:lvl w:ilvl="0" w:tplc="000000BC">
      <w:start w:val="1"/>
      <w:numFmt w:val="bullet"/>
      <w:lvlText w:val=""/>
      <w:lvlJc w:val="left"/>
      <w:pPr>
        <w:ind w:left="1145" w:hanging="360"/>
      </w:pPr>
      <w:rPr>
        <w:rFonts w:ascii="Symbol" w:hAnsi="Symbol"/>
      </w:rPr>
    </w:lvl>
    <w:lvl w:ilvl="1" w:tplc="080C0003" w:tentative="1">
      <w:start w:val="1"/>
      <w:numFmt w:val="bullet"/>
      <w:lvlText w:val="o"/>
      <w:lvlJc w:val="left"/>
      <w:pPr>
        <w:ind w:left="1865" w:hanging="360"/>
      </w:pPr>
      <w:rPr>
        <w:rFonts w:ascii="Courier New" w:hAnsi="Courier New" w:cs="Courier New" w:hint="default"/>
      </w:rPr>
    </w:lvl>
    <w:lvl w:ilvl="2" w:tplc="080C0005" w:tentative="1">
      <w:start w:val="1"/>
      <w:numFmt w:val="bullet"/>
      <w:lvlText w:val=""/>
      <w:lvlJc w:val="left"/>
      <w:pPr>
        <w:ind w:left="2585" w:hanging="360"/>
      </w:pPr>
      <w:rPr>
        <w:rFonts w:ascii="Wingdings" w:hAnsi="Wingdings" w:hint="default"/>
      </w:rPr>
    </w:lvl>
    <w:lvl w:ilvl="3" w:tplc="080C0001" w:tentative="1">
      <w:start w:val="1"/>
      <w:numFmt w:val="bullet"/>
      <w:lvlText w:val=""/>
      <w:lvlJc w:val="left"/>
      <w:pPr>
        <w:ind w:left="3305" w:hanging="360"/>
      </w:pPr>
      <w:rPr>
        <w:rFonts w:ascii="Symbol" w:hAnsi="Symbol" w:hint="default"/>
      </w:rPr>
    </w:lvl>
    <w:lvl w:ilvl="4" w:tplc="080C0003" w:tentative="1">
      <w:start w:val="1"/>
      <w:numFmt w:val="bullet"/>
      <w:lvlText w:val="o"/>
      <w:lvlJc w:val="left"/>
      <w:pPr>
        <w:ind w:left="4025" w:hanging="360"/>
      </w:pPr>
      <w:rPr>
        <w:rFonts w:ascii="Courier New" w:hAnsi="Courier New" w:cs="Courier New" w:hint="default"/>
      </w:rPr>
    </w:lvl>
    <w:lvl w:ilvl="5" w:tplc="080C0005" w:tentative="1">
      <w:start w:val="1"/>
      <w:numFmt w:val="bullet"/>
      <w:lvlText w:val=""/>
      <w:lvlJc w:val="left"/>
      <w:pPr>
        <w:ind w:left="4745" w:hanging="360"/>
      </w:pPr>
      <w:rPr>
        <w:rFonts w:ascii="Wingdings" w:hAnsi="Wingdings" w:hint="default"/>
      </w:rPr>
    </w:lvl>
    <w:lvl w:ilvl="6" w:tplc="080C0001" w:tentative="1">
      <w:start w:val="1"/>
      <w:numFmt w:val="bullet"/>
      <w:lvlText w:val=""/>
      <w:lvlJc w:val="left"/>
      <w:pPr>
        <w:ind w:left="5465" w:hanging="360"/>
      </w:pPr>
      <w:rPr>
        <w:rFonts w:ascii="Symbol" w:hAnsi="Symbol" w:hint="default"/>
      </w:rPr>
    </w:lvl>
    <w:lvl w:ilvl="7" w:tplc="080C0003" w:tentative="1">
      <w:start w:val="1"/>
      <w:numFmt w:val="bullet"/>
      <w:lvlText w:val="o"/>
      <w:lvlJc w:val="left"/>
      <w:pPr>
        <w:ind w:left="6185" w:hanging="360"/>
      </w:pPr>
      <w:rPr>
        <w:rFonts w:ascii="Courier New" w:hAnsi="Courier New" w:cs="Courier New" w:hint="default"/>
      </w:rPr>
    </w:lvl>
    <w:lvl w:ilvl="8" w:tplc="080C0005" w:tentative="1">
      <w:start w:val="1"/>
      <w:numFmt w:val="bullet"/>
      <w:lvlText w:val=""/>
      <w:lvlJc w:val="left"/>
      <w:pPr>
        <w:ind w:left="6905" w:hanging="360"/>
      </w:pPr>
      <w:rPr>
        <w:rFonts w:ascii="Wingdings" w:hAnsi="Wingdings" w:hint="default"/>
      </w:rPr>
    </w:lvl>
  </w:abstractNum>
  <w:abstractNum w:abstractNumId="244" w15:restartNumberingAfterBreak="0">
    <w:nsid w:val="401D6BBE"/>
    <w:multiLevelType w:val="hybridMultilevel"/>
    <w:tmpl w:val="44F6E01C"/>
    <w:lvl w:ilvl="0" w:tplc="4EDA9ABA">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7B3AF7A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F89E6CE8">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966668F4">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C4DA9A90">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1270D762">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6CE62658">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428E9E7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543274E8">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45" w15:restartNumberingAfterBreak="0">
    <w:nsid w:val="40F94310"/>
    <w:multiLevelType w:val="hybridMultilevel"/>
    <w:tmpl w:val="992A726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6" w15:restartNumberingAfterBreak="0">
    <w:nsid w:val="414D60DB"/>
    <w:multiLevelType w:val="hybridMultilevel"/>
    <w:tmpl w:val="FA3434CE"/>
    <w:lvl w:ilvl="0" w:tplc="51AA6BEA">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5C3E204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28C0B4AA">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6C2075FE">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2B42E8D6">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115E9164">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5DA054C">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85127D7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5D9EE4E8">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47" w15:restartNumberingAfterBreak="0">
    <w:nsid w:val="42E7651B"/>
    <w:multiLevelType w:val="hybridMultilevel"/>
    <w:tmpl w:val="1408ECA2"/>
    <w:lvl w:ilvl="0" w:tplc="8B0CBDD4">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48" w15:restartNumberingAfterBreak="0">
    <w:nsid w:val="431B20B8"/>
    <w:multiLevelType w:val="hybridMultilevel"/>
    <w:tmpl w:val="F670E63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9" w15:restartNumberingAfterBreak="0">
    <w:nsid w:val="433A4CEC"/>
    <w:multiLevelType w:val="hybridMultilevel"/>
    <w:tmpl w:val="8184021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0" w15:restartNumberingAfterBreak="0">
    <w:nsid w:val="441E0615"/>
    <w:multiLevelType w:val="hybridMultilevel"/>
    <w:tmpl w:val="041CFDE6"/>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1" w15:restartNumberingAfterBreak="0">
    <w:nsid w:val="448A2DFA"/>
    <w:multiLevelType w:val="hybridMultilevel"/>
    <w:tmpl w:val="E47C226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52" w15:restartNumberingAfterBreak="0">
    <w:nsid w:val="45162639"/>
    <w:multiLevelType w:val="hybridMultilevel"/>
    <w:tmpl w:val="271A6D12"/>
    <w:lvl w:ilvl="0" w:tplc="040C0019">
      <w:start w:val="1"/>
      <w:numFmt w:val="lowerLetter"/>
      <w:lvlText w:val="%1."/>
      <w:lvlJc w:val="left"/>
      <w:pPr>
        <w:tabs>
          <w:tab w:val="num" w:pos="720"/>
        </w:tabs>
        <w:ind w:left="720" w:hanging="360"/>
      </w:pPr>
      <w:rPr>
        <w:rFonts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53" w15:restartNumberingAfterBreak="0">
    <w:nsid w:val="45535313"/>
    <w:multiLevelType w:val="hybridMultilevel"/>
    <w:tmpl w:val="880EE2D0"/>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254" w15:restartNumberingAfterBreak="0">
    <w:nsid w:val="45BB510B"/>
    <w:multiLevelType w:val="hybridMultilevel"/>
    <w:tmpl w:val="CF64E5CC"/>
    <w:lvl w:ilvl="0" w:tplc="080C0017">
      <w:start w:val="1"/>
      <w:numFmt w:val="lowerLetter"/>
      <w:lvlText w:val="%1)"/>
      <w:lvlJc w:val="left"/>
      <w:pPr>
        <w:ind w:left="720"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55" w15:restartNumberingAfterBreak="0">
    <w:nsid w:val="46875E3C"/>
    <w:multiLevelType w:val="hybridMultilevel"/>
    <w:tmpl w:val="C4685FE0"/>
    <w:name w:val="WW8Num552"/>
    <w:lvl w:ilvl="0" w:tplc="2E2A8D56">
      <w:start w:val="1"/>
      <w:numFmt w:val="bullet"/>
      <w:lvlText w:val=""/>
      <w:lvlJc w:val="left"/>
      <w:pPr>
        <w:tabs>
          <w:tab w:val="num" w:pos="357"/>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6" w15:restartNumberingAfterBreak="0">
    <w:nsid w:val="46CC3108"/>
    <w:multiLevelType w:val="hybridMultilevel"/>
    <w:tmpl w:val="830268E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7" w15:restartNumberingAfterBreak="0">
    <w:nsid w:val="47485D98"/>
    <w:multiLevelType w:val="hybridMultilevel"/>
    <w:tmpl w:val="0C92BA18"/>
    <w:lvl w:ilvl="0" w:tplc="219CDA6C">
      <w:start w:val="3"/>
      <w:numFmt w:val="bullet"/>
      <w:lvlText w:val="-"/>
      <w:lvlJc w:val="left"/>
      <w:pPr>
        <w:ind w:left="660" w:hanging="360"/>
      </w:pPr>
      <w:rPr>
        <w:rFonts w:ascii="Times New Roman" w:eastAsia="Times New Roman" w:hAnsi="Times New Roman" w:hint="default"/>
      </w:rPr>
    </w:lvl>
    <w:lvl w:ilvl="1" w:tplc="080C0003">
      <w:start w:val="1"/>
      <w:numFmt w:val="decimal"/>
      <w:lvlText w:val="%2."/>
      <w:lvlJc w:val="left"/>
      <w:pPr>
        <w:tabs>
          <w:tab w:val="num" w:pos="1440"/>
        </w:tabs>
        <w:ind w:left="1440" w:hanging="360"/>
      </w:pPr>
      <w:rPr>
        <w:rFonts w:cs="Times New Roman"/>
      </w:rPr>
    </w:lvl>
    <w:lvl w:ilvl="2" w:tplc="080C0005">
      <w:start w:val="1"/>
      <w:numFmt w:val="decimal"/>
      <w:lvlText w:val="%3."/>
      <w:lvlJc w:val="left"/>
      <w:pPr>
        <w:tabs>
          <w:tab w:val="num" w:pos="2160"/>
        </w:tabs>
        <w:ind w:left="2160" w:hanging="360"/>
      </w:pPr>
      <w:rPr>
        <w:rFonts w:cs="Times New Roman"/>
      </w:rPr>
    </w:lvl>
    <w:lvl w:ilvl="3" w:tplc="080C0001">
      <w:start w:val="1"/>
      <w:numFmt w:val="decimal"/>
      <w:lvlText w:val="%4."/>
      <w:lvlJc w:val="left"/>
      <w:pPr>
        <w:tabs>
          <w:tab w:val="num" w:pos="2880"/>
        </w:tabs>
        <w:ind w:left="2880" w:hanging="360"/>
      </w:pPr>
      <w:rPr>
        <w:rFonts w:cs="Times New Roman"/>
      </w:rPr>
    </w:lvl>
    <w:lvl w:ilvl="4" w:tplc="080C0003">
      <w:start w:val="1"/>
      <w:numFmt w:val="decimal"/>
      <w:lvlText w:val="%5."/>
      <w:lvlJc w:val="left"/>
      <w:pPr>
        <w:tabs>
          <w:tab w:val="num" w:pos="3600"/>
        </w:tabs>
        <w:ind w:left="3600" w:hanging="360"/>
      </w:pPr>
      <w:rPr>
        <w:rFonts w:cs="Times New Roman"/>
      </w:rPr>
    </w:lvl>
    <w:lvl w:ilvl="5" w:tplc="080C0005">
      <w:start w:val="1"/>
      <w:numFmt w:val="decimal"/>
      <w:lvlText w:val="%6."/>
      <w:lvlJc w:val="left"/>
      <w:pPr>
        <w:tabs>
          <w:tab w:val="num" w:pos="4320"/>
        </w:tabs>
        <w:ind w:left="4320" w:hanging="360"/>
      </w:pPr>
      <w:rPr>
        <w:rFonts w:cs="Times New Roman"/>
      </w:rPr>
    </w:lvl>
    <w:lvl w:ilvl="6" w:tplc="080C0001">
      <w:start w:val="1"/>
      <w:numFmt w:val="decimal"/>
      <w:lvlText w:val="%7."/>
      <w:lvlJc w:val="left"/>
      <w:pPr>
        <w:tabs>
          <w:tab w:val="num" w:pos="5040"/>
        </w:tabs>
        <w:ind w:left="5040" w:hanging="360"/>
      </w:pPr>
      <w:rPr>
        <w:rFonts w:cs="Times New Roman"/>
      </w:rPr>
    </w:lvl>
    <w:lvl w:ilvl="7" w:tplc="080C0003">
      <w:start w:val="1"/>
      <w:numFmt w:val="decimal"/>
      <w:lvlText w:val="%8."/>
      <w:lvlJc w:val="left"/>
      <w:pPr>
        <w:tabs>
          <w:tab w:val="num" w:pos="5760"/>
        </w:tabs>
        <w:ind w:left="5760" w:hanging="360"/>
      </w:pPr>
      <w:rPr>
        <w:rFonts w:cs="Times New Roman"/>
      </w:rPr>
    </w:lvl>
    <w:lvl w:ilvl="8" w:tplc="080C0005">
      <w:start w:val="1"/>
      <w:numFmt w:val="decimal"/>
      <w:lvlText w:val="%9."/>
      <w:lvlJc w:val="left"/>
      <w:pPr>
        <w:tabs>
          <w:tab w:val="num" w:pos="6480"/>
        </w:tabs>
        <w:ind w:left="6480" w:hanging="360"/>
      </w:pPr>
      <w:rPr>
        <w:rFonts w:cs="Times New Roman"/>
      </w:rPr>
    </w:lvl>
  </w:abstractNum>
  <w:abstractNum w:abstractNumId="258" w15:restartNumberingAfterBreak="0">
    <w:nsid w:val="479B362E"/>
    <w:multiLevelType w:val="hybridMultilevel"/>
    <w:tmpl w:val="671C0AB4"/>
    <w:lvl w:ilvl="0" w:tplc="040C000F">
      <w:start w:val="1"/>
      <w:numFmt w:val="decimal"/>
      <w:lvlText w:val="%1."/>
      <w:lvlJc w:val="left"/>
      <w:pPr>
        <w:tabs>
          <w:tab w:val="num" w:pos="720"/>
        </w:tabs>
        <w:ind w:left="720" w:hanging="360"/>
      </w:pPr>
      <w:rPr>
        <w:rFonts w:cs="Times New Roman"/>
      </w:rPr>
    </w:lvl>
    <w:lvl w:ilvl="1" w:tplc="040C0019">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49FF0FD3"/>
    <w:multiLevelType w:val="hybridMultilevel"/>
    <w:tmpl w:val="5480144E"/>
    <w:lvl w:ilvl="0" w:tplc="E9561964">
      <w:numFmt w:val="bullet"/>
      <w:lvlText w:val="-"/>
      <w:lvlJc w:val="left"/>
      <w:pPr>
        <w:ind w:left="720" w:hanging="360"/>
      </w:pPr>
      <w:rPr>
        <w:rFonts w:ascii="Verdana" w:eastAsia="Times New Roman" w:hAnsi="Verdan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0" w15:restartNumberingAfterBreak="0">
    <w:nsid w:val="4BA65492"/>
    <w:multiLevelType w:val="hybridMultilevel"/>
    <w:tmpl w:val="481E309E"/>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1" w15:restartNumberingAfterBreak="0">
    <w:nsid w:val="4C2A2E7E"/>
    <w:multiLevelType w:val="hybridMultilevel"/>
    <w:tmpl w:val="6D2824D2"/>
    <w:lvl w:ilvl="0" w:tplc="A010036A">
      <w:start w:val="1"/>
      <w:numFmt w:val="bullet"/>
      <w:lvlText w:val=""/>
      <w:lvlJc w:val="left"/>
      <w:pPr>
        <w:tabs>
          <w:tab w:val="num" w:pos="360"/>
        </w:tabs>
        <w:ind w:left="360" w:hanging="360"/>
      </w:pPr>
      <w:rPr>
        <w:rFonts w:ascii="Symbol" w:hAnsi="Symbol" w:hint="default"/>
      </w:rPr>
    </w:lvl>
    <w:lvl w:ilvl="1" w:tplc="10F01926">
      <w:numFmt w:val="bullet"/>
      <w:lvlText w:val=""/>
      <w:lvlJc w:val="left"/>
      <w:pPr>
        <w:tabs>
          <w:tab w:val="num" w:pos="1440"/>
        </w:tabs>
        <w:ind w:left="1440" w:hanging="360"/>
      </w:pPr>
      <w:rPr>
        <w:rFonts w:ascii="Wingdings" w:eastAsia="Times New Roman"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2" w15:restartNumberingAfterBreak="0">
    <w:nsid w:val="4CE6671B"/>
    <w:multiLevelType w:val="hybridMultilevel"/>
    <w:tmpl w:val="CC321E22"/>
    <w:lvl w:ilvl="0" w:tplc="040C0001">
      <w:start w:val="1"/>
      <w:numFmt w:val="bullet"/>
      <w:lvlText w:val=""/>
      <w:lvlJc w:val="left"/>
      <w:pPr>
        <w:tabs>
          <w:tab w:val="num" w:pos="360"/>
        </w:tabs>
        <w:ind w:left="360" w:hanging="360"/>
      </w:pPr>
      <w:rPr>
        <w:rFonts w:ascii="Symbol" w:hAnsi="Symbol" w:hint="default"/>
      </w:rPr>
    </w:lvl>
    <w:lvl w:ilvl="1" w:tplc="00000037">
      <w:start w:val="2"/>
      <w:numFmt w:val="bullet"/>
      <w:lvlText w:val="-"/>
      <w:lvlJc w:val="left"/>
      <w:pPr>
        <w:tabs>
          <w:tab w:val="num" w:pos="1260"/>
        </w:tabs>
        <w:ind w:left="1260" w:hanging="360"/>
      </w:pPr>
      <w:rPr>
        <w:rFonts w:ascii="Times New Roman" w:hAnsi="Times New Roman" w:hint="default"/>
      </w:rPr>
    </w:lvl>
    <w:lvl w:ilvl="2" w:tplc="040C0005" w:tentative="1">
      <w:start w:val="1"/>
      <w:numFmt w:val="bullet"/>
      <w:lvlText w:val=""/>
      <w:lvlJc w:val="left"/>
      <w:pPr>
        <w:tabs>
          <w:tab w:val="num" w:pos="1980"/>
        </w:tabs>
        <w:ind w:left="1980" w:hanging="360"/>
      </w:pPr>
      <w:rPr>
        <w:rFonts w:ascii="Wingdings" w:hAnsi="Wingdings" w:hint="default"/>
      </w:rPr>
    </w:lvl>
    <w:lvl w:ilvl="3" w:tplc="040C0001" w:tentative="1">
      <w:start w:val="1"/>
      <w:numFmt w:val="bullet"/>
      <w:lvlText w:val=""/>
      <w:lvlJc w:val="left"/>
      <w:pPr>
        <w:tabs>
          <w:tab w:val="num" w:pos="2700"/>
        </w:tabs>
        <w:ind w:left="2700" w:hanging="360"/>
      </w:pPr>
      <w:rPr>
        <w:rFonts w:ascii="Symbol" w:hAnsi="Symbol" w:hint="default"/>
      </w:rPr>
    </w:lvl>
    <w:lvl w:ilvl="4" w:tplc="040C0003" w:tentative="1">
      <w:start w:val="1"/>
      <w:numFmt w:val="bullet"/>
      <w:lvlText w:val="o"/>
      <w:lvlJc w:val="left"/>
      <w:pPr>
        <w:tabs>
          <w:tab w:val="num" w:pos="3420"/>
        </w:tabs>
        <w:ind w:left="3420" w:hanging="360"/>
      </w:pPr>
      <w:rPr>
        <w:rFonts w:ascii="Courier New" w:hAnsi="Courier New" w:hint="default"/>
      </w:rPr>
    </w:lvl>
    <w:lvl w:ilvl="5" w:tplc="040C0005" w:tentative="1">
      <w:start w:val="1"/>
      <w:numFmt w:val="bullet"/>
      <w:lvlText w:val=""/>
      <w:lvlJc w:val="left"/>
      <w:pPr>
        <w:tabs>
          <w:tab w:val="num" w:pos="4140"/>
        </w:tabs>
        <w:ind w:left="4140" w:hanging="360"/>
      </w:pPr>
      <w:rPr>
        <w:rFonts w:ascii="Wingdings" w:hAnsi="Wingdings" w:hint="default"/>
      </w:rPr>
    </w:lvl>
    <w:lvl w:ilvl="6" w:tplc="040C0001" w:tentative="1">
      <w:start w:val="1"/>
      <w:numFmt w:val="bullet"/>
      <w:lvlText w:val=""/>
      <w:lvlJc w:val="left"/>
      <w:pPr>
        <w:tabs>
          <w:tab w:val="num" w:pos="4860"/>
        </w:tabs>
        <w:ind w:left="4860" w:hanging="360"/>
      </w:pPr>
      <w:rPr>
        <w:rFonts w:ascii="Symbol" w:hAnsi="Symbol" w:hint="default"/>
      </w:rPr>
    </w:lvl>
    <w:lvl w:ilvl="7" w:tplc="040C0003" w:tentative="1">
      <w:start w:val="1"/>
      <w:numFmt w:val="bullet"/>
      <w:lvlText w:val="o"/>
      <w:lvlJc w:val="left"/>
      <w:pPr>
        <w:tabs>
          <w:tab w:val="num" w:pos="5580"/>
        </w:tabs>
        <w:ind w:left="5580" w:hanging="360"/>
      </w:pPr>
      <w:rPr>
        <w:rFonts w:ascii="Courier New" w:hAnsi="Courier New" w:hint="default"/>
      </w:rPr>
    </w:lvl>
    <w:lvl w:ilvl="8" w:tplc="040C0005" w:tentative="1">
      <w:start w:val="1"/>
      <w:numFmt w:val="bullet"/>
      <w:lvlText w:val=""/>
      <w:lvlJc w:val="left"/>
      <w:pPr>
        <w:tabs>
          <w:tab w:val="num" w:pos="6300"/>
        </w:tabs>
        <w:ind w:left="6300" w:hanging="360"/>
      </w:pPr>
      <w:rPr>
        <w:rFonts w:ascii="Wingdings" w:hAnsi="Wingdings" w:hint="default"/>
      </w:rPr>
    </w:lvl>
  </w:abstractNum>
  <w:abstractNum w:abstractNumId="263" w15:restartNumberingAfterBreak="0">
    <w:nsid w:val="4D667B12"/>
    <w:multiLevelType w:val="hybridMultilevel"/>
    <w:tmpl w:val="5136057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64" w15:restartNumberingAfterBreak="0">
    <w:nsid w:val="4E5A0DF6"/>
    <w:multiLevelType w:val="multilevel"/>
    <w:tmpl w:val="91D89158"/>
    <w:lvl w:ilvl="0">
      <w:start w:val="1"/>
      <w:numFmt w:val="decimal"/>
      <w:lvlText w:val="%1"/>
      <w:lvlJc w:val="left"/>
      <w:pPr>
        <w:ind w:left="720" w:hanging="360"/>
      </w:pPr>
      <w:rPr>
        <w:rFonts w:hint="default"/>
      </w:rPr>
    </w:lvl>
    <w:lvl w:ilvl="1">
      <w:start w:val="2"/>
      <w:numFmt w:val="decimal"/>
      <w:isLgl/>
      <w:lvlText w:val="%1.%2."/>
      <w:lvlJc w:val="left"/>
      <w:pPr>
        <w:ind w:left="1125" w:hanging="765"/>
      </w:pPr>
      <w:rPr>
        <w:rFonts w:hint="default"/>
      </w:rPr>
    </w:lvl>
    <w:lvl w:ilvl="2">
      <w:start w:val="3"/>
      <w:numFmt w:val="decimal"/>
      <w:isLgl/>
      <w:lvlText w:val="%1.%2.%3."/>
      <w:lvlJc w:val="left"/>
      <w:pPr>
        <w:ind w:left="1125" w:hanging="765"/>
      </w:pPr>
      <w:rPr>
        <w:rFonts w:hint="default"/>
      </w:rPr>
    </w:lvl>
    <w:lvl w:ilvl="3">
      <w:start w:val="3"/>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5" w15:restartNumberingAfterBreak="0">
    <w:nsid w:val="4E6A6B71"/>
    <w:multiLevelType w:val="hybridMultilevel"/>
    <w:tmpl w:val="50AE8226"/>
    <w:lvl w:ilvl="0" w:tplc="98EE5FC6">
      <w:start w:val="1"/>
      <w:numFmt w:val="bullet"/>
      <w:lvlText w:val="□"/>
      <w:lvlJc w:val="left"/>
      <w:pPr>
        <w:ind w:left="1428" w:hanging="360"/>
      </w:pPr>
      <w:rPr>
        <w:rFonts w:ascii="Calibri" w:hAnsi="Calibri" w:hint="default"/>
        <w:sz w:val="28"/>
      </w:rPr>
    </w:lvl>
    <w:lvl w:ilvl="1" w:tplc="080C0003">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266" w15:restartNumberingAfterBreak="0">
    <w:nsid w:val="4E793599"/>
    <w:multiLevelType w:val="hybridMultilevel"/>
    <w:tmpl w:val="EE8889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7" w15:restartNumberingAfterBreak="0">
    <w:nsid w:val="4F6508E4"/>
    <w:multiLevelType w:val="hybridMultilevel"/>
    <w:tmpl w:val="78A8637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8" w15:restartNumberingAfterBreak="0">
    <w:nsid w:val="4FFF2591"/>
    <w:multiLevelType w:val="hybridMultilevel"/>
    <w:tmpl w:val="5D4A5130"/>
    <w:lvl w:ilvl="0" w:tplc="83861948">
      <w:start w:val="1"/>
      <w:numFmt w:val="decimal"/>
      <w:lvlText w:val="%1."/>
      <w:lvlJc w:val="left"/>
      <w:pPr>
        <w:ind w:left="720" w:hanging="360"/>
      </w:pPr>
      <w:rPr>
        <w:rFonts w:cs="Times New Roman" w:hint="default"/>
        <w:b/>
      </w:rPr>
    </w:lvl>
    <w:lvl w:ilvl="1" w:tplc="080C0019">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269" w15:restartNumberingAfterBreak="0">
    <w:nsid w:val="50144E19"/>
    <w:multiLevelType w:val="multilevel"/>
    <w:tmpl w:val="E33889E8"/>
    <w:lvl w:ilvl="0">
      <w:start w:val="1"/>
      <w:numFmt w:val="decimal"/>
      <w:lvlText w:val="%1."/>
      <w:lvlJc w:val="left"/>
      <w:pPr>
        <w:ind w:left="720" w:hanging="360"/>
      </w:pPr>
    </w:lvl>
    <w:lvl w:ilvl="1">
      <w:start w:val="2"/>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0" w15:restartNumberingAfterBreak="0">
    <w:nsid w:val="51F90D8A"/>
    <w:multiLevelType w:val="hybridMultilevel"/>
    <w:tmpl w:val="3E78D01E"/>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1" w15:restartNumberingAfterBreak="0">
    <w:nsid w:val="52222DBD"/>
    <w:multiLevelType w:val="hybridMultilevel"/>
    <w:tmpl w:val="7DF2263E"/>
    <w:lvl w:ilvl="0" w:tplc="61126964">
      <w:start w:val="1"/>
      <w:numFmt w:val="decimal"/>
      <w:lvlText w:val="%1."/>
      <w:lvlJc w:val="left"/>
      <w:pPr>
        <w:ind w:left="1080" w:hanging="360"/>
      </w:pPr>
      <w:rPr>
        <w:rFonts w:cs="Times New Roman" w:hint="default"/>
        <w:b/>
      </w:rPr>
    </w:lvl>
    <w:lvl w:ilvl="1" w:tplc="080C0019" w:tentative="1">
      <w:start w:val="1"/>
      <w:numFmt w:val="lowerLetter"/>
      <w:lvlText w:val="%2."/>
      <w:lvlJc w:val="left"/>
      <w:pPr>
        <w:ind w:left="1800" w:hanging="360"/>
      </w:pPr>
      <w:rPr>
        <w:rFonts w:cs="Times New Roman"/>
      </w:rPr>
    </w:lvl>
    <w:lvl w:ilvl="2" w:tplc="080C001B" w:tentative="1">
      <w:start w:val="1"/>
      <w:numFmt w:val="lowerRoman"/>
      <w:lvlText w:val="%3."/>
      <w:lvlJc w:val="right"/>
      <w:pPr>
        <w:ind w:left="2520" w:hanging="180"/>
      </w:pPr>
      <w:rPr>
        <w:rFonts w:cs="Times New Roman"/>
      </w:rPr>
    </w:lvl>
    <w:lvl w:ilvl="3" w:tplc="080C000F" w:tentative="1">
      <w:start w:val="1"/>
      <w:numFmt w:val="decimal"/>
      <w:lvlText w:val="%4."/>
      <w:lvlJc w:val="left"/>
      <w:pPr>
        <w:ind w:left="3240" w:hanging="360"/>
      </w:pPr>
      <w:rPr>
        <w:rFonts w:cs="Times New Roman"/>
      </w:rPr>
    </w:lvl>
    <w:lvl w:ilvl="4" w:tplc="080C0019" w:tentative="1">
      <w:start w:val="1"/>
      <w:numFmt w:val="lowerLetter"/>
      <w:lvlText w:val="%5."/>
      <w:lvlJc w:val="left"/>
      <w:pPr>
        <w:ind w:left="3960" w:hanging="360"/>
      </w:pPr>
      <w:rPr>
        <w:rFonts w:cs="Times New Roman"/>
      </w:rPr>
    </w:lvl>
    <w:lvl w:ilvl="5" w:tplc="080C001B" w:tentative="1">
      <w:start w:val="1"/>
      <w:numFmt w:val="lowerRoman"/>
      <w:lvlText w:val="%6."/>
      <w:lvlJc w:val="right"/>
      <w:pPr>
        <w:ind w:left="4680" w:hanging="180"/>
      </w:pPr>
      <w:rPr>
        <w:rFonts w:cs="Times New Roman"/>
      </w:rPr>
    </w:lvl>
    <w:lvl w:ilvl="6" w:tplc="080C000F" w:tentative="1">
      <w:start w:val="1"/>
      <w:numFmt w:val="decimal"/>
      <w:lvlText w:val="%7."/>
      <w:lvlJc w:val="left"/>
      <w:pPr>
        <w:ind w:left="5400" w:hanging="360"/>
      </w:pPr>
      <w:rPr>
        <w:rFonts w:cs="Times New Roman"/>
      </w:rPr>
    </w:lvl>
    <w:lvl w:ilvl="7" w:tplc="080C0019" w:tentative="1">
      <w:start w:val="1"/>
      <w:numFmt w:val="lowerLetter"/>
      <w:lvlText w:val="%8."/>
      <w:lvlJc w:val="left"/>
      <w:pPr>
        <w:ind w:left="6120" w:hanging="360"/>
      </w:pPr>
      <w:rPr>
        <w:rFonts w:cs="Times New Roman"/>
      </w:rPr>
    </w:lvl>
    <w:lvl w:ilvl="8" w:tplc="080C001B" w:tentative="1">
      <w:start w:val="1"/>
      <w:numFmt w:val="lowerRoman"/>
      <w:lvlText w:val="%9."/>
      <w:lvlJc w:val="right"/>
      <w:pPr>
        <w:ind w:left="6840" w:hanging="180"/>
      </w:pPr>
      <w:rPr>
        <w:rFonts w:cs="Times New Roman"/>
      </w:rPr>
    </w:lvl>
  </w:abstractNum>
  <w:abstractNum w:abstractNumId="272" w15:restartNumberingAfterBreak="0">
    <w:nsid w:val="52721429"/>
    <w:multiLevelType w:val="hybridMultilevel"/>
    <w:tmpl w:val="3DD2EE9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3" w15:restartNumberingAfterBreak="0">
    <w:nsid w:val="529A1231"/>
    <w:multiLevelType w:val="hybridMultilevel"/>
    <w:tmpl w:val="523C5B88"/>
    <w:lvl w:ilvl="0" w:tplc="080C0017">
      <w:start w:val="1"/>
      <w:numFmt w:val="lowerLetter"/>
      <w:lvlText w:val="%1)"/>
      <w:lvlJc w:val="left"/>
      <w:pPr>
        <w:ind w:left="840" w:hanging="360"/>
      </w:pPr>
      <w:rPr>
        <w:rFonts w:cs="Times New Roman"/>
      </w:rPr>
    </w:lvl>
    <w:lvl w:ilvl="1" w:tplc="080C0017">
      <w:start w:val="1"/>
      <w:numFmt w:val="lowerLetter"/>
      <w:lvlText w:val="%2)"/>
      <w:lvlJc w:val="left"/>
      <w:pPr>
        <w:ind w:left="1560" w:hanging="360"/>
      </w:pPr>
      <w:rPr>
        <w:rFonts w:cs="Times New Roman" w:hint="default"/>
      </w:rPr>
    </w:lvl>
    <w:lvl w:ilvl="2" w:tplc="9D0689B6">
      <w:start w:val="3"/>
      <w:numFmt w:val="decimal"/>
      <w:lvlText w:val="%3)"/>
      <w:lvlJc w:val="left"/>
      <w:pPr>
        <w:ind w:left="2460" w:hanging="360"/>
      </w:pPr>
      <w:rPr>
        <w:rFonts w:cs="Times New Roman" w:hint="default"/>
      </w:rPr>
    </w:lvl>
    <w:lvl w:ilvl="3" w:tplc="2CAAF5BC">
      <w:start w:val="1"/>
      <w:numFmt w:val="decimal"/>
      <w:lvlText w:val="%4"/>
      <w:lvlJc w:val="left"/>
      <w:pPr>
        <w:ind w:left="3000" w:hanging="360"/>
      </w:pPr>
      <w:rPr>
        <w:rFonts w:cs="Times New Roman" w:hint="default"/>
      </w:rPr>
    </w:lvl>
    <w:lvl w:ilvl="4" w:tplc="DD2683BC">
      <w:start w:val="1"/>
      <w:numFmt w:val="decimal"/>
      <w:lvlText w:val="(%5)"/>
      <w:lvlJc w:val="left"/>
      <w:pPr>
        <w:ind w:left="3720" w:hanging="360"/>
      </w:pPr>
      <w:rPr>
        <w:rFonts w:hint="default"/>
      </w:rPr>
    </w:lvl>
    <w:lvl w:ilvl="5" w:tplc="080C001B" w:tentative="1">
      <w:start w:val="1"/>
      <w:numFmt w:val="lowerRoman"/>
      <w:lvlText w:val="%6."/>
      <w:lvlJc w:val="right"/>
      <w:pPr>
        <w:ind w:left="4440" w:hanging="180"/>
      </w:pPr>
      <w:rPr>
        <w:rFonts w:cs="Times New Roman"/>
      </w:rPr>
    </w:lvl>
    <w:lvl w:ilvl="6" w:tplc="080C000F" w:tentative="1">
      <w:start w:val="1"/>
      <w:numFmt w:val="decimal"/>
      <w:lvlText w:val="%7."/>
      <w:lvlJc w:val="left"/>
      <w:pPr>
        <w:ind w:left="5160" w:hanging="360"/>
      </w:pPr>
      <w:rPr>
        <w:rFonts w:cs="Times New Roman"/>
      </w:rPr>
    </w:lvl>
    <w:lvl w:ilvl="7" w:tplc="080C0019" w:tentative="1">
      <w:start w:val="1"/>
      <w:numFmt w:val="lowerLetter"/>
      <w:lvlText w:val="%8."/>
      <w:lvlJc w:val="left"/>
      <w:pPr>
        <w:ind w:left="5880" w:hanging="360"/>
      </w:pPr>
      <w:rPr>
        <w:rFonts w:cs="Times New Roman"/>
      </w:rPr>
    </w:lvl>
    <w:lvl w:ilvl="8" w:tplc="080C001B" w:tentative="1">
      <w:start w:val="1"/>
      <w:numFmt w:val="lowerRoman"/>
      <w:lvlText w:val="%9."/>
      <w:lvlJc w:val="right"/>
      <w:pPr>
        <w:ind w:left="6600" w:hanging="180"/>
      </w:pPr>
      <w:rPr>
        <w:rFonts w:cs="Times New Roman"/>
      </w:rPr>
    </w:lvl>
  </w:abstractNum>
  <w:abstractNum w:abstractNumId="274" w15:restartNumberingAfterBreak="0">
    <w:nsid w:val="53150A36"/>
    <w:multiLevelType w:val="hybridMultilevel"/>
    <w:tmpl w:val="593A987A"/>
    <w:lvl w:ilvl="0" w:tplc="574C7232">
      <w:start w:val="1"/>
      <w:numFmt w:val="decimal"/>
      <w:lvlText w:val="%1)"/>
      <w:lvlJc w:val="left"/>
      <w:pPr>
        <w:ind w:left="927" w:hanging="360"/>
      </w:pPr>
      <w:rPr>
        <w:rFonts w:hint="default"/>
      </w:rPr>
    </w:lvl>
    <w:lvl w:ilvl="1" w:tplc="080C0019" w:tentative="1">
      <w:start w:val="1"/>
      <w:numFmt w:val="lowerLetter"/>
      <w:lvlText w:val="%2."/>
      <w:lvlJc w:val="left"/>
      <w:pPr>
        <w:ind w:left="1647" w:hanging="360"/>
      </w:pPr>
    </w:lvl>
    <w:lvl w:ilvl="2" w:tplc="080C001B" w:tentative="1">
      <w:start w:val="1"/>
      <w:numFmt w:val="lowerRoman"/>
      <w:lvlText w:val="%3."/>
      <w:lvlJc w:val="right"/>
      <w:pPr>
        <w:ind w:left="2367" w:hanging="180"/>
      </w:pPr>
    </w:lvl>
    <w:lvl w:ilvl="3" w:tplc="080C000F" w:tentative="1">
      <w:start w:val="1"/>
      <w:numFmt w:val="decimal"/>
      <w:lvlText w:val="%4."/>
      <w:lvlJc w:val="left"/>
      <w:pPr>
        <w:ind w:left="3087" w:hanging="360"/>
      </w:pPr>
    </w:lvl>
    <w:lvl w:ilvl="4" w:tplc="080C0019" w:tentative="1">
      <w:start w:val="1"/>
      <w:numFmt w:val="lowerLetter"/>
      <w:lvlText w:val="%5."/>
      <w:lvlJc w:val="left"/>
      <w:pPr>
        <w:ind w:left="3807" w:hanging="360"/>
      </w:pPr>
    </w:lvl>
    <w:lvl w:ilvl="5" w:tplc="080C001B" w:tentative="1">
      <w:start w:val="1"/>
      <w:numFmt w:val="lowerRoman"/>
      <w:lvlText w:val="%6."/>
      <w:lvlJc w:val="right"/>
      <w:pPr>
        <w:ind w:left="4527" w:hanging="180"/>
      </w:pPr>
    </w:lvl>
    <w:lvl w:ilvl="6" w:tplc="080C000F" w:tentative="1">
      <w:start w:val="1"/>
      <w:numFmt w:val="decimal"/>
      <w:lvlText w:val="%7."/>
      <w:lvlJc w:val="left"/>
      <w:pPr>
        <w:ind w:left="5247" w:hanging="360"/>
      </w:pPr>
    </w:lvl>
    <w:lvl w:ilvl="7" w:tplc="080C0019" w:tentative="1">
      <w:start w:val="1"/>
      <w:numFmt w:val="lowerLetter"/>
      <w:lvlText w:val="%8."/>
      <w:lvlJc w:val="left"/>
      <w:pPr>
        <w:ind w:left="5967" w:hanging="360"/>
      </w:pPr>
    </w:lvl>
    <w:lvl w:ilvl="8" w:tplc="080C001B" w:tentative="1">
      <w:start w:val="1"/>
      <w:numFmt w:val="lowerRoman"/>
      <w:lvlText w:val="%9."/>
      <w:lvlJc w:val="right"/>
      <w:pPr>
        <w:ind w:left="6687" w:hanging="180"/>
      </w:pPr>
    </w:lvl>
  </w:abstractNum>
  <w:abstractNum w:abstractNumId="275" w15:restartNumberingAfterBreak="0">
    <w:nsid w:val="535D6B62"/>
    <w:multiLevelType w:val="hybridMultilevel"/>
    <w:tmpl w:val="947A7E8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6" w15:restartNumberingAfterBreak="0">
    <w:nsid w:val="54866189"/>
    <w:multiLevelType w:val="hybridMultilevel"/>
    <w:tmpl w:val="9472538E"/>
    <w:lvl w:ilvl="0" w:tplc="FC2CE3A0">
      <w:start w:val="1"/>
      <w:numFmt w:val="decimal"/>
      <w:lvlText w:val="%1."/>
      <w:lvlJc w:val="left"/>
      <w:pPr>
        <w:ind w:left="720" w:hanging="360"/>
      </w:pPr>
      <w:rPr>
        <w:rFonts w:asciiTheme="majorHAnsi" w:eastAsiaTheme="minorHAnsi" w:hAnsiTheme="majorHAnsi" w:cstheme="minorBidi"/>
      </w:r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CDC8F418">
      <w:start w:val="1"/>
      <w:numFmt w:val="decimal"/>
      <w:lvlText w:val="%4)"/>
      <w:lvlJc w:val="left"/>
      <w:pPr>
        <w:ind w:left="2880" w:hanging="360"/>
      </w:pPr>
      <w:rPr>
        <w:rFonts w:hint="default"/>
      </w:r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7" w15:restartNumberingAfterBreak="0">
    <w:nsid w:val="54C71A2B"/>
    <w:multiLevelType w:val="multilevel"/>
    <w:tmpl w:val="636A5756"/>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8" w15:restartNumberingAfterBreak="0">
    <w:nsid w:val="555D11E4"/>
    <w:multiLevelType w:val="hybridMultilevel"/>
    <w:tmpl w:val="BF800B22"/>
    <w:lvl w:ilvl="0" w:tplc="040C0005">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8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9" w15:restartNumberingAfterBreak="0">
    <w:nsid w:val="58C11CA3"/>
    <w:multiLevelType w:val="hybridMultilevel"/>
    <w:tmpl w:val="99CC965A"/>
    <w:lvl w:ilvl="0" w:tplc="080C0011">
      <w:start w:val="1"/>
      <w:numFmt w:val="decimal"/>
      <w:lvlText w:val="%1)"/>
      <w:lvlJc w:val="left"/>
      <w:pPr>
        <w:ind w:left="720" w:hanging="360"/>
      </w:pPr>
      <w:rPr>
        <w:rFonts w:hint="default"/>
      </w:rPr>
    </w:lvl>
    <w:lvl w:ilvl="1" w:tplc="080C0003">
      <w:start w:val="1"/>
      <w:numFmt w:val="decimal"/>
      <w:lvlText w:val="%2."/>
      <w:lvlJc w:val="left"/>
      <w:pPr>
        <w:tabs>
          <w:tab w:val="num" w:pos="1440"/>
        </w:tabs>
        <w:ind w:left="1440" w:hanging="360"/>
      </w:pPr>
    </w:lvl>
    <w:lvl w:ilvl="2" w:tplc="080C0005">
      <w:start w:val="1"/>
      <w:numFmt w:val="decimal"/>
      <w:lvlText w:val="%3."/>
      <w:lvlJc w:val="left"/>
      <w:pPr>
        <w:tabs>
          <w:tab w:val="num" w:pos="2160"/>
        </w:tabs>
        <w:ind w:left="2160" w:hanging="360"/>
      </w:pPr>
    </w:lvl>
    <w:lvl w:ilvl="3" w:tplc="080C0001">
      <w:start w:val="1"/>
      <w:numFmt w:val="decimal"/>
      <w:lvlText w:val="%4."/>
      <w:lvlJc w:val="left"/>
      <w:pPr>
        <w:tabs>
          <w:tab w:val="num" w:pos="2880"/>
        </w:tabs>
        <w:ind w:left="2880" w:hanging="360"/>
      </w:pPr>
    </w:lvl>
    <w:lvl w:ilvl="4" w:tplc="080C0003">
      <w:start w:val="1"/>
      <w:numFmt w:val="decimal"/>
      <w:lvlText w:val="%5."/>
      <w:lvlJc w:val="left"/>
      <w:pPr>
        <w:tabs>
          <w:tab w:val="num" w:pos="3600"/>
        </w:tabs>
        <w:ind w:left="3600" w:hanging="360"/>
      </w:pPr>
    </w:lvl>
    <w:lvl w:ilvl="5" w:tplc="080C0005">
      <w:start w:val="1"/>
      <w:numFmt w:val="decimal"/>
      <w:lvlText w:val="%6."/>
      <w:lvlJc w:val="left"/>
      <w:pPr>
        <w:tabs>
          <w:tab w:val="num" w:pos="4320"/>
        </w:tabs>
        <w:ind w:left="4320" w:hanging="360"/>
      </w:pPr>
    </w:lvl>
    <w:lvl w:ilvl="6" w:tplc="080C0001">
      <w:start w:val="1"/>
      <w:numFmt w:val="decimal"/>
      <w:lvlText w:val="%7."/>
      <w:lvlJc w:val="left"/>
      <w:pPr>
        <w:tabs>
          <w:tab w:val="num" w:pos="5040"/>
        </w:tabs>
        <w:ind w:left="5040" w:hanging="360"/>
      </w:pPr>
    </w:lvl>
    <w:lvl w:ilvl="7" w:tplc="080C0003">
      <w:start w:val="1"/>
      <w:numFmt w:val="decimal"/>
      <w:lvlText w:val="%8."/>
      <w:lvlJc w:val="left"/>
      <w:pPr>
        <w:tabs>
          <w:tab w:val="num" w:pos="5760"/>
        </w:tabs>
        <w:ind w:left="5760" w:hanging="360"/>
      </w:pPr>
    </w:lvl>
    <w:lvl w:ilvl="8" w:tplc="080C0005">
      <w:start w:val="1"/>
      <w:numFmt w:val="decimal"/>
      <w:lvlText w:val="%9."/>
      <w:lvlJc w:val="left"/>
      <w:pPr>
        <w:tabs>
          <w:tab w:val="num" w:pos="6480"/>
        </w:tabs>
        <w:ind w:left="6480" w:hanging="360"/>
      </w:pPr>
    </w:lvl>
  </w:abstractNum>
  <w:abstractNum w:abstractNumId="280" w15:restartNumberingAfterBreak="0">
    <w:nsid w:val="590B437A"/>
    <w:multiLevelType w:val="hybridMultilevel"/>
    <w:tmpl w:val="B2F627CE"/>
    <w:name w:val="WW8Num512"/>
    <w:lvl w:ilvl="0" w:tplc="443079E0">
      <w:start w:val="1"/>
      <w:numFmt w:val="bullet"/>
      <w:lvlText w:val=""/>
      <w:lvlJc w:val="left"/>
      <w:pPr>
        <w:tabs>
          <w:tab w:val="num" w:pos="357"/>
        </w:tabs>
        <w:ind w:left="340" w:hanging="340"/>
      </w:pPr>
      <w:rPr>
        <w:rFonts w:ascii="Wingdings" w:hAnsi="Wingdings" w:hint="default"/>
      </w:rPr>
    </w:lvl>
    <w:lvl w:ilvl="1" w:tplc="77D49F24">
      <w:numFmt w:val="bullet"/>
      <w:lvlText w:val="-"/>
      <w:lvlJc w:val="left"/>
      <w:pPr>
        <w:ind w:left="1440" w:hanging="360"/>
      </w:pPr>
      <w:rPr>
        <w:rFonts w:ascii="Cambria" w:eastAsia="Times New Roman" w:hAnsi="Cambria"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1" w15:restartNumberingAfterBreak="0">
    <w:nsid w:val="59352015"/>
    <w:multiLevelType w:val="hybridMultilevel"/>
    <w:tmpl w:val="FFA288C2"/>
    <w:lvl w:ilvl="0" w:tplc="080C0001">
      <w:start w:val="1"/>
      <w:numFmt w:val="bullet"/>
      <w:lvlText w:val=""/>
      <w:lvlJc w:val="left"/>
      <w:pPr>
        <w:ind w:left="1068" w:hanging="360"/>
      </w:pPr>
      <w:rPr>
        <w:rFonts w:ascii="Symbol" w:hAnsi="Symbol" w:hint="default"/>
      </w:rPr>
    </w:lvl>
    <w:lvl w:ilvl="1" w:tplc="080C0001">
      <w:start w:val="1"/>
      <w:numFmt w:val="bullet"/>
      <w:lvlText w:val=""/>
      <w:lvlJc w:val="left"/>
      <w:pPr>
        <w:ind w:left="1788" w:hanging="360"/>
      </w:pPr>
      <w:rPr>
        <w:rFonts w:ascii="Symbol" w:hAnsi="Symbol" w:hint="default"/>
      </w:rPr>
    </w:lvl>
    <w:lvl w:ilvl="2" w:tplc="080C0005" w:tentative="1">
      <w:start w:val="1"/>
      <w:numFmt w:val="bullet"/>
      <w:lvlText w:val=""/>
      <w:lvlJc w:val="left"/>
      <w:pPr>
        <w:ind w:left="2508" w:hanging="360"/>
      </w:pPr>
      <w:rPr>
        <w:rFonts w:ascii="Wingdings" w:hAnsi="Wingdings" w:hint="default"/>
      </w:rPr>
    </w:lvl>
    <w:lvl w:ilvl="3" w:tplc="080C0001" w:tentative="1">
      <w:start w:val="1"/>
      <w:numFmt w:val="bullet"/>
      <w:lvlText w:val=""/>
      <w:lvlJc w:val="left"/>
      <w:pPr>
        <w:ind w:left="3228" w:hanging="360"/>
      </w:pPr>
      <w:rPr>
        <w:rFonts w:ascii="Symbol" w:hAnsi="Symbol" w:hint="default"/>
      </w:rPr>
    </w:lvl>
    <w:lvl w:ilvl="4" w:tplc="080C0003" w:tentative="1">
      <w:start w:val="1"/>
      <w:numFmt w:val="bullet"/>
      <w:lvlText w:val="o"/>
      <w:lvlJc w:val="left"/>
      <w:pPr>
        <w:ind w:left="3948" w:hanging="360"/>
      </w:pPr>
      <w:rPr>
        <w:rFonts w:ascii="Courier New" w:hAnsi="Courier New" w:cs="Courier New" w:hint="default"/>
      </w:rPr>
    </w:lvl>
    <w:lvl w:ilvl="5" w:tplc="080C0005" w:tentative="1">
      <w:start w:val="1"/>
      <w:numFmt w:val="bullet"/>
      <w:lvlText w:val=""/>
      <w:lvlJc w:val="left"/>
      <w:pPr>
        <w:ind w:left="4668" w:hanging="360"/>
      </w:pPr>
      <w:rPr>
        <w:rFonts w:ascii="Wingdings" w:hAnsi="Wingdings" w:hint="default"/>
      </w:rPr>
    </w:lvl>
    <w:lvl w:ilvl="6" w:tplc="080C0001" w:tentative="1">
      <w:start w:val="1"/>
      <w:numFmt w:val="bullet"/>
      <w:lvlText w:val=""/>
      <w:lvlJc w:val="left"/>
      <w:pPr>
        <w:ind w:left="5388" w:hanging="360"/>
      </w:pPr>
      <w:rPr>
        <w:rFonts w:ascii="Symbol" w:hAnsi="Symbol" w:hint="default"/>
      </w:rPr>
    </w:lvl>
    <w:lvl w:ilvl="7" w:tplc="080C0003" w:tentative="1">
      <w:start w:val="1"/>
      <w:numFmt w:val="bullet"/>
      <w:lvlText w:val="o"/>
      <w:lvlJc w:val="left"/>
      <w:pPr>
        <w:ind w:left="6108" w:hanging="360"/>
      </w:pPr>
      <w:rPr>
        <w:rFonts w:ascii="Courier New" w:hAnsi="Courier New" w:cs="Courier New" w:hint="default"/>
      </w:rPr>
    </w:lvl>
    <w:lvl w:ilvl="8" w:tplc="080C0005" w:tentative="1">
      <w:start w:val="1"/>
      <w:numFmt w:val="bullet"/>
      <w:lvlText w:val=""/>
      <w:lvlJc w:val="left"/>
      <w:pPr>
        <w:ind w:left="6828" w:hanging="360"/>
      </w:pPr>
      <w:rPr>
        <w:rFonts w:ascii="Wingdings" w:hAnsi="Wingdings" w:hint="default"/>
      </w:rPr>
    </w:lvl>
  </w:abstractNum>
  <w:abstractNum w:abstractNumId="282" w15:restartNumberingAfterBreak="0">
    <w:nsid w:val="5A443CAB"/>
    <w:multiLevelType w:val="hybridMultilevel"/>
    <w:tmpl w:val="584CE3B0"/>
    <w:lvl w:ilvl="0" w:tplc="080C0011">
      <w:start w:val="1"/>
      <w:numFmt w:val="decimal"/>
      <w:lvlText w:val="%1)"/>
      <w:lvlJc w:val="left"/>
      <w:pPr>
        <w:ind w:left="1080" w:hanging="360"/>
      </w:p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283" w15:restartNumberingAfterBreak="0">
    <w:nsid w:val="5A757FF9"/>
    <w:multiLevelType w:val="hybridMultilevel"/>
    <w:tmpl w:val="82C0784A"/>
    <w:lvl w:ilvl="0" w:tplc="040C0005">
      <w:start w:val="1"/>
      <w:numFmt w:val="bullet"/>
      <w:lvlText w:val=""/>
      <w:lvlJc w:val="left"/>
      <w:pPr>
        <w:tabs>
          <w:tab w:val="num" w:pos="3011"/>
        </w:tabs>
        <w:ind w:left="3011"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4" w15:restartNumberingAfterBreak="0">
    <w:nsid w:val="5A763ADF"/>
    <w:multiLevelType w:val="hybridMultilevel"/>
    <w:tmpl w:val="943E8574"/>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5" w15:restartNumberingAfterBreak="0">
    <w:nsid w:val="5AC218A5"/>
    <w:multiLevelType w:val="hybridMultilevel"/>
    <w:tmpl w:val="67AA6690"/>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86" w15:restartNumberingAfterBreak="0">
    <w:nsid w:val="5D0A0BE1"/>
    <w:multiLevelType w:val="hybridMultilevel"/>
    <w:tmpl w:val="B92C76F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7" w15:restartNumberingAfterBreak="0">
    <w:nsid w:val="5D182CAD"/>
    <w:multiLevelType w:val="hybridMultilevel"/>
    <w:tmpl w:val="60D644DE"/>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288" w15:restartNumberingAfterBreak="0">
    <w:nsid w:val="5D73429E"/>
    <w:multiLevelType w:val="hybridMultilevel"/>
    <w:tmpl w:val="77B82FE4"/>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89" w15:restartNumberingAfterBreak="0">
    <w:nsid w:val="5E983BA5"/>
    <w:multiLevelType w:val="hybridMultilevel"/>
    <w:tmpl w:val="9296085A"/>
    <w:lvl w:ilvl="0" w:tplc="080C0011">
      <w:start w:val="1"/>
      <w:numFmt w:val="decimal"/>
      <w:lvlText w:val="%1)"/>
      <w:lvlJc w:val="left"/>
      <w:pPr>
        <w:ind w:left="720" w:hanging="360"/>
      </w:pPr>
      <w:rPr>
        <w:rFonts w:cs="Times New Roman"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290" w15:restartNumberingAfterBreak="0">
    <w:nsid w:val="5FFE6E11"/>
    <w:multiLevelType w:val="hybridMultilevel"/>
    <w:tmpl w:val="AF409F2A"/>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1" w15:restartNumberingAfterBreak="0">
    <w:nsid w:val="60473F5D"/>
    <w:multiLevelType w:val="multilevel"/>
    <w:tmpl w:val="25768D0C"/>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3"/>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2" w15:restartNumberingAfterBreak="0">
    <w:nsid w:val="60A27B32"/>
    <w:multiLevelType w:val="hybridMultilevel"/>
    <w:tmpl w:val="F80C65EA"/>
    <w:lvl w:ilvl="0" w:tplc="47E21184">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455A22A6">
      <w:start w:val="1"/>
      <w:numFmt w:val="bullet"/>
      <w:lvlText w:val="o"/>
      <w:lvlJc w:val="left"/>
      <w:pPr>
        <w:ind w:left="10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98FA1FB0">
      <w:start w:val="1"/>
      <w:numFmt w:val="bullet"/>
      <w:lvlText w:val="▪"/>
      <w:lvlJc w:val="left"/>
      <w:pPr>
        <w:ind w:left="18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0E868EA6">
      <w:start w:val="1"/>
      <w:numFmt w:val="bullet"/>
      <w:lvlText w:val="•"/>
      <w:lvlJc w:val="left"/>
      <w:pPr>
        <w:ind w:left="25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DF94B4F8">
      <w:start w:val="1"/>
      <w:numFmt w:val="bullet"/>
      <w:lvlText w:val="o"/>
      <w:lvlJc w:val="left"/>
      <w:pPr>
        <w:ind w:left="32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DE85B06">
      <w:start w:val="1"/>
      <w:numFmt w:val="bullet"/>
      <w:lvlText w:val="▪"/>
      <w:lvlJc w:val="left"/>
      <w:pPr>
        <w:ind w:left="39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7C825AC">
      <w:start w:val="1"/>
      <w:numFmt w:val="bullet"/>
      <w:lvlText w:val="•"/>
      <w:lvlJc w:val="left"/>
      <w:pPr>
        <w:ind w:left="46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5EC1464">
      <w:start w:val="1"/>
      <w:numFmt w:val="bullet"/>
      <w:lvlText w:val="o"/>
      <w:lvlJc w:val="left"/>
      <w:pPr>
        <w:ind w:left="54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1E4A40E">
      <w:start w:val="1"/>
      <w:numFmt w:val="bullet"/>
      <w:lvlText w:val="▪"/>
      <w:lvlJc w:val="left"/>
      <w:pPr>
        <w:ind w:left="61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93" w15:restartNumberingAfterBreak="0">
    <w:nsid w:val="60FB52D8"/>
    <w:multiLevelType w:val="hybridMultilevel"/>
    <w:tmpl w:val="486CD9FC"/>
    <w:lvl w:ilvl="0" w:tplc="BEB83846">
      <w:start w:val="1"/>
      <w:numFmt w:val="bullet"/>
      <w:lvlText w:val="-"/>
      <w:lvlJc w:val="left"/>
      <w:pPr>
        <w:ind w:left="720" w:hanging="360"/>
      </w:pPr>
      <w:rPr>
        <w:rFonts w:ascii="Verdana" w:eastAsia="Times New Roman" w:hAnsi="Verdan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4" w15:restartNumberingAfterBreak="0">
    <w:nsid w:val="618D1D8D"/>
    <w:multiLevelType w:val="hybridMultilevel"/>
    <w:tmpl w:val="E9B2DF24"/>
    <w:lvl w:ilvl="0" w:tplc="080C000F">
      <w:start w:val="1"/>
      <w:numFmt w:val="decimal"/>
      <w:lvlText w:val="%1."/>
      <w:lvlJc w:val="left"/>
      <w:pPr>
        <w:ind w:left="720" w:hanging="360"/>
      </w:pPr>
      <w:rPr>
        <w:rFonts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95" w15:restartNumberingAfterBreak="0">
    <w:nsid w:val="61B6497B"/>
    <w:multiLevelType w:val="multilevel"/>
    <w:tmpl w:val="10B2CF1A"/>
    <w:lvl w:ilvl="0">
      <w:start w:val="1"/>
      <w:numFmt w:val="decimal"/>
      <w:lvlText w:val="%1."/>
      <w:lvlJc w:val="left"/>
      <w:pPr>
        <w:ind w:left="720" w:hanging="360"/>
      </w:pPr>
      <w:rPr>
        <w:rFonts w:hint="default"/>
      </w:rPr>
    </w:lvl>
    <w:lvl w:ilvl="1">
      <w:start w:val="1"/>
      <w:numFmt w:val="decimal"/>
      <w:isLgl/>
      <w:lvlText w:val="%1.%2."/>
      <w:lvlJc w:val="left"/>
      <w:pPr>
        <w:ind w:left="1125" w:hanging="765"/>
      </w:pPr>
      <w:rPr>
        <w:rFonts w:hint="default"/>
      </w:rPr>
    </w:lvl>
    <w:lvl w:ilvl="2">
      <w:start w:val="6"/>
      <w:numFmt w:val="decimal"/>
      <w:isLgl/>
      <w:lvlText w:val="%1.%2.%3."/>
      <w:lvlJc w:val="left"/>
      <w:pPr>
        <w:ind w:left="1125" w:hanging="765"/>
      </w:pPr>
      <w:rPr>
        <w:rFonts w:hint="default"/>
      </w:rPr>
    </w:lvl>
    <w:lvl w:ilvl="3">
      <w:start w:val="4"/>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6" w15:restartNumberingAfterBreak="0">
    <w:nsid w:val="62192948"/>
    <w:multiLevelType w:val="hybridMultilevel"/>
    <w:tmpl w:val="B7A6E22C"/>
    <w:lvl w:ilvl="0" w:tplc="89EA80FA">
      <w:start w:val="1"/>
      <w:numFmt w:val="bullet"/>
      <w:lvlText w:val=""/>
      <w:lvlJc w:val="left"/>
      <w:pPr>
        <w:tabs>
          <w:tab w:val="num" w:pos="357"/>
        </w:tabs>
        <w:ind w:left="340" w:hanging="340"/>
      </w:pPr>
      <w:rPr>
        <w:rFonts w:ascii="Wingdings" w:hAnsi="Wingdings" w:hint="default"/>
        <w:sz w:val="4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7" w15:restartNumberingAfterBreak="0">
    <w:nsid w:val="62477E81"/>
    <w:multiLevelType w:val="hybridMultilevel"/>
    <w:tmpl w:val="A086BE60"/>
    <w:lvl w:ilvl="0" w:tplc="08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8" w15:restartNumberingAfterBreak="0">
    <w:nsid w:val="643D3CBA"/>
    <w:multiLevelType w:val="multilevel"/>
    <w:tmpl w:val="3396560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8"/>
      <w:numFmt w:val="decimal"/>
      <w:isLgl/>
      <w:lvlText w:val="%1.%2.%3"/>
      <w:lvlJc w:val="left"/>
      <w:pPr>
        <w:ind w:left="1080" w:hanging="720"/>
      </w:pPr>
      <w:rPr>
        <w:rFonts w:hint="default"/>
      </w:rPr>
    </w:lvl>
    <w:lvl w:ilvl="3">
      <w:start w:val="3"/>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9" w15:restartNumberingAfterBreak="0">
    <w:nsid w:val="648C222B"/>
    <w:multiLevelType w:val="hybridMultilevel"/>
    <w:tmpl w:val="ABE29AF0"/>
    <w:lvl w:ilvl="0" w:tplc="A4F6F788">
      <w:start w:val="2"/>
      <w:numFmt w:val="bullet"/>
      <w:lvlText w:val=""/>
      <w:lvlJc w:val="left"/>
      <w:pPr>
        <w:ind w:left="720" w:hanging="360"/>
      </w:pPr>
      <w:rPr>
        <w:rFonts w:ascii="Wingdings" w:eastAsia="Times New Roman" w:hAnsi="Wingdings"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0" w15:restartNumberingAfterBreak="0">
    <w:nsid w:val="64987404"/>
    <w:multiLevelType w:val="hybridMultilevel"/>
    <w:tmpl w:val="16FAF87A"/>
    <w:lvl w:ilvl="0" w:tplc="00000037">
      <w:start w:val="2"/>
      <w:numFmt w:val="bullet"/>
      <w:lvlText w:val="-"/>
      <w:lvlJc w:val="left"/>
      <w:pPr>
        <w:tabs>
          <w:tab w:val="num" w:pos="360"/>
        </w:tabs>
        <w:ind w:left="360" w:hanging="360"/>
      </w:pPr>
      <w:rPr>
        <w:rFonts w:ascii="Times New Roman" w:hAnsi="Times New Roman"/>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1" w15:restartNumberingAfterBreak="0">
    <w:nsid w:val="65DC0006"/>
    <w:multiLevelType w:val="hybridMultilevel"/>
    <w:tmpl w:val="21089BA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2" w15:restartNumberingAfterBreak="0">
    <w:nsid w:val="66161675"/>
    <w:multiLevelType w:val="hybridMultilevel"/>
    <w:tmpl w:val="7DF824B2"/>
    <w:lvl w:ilvl="0" w:tplc="13C4843A">
      <w:start w:val="1"/>
      <w:numFmt w:val="decimal"/>
      <w:lvlText w:val="%1°"/>
      <w:lvlJc w:val="left"/>
      <w:pPr>
        <w:ind w:left="360" w:hanging="360"/>
      </w:pPr>
      <w:rPr>
        <w:i w:val="0"/>
      </w:rPr>
    </w:lvl>
    <w:lvl w:ilvl="1" w:tplc="BE7AF1A6">
      <w:numFmt w:val="bullet"/>
      <w:lvlText w:val="-"/>
      <w:lvlJc w:val="left"/>
      <w:pPr>
        <w:tabs>
          <w:tab w:val="num" w:pos="2291"/>
        </w:tabs>
        <w:ind w:left="2291" w:hanging="360"/>
      </w:pPr>
      <w:rPr>
        <w:rFonts w:ascii="High Tower Text" w:eastAsia="Times New Roman" w:hAnsi="High Tower Text" w:cs="Times New Roman" w:hint="default"/>
        <w:sz w:val="28"/>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03" w15:restartNumberingAfterBreak="0">
    <w:nsid w:val="66215077"/>
    <w:multiLevelType w:val="multilevel"/>
    <w:tmpl w:val="6428B88E"/>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4" w15:restartNumberingAfterBreak="0">
    <w:nsid w:val="66F64538"/>
    <w:multiLevelType w:val="hybridMultilevel"/>
    <w:tmpl w:val="79D2F2A8"/>
    <w:lvl w:ilvl="0" w:tplc="ADF2C50C">
      <w:numFmt w:val="bullet"/>
      <w:lvlText w:val=""/>
      <w:lvlJc w:val="left"/>
      <w:pPr>
        <w:ind w:left="911" w:hanging="215"/>
      </w:pPr>
      <w:rPr>
        <w:rFonts w:ascii="Wingdings" w:eastAsia="Wingdings" w:hAnsi="Wingdings" w:cs="Wingdings" w:hint="default"/>
        <w:spacing w:val="-1"/>
        <w:w w:val="100"/>
        <w:sz w:val="22"/>
        <w:szCs w:val="22"/>
        <w:lang w:val="fr-FR" w:eastAsia="fr-FR" w:bidi="fr-FR"/>
      </w:rPr>
    </w:lvl>
    <w:lvl w:ilvl="1" w:tplc="EADA57D8">
      <w:numFmt w:val="bullet"/>
      <w:lvlText w:val="•"/>
      <w:lvlJc w:val="left"/>
      <w:pPr>
        <w:ind w:left="1876" w:hanging="215"/>
      </w:pPr>
      <w:rPr>
        <w:rFonts w:hint="default"/>
        <w:lang w:val="fr-FR" w:eastAsia="fr-FR" w:bidi="fr-FR"/>
      </w:rPr>
    </w:lvl>
    <w:lvl w:ilvl="2" w:tplc="867020B2">
      <w:numFmt w:val="bullet"/>
      <w:lvlText w:val="•"/>
      <w:lvlJc w:val="left"/>
      <w:pPr>
        <w:ind w:left="2833" w:hanging="215"/>
      </w:pPr>
      <w:rPr>
        <w:rFonts w:hint="default"/>
        <w:lang w:val="fr-FR" w:eastAsia="fr-FR" w:bidi="fr-FR"/>
      </w:rPr>
    </w:lvl>
    <w:lvl w:ilvl="3" w:tplc="A27C1126">
      <w:numFmt w:val="bullet"/>
      <w:lvlText w:val="•"/>
      <w:lvlJc w:val="left"/>
      <w:pPr>
        <w:ind w:left="3789" w:hanging="215"/>
      </w:pPr>
      <w:rPr>
        <w:rFonts w:hint="default"/>
        <w:lang w:val="fr-FR" w:eastAsia="fr-FR" w:bidi="fr-FR"/>
      </w:rPr>
    </w:lvl>
    <w:lvl w:ilvl="4" w:tplc="1FD457A8">
      <w:numFmt w:val="bullet"/>
      <w:lvlText w:val="•"/>
      <w:lvlJc w:val="left"/>
      <w:pPr>
        <w:ind w:left="4746" w:hanging="215"/>
      </w:pPr>
      <w:rPr>
        <w:rFonts w:hint="default"/>
        <w:lang w:val="fr-FR" w:eastAsia="fr-FR" w:bidi="fr-FR"/>
      </w:rPr>
    </w:lvl>
    <w:lvl w:ilvl="5" w:tplc="18BE95F6">
      <w:numFmt w:val="bullet"/>
      <w:lvlText w:val="•"/>
      <w:lvlJc w:val="left"/>
      <w:pPr>
        <w:ind w:left="5703" w:hanging="215"/>
      </w:pPr>
      <w:rPr>
        <w:rFonts w:hint="default"/>
        <w:lang w:val="fr-FR" w:eastAsia="fr-FR" w:bidi="fr-FR"/>
      </w:rPr>
    </w:lvl>
    <w:lvl w:ilvl="6" w:tplc="73501F28">
      <w:numFmt w:val="bullet"/>
      <w:lvlText w:val="•"/>
      <w:lvlJc w:val="left"/>
      <w:pPr>
        <w:ind w:left="6659" w:hanging="215"/>
      </w:pPr>
      <w:rPr>
        <w:rFonts w:hint="default"/>
        <w:lang w:val="fr-FR" w:eastAsia="fr-FR" w:bidi="fr-FR"/>
      </w:rPr>
    </w:lvl>
    <w:lvl w:ilvl="7" w:tplc="A7865B40">
      <w:numFmt w:val="bullet"/>
      <w:lvlText w:val="•"/>
      <w:lvlJc w:val="left"/>
      <w:pPr>
        <w:ind w:left="7616" w:hanging="215"/>
      </w:pPr>
      <w:rPr>
        <w:rFonts w:hint="default"/>
        <w:lang w:val="fr-FR" w:eastAsia="fr-FR" w:bidi="fr-FR"/>
      </w:rPr>
    </w:lvl>
    <w:lvl w:ilvl="8" w:tplc="0118604C">
      <w:numFmt w:val="bullet"/>
      <w:lvlText w:val="•"/>
      <w:lvlJc w:val="left"/>
      <w:pPr>
        <w:ind w:left="8573" w:hanging="215"/>
      </w:pPr>
      <w:rPr>
        <w:rFonts w:hint="default"/>
        <w:lang w:val="fr-FR" w:eastAsia="fr-FR" w:bidi="fr-FR"/>
      </w:rPr>
    </w:lvl>
  </w:abstractNum>
  <w:abstractNum w:abstractNumId="305" w15:restartNumberingAfterBreak="0">
    <w:nsid w:val="6821744E"/>
    <w:multiLevelType w:val="hybridMultilevel"/>
    <w:tmpl w:val="0F243C0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6" w15:restartNumberingAfterBreak="0">
    <w:nsid w:val="68A30341"/>
    <w:multiLevelType w:val="hybridMultilevel"/>
    <w:tmpl w:val="0C86F392"/>
    <w:lvl w:ilvl="0" w:tplc="D09CAB78">
      <w:start w:val="1"/>
      <w:numFmt w:val="bullet"/>
      <w:lvlText w:val=""/>
      <w:lvlJc w:val="left"/>
      <w:pPr>
        <w:ind w:left="720" w:hanging="360"/>
      </w:pPr>
      <w:rPr>
        <w:rFonts w:ascii="Symbol" w:hAnsi="Symbol" w:hint="default"/>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7" w15:restartNumberingAfterBreak="0">
    <w:nsid w:val="693C709C"/>
    <w:multiLevelType w:val="hybridMultilevel"/>
    <w:tmpl w:val="D24687F2"/>
    <w:lvl w:ilvl="0" w:tplc="040C0001">
      <w:start w:val="1"/>
      <w:numFmt w:val="decimal"/>
      <w:lvlText w:val="%1."/>
      <w:lvlJc w:val="left"/>
      <w:pPr>
        <w:tabs>
          <w:tab w:val="num" w:pos="720"/>
        </w:tabs>
        <w:ind w:left="720" w:hanging="360"/>
      </w:pPr>
      <w:rPr>
        <w:rFonts w:cs="Times New Roman"/>
      </w:rPr>
    </w:lvl>
    <w:lvl w:ilvl="1" w:tplc="040C0003">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08" w15:restartNumberingAfterBreak="0">
    <w:nsid w:val="6960538E"/>
    <w:multiLevelType w:val="hybridMultilevel"/>
    <w:tmpl w:val="552842E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9" w15:restartNumberingAfterBreak="0">
    <w:nsid w:val="697C0F21"/>
    <w:multiLevelType w:val="hybridMultilevel"/>
    <w:tmpl w:val="344E07EE"/>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310" w15:restartNumberingAfterBreak="0">
    <w:nsid w:val="69AE0577"/>
    <w:multiLevelType w:val="hybridMultilevel"/>
    <w:tmpl w:val="281AD35A"/>
    <w:lvl w:ilvl="0" w:tplc="5D727396">
      <w:start w:val="1"/>
      <w:numFmt w:val="decimal"/>
      <w:lvlText w:val="%1°"/>
      <w:lvlJc w:val="left"/>
      <w:pPr>
        <w:ind w:left="1211" w:hanging="360"/>
      </w:pPr>
    </w:lvl>
    <w:lvl w:ilvl="1" w:tplc="52947E6A">
      <w:start w:val="1"/>
      <w:numFmt w:val="lowerLetter"/>
      <w:lvlText w:val="%2."/>
      <w:lvlJc w:val="left"/>
      <w:pPr>
        <w:tabs>
          <w:tab w:val="num" w:pos="2291"/>
        </w:tabs>
        <w:ind w:left="2291" w:hanging="360"/>
      </w:pPr>
      <w:rPr>
        <w:rFonts w:ascii="Georgia" w:hAnsi="Georgia" w:hint="default"/>
        <w:sz w:val="20"/>
        <w:u w:color="7030A0"/>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11" w15:restartNumberingAfterBreak="0">
    <w:nsid w:val="6A2E2510"/>
    <w:multiLevelType w:val="hybridMultilevel"/>
    <w:tmpl w:val="08503F3A"/>
    <w:lvl w:ilvl="0" w:tplc="A1CED84E">
      <w:start w:val="1"/>
      <w:numFmt w:val="bullet"/>
      <w:lvlText w:val=""/>
      <w:lvlJc w:val="left"/>
      <w:pPr>
        <w:ind w:left="1429"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2" w15:restartNumberingAfterBreak="0">
    <w:nsid w:val="6AE52AE9"/>
    <w:multiLevelType w:val="hybridMultilevel"/>
    <w:tmpl w:val="EAFA04D0"/>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868"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313" w15:restartNumberingAfterBreak="0">
    <w:nsid w:val="6B637F02"/>
    <w:multiLevelType w:val="hybridMultilevel"/>
    <w:tmpl w:val="8D0EB45E"/>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4" w15:restartNumberingAfterBreak="0">
    <w:nsid w:val="6BBA0CFE"/>
    <w:multiLevelType w:val="hybridMultilevel"/>
    <w:tmpl w:val="33AA642C"/>
    <w:lvl w:ilvl="0" w:tplc="EE9C99D8">
      <w:start w:val="1"/>
      <w:numFmt w:val="bullet"/>
      <w:lvlText w:val=""/>
      <w:lvlJc w:val="left"/>
      <w:pPr>
        <w:ind w:left="1429" w:hanging="360"/>
      </w:pPr>
      <w:rPr>
        <w:rFonts w:ascii="Wingdings" w:hAnsi="Wingdings"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315" w15:restartNumberingAfterBreak="0">
    <w:nsid w:val="6C3D39EF"/>
    <w:multiLevelType w:val="hybridMultilevel"/>
    <w:tmpl w:val="143218BA"/>
    <w:lvl w:ilvl="0" w:tplc="080C0015">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16" w15:restartNumberingAfterBreak="0">
    <w:nsid w:val="6CBA77BC"/>
    <w:multiLevelType w:val="hybridMultilevel"/>
    <w:tmpl w:val="600ABDF0"/>
    <w:name w:val="WW8Num393"/>
    <w:lvl w:ilvl="0" w:tplc="1A00C44E">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17" w15:restartNumberingAfterBreak="0">
    <w:nsid w:val="6E1F6681"/>
    <w:multiLevelType w:val="hybridMultilevel"/>
    <w:tmpl w:val="99A857E4"/>
    <w:lvl w:ilvl="0" w:tplc="5D087758">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8" w15:restartNumberingAfterBreak="0">
    <w:nsid w:val="6FA3028C"/>
    <w:multiLevelType w:val="hybridMultilevel"/>
    <w:tmpl w:val="E4A2A3EC"/>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9" w15:restartNumberingAfterBreak="0">
    <w:nsid w:val="6FB379AD"/>
    <w:multiLevelType w:val="hybridMultilevel"/>
    <w:tmpl w:val="74F209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0" w15:restartNumberingAfterBreak="0">
    <w:nsid w:val="6FBA0E63"/>
    <w:multiLevelType w:val="hybridMultilevel"/>
    <w:tmpl w:val="62F244F4"/>
    <w:lvl w:ilvl="0" w:tplc="C13A656A">
      <w:start w:val="1"/>
      <w:numFmt w:val="decimal"/>
      <w:lvlText w:val="%1."/>
      <w:lvlJc w:val="left"/>
      <w:pPr>
        <w:ind w:left="1416" w:hanging="360"/>
      </w:pPr>
      <w:rPr>
        <w:rFonts w:ascii="Arial" w:eastAsia="Arial" w:hAnsi="Arial" w:cs="Arial" w:hint="default"/>
        <w:b/>
        <w:bCs/>
        <w:spacing w:val="-2"/>
        <w:w w:val="99"/>
        <w:sz w:val="24"/>
        <w:szCs w:val="24"/>
        <w:lang w:val="fr-FR" w:eastAsia="fr-FR" w:bidi="fr-FR"/>
      </w:rPr>
    </w:lvl>
    <w:lvl w:ilvl="1" w:tplc="EF9E49B8">
      <w:numFmt w:val="bullet"/>
      <w:lvlText w:val=""/>
      <w:lvlJc w:val="left"/>
      <w:pPr>
        <w:ind w:left="3387" w:hanging="282"/>
      </w:pPr>
      <w:rPr>
        <w:rFonts w:ascii="Wingdings" w:eastAsia="Wingdings" w:hAnsi="Wingdings" w:cs="Wingdings" w:hint="default"/>
        <w:w w:val="100"/>
        <w:sz w:val="24"/>
        <w:szCs w:val="24"/>
        <w:lang w:val="fr-FR" w:eastAsia="fr-FR" w:bidi="fr-FR"/>
      </w:rPr>
    </w:lvl>
    <w:lvl w:ilvl="2" w:tplc="A1166F3C">
      <w:numFmt w:val="bullet"/>
      <w:lvlText w:val="•"/>
      <w:lvlJc w:val="left"/>
      <w:pPr>
        <w:ind w:left="4169" w:hanging="282"/>
      </w:pPr>
      <w:rPr>
        <w:rFonts w:hint="default"/>
        <w:lang w:val="fr-FR" w:eastAsia="fr-FR" w:bidi="fr-FR"/>
      </w:rPr>
    </w:lvl>
    <w:lvl w:ilvl="3" w:tplc="B0F05EE8">
      <w:numFmt w:val="bullet"/>
      <w:lvlText w:val="•"/>
      <w:lvlJc w:val="left"/>
      <w:pPr>
        <w:ind w:left="4959" w:hanging="282"/>
      </w:pPr>
      <w:rPr>
        <w:rFonts w:hint="default"/>
        <w:lang w:val="fr-FR" w:eastAsia="fr-FR" w:bidi="fr-FR"/>
      </w:rPr>
    </w:lvl>
    <w:lvl w:ilvl="4" w:tplc="5E36972E">
      <w:numFmt w:val="bullet"/>
      <w:lvlText w:val="•"/>
      <w:lvlJc w:val="left"/>
      <w:pPr>
        <w:ind w:left="5748" w:hanging="282"/>
      </w:pPr>
      <w:rPr>
        <w:rFonts w:hint="default"/>
        <w:lang w:val="fr-FR" w:eastAsia="fr-FR" w:bidi="fr-FR"/>
      </w:rPr>
    </w:lvl>
    <w:lvl w:ilvl="5" w:tplc="58A2AC58">
      <w:numFmt w:val="bullet"/>
      <w:lvlText w:val="•"/>
      <w:lvlJc w:val="left"/>
      <w:pPr>
        <w:ind w:left="6538" w:hanging="282"/>
      </w:pPr>
      <w:rPr>
        <w:rFonts w:hint="default"/>
        <w:lang w:val="fr-FR" w:eastAsia="fr-FR" w:bidi="fr-FR"/>
      </w:rPr>
    </w:lvl>
    <w:lvl w:ilvl="6" w:tplc="2EF02C50">
      <w:numFmt w:val="bullet"/>
      <w:lvlText w:val="•"/>
      <w:lvlJc w:val="left"/>
      <w:pPr>
        <w:ind w:left="7328" w:hanging="282"/>
      </w:pPr>
      <w:rPr>
        <w:rFonts w:hint="default"/>
        <w:lang w:val="fr-FR" w:eastAsia="fr-FR" w:bidi="fr-FR"/>
      </w:rPr>
    </w:lvl>
    <w:lvl w:ilvl="7" w:tplc="4E047EF8">
      <w:numFmt w:val="bullet"/>
      <w:lvlText w:val="•"/>
      <w:lvlJc w:val="left"/>
      <w:pPr>
        <w:ind w:left="8117" w:hanging="282"/>
      </w:pPr>
      <w:rPr>
        <w:rFonts w:hint="default"/>
        <w:lang w:val="fr-FR" w:eastAsia="fr-FR" w:bidi="fr-FR"/>
      </w:rPr>
    </w:lvl>
    <w:lvl w:ilvl="8" w:tplc="6AEC5CD4">
      <w:numFmt w:val="bullet"/>
      <w:lvlText w:val="•"/>
      <w:lvlJc w:val="left"/>
      <w:pPr>
        <w:ind w:left="8907" w:hanging="282"/>
      </w:pPr>
      <w:rPr>
        <w:rFonts w:hint="default"/>
        <w:lang w:val="fr-FR" w:eastAsia="fr-FR" w:bidi="fr-FR"/>
      </w:rPr>
    </w:lvl>
  </w:abstractNum>
  <w:abstractNum w:abstractNumId="321" w15:restartNumberingAfterBreak="0">
    <w:nsid w:val="702A4FF4"/>
    <w:multiLevelType w:val="hybridMultilevel"/>
    <w:tmpl w:val="052E243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2" w15:restartNumberingAfterBreak="0">
    <w:nsid w:val="706652FC"/>
    <w:multiLevelType w:val="hybridMultilevel"/>
    <w:tmpl w:val="2332BBBA"/>
    <w:lvl w:ilvl="0" w:tplc="6EEAA088">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23" w15:restartNumberingAfterBreak="0">
    <w:nsid w:val="70EC51F4"/>
    <w:multiLevelType w:val="hybridMultilevel"/>
    <w:tmpl w:val="6F82308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4" w15:restartNumberingAfterBreak="0">
    <w:nsid w:val="71731ACA"/>
    <w:multiLevelType w:val="hybridMultilevel"/>
    <w:tmpl w:val="F72E3644"/>
    <w:lvl w:ilvl="0" w:tplc="EB12BB6A">
      <w:start w:val="1"/>
      <w:numFmt w:val="bullet"/>
      <w:lvlText w:val="□"/>
      <w:lvlJc w:val="left"/>
      <w:pPr>
        <w:ind w:left="2136"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5" w15:restartNumberingAfterBreak="0">
    <w:nsid w:val="72CF4D64"/>
    <w:multiLevelType w:val="hybridMultilevel"/>
    <w:tmpl w:val="9B06D14C"/>
    <w:lvl w:ilvl="0" w:tplc="00000037">
      <w:start w:val="1"/>
      <w:numFmt w:val="bullet"/>
      <w:lvlText w:val=""/>
      <w:lvlJc w:val="left"/>
      <w:pPr>
        <w:tabs>
          <w:tab w:val="num" w:pos="720"/>
        </w:tabs>
        <w:ind w:left="720" w:hanging="360"/>
      </w:pPr>
      <w:rPr>
        <w:rFonts w:ascii="Wingdings" w:hAnsi="Wingdings" w:hint="default"/>
        <w:sz w:val="16"/>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6" w15:restartNumberingAfterBreak="0">
    <w:nsid w:val="730673FA"/>
    <w:multiLevelType w:val="hybridMultilevel"/>
    <w:tmpl w:val="2612FF78"/>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327" w15:restartNumberingAfterBreak="0">
    <w:nsid w:val="73280F9F"/>
    <w:multiLevelType w:val="hybridMultilevel"/>
    <w:tmpl w:val="0D0A9716"/>
    <w:name w:val="WW8Num1832"/>
    <w:lvl w:ilvl="0" w:tplc="000000B7">
      <w:start w:val="1"/>
      <w:numFmt w:val="decimal"/>
      <w:lvlText w:val="(%1)"/>
      <w:lvlJc w:val="left"/>
      <w:pPr>
        <w:tabs>
          <w:tab w:val="num" w:pos="-360"/>
        </w:tabs>
        <w:ind w:left="360" w:hanging="360"/>
      </w:pPr>
      <w:rPr>
        <w:rFonts w:cs="Times New Roman"/>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28" w15:restartNumberingAfterBreak="0">
    <w:nsid w:val="756025E7"/>
    <w:multiLevelType w:val="hybridMultilevel"/>
    <w:tmpl w:val="A4FA7A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9" w15:restartNumberingAfterBreak="0">
    <w:nsid w:val="756E3E09"/>
    <w:multiLevelType w:val="multilevel"/>
    <w:tmpl w:val="B5A8A06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30" w15:restartNumberingAfterBreak="0">
    <w:nsid w:val="7582416E"/>
    <w:multiLevelType w:val="hybridMultilevel"/>
    <w:tmpl w:val="0122AF5C"/>
    <w:lvl w:ilvl="0" w:tplc="040C0007">
      <w:start w:val="1"/>
      <w:numFmt w:val="bullet"/>
      <w:lvlText w:val=""/>
      <w:lvlJc w:val="left"/>
      <w:pPr>
        <w:tabs>
          <w:tab w:val="num" w:pos="720"/>
        </w:tabs>
        <w:ind w:left="720" w:hanging="360"/>
      </w:pPr>
      <w:rPr>
        <w:rFonts w:ascii="Symbol" w:hAnsi="Symbol" w:hint="default"/>
      </w:rPr>
    </w:lvl>
    <w:lvl w:ilvl="1" w:tplc="040C0003">
      <w:start w:val="7"/>
      <w:numFmt w:val="bullet"/>
      <w:lvlText w:val="-"/>
      <w:lvlJc w:val="left"/>
      <w:pPr>
        <w:tabs>
          <w:tab w:val="num" w:pos="1440"/>
        </w:tabs>
        <w:ind w:left="1440" w:hanging="360"/>
      </w:pPr>
      <w:rPr>
        <w:rFonts w:ascii="Goudy Old Style" w:eastAsia="Times New Roman" w:hAnsi="Goudy Old Style" w:hint="default"/>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31" w15:restartNumberingAfterBreak="0">
    <w:nsid w:val="76211615"/>
    <w:multiLevelType w:val="multilevel"/>
    <w:tmpl w:val="DC6251A8"/>
    <w:lvl w:ilvl="0">
      <w:start w:val="1"/>
      <w:numFmt w:val="decimal"/>
      <w:lvlText w:val="%1."/>
      <w:lvlJc w:val="left"/>
      <w:pPr>
        <w:ind w:left="720" w:hanging="360"/>
      </w:pPr>
      <w:rPr>
        <w:rFonts w:hint="default"/>
      </w:rPr>
    </w:lvl>
    <w:lvl w:ilvl="1">
      <w:start w:val="1"/>
      <w:numFmt w:val="decimal"/>
      <w:isLgl/>
      <w:lvlText w:val="%1.%2."/>
      <w:lvlJc w:val="left"/>
      <w:pPr>
        <w:ind w:left="1125" w:hanging="765"/>
      </w:pPr>
      <w:rPr>
        <w:rFonts w:hint="default"/>
      </w:rPr>
    </w:lvl>
    <w:lvl w:ilvl="2">
      <w:start w:val="6"/>
      <w:numFmt w:val="decimal"/>
      <w:isLgl/>
      <w:lvlText w:val="%1.%2.%3."/>
      <w:lvlJc w:val="left"/>
      <w:pPr>
        <w:ind w:left="1125" w:hanging="765"/>
      </w:pPr>
      <w:rPr>
        <w:rFonts w:hint="default"/>
      </w:rPr>
    </w:lvl>
    <w:lvl w:ilvl="3">
      <w:start w:val="5"/>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32" w15:restartNumberingAfterBreak="0">
    <w:nsid w:val="76350EE9"/>
    <w:multiLevelType w:val="hybridMultilevel"/>
    <w:tmpl w:val="45484AAE"/>
    <w:lvl w:ilvl="0" w:tplc="98EE5FC6">
      <w:start w:val="1"/>
      <w:numFmt w:val="bullet"/>
      <w:lvlText w:val="□"/>
      <w:lvlJc w:val="left"/>
      <w:pPr>
        <w:ind w:left="720"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3" w15:restartNumberingAfterBreak="0">
    <w:nsid w:val="76591406"/>
    <w:multiLevelType w:val="hybridMultilevel"/>
    <w:tmpl w:val="B4022912"/>
    <w:name w:val="WW8Num2082"/>
    <w:lvl w:ilvl="0" w:tplc="040C0009">
      <w:start w:val="1"/>
      <w:numFmt w:val="bullet"/>
      <w:lvlText w:val=""/>
      <w:lvlJc w:val="left"/>
      <w:pPr>
        <w:tabs>
          <w:tab w:val="num" w:pos="720"/>
        </w:tabs>
        <w:ind w:left="720" w:hanging="360"/>
      </w:pPr>
      <w:rPr>
        <w:rFonts w:ascii="Symbol" w:hAnsi="Symbol" w:hint="default"/>
      </w:rPr>
    </w:lvl>
    <w:lvl w:ilvl="1" w:tplc="040C0003" w:tentative="1">
      <w:start w:val="1"/>
      <w:numFmt w:val="lowerLetter"/>
      <w:lvlText w:val="%2."/>
      <w:lvlJc w:val="left"/>
      <w:pPr>
        <w:tabs>
          <w:tab w:val="num" w:pos="1440"/>
        </w:tabs>
        <w:ind w:left="1440" w:hanging="360"/>
      </w:pPr>
      <w:rPr>
        <w:rFonts w:cs="Times New Roman"/>
      </w:rPr>
    </w:lvl>
    <w:lvl w:ilvl="2" w:tplc="040C0005" w:tentative="1">
      <w:start w:val="1"/>
      <w:numFmt w:val="lowerRoman"/>
      <w:lvlText w:val="%3."/>
      <w:lvlJc w:val="right"/>
      <w:pPr>
        <w:tabs>
          <w:tab w:val="num" w:pos="2160"/>
        </w:tabs>
        <w:ind w:left="2160" w:hanging="180"/>
      </w:pPr>
      <w:rPr>
        <w:rFonts w:cs="Times New Roman"/>
      </w:rPr>
    </w:lvl>
    <w:lvl w:ilvl="3" w:tplc="040C0001" w:tentative="1">
      <w:start w:val="1"/>
      <w:numFmt w:val="decimal"/>
      <w:lvlText w:val="%4."/>
      <w:lvlJc w:val="left"/>
      <w:pPr>
        <w:tabs>
          <w:tab w:val="num" w:pos="2880"/>
        </w:tabs>
        <w:ind w:left="2880" w:hanging="360"/>
      </w:pPr>
      <w:rPr>
        <w:rFonts w:cs="Times New Roman"/>
      </w:rPr>
    </w:lvl>
    <w:lvl w:ilvl="4" w:tplc="040C0003" w:tentative="1">
      <w:start w:val="1"/>
      <w:numFmt w:val="lowerLetter"/>
      <w:lvlText w:val="%5."/>
      <w:lvlJc w:val="left"/>
      <w:pPr>
        <w:tabs>
          <w:tab w:val="num" w:pos="3600"/>
        </w:tabs>
        <w:ind w:left="3600" w:hanging="360"/>
      </w:pPr>
      <w:rPr>
        <w:rFonts w:cs="Times New Roman"/>
      </w:rPr>
    </w:lvl>
    <w:lvl w:ilvl="5" w:tplc="040C0005" w:tentative="1">
      <w:start w:val="1"/>
      <w:numFmt w:val="lowerRoman"/>
      <w:lvlText w:val="%6."/>
      <w:lvlJc w:val="right"/>
      <w:pPr>
        <w:tabs>
          <w:tab w:val="num" w:pos="4320"/>
        </w:tabs>
        <w:ind w:left="4320" w:hanging="180"/>
      </w:pPr>
      <w:rPr>
        <w:rFonts w:cs="Times New Roman"/>
      </w:rPr>
    </w:lvl>
    <w:lvl w:ilvl="6" w:tplc="040C0001" w:tentative="1">
      <w:start w:val="1"/>
      <w:numFmt w:val="decimal"/>
      <w:lvlText w:val="%7."/>
      <w:lvlJc w:val="left"/>
      <w:pPr>
        <w:tabs>
          <w:tab w:val="num" w:pos="5040"/>
        </w:tabs>
        <w:ind w:left="5040" w:hanging="360"/>
      </w:pPr>
      <w:rPr>
        <w:rFonts w:cs="Times New Roman"/>
      </w:rPr>
    </w:lvl>
    <w:lvl w:ilvl="7" w:tplc="040C0003" w:tentative="1">
      <w:start w:val="1"/>
      <w:numFmt w:val="lowerLetter"/>
      <w:lvlText w:val="%8."/>
      <w:lvlJc w:val="left"/>
      <w:pPr>
        <w:tabs>
          <w:tab w:val="num" w:pos="5760"/>
        </w:tabs>
        <w:ind w:left="5760" w:hanging="360"/>
      </w:pPr>
      <w:rPr>
        <w:rFonts w:cs="Times New Roman"/>
      </w:rPr>
    </w:lvl>
    <w:lvl w:ilvl="8" w:tplc="040C0005" w:tentative="1">
      <w:start w:val="1"/>
      <w:numFmt w:val="lowerRoman"/>
      <w:lvlText w:val="%9."/>
      <w:lvlJc w:val="right"/>
      <w:pPr>
        <w:tabs>
          <w:tab w:val="num" w:pos="6480"/>
        </w:tabs>
        <w:ind w:left="6480" w:hanging="180"/>
      </w:pPr>
      <w:rPr>
        <w:rFonts w:cs="Times New Roman"/>
      </w:rPr>
    </w:lvl>
  </w:abstractNum>
  <w:abstractNum w:abstractNumId="334" w15:restartNumberingAfterBreak="0">
    <w:nsid w:val="771B2056"/>
    <w:multiLevelType w:val="multilevel"/>
    <w:tmpl w:val="1BE69706"/>
    <w:lvl w:ilvl="0">
      <w:start w:val="1"/>
      <w:numFmt w:val="decimal"/>
      <w:lvlText w:val="%1."/>
      <w:lvlJc w:val="left"/>
      <w:pPr>
        <w:ind w:left="720" w:hanging="360"/>
      </w:pPr>
      <w:rPr>
        <w:rFonts w:hint="default"/>
      </w:rPr>
    </w:lvl>
    <w:lvl w:ilvl="1">
      <w:start w:val="1"/>
      <w:numFmt w:val="decimal"/>
      <w:isLgl/>
      <w:lvlText w:val="%1.%2."/>
      <w:lvlJc w:val="left"/>
      <w:pPr>
        <w:ind w:left="1125" w:hanging="765"/>
      </w:pPr>
      <w:rPr>
        <w:rFonts w:hint="default"/>
      </w:rPr>
    </w:lvl>
    <w:lvl w:ilvl="2">
      <w:start w:val="8"/>
      <w:numFmt w:val="decimal"/>
      <w:isLgl/>
      <w:lvlText w:val="%1.%2.%3."/>
      <w:lvlJc w:val="left"/>
      <w:pPr>
        <w:ind w:left="1125" w:hanging="765"/>
      </w:pPr>
      <w:rPr>
        <w:rFonts w:hint="default"/>
      </w:rPr>
    </w:lvl>
    <w:lvl w:ilvl="3">
      <w:start w:val="3"/>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35" w15:restartNumberingAfterBreak="0">
    <w:nsid w:val="77653BBE"/>
    <w:multiLevelType w:val="hybridMultilevel"/>
    <w:tmpl w:val="BE987308"/>
    <w:lvl w:ilvl="0" w:tplc="6F7EBBA0">
      <w:start w:val="1"/>
      <w:numFmt w:val="bullet"/>
      <w:lvlText w:val=""/>
      <w:lvlJc w:val="left"/>
      <w:pPr>
        <w:ind w:left="720" w:hanging="360"/>
      </w:pPr>
      <w:rPr>
        <w:rFonts w:ascii="Wingdings" w:eastAsia="Times New Roman" w:hAnsi="Wingdings"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6" w15:restartNumberingAfterBreak="0">
    <w:nsid w:val="77AF3EED"/>
    <w:multiLevelType w:val="hybridMultilevel"/>
    <w:tmpl w:val="B5D081FA"/>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7" w15:restartNumberingAfterBreak="0">
    <w:nsid w:val="79DB0E9E"/>
    <w:multiLevelType w:val="multilevel"/>
    <w:tmpl w:val="6428B88E"/>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38" w15:restartNumberingAfterBreak="0">
    <w:nsid w:val="7AAB47BC"/>
    <w:multiLevelType w:val="hybridMultilevel"/>
    <w:tmpl w:val="1E0C351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9" w15:restartNumberingAfterBreak="0">
    <w:nsid w:val="7B595A8D"/>
    <w:multiLevelType w:val="hybridMultilevel"/>
    <w:tmpl w:val="79342CEA"/>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40" w15:restartNumberingAfterBreak="0">
    <w:nsid w:val="7C3F4114"/>
    <w:multiLevelType w:val="hybridMultilevel"/>
    <w:tmpl w:val="8252E554"/>
    <w:name w:val="WW8Num1452222"/>
    <w:lvl w:ilvl="0" w:tplc="040C0019">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341" w15:restartNumberingAfterBreak="0">
    <w:nsid w:val="7C52162E"/>
    <w:multiLevelType w:val="hybridMultilevel"/>
    <w:tmpl w:val="1E0E7256"/>
    <w:lvl w:ilvl="0" w:tplc="B0729080">
      <w:start w:val="1"/>
      <w:numFmt w:val="bullet"/>
      <w:lvlText w:val=""/>
      <w:lvlJc w:val="left"/>
      <w:pPr>
        <w:ind w:left="941"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29FCEF88">
      <w:start w:val="1"/>
      <w:numFmt w:val="bullet"/>
      <w:lvlText w:val="o"/>
      <w:lvlJc w:val="left"/>
      <w:pPr>
        <w:ind w:left="160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FC84163E">
      <w:start w:val="1"/>
      <w:numFmt w:val="bullet"/>
      <w:lvlText w:val="▪"/>
      <w:lvlJc w:val="left"/>
      <w:pPr>
        <w:ind w:left="232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BE88E3BE">
      <w:start w:val="1"/>
      <w:numFmt w:val="bullet"/>
      <w:lvlText w:val="•"/>
      <w:lvlJc w:val="left"/>
      <w:pPr>
        <w:ind w:left="304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6A7EC062">
      <w:start w:val="1"/>
      <w:numFmt w:val="bullet"/>
      <w:lvlText w:val="o"/>
      <w:lvlJc w:val="left"/>
      <w:pPr>
        <w:ind w:left="376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E3FA995E">
      <w:start w:val="1"/>
      <w:numFmt w:val="bullet"/>
      <w:lvlText w:val="▪"/>
      <w:lvlJc w:val="left"/>
      <w:pPr>
        <w:ind w:left="448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4F8050C8">
      <w:start w:val="1"/>
      <w:numFmt w:val="bullet"/>
      <w:lvlText w:val="•"/>
      <w:lvlJc w:val="left"/>
      <w:pPr>
        <w:ind w:left="520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1A84E86">
      <w:start w:val="1"/>
      <w:numFmt w:val="bullet"/>
      <w:lvlText w:val="o"/>
      <w:lvlJc w:val="left"/>
      <w:pPr>
        <w:ind w:left="592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C13A7420">
      <w:start w:val="1"/>
      <w:numFmt w:val="bullet"/>
      <w:lvlText w:val="▪"/>
      <w:lvlJc w:val="left"/>
      <w:pPr>
        <w:ind w:left="664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342" w15:restartNumberingAfterBreak="0">
    <w:nsid w:val="7D2F452B"/>
    <w:multiLevelType w:val="hybridMultilevel"/>
    <w:tmpl w:val="937A3102"/>
    <w:lvl w:ilvl="0" w:tplc="00000037">
      <w:start w:val="2"/>
      <w:numFmt w:val="bullet"/>
      <w:lvlText w:val="-"/>
      <w:lvlJc w:val="left"/>
      <w:pPr>
        <w:tabs>
          <w:tab w:val="num" w:pos="360"/>
        </w:tabs>
        <w:ind w:left="360" w:hanging="360"/>
      </w:pPr>
      <w:rPr>
        <w:rFonts w:ascii="Times New Roman" w:hAnsi="Times New Roman"/>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3" w15:restartNumberingAfterBreak="0">
    <w:nsid w:val="7DD93471"/>
    <w:multiLevelType w:val="hybridMultilevel"/>
    <w:tmpl w:val="78F4A650"/>
    <w:lvl w:ilvl="0" w:tplc="080C0017">
      <w:start w:val="1"/>
      <w:numFmt w:val="lowerLetter"/>
      <w:lvlText w:val="%1)"/>
      <w:lvlJc w:val="left"/>
      <w:pPr>
        <w:ind w:left="720" w:hanging="360"/>
      </w:p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44" w15:restartNumberingAfterBreak="0">
    <w:nsid w:val="7E037B77"/>
    <w:multiLevelType w:val="hybridMultilevel"/>
    <w:tmpl w:val="9622399E"/>
    <w:lvl w:ilvl="0" w:tplc="98EE5FC6">
      <w:start w:val="1"/>
      <w:numFmt w:val="bullet"/>
      <w:lvlText w:val="□"/>
      <w:lvlJc w:val="left"/>
      <w:pPr>
        <w:ind w:left="720" w:hanging="360"/>
      </w:pPr>
      <w:rPr>
        <w:rFonts w:ascii="Calibri" w:hAnsi="Calibri" w:hint="default"/>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5" w15:restartNumberingAfterBreak="0">
    <w:nsid w:val="7F3203A3"/>
    <w:multiLevelType w:val="hybridMultilevel"/>
    <w:tmpl w:val="84ECEC0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771"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num w:numId="1">
    <w:abstractNumId w:val="126"/>
  </w:num>
  <w:num w:numId="2">
    <w:abstractNumId w:val="10"/>
  </w:num>
  <w:num w:numId="3">
    <w:abstractNumId w:val="19"/>
  </w:num>
  <w:num w:numId="4">
    <w:abstractNumId w:val="21"/>
  </w:num>
  <w:num w:numId="5">
    <w:abstractNumId w:val="24"/>
  </w:num>
  <w:num w:numId="6">
    <w:abstractNumId w:val="30"/>
  </w:num>
  <w:num w:numId="7">
    <w:abstractNumId w:val="33"/>
  </w:num>
  <w:num w:numId="8">
    <w:abstractNumId w:val="39"/>
  </w:num>
  <w:num w:numId="9">
    <w:abstractNumId w:val="40"/>
  </w:num>
  <w:num w:numId="10">
    <w:abstractNumId w:val="41"/>
  </w:num>
  <w:num w:numId="11">
    <w:abstractNumId w:val="46"/>
  </w:num>
  <w:num w:numId="12">
    <w:abstractNumId w:val="48"/>
  </w:num>
  <w:num w:numId="13">
    <w:abstractNumId w:val="53"/>
  </w:num>
  <w:num w:numId="14">
    <w:abstractNumId w:val="54"/>
  </w:num>
  <w:num w:numId="15">
    <w:abstractNumId w:val="57"/>
  </w:num>
  <w:num w:numId="16">
    <w:abstractNumId w:val="64"/>
  </w:num>
  <w:num w:numId="17">
    <w:abstractNumId w:val="67"/>
  </w:num>
  <w:num w:numId="18">
    <w:abstractNumId w:val="75"/>
  </w:num>
  <w:num w:numId="19">
    <w:abstractNumId w:val="79"/>
  </w:num>
  <w:num w:numId="20">
    <w:abstractNumId w:val="82"/>
  </w:num>
  <w:num w:numId="21">
    <w:abstractNumId w:val="87"/>
  </w:num>
  <w:num w:numId="22">
    <w:abstractNumId w:val="91"/>
  </w:num>
  <w:num w:numId="23">
    <w:abstractNumId w:val="92"/>
  </w:num>
  <w:num w:numId="24">
    <w:abstractNumId w:val="93"/>
  </w:num>
  <w:num w:numId="25">
    <w:abstractNumId w:val="100"/>
  </w:num>
  <w:num w:numId="26">
    <w:abstractNumId w:val="105"/>
  </w:num>
  <w:num w:numId="27">
    <w:abstractNumId w:val="106"/>
  </w:num>
  <w:num w:numId="28">
    <w:abstractNumId w:val="108"/>
  </w:num>
  <w:num w:numId="29">
    <w:abstractNumId w:val="110"/>
  </w:num>
  <w:num w:numId="30">
    <w:abstractNumId w:val="111"/>
  </w:num>
  <w:num w:numId="31">
    <w:abstractNumId w:val="118"/>
  </w:num>
  <w:num w:numId="32">
    <w:abstractNumId w:val="121"/>
  </w:num>
  <w:num w:numId="33">
    <w:abstractNumId w:val="122"/>
  </w:num>
  <w:num w:numId="34">
    <w:abstractNumId w:val="134"/>
  </w:num>
  <w:num w:numId="35">
    <w:abstractNumId w:val="229"/>
  </w:num>
  <w:num w:numId="36">
    <w:abstractNumId w:val="166"/>
  </w:num>
  <w:num w:numId="37">
    <w:abstractNumId w:val="255"/>
  </w:num>
  <w:num w:numId="38">
    <w:abstractNumId w:val="162"/>
  </w:num>
  <w:num w:numId="39">
    <w:abstractNumId w:val="270"/>
  </w:num>
  <w:num w:numId="40">
    <w:abstractNumId w:val="261"/>
  </w:num>
  <w:num w:numId="41">
    <w:abstractNumId w:val="155"/>
  </w:num>
  <w:num w:numId="42">
    <w:abstractNumId w:val="160"/>
  </w:num>
  <w:num w:numId="43">
    <w:abstractNumId w:val="152"/>
  </w:num>
  <w:num w:numId="44">
    <w:abstractNumId w:val="167"/>
  </w:num>
  <w:num w:numId="45">
    <w:abstractNumId w:val="159"/>
  </w:num>
  <w:num w:numId="46">
    <w:abstractNumId w:val="201"/>
  </w:num>
  <w:num w:numId="47">
    <w:abstractNumId w:val="181"/>
  </w:num>
  <w:num w:numId="48">
    <w:abstractNumId w:val="256"/>
  </w:num>
  <w:num w:numId="49">
    <w:abstractNumId w:val="163"/>
  </w:num>
  <w:num w:numId="50">
    <w:abstractNumId w:val="283"/>
  </w:num>
  <w:num w:numId="51">
    <w:abstractNumId w:val="157"/>
  </w:num>
  <w:num w:numId="52">
    <w:abstractNumId w:val="188"/>
  </w:num>
  <w:num w:numId="53">
    <w:abstractNumId w:val="153"/>
  </w:num>
  <w:num w:numId="54">
    <w:abstractNumId w:val="214"/>
  </w:num>
  <w:num w:numId="55">
    <w:abstractNumId w:val="184"/>
  </w:num>
  <w:num w:numId="56">
    <w:abstractNumId w:val="284"/>
  </w:num>
  <w:num w:numId="57">
    <w:abstractNumId w:val="212"/>
  </w:num>
  <w:num w:numId="58">
    <w:abstractNumId w:val="271"/>
  </w:num>
  <w:num w:numId="59">
    <w:abstractNumId w:val="273"/>
  </w:num>
  <w:num w:numId="60">
    <w:abstractNumId w:val="220"/>
  </w:num>
  <w:num w:numId="61">
    <w:abstractNumId w:val="266"/>
  </w:num>
  <w:num w:numId="62">
    <w:abstractNumId w:val="323"/>
  </w:num>
  <w:num w:numId="63">
    <w:abstractNumId w:val="178"/>
  </w:num>
  <w:num w:numId="64">
    <w:abstractNumId w:val="2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78"/>
  </w:num>
  <w:num w:numId="66">
    <w:abstractNumId w:val="17"/>
  </w:num>
  <w:num w:numId="67">
    <w:abstractNumId w:val="154"/>
  </w:num>
  <w:num w:numId="68">
    <w:abstractNumId w:val="314"/>
  </w:num>
  <w:num w:numId="69">
    <w:abstractNumId w:val="194"/>
  </w:num>
  <w:num w:numId="70">
    <w:abstractNumId w:val="0"/>
  </w:num>
  <w:num w:numId="71">
    <w:abstractNumId w:val="3"/>
  </w:num>
  <w:num w:numId="72">
    <w:abstractNumId w:val="11"/>
  </w:num>
  <w:num w:numId="73">
    <w:abstractNumId w:val="14"/>
  </w:num>
  <w:num w:numId="74">
    <w:abstractNumId w:val="16"/>
  </w:num>
  <w:num w:numId="75">
    <w:abstractNumId w:val="20"/>
  </w:num>
  <w:num w:numId="76">
    <w:abstractNumId w:val="25"/>
  </w:num>
  <w:num w:numId="77">
    <w:abstractNumId w:val="27"/>
  </w:num>
  <w:num w:numId="78">
    <w:abstractNumId w:val="28"/>
  </w:num>
  <w:num w:numId="79">
    <w:abstractNumId w:val="34"/>
  </w:num>
  <w:num w:numId="80">
    <w:abstractNumId w:val="44"/>
  </w:num>
  <w:num w:numId="81">
    <w:abstractNumId w:val="47"/>
  </w:num>
  <w:num w:numId="82">
    <w:abstractNumId w:val="49"/>
  </w:num>
  <w:num w:numId="83">
    <w:abstractNumId w:val="55"/>
  </w:num>
  <w:num w:numId="84">
    <w:abstractNumId w:val="63"/>
  </w:num>
  <w:num w:numId="85">
    <w:abstractNumId w:val="69"/>
  </w:num>
  <w:num w:numId="86">
    <w:abstractNumId w:val="72"/>
  </w:num>
  <w:num w:numId="87">
    <w:abstractNumId w:val="83"/>
  </w:num>
  <w:num w:numId="88">
    <w:abstractNumId w:val="86"/>
  </w:num>
  <w:num w:numId="89">
    <w:abstractNumId w:val="88"/>
  </w:num>
  <w:num w:numId="90">
    <w:abstractNumId w:val="95"/>
  </w:num>
  <w:num w:numId="91">
    <w:abstractNumId w:val="98"/>
  </w:num>
  <w:num w:numId="92">
    <w:abstractNumId w:val="103"/>
  </w:num>
  <w:num w:numId="93">
    <w:abstractNumId w:val="104"/>
  </w:num>
  <w:num w:numId="94">
    <w:abstractNumId w:val="109"/>
  </w:num>
  <w:num w:numId="95">
    <w:abstractNumId w:val="113"/>
  </w:num>
  <w:num w:numId="96">
    <w:abstractNumId w:val="117"/>
  </w:num>
  <w:num w:numId="97">
    <w:abstractNumId w:val="124"/>
  </w:num>
  <w:num w:numId="98">
    <w:abstractNumId w:val="127"/>
  </w:num>
  <w:num w:numId="99">
    <w:abstractNumId w:val="129"/>
  </w:num>
  <w:num w:numId="100">
    <w:abstractNumId w:val="131"/>
  </w:num>
  <w:num w:numId="101">
    <w:abstractNumId w:val="136"/>
  </w:num>
  <w:num w:numId="102">
    <w:abstractNumId w:val="139"/>
  </w:num>
  <w:num w:numId="103">
    <w:abstractNumId w:val="145"/>
  </w:num>
  <w:num w:numId="104">
    <w:abstractNumId w:val="146"/>
  </w:num>
  <w:num w:numId="105">
    <w:abstractNumId w:val="147"/>
  </w:num>
  <w:num w:numId="106">
    <w:abstractNumId w:val="148"/>
  </w:num>
  <w:num w:numId="107">
    <w:abstractNumId w:val="149"/>
  </w:num>
  <w:num w:numId="108">
    <w:abstractNumId w:val="189"/>
  </w:num>
  <w:num w:numId="109">
    <w:abstractNumId w:val="338"/>
  </w:num>
  <w:num w:numId="110">
    <w:abstractNumId w:val="325"/>
  </w:num>
  <w:num w:numId="111">
    <w:abstractNumId w:val="280"/>
  </w:num>
  <w:num w:numId="112">
    <w:abstractNumId w:val="232"/>
  </w:num>
  <w:num w:numId="113">
    <w:abstractNumId w:val="195"/>
  </w:num>
  <w:num w:numId="114">
    <w:abstractNumId w:val="311"/>
  </w:num>
  <w:num w:numId="115">
    <w:abstractNumId w:val="300"/>
  </w:num>
  <w:num w:numId="116">
    <w:abstractNumId w:val="342"/>
  </w:num>
  <w:num w:numId="117">
    <w:abstractNumId w:val="289"/>
  </w:num>
  <w:num w:numId="118">
    <w:abstractNumId w:val="5"/>
  </w:num>
  <w:num w:numId="119">
    <w:abstractNumId w:val="3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62"/>
  </w:num>
  <w:num w:numId="122">
    <w:abstractNumId w:val="15"/>
  </w:num>
  <w:num w:numId="123">
    <w:abstractNumId w:val="58"/>
  </w:num>
  <w:num w:numId="124">
    <w:abstractNumId w:val="73"/>
  </w:num>
  <w:num w:numId="125">
    <w:abstractNumId w:val="99"/>
  </w:num>
  <w:num w:numId="126">
    <w:abstractNumId w:val="101"/>
  </w:num>
  <w:num w:numId="127">
    <w:abstractNumId w:val="3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17"/>
  </w:num>
  <w:num w:numId="129">
    <w:abstractNumId w:val="8"/>
  </w:num>
  <w:num w:numId="130">
    <w:abstractNumId w:val="22"/>
  </w:num>
  <w:num w:numId="131">
    <w:abstractNumId w:val="36"/>
  </w:num>
  <w:num w:numId="132">
    <w:abstractNumId w:val="65"/>
  </w:num>
  <w:num w:numId="133">
    <w:abstractNumId w:val="77"/>
  </w:num>
  <w:num w:numId="134">
    <w:abstractNumId w:val="89"/>
  </w:num>
  <w:num w:numId="135">
    <w:abstractNumId w:val="142"/>
  </w:num>
  <w:num w:numId="136">
    <w:abstractNumId w:val="204"/>
  </w:num>
  <w:num w:numId="137">
    <w:abstractNumId w:val="230"/>
  </w:num>
  <w:num w:numId="138">
    <w:abstractNumId w:val="258"/>
  </w:num>
  <w:num w:numId="139">
    <w:abstractNumId w:val="197"/>
  </w:num>
  <w:num w:numId="140">
    <w:abstractNumId w:val="296"/>
  </w:num>
  <w:num w:numId="141">
    <w:abstractNumId w:val="282"/>
  </w:num>
  <w:num w:numId="142">
    <w:abstractNumId w:val="218"/>
  </w:num>
  <w:num w:numId="143">
    <w:abstractNumId w:val="168"/>
  </w:num>
  <w:num w:numId="144">
    <w:abstractNumId w:val="151"/>
  </w:num>
  <w:num w:numId="145">
    <w:abstractNumId w:val="315"/>
  </w:num>
  <w:num w:numId="146">
    <w:abstractNumId w:val="302"/>
  </w:num>
  <w:num w:numId="147">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2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183"/>
  </w:num>
  <w:num w:numId="150">
    <w:abstractNumId w:val="344"/>
  </w:num>
  <w:num w:numId="151">
    <w:abstractNumId w:val="332"/>
  </w:num>
  <w:num w:numId="152">
    <w:abstractNumId w:val="191"/>
  </w:num>
  <w:num w:numId="153">
    <w:abstractNumId w:val="265"/>
  </w:num>
  <w:num w:numId="154">
    <w:abstractNumId w:val="324"/>
  </w:num>
  <w:num w:numId="155">
    <w:abstractNumId w:val="180"/>
  </w:num>
  <w:num w:numId="156">
    <w:abstractNumId w:val="310"/>
  </w:num>
  <w:num w:numId="157">
    <w:abstractNumId w:val="170"/>
  </w:num>
  <w:num w:numId="158">
    <w:abstractNumId w:val="312"/>
  </w:num>
  <w:num w:numId="159">
    <w:abstractNumId w:val="345"/>
  </w:num>
  <w:num w:numId="160">
    <w:abstractNumId w:val="245"/>
  </w:num>
  <w:num w:numId="161">
    <w:abstractNumId w:val="285"/>
  </w:num>
  <w:num w:numId="162">
    <w:abstractNumId w:val="225"/>
  </w:num>
  <w:num w:numId="163">
    <w:abstractNumId w:val="279"/>
  </w:num>
  <w:num w:numId="164">
    <w:abstractNumId w:val="161"/>
  </w:num>
  <w:num w:numId="165">
    <w:abstractNumId w:val="288"/>
  </w:num>
  <w:num w:numId="166">
    <w:abstractNumId w:val="291"/>
  </w:num>
  <w:num w:numId="167">
    <w:abstractNumId w:val="269"/>
  </w:num>
  <w:num w:numId="168">
    <w:abstractNumId w:val="203"/>
  </w:num>
  <w:num w:numId="169">
    <w:abstractNumId w:val="263"/>
  </w:num>
  <w:num w:numId="170">
    <w:abstractNumId w:val="294"/>
  </w:num>
  <w:num w:numId="171">
    <w:abstractNumId w:val="277"/>
  </w:num>
  <w:num w:numId="172">
    <w:abstractNumId w:val="298"/>
  </w:num>
  <w:num w:numId="173">
    <w:abstractNumId w:val="334"/>
  </w:num>
  <w:num w:numId="174">
    <w:abstractNumId w:val="165"/>
  </w:num>
  <w:num w:numId="175">
    <w:abstractNumId w:val="251"/>
  </w:num>
  <w:num w:numId="176">
    <w:abstractNumId w:val="164"/>
  </w:num>
  <w:num w:numId="177">
    <w:abstractNumId w:val="223"/>
  </w:num>
  <w:num w:numId="178">
    <w:abstractNumId w:val="241"/>
  </w:num>
  <w:num w:numId="179">
    <w:abstractNumId w:val="199"/>
  </w:num>
  <w:num w:numId="180">
    <w:abstractNumId w:val="222"/>
  </w:num>
  <w:num w:numId="181">
    <w:abstractNumId w:val="185"/>
  </w:num>
  <w:num w:numId="182">
    <w:abstractNumId w:val="308"/>
  </w:num>
  <w:num w:numId="183">
    <w:abstractNumId w:val="301"/>
  </w:num>
  <w:num w:numId="184">
    <w:abstractNumId w:val="202"/>
  </w:num>
  <w:num w:numId="185">
    <w:abstractNumId w:val="233"/>
  </w:num>
  <w:num w:numId="186">
    <w:abstractNumId w:val="260"/>
  </w:num>
  <w:num w:numId="187">
    <w:abstractNumId w:val="174"/>
  </w:num>
  <w:num w:numId="188">
    <w:abstractNumId w:val="286"/>
  </w:num>
  <w:num w:numId="189">
    <w:abstractNumId w:val="211"/>
  </w:num>
  <w:num w:numId="190">
    <w:abstractNumId w:val="2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215"/>
  </w:num>
  <w:num w:numId="192">
    <w:abstractNumId w:val="319"/>
  </w:num>
  <w:num w:numId="193">
    <w:abstractNumId w:val="321"/>
  </w:num>
  <w:num w:numId="194">
    <w:abstractNumId w:val="328"/>
  </w:num>
  <w:num w:numId="195">
    <w:abstractNumId w:val="272"/>
  </w:num>
  <w:num w:numId="196">
    <w:abstractNumId w:val="275"/>
  </w:num>
  <w:num w:numId="197">
    <w:abstractNumId w:val="4"/>
  </w:num>
  <w:num w:numId="198">
    <w:abstractNumId w:val="19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3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337"/>
  </w:num>
  <w:num w:numId="201">
    <w:abstractNumId w:val="150"/>
  </w:num>
  <w:num w:numId="202">
    <w:abstractNumId w:val="217"/>
  </w:num>
  <w:num w:numId="203">
    <w:abstractNumId w:val="216"/>
  </w:num>
  <w:num w:numId="204">
    <w:abstractNumId w:val="250"/>
  </w:num>
  <w:num w:numId="205">
    <w:abstractNumId w:val="207"/>
  </w:num>
  <w:num w:numId="206">
    <w:abstractNumId w:val="190"/>
  </w:num>
  <w:num w:numId="207">
    <w:abstractNumId w:val="239"/>
  </w:num>
  <w:num w:numId="208">
    <w:abstractNumId w:val="306"/>
  </w:num>
  <w:num w:numId="209">
    <w:abstractNumId w:val="2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293"/>
  </w:num>
  <w:num w:numId="211">
    <w:abstractNumId w:val="252"/>
  </w:num>
  <w:num w:numId="212">
    <w:abstractNumId w:val="213"/>
  </w:num>
  <w:num w:numId="213">
    <w:abstractNumId w:val="198"/>
  </w:num>
  <w:num w:numId="214">
    <w:abstractNumId w:val="299"/>
  </w:num>
  <w:num w:numId="215">
    <w:abstractNumId w:val="268"/>
  </w:num>
  <w:num w:numId="216">
    <w:abstractNumId w:val="297"/>
  </w:num>
  <w:num w:numId="217">
    <w:abstractNumId w:val="231"/>
  </w:num>
  <w:num w:numId="218">
    <w:abstractNumId w:val="227"/>
  </w:num>
  <w:num w:numId="219">
    <w:abstractNumId w:val="264"/>
  </w:num>
  <w:num w:numId="220">
    <w:abstractNumId w:val="221"/>
  </w:num>
  <w:num w:numId="221">
    <w:abstractNumId w:val="322"/>
  </w:num>
  <w:num w:numId="222">
    <w:abstractNumId w:val="247"/>
  </w:num>
  <w:num w:numId="223">
    <w:abstractNumId w:val="274"/>
  </w:num>
  <w:num w:numId="224">
    <w:abstractNumId w:val="179"/>
  </w:num>
  <w:num w:numId="225">
    <w:abstractNumId w:val="339"/>
  </w:num>
  <w:num w:numId="226">
    <w:abstractNumId w:val="329"/>
  </w:num>
  <w:num w:numId="227">
    <w:abstractNumId w:val="240"/>
  </w:num>
  <w:num w:numId="228">
    <w:abstractNumId w:val="313"/>
  </w:num>
  <w:num w:numId="229">
    <w:abstractNumId w:val="158"/>
  </w:num>
  <w:num w:numId="230">
    <w:abstractNumId w:val="248"/>
  </w:num>
  <w:num w:numId="231">
    <w:abstractNumId w:val="237"/>
  </w:num>
  <w:num w:numId="232">
    <w:abstractNumId w:val="295"/>
  </w:num>
  <w:num w:numId="233">
    <w:abstractNumId w:val="331"/>
  </w:num>
  <w:num w:numId="234">
    <w:abstractNumId w:val="276"/>
  </w:num>
  <w:num w:numId="235">
    <w:abstractNumId w:val="242"/>
  </w:num>
  <w:num w:numId="236">
    <w:abstractNumId w:val="303"/>
  </w:num>
  <w:num w:numId="237">
    <w:abstractNumId w:val="244"/>
  </w:num>
  <w:num w:numId="238">
    <w:abstractNumId w:val="226"/>
  </w:num>
  <w:num w:numId="239">
    <w:abstractNumId w:val="173"/>
  </w:num>
  <w:num w:numId="240">
    <w:abstractNumId w:val="210"/>
  </w:num>
  <w:num w:numId="241">
    <w:abstractNumId w:val="341"/>
  </w:num>
  <w:num w:numId="242">
    <w:abstractNumId w:val="326"/>
  </w:num>
  <w:num w:numId="243">
    <w:abstractNumId w:val="287"/>
  </w:num>
  <w:num w:numId="244">
    <w:abstractNumId w:val="253"/>
  </w:num>
  <w:num w:numId="245">
    <w:abstractNumId w:val="292"/>
  </w:num>
  <w:num w:numId="246">
    <w:abstractNumId w:val="234"/>
  </w:num>
  <w:num w:numId="247">
    <w:abstractNumId w:val="187"/>
  </w:num>
  <w:num w:numId="248">
    <w:abstractNumId w:val="182"/>
  </w:num>
  <w:num w:numId="249">
    <w:abstractNumId w:val="205"/>
  </w:num>
  <w:num w:numId="250">
    <w:abstractNumId w:val="219"/>
  </w:num>
  <w:num w:numId="251">
    <w:abstractNumId w:val="246"/>
  </w:num>
  <w:num w:numId="252">
    <w:abstractNumId w:val="228"/>
  </w:num>
  <w:num w:numId="253">
    <w:abstractNumId w:val="238"/>
  </w:num>
  <w:num w:numId="254">
    <w:abstractNumId w:val="318"/>
  </w:num>
  <w:num w:numId="255">
    <w:abstractNumId w:val="235"/>
  </w:num>
  <w:num w:numId="256">
    <w:abstractNumId w:val="304"/>
  </w:num>
  <w:num w:numId="257">
    <w:abstractNumId w:val="320"/>
  </w:num>
  <w:num w:numId="258">
    <w:abstractNumId w:val="200"/>
  </w:num>
  <w:num w:numId="259">
    <w:abstractNumId w:val="206"/>
  </w:num>
  <w:num w:numId="260">
    <w:abstractNumId w:val="335"/>
  </w:num>
  <w:num w:numId="261">
    <w:abstractNumId w:val="156"/>
  </w:num>
  <w:num w:numId="262">
    <w:abstractNumId w:val="305"/>
  </w:num>
  <w:num w:numId="263">
    <w:abstractNumId w:val="171"/>
  </w:num>
  <w:num w:numId="264">
    <w:abstractNumId w:val="172"/>
  </w:num>
  <w:num w:numId="265">
    <w:abstractNumId w:val="186"/>
  </w:num>
  <w:num w:numId="266">
    <w:abstractNumId w:val="209"/>
  </w:num>
  <w:num w:numId="267">
    <w:abstractNumId w:val="267"/>
  </w:num>
  <w:num w:numId="268">
    <w:abstractNumId w:val="224"/>
  </w:num>
  <w:num w:numId="269">
    <w:abstractNumId w:val="176"/>
  </w:num>
  <w:num w:numId="270">
    <w:abstractNumId w:val="309"/>
  </w:num>
  <w:num w:numId="271">
    <w:abstractNumId w:val="281"/>
  </w:num>
  <w:num w:numId="272">
    <w:abstractNumId w:val="236"/>
  </w:num>
  <w:num w:numId="273">
    <w:abstractNumId w:val="196"/>
  </w:num>
  <w:num w:numId="274">
    <w:abstractNumId w:val="343"/>
    <w:lvlOverride w:ilvl="0">
      <w:startOverride w:val="1"/>
    </w:lvlOverride>
    <w:lvlOverride w:ilvl="1"/>
    <w:lvlOverride w:ilvl="2"/>
    <w:lvlOverride w:ilvl="3"/>
    <w:lvlOverride w:ilvl="4"/>
    <w:lvlOverride w:ilvl="5"/>
    <w:lvlOverride w:ilvl="6"/>
    <w:lvlOverride w:ilvl="7"/>
    <w:lvlOverride w:ilvl="8"/>
  </w:num>
  <w:num w:numId="275">
    <w:abstractNumId w:val="169"/>
  </w:num>
  <w:num w:numId="276">
    <w:abstractNumId w:val="290"/>
  </w:num>
  <w:num w:numId="277">
    <w:abstractNumId w:val="249"/>
  </w:num>
  <w:num w:numId="278">
    <w:abstractNumId w:val="175"/>
  </w:num>
  <w:num w:numId="279">
    <w:abstractNumId w:val="336"/>
  </w:num>
  <w:numIdMacAtCleanup w:val="2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hideGrammaticalErrors/>
  <w:defaultTabStop w:val="709"/>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2529"/>
    <o:shapelayout v:ext="edit">
      <o:idmap v:ext="edit" data="1"/>
    </o:shapelayout>
  </w:shapeDefaults>
  <w:decimalSymbol w:val=","/>
  <w:listSeparator w:val=";"/>
  <w15:docId w15:val="{F02B7595-8C1F-452D-85B0-B7D0FB5A73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BE" w:eastAsia="en-US" w:bidi="ar-SA"/>
      </w:rPr>
    </w:rPrDefault>
    <w:pPrDefault/>
  </w:docDefaults>
  <w:latentStyles w:defLockedState="0" w:defUIPriority="99" w:defSemiHidden="0" w:defUnhideWhenUsed="0" w:defQFormat="0" w:count="371">
    <w:lsdException w:name="Normal" w:uiPriority="0" w:qFormat="1"/>
    <w:lsdException w:name="heading 1" w:uiPriority="0"/>
    <w:lsdException w:name="heading 2" w:semiHidden="1" w:uiPriority="0" w:unhideWhenUsed="1" w:qFormat="1"/>
    <w:lsdException w:name="heading 3" w:semiHidden="1" w:uiPriority="0" w:unhideWhenUsed="1" w:qFormat="1"/>
    <w:lsdException w:name="heading 4" w:semiHidden="1" w:unhideWhenUsed="1" w:qFormat="1"/>
    <w:lsdException w:name="heading 5" w:semiHidden="1" w:uiPriority="0" w:unhideWhenUsed="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Theme="majorHAnsi" w:hAnsiTheme="majorHAnsi"/>
    </w:rPr>
  </w:style>
  <w:style w:type="paragraph" w:styleId="Titre1">
    <w:name w:val="heading 1"/>
    <w:basedOn w:val="Jenny1"/>
    <w:next w:val="Normal"/>
    <w:link w:val="Titre1Car"/>
    <w:pPr>
      <w:outlineLvl w:val="0"/>
    </w:pPr>
  </w:style>
  <w:style w:type="paragraph" w:styleId="Titre2">
    <w:name w:val="heading 2"/>
    <w:basedOn w:val="Sansinterligne"/>
    <w:next w:val="Normal"/>
    <w:link w:val="Titre2Car1"/>
    <w:qFormat/>
    <w:pPr>
      <w:spacing w:before="120"/>
      <w:jc w:val="both"/>
      <w:outlineLvl w:val="1"/>
    </w:pPr>
    <w:rPr>
      <w:rFonts w:asciiTheme="majorHAnsi" w:hAnsiTheme="majorHAnsi"/>
      <w:b/>
      <w:smallCaps/>
      <w:sz w:val="44"/>
    </w:rPr>
  </w:style>
  <w:style w:type="paragraph" w:styleId="Titre3">
    <w:name w:val="heading 3"/>
    <w:basedOn w:val="Normal"/>
    <w:next w:val="Normal"/>
    <w:link w:val="Titre3Car2"/>
    <w:qFormat/>
    <w:pPr>
      <w:jc w:val="both"/>
      <w:outlineLvl w:val="2"/>
    </w:pPr>
    <w:rPr>
      <w:b/>
      <w:u w:val="single"/>
    </w:rPr>
  </w:style>
  <w:style w:type="paragraph" w:styleId="Titre4">
    <w:name w:val="heading 4"/>
    <w:basedOn w:val="Titre3"/>
    <w:next w:val="Normal"/>
    <w:link w:val="Titre4Car1"/>
    <w:autoRedefine/>
    <w:uiPriority w:val="99"/>
    <w:qFormat/>
    <w:pPr>
      <w:tabs>
        <w:tab w:val="left" w:pos="567"/>
      </w:tabs>
      <w:ind w:left="567"/>
      <w:outlineLvl w:val="3"/>
    </w:pPr>
  </w:style>
  <w:style w:type="paragraph" w:styleId="Titre5">
    <w:name w:val="heading 5"/>
    <w:basedOn w:val="Titre4"/>
    <w:next w:val="Sous-chapitre"/>
    <w:link w:val="Titre5Car1"/>
    <w:autoRedefine/>
    <w:pPr>
      <w:tabs>
        <w:tab w:val="left" w:pos="1276"/>
      </w:tabs>
      <w:suppressAutoHyphens/>
      <w:ind w:left="1134"/>
      <w:outlineLvl w:val="4"/>
    </w:pPr>
    <w:rPr>
      <w:rFonts w:eastAsia="Times New Roman" w:cs="Calibri"/>
      <w:lang w:eastAsia="ar-SA"/>
    </w:rPr>
  </w:style>
  <w:style w:type="paragraph" w:styleId="Titre6">
    <w:name w:val="heading 6"/>
    <w:basedOn w:val="Normal"/>
    <w:next w:val="2"/>
    <w:link w:val="Titre6Car"/>
    <w:autoRedefine/>
    <w:uiPriority w:val="99"/>
    <w:qFormat/>
    <w:pPr>
      <w:tabs>
        <w:tab w:val="num" w:pos="0"/>
        <w:tab w:val="num" w:pos="1701"/>
      </w:tabs>
      <w:ind w:left="1701"/>
      <w:jc w:val="both"/>
      <w:outlineLvl w:val="5"/>
    </w:pPr>
    <w:rPr>
      <w:rFonts w:cs="Arial"/>
      <w:b/>
      <w:szCs w:val="20"/>
      <w:u w:val="single"/>
    </w:rPr>
  </w:style>
  <w:style w:type="paragraph" w:styleId="Titre7">
    <w:name w:val="heading 7"/>
    <w:basedOn w:val="Normal"/>
    <w:next w:val="Normal"/>
    <w:link w:val="Titre7Car"/>
    <w:autoRedefine/>
    <w:uiPriority w:val="99"/>
    <w:qFormat/>
    <w:pPr>
      <w:tabs>
        <w:tab w:val="left" w:pos="567"/>
      </w:tabs>
      <w:ind w:left="567"/>
      <w:jc w:val="both"/>
      <w:outlineLvl w:val="6"/>
    </w:pPr>
    <w:rPr>
      <w:rFonts w:cs="Arial"/>
      <w:b/>
      <w:u w:val="single"/>
    </w:rPr>
  </w:style>
  <w:style w:type="paragraph" w:styleId="Titre8">
    <w:name w:val="heading 8"/>
    <w:basedOn w:val="Normal"/>
    <w:next w:val="Normal"/>
    <w:link w:val="Titre8Car"/>
    <w:uiPriority w:val="99"/>
    <w:qFormat/>
    <w:pPr>
      <w:keepNext/>
      <w:tabs>
        <w:tab w:val="num" w:pos="0"/>
        <w:tab w:val="left" w:pos="962"/>
        <w:tab w:val="left" w:pos="1303"/>
        <w:tab w:val="left" w:pos="1586"/>
        <w:tab w:val="left" w:pos="1813"/>
        <w:tab w:val="left" w:pos="3967"/>
      </w:tabs>
      <w:suppressAutoHyphens/>
      <w:ind w:left="1416"/>
      <w:outlineLvl w:val="7"/>
    </w:pPr>
    <w:rPr>
      <w:rFonts w:ascii="Times New Roman" w:eastAsia="Times New Roman" w:hAnsi="Times New Roman" w:cs="Arial"/>
      <w:sz w:val="23"/>
      <w:szCs w:val="20"/>
      <w:u w:val="single"/>
      <w:lang w:eastAsia="ar-SA"/>
    </w:rPr>
  </w:style>
  <w:style w:type="paragraph" w:styleId="Titre9">
    <w:name w:val="heading 9"/>
    <w:basedOn w:val="Normal"/>
    <w:next w:val="Normal"/>
    <w:link w:val="Titre9Car"/>
    <w:uiPriority w:val="99"/>
    <w:qFormat/>
    <w:pPr>
      <w:keepNext/>
      <w:tabs>
        <w:tab w:val="num" w:pos="0"/>
      </w:tabs>
      <w:suppressAutoHyphens/>
      <w:ind w:left="1584" w:hanging="1584"/>
      <w:jc w:val="center"/>
      <w:outlineLvl w:val="8"/>
    </w:pPr>
    <w:rPr>
      <w:rFonts w:ascii="Times New Roman" w:eastAsia="Times New Roman" w:hAnsi="Times New Roman" w:cs="Arial"/>
      <w:b/>
      <w:sz w:val="23"/>
      <w:szCs w:val="20"/>
      <w:u w:val="single"/>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Jenny1">
    <w:name w:val="Jenny 1"/>
    <w:basedOn w:val="Sansinterligne"/>
    <w:link w:val="Jenny1Car"/>
    <w:pPr>
      <w:jc w:val="center"/>
    </w:pPr>
    <w:rPr>
      <w:rFonts w:asciiTheme="majorHAnsi" w:eastAsiaTheme="majorEastAsia" w:hAnsiTheme="majorHAnsi" w:cstheme="majorBidi"/>
      <w:caps/>
      <w:color w:val="548DD4" w:themeColor="text2" w:themeTint="99"/>
      <w:sz w:val="64"/>
      <w:szCs w:val="64"/>
    </w:rPr>
  </w:style>
  <w:style w:type="paragraph" w:styleId="Sansinterligne">
    <w:name w:val="No Spacing"/>
    <w:link w:val="SansinterligneCar"/>
    <w:uiPriority w:val="1"/>
    <w:qFormat/>
    <w:rPr>
      <w:rFonts w:eastAsiaTheme="minorEastAsia"/>
      <w:lang w:eastAsia="fr-BE"/>
    </w:rPr>
  </w:style>
  <w:style w:type="character" w:customStyle="1" w:styleId="SansinterligneCar">
    <w:name w:val="Sans interligne Car"/>
    <w:basedOn w:val="Policepardfaut"/>
    <w:link w:val="Sansinterligne"/>
    <w:uiPriority w:val="1"/>
    <w:rPr>
      <w:rFonts w:eastAsiaTheme="minorEastAsia"/>
      <w:lang w:eastAsia="fr-BE"/>
    </w:rPr>
  </w:style>
  <w:style w:type="character" w:customStyle="1" w:styleId="Jenny1Car">
    <w:name w:val="Jenny 1 Car"/>
    <w:basedOn w:val="SansinterligneCar"/>
    <w:link w:val="Jenny1"/>
    <w:rPr>
      <w:rFonts w:asciiTheme="majorHAnsi" w:eastAsiaTheme="majorEastAsia" w:hAnsiTheme="majorHAnsi" w:cstheme="majorBidi"/>
      <w:caps/>
      <w:color w:val="548DD4" w:themeColor="text2" w:themeTint="99"/>
      <w:sz w:val="64"/>
      <w:szCs w:val="64"/>
      <w:lang w:eastAsia="fr-BE"/>
    </w:rPr>
  </w:style>
  <w:style w:type="character" w:customStyle="1" w:styleId="Titre1Car">
    <w:name w:val="Titre 1 Car"/>
    <w:basedOn w:val="Policepardfaut"/>
    <w:link w:val="Titre1"/>
    <w:uiPriority w:val="99"/>
    <w:rPr>
      <w:rFonts w:asciiTheme="majorHAnsi" w:eastAsiaTheme="majorEastAsia" w:hAnsiTheme="majorHAnsi" w:cstheme="majorBidi"/>
      <w:caps/>
      <w:color w:val="548DD4" w:themeColor="text2" w:themeTint="99"/>
      <w:sz w:val="64"/>
      <w:szCs w:val="64"/>
      <w:lang w:eastAsia="fr-BE"/>
    </w:rPr>
  </w:style>
  <w:style w:type="character" w:customStyle="1" w:styleId="Titre2Car1">
    <w:name w:val="Titre 2 Car1"/>
    <w:basedOn w:val="Policepardfaut"/>
    <w:link w:val="Titre2"/>
    <w:uiPriority w:val="99"/>
    <w:locked/>
    <w:rPr>
      <w:rFonts w:asciiTheme="majorHAnsi" w:eastAsiaTheme="minorEastAsia" w:hAnsiTheme="majorHAnsi"/>
      <w:b/>
      <w:smallCaps/>
      <w:sz w:val="44"/>
      <w:lang w:eastAsia="fr-BE"/>
    </w:rPr>
  </w:style>
  <w:style w:type="character" w:customStyle="1" w:styleId="Titre3Car2">
    <w:name w:val="Titre 3 Car2"/>
    <w:basedOn w:val="Policepardfaut"/>
    <w:link w:val="Titre3"/>
    <w:locked/>
    <w:rPr>
      <w:rFonts w:asciiTheme="majorHAnsi" w:hAnsiTheme="majorHAnsi"/>
      <w:b/>
      <w:u w:val="single"/>
    </w:rPr>
  </w:style>
  <w:style w:type="character" w:customStyle="1" w:styleId="Titre4Car1">
    <w:name w:val="Titre 4 Car1"/>
    <w:basedOn w:val="Policepardfaut"/>
    <w:link w:val="Titre4"/>
    <w:uiPriority w:val="99"/>
    <w:locked/>
    <w:rPr>
      <w:rFonts w:asciiTheme="majorHAnsi" w:hAnsiTheme="majorHAnsi"/>
      <w:b/>
      <w:u w:val="single"/>
    </w:rPr>
  </w:style>
  <w:style w:type="paragraph" w:customStyle="1" w:styleId="2">
    <w:name w:val="2"/>
    <w:uiPriority w:val="99"/>
    <w:pPr>
      <w:suppressAutoHyphens/>
    </w:pPr>
    <w:rPr>
      <w:rFonts w:ascii="Goudy Old Style" w:eastAsia="Calibri" w:hAnsi="Goudy Old Style" w:cs="Arial"/>
      <w:sz w:val="24"/>
      <w:szCs w:val="20"/>
      <w:lang w:val="fr-FR" w:eastAsia="ar-SA"/>
    </w:rPr>
  </w:style>
  <w:style w:type="character" w:customStyle="1" w:styleId="Titre5Car1">
    <w:name w:val="Titre 5 Car1"/>
    <w:basedOn w:val="Policepardfaut"/>
    <w:link w:val="Titre5"/>
    <w:locked/>
    <w:rPr>
      <w:rFonts w:asciiTheme="majorHAnsi" w:eastAsia="Times New Roman" w:hAnsiTheme="majorHAnsi" w:cs="Calibri"/>
      <w:b/>
      <w:u w:val="single"/>
      <w:lang w:eastAsia="ar-SA"/>
    </w:rPr>
  </w:style>
  <w:style w:type="character" w:customStyle="1" w:styleId="Titre6Car">
    <w:name w:val="Titre 6 Car"/>
    <w:basedOn w:val="Policepardfaut"/>
    <w:link w:val="Titre6"/>
    <w:uiPriority w:val="99"/>
    <w:rPr>
      <w:rFonts w:asciiTheme="majorHAnsi" w:hAnsiTheme="majorHAnsi" w:cs="Arial"/>
      <w:b/>
      <w:szCs w:val="20"/>
      <w:u w:val="single"/>
    </w:rPr>
  </w:style>
  <w:style w:type="character" w:customStyle="1" w:styleId="Titre7Car">
    <w:name w:val="Titre 7 Car"/>
    <w:basedOn w:val="Policepardfaut"/>
    <w:link w:val="Titre7"/>
    <w:uiPriority w:val="99"/>
    <w:rPr>
      <w:rFonts w:asciiTheme="majorHAnsi" w:hAnsiTheme="majorHAnsi" w:cs="Arial"/>
      <w:b/>
      <w:u w:val="single"/>
    </w:rPr>
  </w:style>
  <w:style w:type="character" w:customStyle="1" w:styleId="Titre8Car">
    <w:name w:val="Titre 8 Car"/>
    <w:basedOn w:val="Policepardfaut"/>
    <w:link w:val="Titre8"/>
    <w:uiPriority w:val="99"/>
    <w:rPr>
      <w:rFonts w:ascii="Times New Roman" w:eastAsia="Times New Roman" w:hAnsi="Times New Roman" w:cs="Arial"/>
      <w:sz w:val="23"/>
      <w:szCs w:val="20"/>
      <w:u w:val="single"/>
      <w:lang w:eastAsia="ar-SA"/>
    </w:rPr>
  </w:style>
  <w:style w:type="character" w:customStyle="1" w:styleId="Titre9Car">
    <w:name w:val="Titre 9 Car"/>
    <w:basedOn w:val="Policepardfaut"/>
    <w:link w:val="Titre9"/>
    <w:uiPriority w:val="99"/>
    <w:rPr>
      <w:rFonts w:ascii="Times New Roman" w:eastAsia="Times New Roman" w:hAnsi="Times New Roman" w:cs="Arial"/>
      <w:b/>
      <w:sz w:val="23"/>
      <w:szCs w:val="20"/>
      <w:u w:val="single"/>
      <w:lang w:eastAsia="ar-SA"/>
    </w:rPr>
  </w:style>
  <w:style w:type="character" w:styleId="Lienhypertexte">
    <w:name w:val="Hyperlink"/>
    <w:basedOn w:val="Policepardfaut"/>
    <w:uiPriority w:val="99"/>
    <w:rPr>
      <w:rFonts w:cs="Times New Roman"/>
      <w:color w:val="0000FF"/>
      <w:u w:val="single"/>
    </w:rPr>
  </w:style>
  <w:style w:type="paragraph" w:customStyle="1" w:styleId="Corpsdetexte21">
    <w:name w:val="Corps de texte 21"/>
    <w:basedOn w:val="Normal"/>
    <w:uiPriority w:val="99"/>
    <w:pPr>
      <w:suppressAutoHyphens/>
    </w:pPr>
    <w:rPr>
      <w:rFonts w:ascii="Georgia" w:eastAsia="Times New Roman" w:hAnsi="Georgia" w:cs="Arial"/>
      <w:sz w:val="28"/>
      <w:szCs w:val="20"/>
      <w:lang w:eastAsia="ar-SA"/>
    </w:rPr>
  </w:style>
  <w:style w:type="paragraph" w:styleId="Corpsdetexte">
    <w:name w:val="Body Text"/>
    <w:basedOn w:val="Normal"/>
    <w:next w:val="Normal"/>
    <w:link w:val="CorpsdetexteCar1"/>
    <w:autoRedefine/>
    <w:qFormat/>
    <w:pPr>
      <w:widowControl w:val="0"/>
      <w:suppressAutoHyphens/>
      <w:jc w:val="both"/>
    </w:pPr>
    <w:rPr>
      <w:rFonts w:eastAsia="Times New Roman" w:cs="Arial"/>
      <w:color w:val="000000" w:themeColor="text1"/>
      <w:szCs w:val="16"/>
      <w:lang w:eastAsia="ar-SA"/>
    </w:rPr>
  </w:style>
  <w:style w:type="character" w:customStyle="1" w:styleId="CorpsdetexteCar1">
    <w:name w:val="Corps de texte Car1"/>
    <w:basedOn w:val="Policepardfaut"/>
    <w:link w:val="Corpsdetexte"/>
    <w:rPr>
      <w:rFonts w:asciiTheme="majorHAnsi" w:eastAsia="Times New Roman" w:hAnsiTheme="majorHAnsi" w:cs="Arial"/>
      <w:color w:val="000000" w:themeColor="text1"/>
      <w:szCs w:val="16"/>
      <w:lang w:eastAsia="ar-SA"/>
    </w:rPr>
  </w:style>
  <w:style w:type="character" w:customStyle="1" w:styleId="CorpsdetexteCar">
    <w:name w:val="Corps de texte Car"/>
    <w:basedOn w:val="Policepardfaut"/>
    <w:rPr>
      <w:rFonts w:asciiTheme="majorHAnsi" w:hAnsiTheme="majorHAnsi"/>
      <w:sz w:val="22"/>
    </w:rPr>
  </w:style>
  <w:style w:type="character" w:customStyle="1" w:styleId="Titre2Car">
    <w:name w:val="Titre 2 Car"/>
    <w:basedOn w:val="Policepardfaut"/>
    <w:uiPriority w:val="9"/>
    <w:rPr>
      <w:rFonts w:asciiTheme="majorHAnsi" w:eastAsiaTheme="majorEastAsia" w:hAnsiTheme="majorHAnsi" w:cstheme="majorBidi"/>
      <w:color w:val="365F91" w:themeColor="accent1" w:themeShade="BF"/>
      <w:sz w:val="26"/>
      <w:szCs w:val="26"/>
    </w:rPr>
  </w:style>
  <w:style w:type="character" w:customStyle="1" w:styleId="Titre3Car">
    <w:name w:val="Titre 3 Car"/>
    <w:basedOn w:val="Policepardfaut"/>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uiPriority w:val="9"/>
    <w:rPr>
      <w:rFonts w:asciiTheme="majorHAnsi" w:eastAsiaTheme="majorEastAsia" w:hAnsiTheme="majorHAnsi" w:cstheme="majorBidi"/>
      <w:i/>
      <w:iCs/>
      <w:color w:val="365F91" w:themeColor="accent1" w:themeShade="BF"/>
    </w:rPr>
  </w:style>
  <w:style w:type="character" w:customStyle="1" w:styleId="Titre5Car">
    <w:name w:val="Titre 5 Car"/>
    <w:basedOn w:val="Policepardfaut"/>
    <w:rPr>
      <w:rFonts w:asciiTheme="majorHAnsi" w:eastAsiaTheme="majorEastAsia" w:hAnsiTheme="majorHAnsi" w:cstheme="majorBidi"/>
      <w:color w:val="365F91" w:themeColor="accent1" w:themeShade="BF"/>
    </w:rPr>
  </w:style>
  <w:style w:type="paragraph" w:styleId="Titre">
    <w:name w:val="Title"/>
    <w:basedOn w:val="Normal"/>
    <w:next w:val="Normal"/>
    <w:link w:val="TitreCar"/>
    <w:qFormat/>
    <w:pPr>
      <w:spacing w:line="216" w:lineRule="auto"/>
      <w:contextualSpacing/>
    </w:pPr>
    <w:rPr>
      <w:rFonts w:eastAsiaTheme="majorEastAsia" w:cstheme="majorBidi"/>
      <w:color w:val="404040" w:themeColor="text1" w:themeTint="BF"/>
      <w:spacing w:val="-10"/>
      <w:kern w:val="28"/>
      <w:sz w:val="56"/>
      <w:szCs w:val="56"/>
      <w:lang w:eastAsia="fr-BE"/>
    </w:rPr>
  </w:style>
  <w:style w:type="character" w:customStyle="1" w:styleId="TitreCar">
    <w:name w:val="Titre Car"/>
    <w:basedOn w:val="Policepardfaut"/>
    <w:link w:val="Titre"/>
    <w:uiPriority w:val="99"/>
    <w:rPr>
      <w:rFonts w:asciiTheme="majorHAnsi" w:eastAsiaTheme="majorEastAsia" w:hAnsiTheme="majorHAnsi" w:cstheme="majorBidi"/>
      <w:color w:val="404040" w:themeColor="text1" w:themeTint="BF"/>
      <w:spacing w:val="-10"/>
      <w:kern w:val="28"/>
      <w:sz w:val="56"/>
      <w:szCs w:val="56"/>
      <w:lang w:eastAsia="fr-BE"/>
    </w:rPr>
  </w:style>
  <w:style w:type="paragraph" w:styleId="Sous-titre">
    <w:name w:val="Subtitle"/>
    <w:basedOn w:val="Normal"/>
    <w:next w:val="Normal"/>
    <w:link w:val="Sous-titreCar"/>
    <w:uiPriority w:val="99"/>
    <w:qFormat/>
    <w:pPr>
      <w:numPr>
        <w:ilvl w:val="1"/>
      </w:numPr>
      <w:spacing w:after="160" w:line="259" w:lineRule="auto"/>
    </w:pPr>
    <w:rPr>
      <w:rFonts w:eastAsiaTheme="minorEastAsia" w:cs="Times New Roman"/>
      <w:color w:val="5A5A5A" w:themeColor="text1" w:themeTint="A5"/>
      <w:spacing w:val="15"/>
      <w:lang w:eastAsia="fr-BE"/>
    </w:rPr>
  </w:style>
  <w:style w:type="character" w:customStyle="1" w:styleId="Sous-titreCar">
    <w:name w:val="Sous-titre Car"/>
    <w:basedOn w:val="Policepardfaut"/>
    <w:link w:val="Sous-titre"/>
    <w:uiPriority w:val="99"/>
    <w:rPr>
      <w:rFonts w:eastAsiaTheme="minorEastAsia" w:cs="Times New Roman"/>
      <w:color w:val="5A5A5A" w:themeColor="text1" w:themeTint="A5"/>
      <w:spacing w:val="15"/>
      <w:lang w:eastAsia="fr-BE"/>
    </w:rPr>
  </w:style>
  <w:style w:type="character" w:customStyle="1" w:styleId="Heading1Char">
    <w:name w:val="Heading 1 Char"/>
    <w:basedOn w:val="Policepardfaut1"/>
    <w:uiPriority w:val="99"/>
    <w:rPr>
      <w:rFonts w:ascii="Arial" w:hAnsi="Arial" w:cs="Arial"/>
      <w:b/>
      <w:bCs/>
      <w:kern w:val="1"/>
      <w:sz w:val="32"/>
      <w:szCs w:val="32"/>
      <w:lang w:val="fr-FR" w:eastAsia="ar-SA" w:bidi="ar-SA"/>
    </w:rPr>
  </w:style>
  <w:style w:type="character" w:customStyle="1" w:styleId="Policepardfaut1">
    <w:name w:val="Police par défaut1"/>
    <w:uiPriority w:val="99"/>
  </w:style>
  <w:style w:type="character" w:customStyle="1" w:styleId="Heading3Char">
    <w:name w:val="Heading 3 Char"/>
    <w:basedOn w:val="Policepardfaut1"/>
    <w:uiPriority w:val="99"/>
    <w:rPr>
      <w:rFonts w:ascii="Arial" w:hAnsi="Arial" w:cs="Arial"/>
      <w:b/>
      <w:bCs/>
      <w:sz w:val="26"/>
      <w:szCs w:val="26"/>
      <w:lang w:val="fr-BE" w:eastAsia="ar-SA" w:bidi="ar-SA"/>
    </w:rPr>
  </w:style>
  <w:style w:type="character" w:customStyle="1" w:styleId="WW8Num7z0">
    <w:name w:val="WW8Num7z0"/>
    <w:uiPriority w:val="99"/>
    <w:rPr>
      <w:rFonts w:ascii="Symbol" w:hAnsi="Symbol"/>
    </w:rPr>
  </w:style>
  <w:style w:type="character" w:customStyle="1" w:styleId="WW8Num8z0">
    <w:name w:val="WW8Num8z0"/>
    <w:uiPriority w:val="99"/>
    <w:rPr>
      <w:rFonts w:ascii="Wingdings" w:hAnsi="Wingdings"/>
    </w:rPr>
  </w:style>
  <w:style w:type="character" w:customStyle="1" w:styleId="WW8Num9z2">
    <w:name w:val="WW8Num9z2"/>
    <w:uiPriority w:val="99"/>
    <w:rPr>
      <w:b/>
    </w:rPr>
  </w:style>
  <w:style w:type="character" w:customStyle="1" w:styleId="WW8Num10z0">
    <w:name w:val="WW8Num10z0"/>
    <w:uiPriority w:val="99"/>
    <w:rPr>
      <w:rFonts w:ascii="Wingdings" w:hAnsi="Wingdings"/>
    </w:rPr>
  </w:style>
  <w:style w:type="character" w:customStyle="1" w:styleId="WW8Num11z0">
    <w:name w:val="WW8Num11z0"/>
    <w:uiPriority w:val="99"/>
    <w:rPr>
      <w:rFonts w:ascii="Wingdings" w:hAnsi="Wingdings"/>
    </w:rPr>
  </w:style>
  <w:style w:type="character" w:customStyle="1" w:styleId="WW8Num12z0">
    <w:name w:val="WW8Num12z0"/>
    <w:uiPriority w:val="99"/>
    <w:rPr>
      <w:rFonts w:ascii="Symbol" w:hAnsi="Symbol"/>
    </w:rPr>
  </w:style>
  <w:style w:type="character" w:customStyle="1" w:styleId="WW8Num13z0">
    <w:name w:val="WW8Num13z0"/>
    <w:uiPriority w:val="99"/>
    <w:rPr>
      <w:rFonts w:ascii="Wingdings" w:hAnsi="Wingdings"/>
    </w:rPr>
  </w:style>
  <w:style w:type="character" w:customStyle="1" w:styleId="WW8Num13z1">
    <w:name w:val="WW8Num13z1"/>
    <w:uiPriority w:val="99"/>
    <w:rPr>
      <w:rFonts w:ascii="Symbol" w:hAnsi="Symbol"/>
      <w:color w:val="auto"/>
    </w:rPr>
  </w:style>
  <w:style w:type="character" w:customStyle="1" w:styleId="WW8Num13z3">
    <w:name w:val="WW8Num13z3"/>
    <w:uiPriority w:val="99"/>
    <w:rPr>
      <w:rFonts w:ascii="Symbol" w:hAnsi="Symbol"/>
    </w:rPr>
  </w:style>
  <w:style w:type="character" w:customStyle="1" w:styleId="WW8Num13z4">
    <w:name w:val="WW8Num13z4"/>
    <w:uiPriority w:val="99"/>
    <w:rPr>
      <w:rFonts w:ascii="Courier New" w:hAnsi="Courier New"/>
    </w:rPr>
  </w:style>
  <w:style w:type="character" w:customStyle="1" w:styleId="WW8Num14z0">
    <w:name w:val="WW8Num14z0"/>
    <w:uiPriority w:val="99"/>
    <w:rPr>
      <w:rFonts w:ascii="Wingdings" w:hAnsi="Wingdings"/>
    </w:rPr>
  </w:style>
  <w:style w:type="character" w:customStyle="1" w:styleId="WW8Num15z0">
    <w:name w:val="WW8Num15z0"/>
    <w:uiPriority w:val="99"/>
    <w:rPr>
      <w:rFonts w:ascii="Wingdings" w:hAnsi="Wingdings"/>
    </w:rPr>
  </w:style>
  <w:style w:type="character" w:customStyle="1" w:styleId="WW8Num16z0">
    <w:name w:val="WW8Num16z0"/>
    <w:uiPriority w:val="99"/>
    <w:rPr>
      <w:rFonts w:ascii="Wingdings" w:hAnsi="Wingdings"/>
    </w:rPr>
  </w:style>
  <w:style w:type="character" w:customStyle="1" w:styleId="WW8Num17z0">
    <w:name w:val="WW8Num17z0"/>
    <w:uiPriority w:val="99"/>
    <w:rPr>
      <w:rFonts w:ascii="Wingdings" w:hAnsi="Wingdings"/>
    </w:rPr>
  </w:style>
  <w:style w:type="character" w:customStyle="1" w:styleId="WW8Num18z0">
    <w:name w:val="WW8Num18z0"/>
    <w:uiPriority w:val="99"/>
    <w:rPr>
      <w:rFonts w:ascii="Wingdings" w:hAnsi="Wingdings"/>
    </w:rPr>
  </w:style>
  <w:style w:type="character" w:customStyle="1" w:styleId="WW8Num20z0">
    <w:name w:val="WW8Num20z0"/>
    <w:uiPriority w:val="99"/>
    <w:rPr>
      <w:rFonts w:ascii="Symbol" w:hAnsi="Symbol"/>
    </w:rPr>
  </w:style>
  <w:style w:type="character" w:customStyle="1" w:styleId="WW8Num22z0">
    <w:name w:val="WW8Num22z0"/>
    <w:uiPriority w:val="99"/>
  </w:style>
  <w:style w:type="character" w:customStyle="1" w:styleId="WW8Num23z0">
    <w:name w:val="WW8Num23z0"/>
    <w:uiPriority w:val="99"/>
    <w:rPr>
      <w:rFonts w:ascii="Wingdings" w:hAnsi="Wingdings"/>
    </w:rPr>
  </w:style>
  <w:style w:type="character" w:customStyle="1" w:styleId="WW8Num24z0">
    <w:name w:val="WW8Num24z0"/>
    <w:uiPriority w:val="99"/>
    <w:rPr>
      <w:rFonts w:ascii="Symbol" w:hAnsi="Symbol"/>
    </w:rPr>
  </w:style>
  <w:style w:type="character" w:customStyle="1" w:styleId="WW8Num25z0">
    <w:name w:val="WW8Num25z0"/>
    <w:uiPriority w:val="99"/>
    <w:rPr>
      <w:rFonts w:ascii="Wingdings" w:hAnsi="Wingdings"/>
    </w:rPr>
  </w:style>
  <w:style w:type="character" w:customStyle="1" w:styleId="WW8Num26z0">
    <w:name w:val="WW8Num26z0"/>
    <w:uiPriority w:val="99"/>
    <w:rPr>
      <w:rFonts w:ascii="Wingdings" w:hAnsi="Wingdings"/>
    </w:rPr>
  </w:style>
  <w:style w:type="character" w:customStyle="1" w:styleId="WW8Num29z0">
    <w:name w:val="WW8Num29z0"/>
    <w:uiPriority w:val="99"/>
    <w:rPr>
      <w:rFonts w:ascii="Wingdings" w:hAnsi="Wingdings"/>
    </w:rPr>
  </w:style>
  <w:style w:type="character" w:customStyle="1" w:styleId="WW8Num30z0">
    <w:name w:val="WW8Num30z0"/>
    <w:uiPriority w:val="99"/>
    <w:rPr>
      <w:rFonts w:ascii="Arial" w:hAnsi="Arial"/>
    </w:rPr>
  </w:style>
  <w:style w:type="character" w:customStyle="1" w:styleId="WW8Num30z1">
    <w:name w:val="WW8Num30z1"/>
    <w:uiPriority w:val="99"/>
    <w:rPr>
      <w:rFonts w:ascii="Wingdings" w:hAnsi="Wingdings"/>
    </w:rPr>
  </w:style>
  <w:style w:type="character" w:customStyle="1" w:styleId="WW8Num30z3">
    <w:name w:val="WW8Num30z3"/>
    <w:uiPriority w:val="99"/>
    <w:rPr>
      <w:rFonts w:ascii="Symbol" w:hAnsi="Symbol"/>
    </w:rPr>
  </w:style>
  <w:style w:type="character" w:customStyle="1" w:styleId="WW8Num30z4">
    <w:name w:val="WW8Num30z4"/>
    <w:uiPriority w:val="99"/>
    <w:rPr>
      <w:rFonts w:ascii="Courier New" w:hAnsi="Courier New"/>
    </w:rPr>
  </w:style>
  <w:style w:type="character" w:customStyle="1" w:styleId="WW8Num31z0">
    <w:name w:val="WW8Num31z0"/>
    <w:uiPriority w:val="99"/>
    <w:rPr>
      <w:rFonts w:ascii="Wingdings" w:hAnsi="Wingdings"/>
    </w:rPr>
  </w:style>
  <w:style w:type="character" w:customStyle="1" w:styleId="WW8Num31z1">
    <w:name w:val="WW8Num31z1"/>
    <w:uiPriority w:val="99"/>
    <w:rPr>
      <w:rFonts w:ascii="Symbol" w:hAnsi="Symbol"/>
    </w:rPr>
  </w:style>
  <w:style w:type="character" w:customStyle="1" w:styleId="WW8Num31z4">
    <w:name w:val="WW8Num31z4"/>
    <w:uiPriority w:val="99"/>
    <w:rPr>
      <w:rFonts w:ascii="Courier New" w:hAnsi="Courier New"/>
    </w:rPr>
  </w:style>
  <w:style w:type="character" w:customStyle="1" w:styleId="WW8Num32z0">
    <w:name w:val="WW8Num32z0"/>
    <w:uiPriority w:val="99"/>
    <w:rPr>
      <w:rFonts w:ascii="Wingdings" w:hAnsi="Wingdings"/>
    </w:rPr>
  </w:style>
  <w:style w:type="character" w:customStyle="1" w:styleId="WW8Num34z0">
    <w:name w:val="WW8Num34z0"/>
    <w:uiPriority w:val="99"/>
    <w:rPr>
      <w:rFonts w:ascii="Symbol" w:hAnsi="Symbol"/>
    </w:rPr>
  </w:style>
  <w:style w:type="character" w:customStyle="1" w:styleId="WW8Num35z0">
    <w:name w:val="WW8Num35z0"/>
    <w:uiPriority w:val="99"/>
    <w:rPr>
      <w:rFonts w:ascii="Wingdings" w:hAnsi="Wingdings"/>
    </w:rPr>
  </w:style>
  <w:style w:type="character" w:customStyle="1" w:styleId="WW8Num36z0">
    <w:name w:val="WW8Num36z0"/>
    <w:uiPriority w:val="99"/>
    <w:rPr>
      <w:rFonts w:ascii="Wingdings" w:hAnsi="Wingdings"/>
    </w:rPr>
  </w:style>
  <w:style w:type="character" w:customStyle="1" w:styleId="WW8Num37z0">
    <w:name w:val="WW8Num37z0"/>
    <w:uiPriority w:val="99"/>
    <w:rPr>
      <w:rFonts w:ascii="Wingdings" w:hAnsi="Wingdings"/>
    </w:rPr>
  </w:style>
  <w:style w:type="character" w:customStyle="1" w:styleId="WW8Num38z0">
    <w:name w:val="WW8Num38z0"/>
    <w:uiPriority w:val="99"/>
    <w:rPr>
      <w:rFonts w:ascii="Wingdings" w:hAnsi="Wingdings"/>
    </w:rPr>
  </w:style>
  <w:style w:type="character" w:customStyle="1" w:styleId="WW8Num39z0">
    <w:name w:val="WW8Num39z0"/>
    <w:uiPriority w:val="99"/>
    <w:rPr>
      <w:rFonts w:ascii="Wingdings" w:hAnsi="Wingdings"/>
      <w:color w:val="auto"/>
    </w:rPr>
  </w:style>
  <w:style w:type="character" w:customStyle="1" w:styleId="WW8Num40z0">
    <w:name w:val="WW8Num40z0"/>
    <w:uiPriority w:val="99"/>
  </w:style>
  <w:style w:type="character" w:customStyle="1" w:styleId="WW8Num41z0">
    <w:name w:val="WW8Num41z0"/>
    <w:uiPriority w:val="99"/>
    <w:rPr>
      <w:rFonts w:ascii="Symbol" w:hAnsi="Symbol"/>
    </w:rPr>
  </w:style>
  <w:style w:type="character" w:customStyle="1" w:styleId="WW8Num42z0">
    <w:name w:val="WW8Num42z0"/>
    <w:uiPriority w:val="99"/>
    <w:rPr>
      <w:rFonts w:ascii="Wingdings" w:hAnsi="Wingdings"/>
    </w:rPr>
  </w:style>
  <w:style w:type="character" w:customStyle="1" w:styleId="WW8Num43z0">
    <w:name w:val="WW8Num43z0"/>
    <w:uiPriority w:val="99"/>
    <w:rPr>
      <w:rFonts w:ascii="Arial" w:hAnsi="Arial"/>
    </w:rPr>
  </w:style>
  <w:style w:type="character" w:customStyle="1" w:styleId="WW8Num44z0">
    <w:name w:val="WW8Num44z0"/>
    <w:uiPriority w:val="99"/>
    <w:rPr>
      <w:rFonts w:ascii="Wingdings" w:hAnsi="Wingdings"/>
    </w:rPr>
  </w:style>
  <w:style w:type="character" w:customStyle="1" w:styleId="WW8Num45z0">
    <w:name w:val="WW8Num45z0"/>
    <w:uiPriority w:val="99"/>
    <w:rPr>
      <w:rFonts w:ascii="Symbol" w:hAnsi="Symbol"/>
      <w:color w:val="auto"/>
    </w:rPr>
  </w:style>
  <w:style w:type="character" w:customStyle="1" w:styleId="WW8Num47z0">
    <w:name w:val="WW8Num47z0"/>
    <w:uiPriority w:val="99"/>
    <w:rPr>
      <w:rFonts w:ascii="Wingdings" w:hAnsi="Wingdings"/>
    </w:rPr>
  </w:style>
  <w:style w:type="character" w:customStyle="1" w:styleId="WW8Num49z0">
    <w:name w:val="WW8Num49z0"/>
    <w:uiPriority w:val="99"/>
    <w:rPr>
      <w:rFonts w:ascii="Wingdings" w:hAnsi="Wingdings"/>
    </w:rPr>
  </w:style>
  <w:style w:type="character" w:customStyle="1" w:styleId="WW8Num50z0">
    <w:name w:val="WW8Num50z0"/>
    <w:uiPriority w:val="99"/>
    <w:rPr>
      <w:rFonts w:ascii="Wingdings" w:hAnsi="Wingdings"/>
    </w:rPr>
  </w:style>
  <w:style w:type="character" w:customStyle="1" w:styleId="WW8Num50z1">
    <w:name w:val="WW8Num50z1"/>
    <w:uiPriority w:val="99"/>
    <w:rPr>
      <w:rFonts w:ascii="Symbol" w:hAnsi="Symbol"/>
    </w:rPr>
  </w:style>
  <w:style w:type="character" w:customStyle="1" w:styleId="WW8Num50z4">
    <w:name w:val="WW8Num50z4"/>
    <w:uiPriority w:val="99"/>
    <w:rPr>
      <w:rFonts w:ascii="Courier New" w:hAnsi="Courier New"/>
    </w:rPr>
  </w:style>
  <w:style w:type="character" w:customStyle="1" w:styleId="WW8Num51z0">
    <w:name w:val="WW8Num51z0"/>
    <w:uiPriority w:val="99"/>
    <w:rPr>
      <w:rFonts w:ascii="Wingdings" w:hAnsi="Wingdings"/>
    </w:rPr>
  </w:style>
  <w:style w:type="character" w:customStyle="1" w:styleId="WW8Num52z0">
    <w:name w:val="WW8Num52z0"/>
    <w:uiPriority w:val="99"/>
    <w:rPr>
      <w:rFonts w:ascii="Wingdings" w:hAnsi="Wingdings"/>
    </w:rPr>
  </w:style>
  <w:style w:type="character" w:customStyle="1" w:styleId="WW8Num53z0">
    <w:name w:val="WW8Num53z0"/>
    <w:uiPriority w:val="99"/>
    <w:rPr>
      <w:rFonts w:ascii="OpenSymbol" w:hAnsi="OpenSymbol"/>
    </w:rPr>
  </w:style>
  <w:style w:type="character" w:customStyle="1" w:styleId="WW8Num54z0">
    <w:name w:val="WW8Num54z0"/>
    <w:uiPriority w:val="99"/>
    <w:rPr>
      <w:rFonts w:ascii="Symbol" w:hAnsi="Symbol"/>
    </w:rPr>
  </w:style>
  <w:style w:type="character" w:customStyle="1" w:styleId="WW8Num55z0">
    <w:name w:val="WW8Num55z0"/>
    <w:uiPriority w:val="99"/>
    <w:rPr>
      <w:rFonts w:ascii="Times New Roman" w:hAnsi="Times New Roman"/>
    </w:rPr>
  </w:style>
  <w:style w:type="character" w:customStyle="1" w:styleId="WW8Num56z0">
    <w:name w:val="WW8Num56z0"/>
    <w:uiPriority w:val="99"/>
    <w:rPr>
      <w:rFonts w:ascii="Wingdings" w:hAnsi="Wingdings"/>
    </w:rPr>
  </w:style>
  <w:style w:type="character" w:customStyle="1" w:styleId="WW8Num57z0">
    <w:name w:val="WW8Num57z0"/>
    <w:uiPriority w:val="99"/>
    <w:rPr>
      <w:rFonts w:ascii="Wingdings" w:hAnsi="Wingdings"/>
    </w:rPr>
  </w:style>
  <w:style w:type="character" w:customStyle="1" w:styleId="WW8Num59z0">
    <w:name w:val="WW8Num59z0"/>
    <w:uiPriority w:val="99"/>
    <w:rPr>
      <w:rFonts w:ascii="Symbol" w:hAnsi="Symbol"/>
      <w:color w:val="auto"/>
    </w:rPr>
  </w:style>
  <w:style w:type="character" w:customStyle="1" w:styleId="WW8Num60z0">
    <w:name w:val="WW8Num60z0"/>
    <w:uiPriority w:val="99"/>
    <w:rPr>
      <w:rFonts w:ascii="Wingdings" w:hAnsi="Wingdings"/>
    </w:rPr>
  </w:style>
  <w:style w:type="character" w:customStyle="1" w:styleId="WW8Num60z1">
    <w:name w:val="WW8Num60z1"/>
    <w:uiPriority w:val="99"/>
    <w:rPr>
      <w:rFonts w:ascii="Symbol" w:hAnsi="Symbol"/>
      <w:color w:val="auto"/>
    </w:rPr>
  </w:style>
  <w:style w:type="character" w:customStyle="1" w:styleId="WW8Num60z3">
    <w:name w:val="WW8Num60z3"/>
    <w:uiPriority w:val="99"/>
    <w:rPr>
      <w:rFonts w:ascii="Symbol" w:hAnsi="Symbol"/>
    </w:rPr>
  </w:style>
  <w:style w:type="character" w:customStyle="1" w:styleId="WW8Num60z4">
    <w:name w:val="WW8Num60z4"/>
    <w:uiPriority w:val="99"/>
    <w:rPr>
      <w:rFonts w:ascii="Courier New" w:hAnsi="Courier New"/>
    </w:rPr>
  </w:style>
  <w:style w:type="character" w:customStyle="1" w:styleId="WW8Num61z0">
    <w:name w:val="WW8Num61z0"/>
    <w:uiPriority w:val="99"/>
    <w:rPr>
      <w:rFonts w:ascii="Symbol" w:hAnsi="Symbol"/>
    </w:rPr>
  </w:style>
  <w:style w:type="character" w:customStyle="1" w:styleId="WW8Num62z0">
    <w:name w:val="WW8Num62z0"/>
    <w:uiPriority w:val="99"/>
    <w:rPr>
      <w:rFonts w:ascii="Wingdings" w:hAnsi="Wingdings"/>
    </w:rPr>
  </w:style>
  <w:style w:type="character" w:customStyle="1" w:styleId="WW8Num63z0">
    <w:name w:val="WW8Num63z0"/>
    <w:uiPriority w:val="99"/>
    <w:rPr>
      <w:rFonts w:ascii="Symbol" w:hAnsi="Symbol"/>
    </w:rPr>
  </w:style>
  <w:style w:type="character" w:customStyle="1" w:styleId="WW8Num64z0">
    <w:name w:val="WW8Num64z0"/>
    <w:uiPriority w:val="99"/>
  </w:style>
  <w:style w:type="character" w:customStyle="1" w:styleId="WW8Num65z0">
    <w:name w:val="WW8Num65z0"/>
    <w:uiPriority w:val="99"/>
    <w:rPr>
      <w:rFonts w:ascii="Symbol" w:hAnsi="Symbol"/>
    </w:rPr>
  </w:style>
  <w:style w:type="character" w:customStyle="1" w:styleId="WW8Num66z0">
    <w:name w:val="WW8Num66z0"/>
    <w:uiPriority w:val="99"/>
    <w:rPr>
      <w:rFonts w:ascii="Wingdings" w:hAnsi="Wingdings"/>
    </w:rPr>
  </w:style>
  <w:style w:type="character" w:customStyle="1" w:styleId="WW8Num67z0">
    <w:name w:val="WW8Num67z0"/>
    <w:uiPriority w:val="99"/>
    <w:rPr>
      <w:rFonts w:ascii="Wingdings" w:hAnsi="Wingdings"/>
    </w:rPr>
  </w:style>
  <w:style w:type="character" w:customStyle="1" w:styleId="WW8Num68z0">
    <w:name w:val="WW8Num68z0"/>
    <w:uiPriority w:val="99"/>
    <w:rPr>
      <w:rFonts w:ascii="Symbol" w:hAnsi="Symbol"/>
    </w:rPr>
  </w:style>
  <w:style w:type="character" w:customStyle="1" w:styleId="WW8Num69z0">
    <w:name w:val="WW8Num69z0"/>
    <w:uiPriority w:val="99"/>
    <w:rPr>
      <w:rFonts w:ascii="Symbol" w:hAnsi="Symbol"/>
    </w:rPr>
  </w:style>
  <w:style w:type="character" w:customStyle="1" w:styleId="WW8Num70z0">
    <w:name w:val="WW8Num70z0"/>
    <w:uiPriority w:val="99"/>
    <w:rPr>
      <w:rFonts w:ascii="Wingdings" w:hAnsi="Wingdings"/>
    </w:rPr>
  </w:style>
  <w:style w:type="character" w:customStyle="1" w:styleId="WW8Num73z0">
    <w:name w:val="WW8Num73z0"/>
    <w:uiPriority w:val="99"/>
    <w:rPr>
      <w:rFonts w:ascii="Symbol" w:hAnsi="Symbol"/>
    </w:rPr>
  </w:style>
  <w:style w:type="character" w:customStyle="1" w:styleId="WW8Num74z0">
    <w:name w:val="WW8Num74z0"/>
    <w:uiPriority w:val="99"/>
    <w:rPr>
      <w:rFonts w:ascii="Wingdings" w:hAnsi="Wingdings"/>
    </w:rPr>
  </w:style>
  <w:style w:type="character" w:customStyle="1" w:styleId="WW8Num76z0">
    <w:name w:val="WW8Num76z0"/>
    <w:uiPriority w:val="99"/>
    <w:rPr>
      <w:rFonts w:ascii="Wingdings" w:hAnsi="Wingdings"/>
    </w:rPr>
  </w:style>
  <w:style w:type="character" w:customStyle="1" w:styleId="WW8Num77z0">
    <w:name w:val="WW8Num77z0"/>
    <w:uiPriority w:val="99"/>
    <w:rPr>
      <w:rFonts w:ascii="Symbol" w:hAnsi="Symbol"/>
      <w:color w:val="auto"/>
    </w:rPr>
  </w:style>
  <w:style w:type="character" w:customStyle="1" w:styleId="WW8Num78z0">
    <w:name w:val="WW8Num78z0"/>
    <w:uiPriority w:val="99"/>
    <w:rPr>
      <w:rFonts w:ascii="Symbol" w:hAnsi="Symbol"/>
      <w:color w:val="auto"/>
    </w:rPr>
  </w:style>
  <w:style w:type="character" w:customStyle="1" w:styleId="WW8Num79z0">
    <w:name w:val="WW8Num79z0"/>
    <w:uiPriority w:val="99"/>
    <w:rPr>
      <w:rFonts w:ascii="Wingdings" w:hAnsi="Wingdings"/>
    </w:rPr>
  </w:style>
  <w:style w:type="character" w:customStyle="1" w:styleId="WW8Num79z1">
    <w:name w:val="WW8Num79z1"/>
    <w:uiPriority w:val="99"/>
    <w:rPr>
      <w:rFonts w:ascii="Courier New" w:hAnsi="Courier New"/>
    </w:rPr>
  </w:style>
  <w:style w:type="character" w:customStyle="1" w:styleId="WW8Num79z3">
    <w:name w:val="WW8Num79z3"/>
    <w:uiPriority w:val="99"/>
    <w:rPr>
      <w:rFonts w:ascii="Symbol" w:hAnsi="Symbol"/>
    </w:rPr>
  </w:style>
  <w:style w:type="character" w:customStyle="1" w:styleId="WW8Num79z4">
    <w:name w:val="WW8Num79z4"/>
    <w:uiPriority w:val="99"/>
    <w:rPr>
      <w:rFonts w:ascii="Courier New" w:hAnsi="Courier New"/>
    </w:rPr>
  </w:style>
  <w:style w:type="character" w:customStyle="1" w:styleId="WW8Num80z0">
    <w:name w:val="WW8Num80z0"/>
    <w:uiPriority w:val="99"/>
    <w:rPr>
      <w:rFonts w:ascii="Wingdings" w:hAnsi="Wingdings"/>
    </w:rPr>
  </w:style>
  <w:style w:type="character" w:customStyle="1" w:styleId="WW8Num81z0">
    <w:name w:val="WW8Num81z0"/>
    <w:uiPriority w:val="99"/>
    <w:rPr>
      <w:rFonts w:ascii="Symbol" w:hAnsi="Symbol"/>
    </w:rPr>
  </w:style>
  <w:style w:type="character" w:customStyle="1" w:styleId="WW8Num81z1">
    <w:name w:val="WW8Num81z1"/>
    <w:uiPriority w:val="99"/>
    <w:rPr>
      <w:rFonts w:ascii="Symbol" w:hAnsi="Symbol"/>
      <w:color w:val="auto"/>
    </w:rPr>
  </w:style>
  <w:style w:type="character" w:customStyle="1" w:styleId="WW8Num81z3">
    <w:name w:val="WW8Num81z3"/>
    <w:uiPriority w:val="99"/>
    <w:rPr>
      <w:rFonts w:ascii="Symbol" w:hAnsi="Symbol"/>
    </w:rPr>
  </w:style>
  <w:style w:type="character" w:customStyle="1" w:styleId="WW8Num81z4">
    <w:name w:val="WW8Num81z4"/>
    <w:uiPriority w:val="99"/>
    <w:rPr>
      <w:rFonts w:ascii="Courier New" w:hAnsi="Courier New"/>
    </w:rPr>
  </w:style>
  <w:style w:type="character" w:customStyle="1" w:styleId="WW8Num82z0">
    <w:name w:val="WW8Num82z0"/>
    <w:uiPriority w:val="99"/>
    <w:rPr>
      <w:rFonts w:ascii="Wingdings" w:hAnsi="Wingdings"/>
    </w:rPr>
  </w:style>
  <w:style w:type="character" w:customStyle="1" w:styleId="WW8Num83z0">
    <w:name w:val="WW8Num83z0"/>
    <w:uiPriority w:val="99"/>
    <w:rPr>
      <w:rFonts w:ascii="Symbol" w:hAnsi="Symbol"/>
    </w:rPr>
  </w:style>
  <w:style w:type="character" w:customStyle="1" w:styleId="WW8Num84z0">
    <w:name w:val="WW8Num84z0"/>
    <w:uiPriority w:val="99"/>
    <w:rPr>
      <w:rFonts w:ascii="Wingdings" w:hAnsi="Wingdings"/>
    </w:rPr>
  </w:style>
  <w:style w:type="character" w:customStyle="1" w:styleId="WW8Num85z0">
    <w:name w:val="WW8Num85z0"/>
    <w:uiPriority w:val="99"/>
    <w:rPr>
      <w:rFonts w:ascii="Wingdings" w:hAnsi="Wingdings"/>
    </w:rPr>
  </w:style>
  <w:style w:type="character" w:customStyle="1" w:styleId="WW8Num86z0">
    <w:name w:val="WW8Num86z0"/>
    <w:uiPriority w:val="99"/>
    <w:rPr>
      <w:rFonts w:ascii="Symbol" w:hAnsi="Symbol"/>
    </w:rPr>
  </w:style>
  <w:style w:type="character" w:customStyle="1" w:styleId="WW8Num87z1">
    <w:name w:val="WW8Num87z1"/>
    <w:uiPriority w:val="99"/>
    <w:rPr>
      <w:rFonts w:ascii="Courier New" w:hAnsi="Courier New"/>
    </w:rPr>
  </w:style>
  <w:style w:type="character" w:customStyle="1" w:styleId="WW8Num88z0">
    <w:name w:val="WW8Num88z0"/>
    <w:uiPriority w:val="99"/>
    <w:rPr>
      <w:rFonts w:ascii="Wingdings" w:hAnsi="Wingdings"/>
    </w:rPr>
  </w:style>
  <w:style w:type="character" w:customStyle="1" w:styleId="WW8Num90z0">
    <w:name w:val="WW8Num90z0"/>
    <w:uiPriority w:val="99"/>
    <w:rPr>
      <w:rFonts w:ascii="Wingdings" w:hAnsi="Wingdings"/>
    </w:rPr>
  </w:style>
  <w:style w:type="character" w:customStyle="1" w:styleId="WW8Num91z0">
    <w:name w:val="WW8Num91z0"/>
    <w:uiPriority w:val="99"/>
    <w:rPr>
      <w:rFonts w:ascii="Wingdings" w:hAnsi="Wingdings"/>
    </w:rPr>
  </w:style>
  <w:style w:type="character" w:customStyle="1" w:styleId="WW8Num92z0">
    <w:name w:val="WW8Num92z0"/>
    <w:uiPriority w:val="99"/>
    <w:rPr>
      <w:rFonts w:ascii="Wingdings" w:hAnsi="Wingdings"/>
    </w:rPr>
  </w:style>
  <w:style w:type="character" w:customStyle="1" w:styleId="WW8Num93z0">
    <w:name w:val="WW8Num93z0"/>
    <w:uiPriority w:val="99"/>
    <w:rPr>
      <w:rFonts w:ascii="Wingdings" w:hAnsi="Wingdings"/>
    </w:rPr>
  </w:style>
  <w:style w:type="character" w:customStyle="1" w:styleId="WW8Num94z0">
    <w:name w:val="WW8Num94z0"/>
    <w:uiPriority w:val="99"/>
    <w:rPr>
      <w:rFonts w:ascii="Wingdings" w:hAnsi="Wingdings"/>
    </w:rPr>
  </w:style>
  <w:style w:type="character" w:customStyle="1" w:styleId="WW8Num96z0">
    <w:name w:val="WW8Num96z0"/>
    <w:uiPriority w:val="99"/>
    <w:rPr>
      <w:rFonts w:ascii="Symbol" w:hAnsi="Symbol"/>
      <w:color w:val="auto"/>
    </w:rPr>
  </w:style>
  <w:style w:type="character" w:customStyle="1" w:styleId="WW8Num97z0">
    <w:name w:val="WW8Num97z0"/>
    <w:uiPriority w:val="99"/>
    <w:rPr>
      <w:rFonts w:ascii="Symbol" w:hAnsi="Symbol"/>
      <w:color w:val="auto"/>
    </w:rPr>
  </w:style>
  <w:style w:type="character" w:customStyle="1" w:styleId="WW8Num99z0">
    <w:name w:val="WW8Num99z0"/>
    <w:uiPriority w:val="99"/>
    <w:rPr>
      <w:rFonts w:ascii="Wingdings" w:hAnsi="Wingdings"/>
    </w:rPr>
  </w:style>
  <w:style w:type="character" w:customStyle="1" w:styleId="WW8Num100z0">
    <w:name w:val="WW8Num100z0"/>
    <w:uiPriority w:val="99"/>
    <w:rPr>
      <w:rFonts w:ascii="Wingdings" w:hAnsi="Wingdings"/>
    </w:rPr>
  </w:style>
  <w:style w:type="character" w:customStyle="1" w:styleId="WW8Num101z0">
    <w:name w:val="WW8Num101z0"/>
    <w:uiPriority w:val="99"/>
    <w:rPr>
      <w:rFonts w:ascii="Symbol" w:hAnsi="Symbol"/>
    </w:rPr>
  </w:style>
  <w:style w:type="character" w:customStyle="1" w:styleId="WW8Num102z0">
    <w:name w:val="WW8Num102z0"/>
    <w:uiPriority w:val="99"/>
    <w:rPr>
      <w:rFonts w:ascii="Wingdings" w:hAnsi="Wingdings"/>
    </w:rPr>
  </w:style>
  <w:style w:type="character" w:customStyle="1" w:styleId="WW8Num103z0">
    <w:name w:val="WW8Num103z0"/>
    <w:uiPriority w:val="99"/>
    <w:rPr>
      <w:rFonts w:ascii="Wingdings" w:hAnsi="Wingdings"/>
    </w:rPr>
  </w:style>
  <w:style w:type="character" w:customStyle="1" w:styleId="WW8Num104z0">
    <w:name w:val="WW8Num104z0"/>
    <w:uiPriority w:val="99"/>
    <w:rPr>
      <w:rFonts w:ascii="Wingdings" w:hAnsi="Wingdings"/>
    </w:rPr>
  </w:style>
  <w:style w:type="character" w:customStyle="1" w:styleId="WW8Num105z0">
    <w:name w:val="WW8Num105z0"/>
    <w:uiPriority w:val="99"/>
    <w:rPr>
      <w:rFonts w:ascii="Symbol" w:hAnsi="Symbol"/>
    </w:rPr>
  </w:style>
  <w:style w:type="character" w:customStyle="1" w:styleId="WW8Num106z0">
    <w:name w:val="WW8Num106z0"/>
    <w:uiPriority w:val="99"/>
    <w:rPr>
      <w:rFonts w:ascii="Wingdings" w:hAnsi="Wingdings"/>
    </w:rPr>
  </w:style>
  <w:style w:type="character" w:customStyle="1" w:styleId="WW8Num107z0">
    <w:name w:val="WW8Num107z0"/>
    <w:uiPriority w:val="99"/>
    <w:rPr>
      <w:rFonts w:ascii="Wingdings" w:hAnsi="Wingdings"/>
    </w:rPr>
  </w:style>
  <w:style w:type="character" w:customStyle="1" w:styleId="WW8Num108z0">
    <w:name w:val="WW8Num108z0"/>
    <w:uiPriority w:val="99"/>
    <w:rPr>
      <w:rFonts w:ascii="Wingdings" w:hAnsi="Wingdings"/>
    </w:rPr>
  </w:style>
  <w:style w:type="character" w:customStyle="1" w:styleId="WW8Num109z0">
    <w:name w:val="WW8Num109z0"/>
    <w:uiPriority w:val="99"/>
    <w:rPr>
      <w:rFonts w:ascii="Symbol" w:hAnsi="Symbol"/>
    </w:rPr>
  </w:style>
  <w:style w:type="character" w:customStyle="1" w:styleId="WW8Num110z0">
    <w:name w:val="WW8Num110z0"/>
    <w:uiPriority w:val="99"/>
    <w:rPr>
      <w:rFonts w:ascii="Wingdings" w:hAnsi="Wingdings"/>
    </w:rPr>
  </w:style>
  <w:style w:type="character" w:customStyle="1" w:styleId="WW8Num111z0">
    <w:name w:val="WW8Num111z0"/>
    <w:uiPriority w:val="99"/>
    <w:rPr>
      <w:rFonts w:ascii="Wingdings" w:hAnsi="Wingdings"/>
    </w:rPr>
  </w:style>
  <w:style w:type="character" w:customStyle="1" w:styleId="WW8Num112z0">
    <w:name w:val="WW8Num112z0"/>
    <w:uiPriority w:val="99"/>
    <w:rPr>
      <w:rFonts w:ascii="Wingdings" w:hAnsi="Wingdings"/>
    </w:rPr>
  </w:style>
  <w:style w:type="character" w:customStyle="1" w:styleId="WW8Num113z0">
    <w:name w:val="WW8Num113z0"/>
    <w:uiPriority w:val="99"/>
    <w:rPr>
      <w:rFonts w:ascii="Wingdings" w:hAnsi="Wingdings"/>
    </w:rPr>
  </w:style>
  <w:style w:type="character" w:customStyle="1" w:styleId="WW8Num115z0">
    <w:name w:val="WW8Num115z0"/>
    <w:uiPriority w:val="99"/>
    <w:rPr>
      <w:rFonts w:ascii="TimesNewRomanPSMT" w:hAnsi="TimesNewRomanPSMT"/>
    </w:rPr>
  </w:style>
  <w:style w:type="character" w:customStyle="1" w:styleId="WW8Num116z0">
    <w:name w:val="WW8Num116z0"/>
    <w:uiPriority w:val="99"/>
    <w:rPr>
      <w:rFonts w:ascii="TimesNewRomanPSMT" w:hAnsi="TimesNewRomanPSMT"/>
    </w:rPr>
  </w:style>
  <w:style w:type="character" w:customStyle="1" w:styleId="WW8Num117z0">
    <w:name w:val="WW8Num117z0"/>
    <w:uiPriority w:val="99"/>
    <w:rPr>
      <w:rFonts w:ascii="Wingdings" w:hAnsi="Wingdings"/>
    </w:rPr>
  </w:style>
  <w:style w:type="character" w:customStyle="1" w:styleId="WW8Num118z0">
    <w:name w:val="WW8Num118z0"/>
    <w:uiPriority w:val="99"/>
    <w:rPr>
      <w:rFonts w:ascii="Symbol" w:hAnsi="Symbol"/>
    </w:rPr>
  </w:style>
  <w:style w:type="character" w:customStyle="1" w:styleId="WW8Num120z0">
    <w:name w:val="WW8Num120z0"/>
    <w:uiPriority w:val="99"/>
    <w:rPr>
      <w:rFonts w:ascii="Symbol" w:hAnsi="Symbol"/>
    </w:rPr>
  </w:style>
  <w:style w:type="character" w:customStyle="1" w:styleId="WW8Num121z0">
    <w:name w:val="WW8Num121z0"/>
    <w:uiPriority w:val="99"/>
    <w:rPr>
      <w:rFonts w:ascii="Symbol" w:hAnsi="Symbol"/>
    </w:rPr>
  </w:style>
  <w:style w:type="character" w:customStyle="1" w:styleId="WW8Num122z0">
    <w:name w:val="WW8Num122z0"/>
    <w:uiPriority w:val="99"/>
    <w:rPr>
      <w:rFonts w:ascii="Wingdings" w:hAnsi="Wingdings"/>
    </w:rPr>
  </w:style>
  <w:style w:type="character" w:customStyle="1" w:styleId="WW8Num123z0">
    <w:name w:val="WW8Num123z0"/>
    <w:uiPriority w:val="99"/>
    <w:rPr>
      <w:rFonts w:ascii="Wingdings" w:hAnsi="Wingdings"/>
    </w:rPr>
  </w:style>
  <w:style w:type="character" w:customStyle="1" w:styleId="WW8Num124z0">
    <w:name w:val="WW8Num124z0"/>
    <w:uiPriority w:val="99"/>
    <w:rPr>
      <w:rFonts w:ascii="Wingdings" w:hAnsi="Wingdings"/>
    </w:rPr>
  </w:style>
  <w:style w:type="character" w:customStyle="1" w:styleId="WW8Num125z0">
    <w:name w:val="WW8Num125z0"/>
    <w:uiPriority w:val="99"/>
    <w:rPr>
      <w:rFonts w:ascii="Wingdings" w:hAnsi="Wingdings"/>
    </w:rPr>
  </w:style>
  <w:style w:type="character" w:customStyle="1" w:styleId="WW8Num126z0">
    <w:name w:val="WW8Num126z0"/>
    <w:uiPriority w:val="99"/>
    <w:rPr>
      <w:rFonts w:ascii="Symbol" w:hAnsi="Symbol"/>
      <w:color w:val="auto"/>
    </w:rPr>
  </w:style>
  <w:style w:type="character" w:customStyle="1" w:styleId="WW8Num127z0">
    <w:name w:val="WW8Num127z0"/>
    <w:uiPriority w:val="99"/>
    <w:rPr>
      <w:rFonts w:ascii="Wingdings" w:hAnsi="Wingdings"/>
    </w:rPr>
  </w:style>
  <w:style w:type="character" w:customStyle="1" w:styleId="WW8Num129z0">
    <w:name w:val="WW8Num129z0"/>
    <w:uiPriority w:val="99"/>
    <w:rPr>
      <w:rFonts w:ascii="Wingdings" w:hAnsi="Wingdings"/>
    </w:rPr>
  </w:style>
  <w:style w:type="character" w:customStyle="1" w:styleId="WW8Num130z0">
    <w:name w:val="WW8Num130z0"/>
    <w:uiPriority w:val="99"/>
    <w:rPr>
      <w:rFonts w:ascii="Wingdings" w:hAnsi="Wingdings"/>
    </w:rPr>
  </w:style>
  <w:style w:type="character" w:customStyle="1" w:styleId="WW8Num131z0">
    <w:name w:val="WW8Num131z0"/>
    <w:uiPriority w:val="99"/>
    <w:rPr>
      <w:rFonts w:ascii="Wingdings" w:hAnsi="Wingdings"/>
    </w:rPr>
  </w:style>
  <w:style w:type="character" w:customStyle="1" w:styleId="WW8Num132z0">
    <w:name w:val="WW8Num132z0"/>
    <w:uiPriority w:val="99"/>
    <w:rPr>
      <w:rFonts w:ascii="Wingdings" w:hAnsi="Wingdings"/>
    </w:rPr>
  </w:style>
  <w:style w:type="character" w:customStyle="1" w:styleId="WW8Num133z1">
    <w:name w:val="WW8Num133z1"/>
    <w:uiPriority w:val="99"/>
    <w:rPr>
      <w:rFonts w:ascii="Courier New" w:hAnsi="Courier New"/>
    </w:rPr>
  </w:style>
  <w:style w:type="character" w:customStyle="1" w:styleId="WW8Num134z0">
    <w:name w:val="WW8Num134z0"/>
    <w:uiPriority w:val="99"/>
    <w:rPr>
      <w:rFonts w:ascii="Wingdings" w:hAnsi="Wingdings"/>
    </w:rPr>
  </w:style>
  <w:style w:type="character" w:customStyle="1" w:styleId="WW8Num135z0">
    <w:name w:val="WW8Num135z0"/>
    <w:uiPriority w:val="99"/>
    <w:rPr>
      <w:rFonts w:ascii="Wingdings" w:hAnsi="Wingdings"/>
    </w:rPr>
  </w:style>
  <w:style w:type="character" w:customStyle="1" w:styleId="WW8Num136z0">
    <w:name w:val="WW8Num136z0"/>
    <w:uiPriority w:val="99"/>
    <w:rPr>
      <w:rFonts w:ascii="Wingdings" w:hAnsi="Wingdings"/>
    </w:rPr>
  </w:style>
  <w:style w:type="character" w:customStyle="1" w:styleId="WW8Num137z0">
    <w:name w:val="WW8Num137z0"/>
    <w:uiPriority w:val="99"/>
    <w:rPr>
      <w:rFonts w:ascii="Wingdings" w:hAnsi="Wingdings"/>
    </w:rPr>
  </w:style>
  <w:style w:type="character" w:customStyle="1" w:styleId="WW8Num138z0">
    <w:name w:val="WW8Num138z0"/>
    <w:uiPriority w:val="99"/>
    <w:rPr>
      <w:rFonts w:ascii="Wingdings" w:hAnsi="Wingdings"/>
    </w:rPr>
  </w:style>
  <w:style w:type="character" w:customStyle="1" w:styleId="WW8Num139z0">
    <w:name w:val="WW8Num139z0"/>
    <w:uiPriority w:val="99"/>
    <w:rPr>
      <w:rFonts w:ascii="Wingdings" w:hAnsi="Wingdings"/>
    </w:rPr>
  </w:style>
  <w:style w:type="character" w:customStyle="1" w:styleId="WW8Num141z0">
    <w:name w:val="WW8Num141z0"/>
    <w:uiPriority w:val="99"/>
    <w:rPr>
      <w:rFonts w:ascii="Wingdings" w:hAnsi="Wingdings"/>
    </w:rPr>
  </w:style>
  <w:style w:type="character" w:customStyle="1" w:styleId="WW8Num142z0">
    <w:name w:val="WW8Num142z0"/>
    <w:uiPriority w:val="99"/>
    <w:rPr>
      <w:rFonts w:ascii="Wingdings" w:hAnsi="Wingdings"/>
    </w:rPr>
  </w:style>
  <w:style w:type="character" w:customStyle="1" w:styleId="WW8Num144z0">
    <w:name w:val="WW8Num144z0"/>
    <w:uiPriority w:val="99"/>
    <w:rPr>
      <w:rFonts w:ascii="Symbol" w:hAnsi="Symbol"/>
    </w:rPr>
  </w:style>
  <w:style w:type="character" w:customStyle="1" w:styleId="WW8Num145z0">
    <w:name w:val="WW8Num145z0"/>
    <w:uiPriority w:val="99"/>
    <w:rPr>
      <w:rFonts w:ascii="Symbol" w:hAnsi="Symbol"/>
    </w:rPr>
  </w:style>
  <w:style w:type="character" w:customStyle="1" w:styleId="WW8Num146z0">
    <w:name w:val="WW8Num146z0"/>
    <w:uiPriority w:val="99"/>
    <w:rPr>
      <w:rFonts w:ascii="Wingdings" w:hAnsi="Wingdings"/>
      <w:color w:val="auto"/>
    </w:rPr>
  </w:style>
  <w:style w:type="character" w:customStyle="1" w:styleId="WW8Num147z0">
    <w:name w:val="WW8Num147z0"/>
    <w:uiPriority w:val="99"/>
    <w:rPr>
      <w:rFonts w:ascii="Wingdings" w:hAnsi="Wingdings"/>
    </w:rPr>
  </w:style>
  <w:style w:type="character" w:customStyle="1" w:styleId="WW8Num148z0">
    <w:name w:val="WW8Num148z0"/>
    <w:uiPriority w:val="99"/>
    <w:rPr>
      <w:rFonts w:ascii="Wingdings" w:hAnsi="Wingdings"/>
    </w:rPr>
  </w:style>
  <w:style w:type="character" w:customStyle="1" w:styleId="WW8Num149z0">
    <w:name w:val="WW8Num149z0"/>
    <w:uiPriority w:val="99"/>
    <w:rPr>
      <w:rFonts w:ascii="Wingdings" w:hAnsi="Wingdings"/>
    </w:rPr>
  </w:style>
  <w:style w:type="character" w:customStyle="1" w:styleId="WW8Num150z0">
    <w:name w:val="WW8Num150z0"/>
    <w:uiPriority w:val="99"/>
    <w:rPr>
      <w:rFonts w:ascii="Times New Roman" w:hAnsi="Times New Roman"/>
    </w:rPr>
  </w:style>
  <w:style w:type="character" w:customStyle="1" w:styleId="WW8Num151z0">
    <w:name w:val="WW8Num151z0"/>
    <w:uiPriority w:val="99"/>
    <w:rPr>
      <w:rFonts w:ascii="Wingdings" w:hAnsi="Wingdings"/>
    </w:rPr>
  </w:style>
  <w:style w:type="character" w:customStyle="1" w:styleId="WW8Num152z0">
    <w:name w:val="WW8Num152z0"/>
    <w:uiPriority w:val="99"/>
    <w:rPr>
      <w:rFonts w:ascii="Symbol" w:hAnsi="Symbol"/>
    </w:rPr>
  </w:style>
  <w:style w:type="character" w:customStyle="1" w:styleId="WW8Num153z0">
    <w:name w:val="WW8Num153z0"/>
    <w:uiPriority w:val="99"/>
    <w:rPr>
      <w:rFonts w:ascii="Wingdings" w:hAnsi="Wingdings"/>
    </w:rPr>
  </w:style>
  <w:style w:type="character" w:customStyle="1" w:styleId="WW8Num154z0">
    <w:name w:val="WW8Num154z0"/>
    <w:uiPriority w:val="99"/>
    <w:rPr>
      <w:rFonts w:ascii="Wingdings" w:hAnsi="Wingdings"/>
    </w:rPr>
  </w:style>
  <w:style w:type="character" w:customStyle="1" w:styleId="WW8Num155z0">
    <w:name w:val="WW8Num155z0"/>
    <w:uiPriority w:val="99"/>
    <w:rPr>
      <w:rFonts w:ascii="Wingdings" w:hAnsi="Wingdings"/>
    </w:rPr>
  </w:style>
  <w:style w:type="character" w:customStyle="1" w:styleId="WW8Num156z0">
    <w:name w:val="WW8Num156z0"/>
    <w:uiPriority w:val="99"/>
    <w:rPr>
      <w:rFonts w:ascii="Wingdings" w:hAnsi="Wingdings"/>
    </w:rPr>
  </w:style>
  <w:style w:type="character" w:customStyle="1" w:styleId="WW8Num157z0">
    <w:name w:val="WW8Num157z0"/>
    <w:uiPriority w:val="99"/>
    <w:rPr>
      <w:rFonts w:ascii="Symbol" w:hAnsi="Symbol"/>
      <w:color w:val="auto"/>
    </w:rPr>
  </w:style>
  <w:style w:type="character" w:customStyle="1" w:styleId="WW8Num158z0">
    <w:name w:val="WW8Num158z0"/>
    <w:uiPriority w:val="99"/>
    <w:rPr>
      <w:rFonts w:ascii="Symbol" w:hAnsi="Symbol"/>
    </w:rPr>
  </w:style>
  <w:style w:type="character" w:customStyle="1" w:styleId="WW8Num159z0">
    <w:name w:val="WW8Num159z0"/>
    <w:uiPriority w:val="99"/>
    <w:rPr>
      <w:rFonts w:ascii="Symbol" w:hAnsi="Symbol"/>
    </w:rPr>
  </w:style>
  <w:style w:type="character" w:customStyle="1" w:styleId="WW8Num161z0">
    <w:name w:val="WW8Num161z0"/>
    <w:uiPriority w:val="99"/>
    <w:rPr>
      <w:rFonts w:ascii="Wingdings" w:hAnsi="Wingdings"/>
    </w:rPr>
  </w:style>
  <w:style w:type="character" w:customStyle="1" w:styleId="WW8Num162z0">
    <w:name w:val="WW8Num162z0"/>
    <w:uiPriority w:val="99"/>
    <w:rPr>
      <w:rFonts w:ascii="Wingdings" w:hAnsi="Wingdings"/>
    </w:rPr>
  </w:style>
  <w:style w:type="character" w:customStyle="1" w:styleId="WW8Num163z0">
    <w:name w:val="WW8Num163z0"/>
    <w:uiPriority w:val="99"/>
    <w:rPr>
      <w:rFonts w:ascii="Wingdings" w:hAnsi="Wingdings"/>
    </w:rPr>
  </w:style>
  <w:style w:type="character" w:customStyle="1" w:styleId="WW8Num164z0">
    <w:name w:val="WW8Num164z0"/>
    <w:uiPriority w:val="99"/>
    <w:rPr>
      <w:rFonts w:ascii="Wingdings" w:hAnsi="Wingdings"/>
    </w:rPr>
  </w:style>
  <w:style w:type="character" w:customStyle="1" w:styleId="WW8Num165z0">
    <w:name w:val="WW8Num165z0"/>
    <w:uiPriority w:val="99"/>
    <w:rPr>
      <w:rFonts w:ascii="Wingdings" w:hAnsi="Wingdings"/>
    </w:rPr>
  </w:style>
  <w:style w:type="character" w:customStyle="1" w:styleId="WW8Num166z0">
    <w:name w:val="WW8Num166z0"/>
    <w:uiPriority w:val="99"/>
    <w:rPr>
      <w:rFonts w:ascii="Wingdings" w:hAnsi="Wingdings"/>
    </w:rPr>
  </w:style>
  <w:style w:type="character" w:customStyle="1" w:styleId="WW8Num167z0">
    <w:name w:val="WW8Num167z0"/>
    <w:uiPriority w:val="99"/>
    <w:rPr>
      <w:rFonts w:ascii="Wingdings" w:hAnsi="Wingdings"/>
    </w:rPr>
  </w:style>
  <w:style w:type="character" w:customStyle="1" w:styleId="WW8Num168z0">
    <w:name w:val="WW8Num168z0"/>
    <w:uiPriority w:val="99"/>
    <w:rPr>
      <w:rFonts w:ascii="Symbol" w:hAnsi="Symbol"/>
      <w:color w:val="auto"/>
    </w:rPr>
  </w:style>
  <w:style w:type="character" w:customStyle="1" w:styleId="WW8Num169z0">
    <w:name w:val="WW8Num169z0"/>
    <w:uiPriority w:val="99"/>
    <w:rPr>
      <w:rFonts w:ascii="Symbol" w:hAnsi="Symbol"/>
    </w:rPr>
  </w:style>
  <w:style w:type="character" w:customStyle="1" w:styleId="WW8Num170z0">
    <w:name w:val="WW8Num170z0"/>
    <w:uiPriority w:val="99"/>
    <w:rPr>
      <w:rFonts w:ascii="Symbol" w:hAnsi="Symbol"/>
      <w:color w:val="auto"/>
    </w:rPr>
  </w:style>
  <w:style w:type="character" w:customStyle="1" w:styleId="WW8Num171z0">
    <w:name w:val="WW8Num171z0"/>
    <w:uiPriority w:val="99"/>
    <w:rPr>
      <w:rFonts w:ascii="Wingdings" w:hAnsi="Wingdings"/>
    </w:rPr>
  </w:style>
  <w:style w:type="character" w:customStyle="1" w:styleId="WW8Num172z0">
    <w:name w:val="WW8Num172z0"/>
    <w:uiPriority w:val="99"/>
    <w:rPr>
      <w:rFonts w:ascii="Symbol" w:hAnsi="Symbol"/>
    </w:rPr>
  </w:style>
  <w:style w:type="character" w:customStyle="1" w:styleId="WW8Num175z0">
    <w:name w:val="WW8Num175z0"/>
    <w:uiPriority w:val="99"/>
    <w:rPr>
      <w:rFonts w:ascii="Symbol" w:hAnsi="Symbol"/>
      <w:color w:val="auto"/>
    </w:rPr>
  </w:style>
  <w:style w:type="character" w:customStyle="1" w:styleId="WW8Num176z0">
    <w:name w:val="WW8Num176z0"/>
    <w:uiPriority w:val="99"/>
    <w:rPr>
      <w:rFonts w:ascii="Symbol" w:hAnsi="Symbol"/>
      <w:color w:val="auto"/>
    </w:rPr>
  </w:style>
  <w:style w:type="character" w:customStyle="1" w:styleId="WW8Num177z0">
    <w:name w:val="WW8Num177z0"/>
    <w:uiPriority w:val="99"/>
    <w:rPr>
      <w:rFonts w:ascii="Courier New" w:hAnsi="Courier New"/>
    </w:rPr>
  </w:style>
  <w:style w:type="character" w:customStyle="1" w:styleId="WW8Num177z1">
    <w:name w:val="WW8Num177z1"/>
    <w:uiPriority w:val="99"/>
    <w:rPr>
      <w:rFonts w:ascii="Symbol" w:hAnsi="Symbol"/>
      <w:color w:val="auto"/>
    </w:rPr>
  </w:style>
  <w:style w:type="character" w:customStyle="1" w:styleId="WW8Num177z3">
    <w:name w:val="WW8Num177z3"/>
    <w:uiPriority w:val="99"/>
    <w:rPr>
      <w:rFonts w:ascii="Symbol" w:hAnsi="Symbol"/>
    </w:rPr>
  </w:style>
  <w:style w:type="character" w:customStyle="1" w:styleId="WW8Num177z4">
    <w:name w:val="WW8Num177z4"/>
    <w:uiPriority w:val="99"/>
    <w:rPr>
      <w:rFonts w:ascii="Courier New" w:hAnsi="Courier New"/>
    </w:rPr>
  </w:style>
  <w:style w:type="character" w:customStyle="1" w:styleId="WW8Num178z0">
    <w:name w:val="WW8Num178z0"/>
    <w:uiPriority w:val="99"/>
    <w:rPr>
      <w:rFonts w:ascii="Wingdings" w:hAnsi="Wingdings"/>
    </w:rPr>
  </w:style>
  <w:style w:type="character" w:customStyle="1" w:styleId="WW8Num179z0">
    <w:name w:val="WW8Num179z0"/>
    <w:uiPriority w:val="99"/>
    <w:rPr>
      <w:rFonts w:ascii="Arial" w:hAnsi="Arial"/>
    </w:rPr>
  </w:style>
  <w:style w:type="character" w:customStyle="1" w:styleId="WW8Num181z0">
    <w:name w:val="WW8Num181z0"/>
    <w:uiPriority w:val="99"/>
    <w:rPr>
      <w:rFonts w:ascii="Wingdings" w:hAnsi="Wingdings"/>
    </w:rPr>
  </w:style>
  <w:style w:type="character" w:customStyle="1" w:styleId="WW8Num183z0">
    <w:name w:val="WW8Num183z0"/>
    <w:uiPriority w:val="99"/>
  </w:style>
  <w:style w:type="character" w:customStyle="1" w:styleId="WW8Num184z0">
    <w:name w:val="WW8Num184z0"/>
    <w:uiPriority w:val="99"/>
  </w:style>
  <w:style w:type="character" w:customStyle="1" w:styleId="WW8Num185z0">
    <w:name w:val="WW8Num185z0"/>
    <w:uiPriority w:val="99"/>
    <w:rPr>
      <w:rFonts w:ascii="Wingdings" w:hAnsi="Wingdings"/>
    </w:rPr>
  </w:style>
  <w:style w:type="character" w:customStyle="1" w:styleId="WW8Num186z0">
    <w:name w:val="WW8Num186z0"/>
    <w:uiPriority w:val="99"/>
    <w:rPr>
      <w:rFonts w:ascii="Symbol" w:hAnsi="Symbol"/>
    </w:rPr>
  </w:style>
  <w:style w:type="character" w:customStyle="1" w:styleId="WW8Num187z0">
    <w:name w:val="WW8Num187z0"/>
    <w:uiPriority w:val="99"/>
    <w:rPr>
      <w:rFonts w:ascii="Wingdings" w:hAnsi="Wingdings"/>
    </w:rPr>
  </w:style>
  <w:style w:type="character" w:customStyle="1" w:styleId="WW8Num188z0">
    <w:name w:val="WW8Num188z0"/>
    <w:uiPriority w:val="99"/>
    <w:rPr>
      <w:rFonts w:ascii="Wingdings" w:hAnsi="Wingdings"/>
    </w:rPr>
  </w:style>
  <w:style w:type="character" w:customStyle="1" w:styleId="WW8Num189z0">
    <w:name w:val="WW8Num189z0"/>
    <w:uiPriority w:val="99"/>
    <w:rPr>
      <w:rFonts w:ascii="Symbol" w:hAnsi="Symbol"/>
    </w:rPr>
  </w:style>
  <w:style w:type="character" w:customStyle="1" w:styleId="WW8Num190z0">
    <w:name w:val="WW8Num190z0"/>
    <w:uiPriority w:val="99"/>
    <w:rPr>
      <w:rFonts w:ascii="Wingdings" w:hAnsi="Wingdings"/>
    </w:rPr>
  </w:style>
  <w:style w:type="character" w:customStyle="1" w:styleId="WW8Num192z0">
    <w:name w:val="WW8Num192z0"/>
    <w:uiPriority w:val="99"/>
    <w:rPr>
      <w:rFonts w:ascii="Wingdings" w:hAnsi="Wingdings"/>
    </w:rPr>
  </w:style>
  <w:style w:type="character" w:customStyle="1" w:styleId="WW8Num193z0">
    <w:name w:val="WW8Num193z0"/>
    <w:uiPriority w:val="99"/>
    <w:rPr>
      <w:rFonts w:ascii="Wingdings" w:hAnsi="Wingdings"/>
    </w:rPr>
  </w:style>
  <w:style w:type="character" w:customStyle="1" w:styleId="WW8Num193z2">
    <w:name w:val="WW8Num193z2"/>
    <w:uiPriority w:val="99"/>
    <w:rPr>
      <w:rFonts w:ascii="Wingdings" w:hAnsi="Wingdings"/>
    </w:rPr>
  </w:style>
  <w:style w:type="character" w:customStyle="1" w:styleId="WW8Num193z4">
    <w:name w:val="WW8Num193z4"/>
    <w:uiPriority w:val="99"/>
    <w:rPr>
      <w:rFonts w:ascii="Courier New" w:hAnsi="Courier New"/>
    </w:rPr>
  </w:style>
  <w:style w:type="character" w:customStyle="1" w:styleId="WW8Num194z0">
    <w:name w:val="WW8Num194z0"/>
    <w:uiPriority w:val="99"/>
    <w:rPr>
      <w:rFonts w:ascii="Symbol" w:hAnsi="Symbol"/>
    </w:rPr>
  </w:style>
  <w:style w:type="character" w:customStyle="1" w:styleId="WW8Num195z0">
    <w:name w:val="WW8Num195z0"/>
    <w:uiPriority w:val="99"/>
    <w:rPr>
      <w:rFonts w:ascii="Symbol" w:hAnsi="Symbol"/>
    </w:rPr>
  </w:style>
  <w:style w:type="character" w:customStyle="1" w:styleId="WW8Num195z1">
    <w:name w:val="WW8Num195z1"/>
    <w:uiPriority w:val="99"/>
    <w:rPr>
      <w:rFonts w:ascii="Symbol" w:hAnsi="Symbol"/>
    </w:rPr>
  </w:style>
  <w:style w:type="character" w:customStyle="1" w:styleId="WW8Num195z3">
    <w:name w:val="WW8Num195z3"/>
    <w:uiPriority w:val="99"/>
    <w:rPr>
      <w:rFonts w:ascii="Symbol" w:hAnsi="Symbol"/>
    </w:rPr>
  </w:style>
  <w:style w:type="character" w:customStyle="1" w:styleId="WW8Num195z4">
    <w:name w:val="WW8Num195z4"/>
    <w:uiPriority w:val="99"/>
    <w:rPr>
      <w:rFonts w:ascii="Courier New" w:hAnsi="Courier New"/>
    </w:rPr>
  </w:style>
  <w:style w:type="character" w:customStyle="1" w:styleId="WW8Num196z0">
    <w:name w:val="WW8Num196z0"/>
    <w:uiPriority w:val="99"/>
    <w:rPr>
      <w:rFonts w:ascii="Wingdings" w:hAnsi="Wingdings"/>
    </w:rPr>
  </w:style>
  <w:style w:type="character" w:customStyle="1" w:styleId="WW8Num197z0">
    <w:name w:val="WW8Num197z0"/>
    <w:uiPriority w:val="99"/>
    <w:rPr>
      <w:rFonts w:ascii="Wingdings" w:hAnsi="Wingdings"/>
    </w:rPr>
  </w:style>
  <w:style w:type="character" w:customStyle="1" w:styleId="WW8Num198z0">
    <w:name w:val="WW8Num198z0"/>
    <w:uiPriority w:val="99"/>
    <w:rPr>
      <w:rFonts w:ascii="Symbol" w:hAnsi="Symbol"/>
    </w:rPr>
  </w:style>
  <w:style w:type="character" w:customStyle="1" w:styleId="WW8Num199z0">
    <w:name w:val="WW8Num199z0"/>
    <w:uiPriority w:val="99"/>
    <w:rPr>
      <w:rFonts w:ascii="Wingdings" w:hAnsi="Wingdings"/>
    </w:rPr>
  </w:style>
  <w:style w:type="character" w:customStyle="1" w:styleId="WW8Num200z0">
    <w:name w:val="WW8Num200z0"/>
    <w:uiPriority w:val="99"/>
    <w:rPr>
      <w:rFonts w:ascii="Symbol" w:hAnsi="Symbol"/>
    </w:rPr>
  </w:style>
  <w:style w:type="character" w:customStyle="1" w:styleId="WW8Num201z0">
    <w:name w:val="WW8Num201z0"/>
    <w:uiPriority w:val="99"/>
    <w:rPr>
      <w:rFonts w:ascii="Wingdings" w:hAnsi="Wingdings"/>
    </w:rPr>
  </w:style>
  <w:style w:type="character" w:customStyle="1" w:styleId="WW8Num202z0">
    <w:name w:val="WW8Num202z0"/>
    <w:uiPriority w:val="99"/>
    <w:rPr>
      <w:rFonts w:ascii="Wingdings" w:hAnsi="Wingdings"/>
    </w:rPr>
  </w:style>
  <w:style w:type="character" w:customStyle="1" w:styleId="WW8Num204z0">
    <w:name w:val="WW8Num204z0"/>
    <w:uiPriority w:val="99"/>
    <w:rPr>
      <w:rFonts w:ascii="Wingdings" w:hAnsi="Wingdings"/>
    </w:rPr>
  </w:style>
  <w:style w:type="character" w:customStyle="1" w:styleId="WW8Num205z0">
    <w:name w:val="WW8Num205z0"/>
    <w:uiPriority w:val="99"/>
    <w:rPr>
      <w:rFonts w:ascii="Wingdings" w:hAnsi="Wingdings"/>
    </w:rPr>
  </w:style>
  <w:style w:type="character" w:customStyle="1" w:styleId="WW8Num206z0">
    <w:name w:val="WW8Num206z0"/>
    <w:uiPriority w:val="99"/>
    <w:rPr>
      <w:rFonts w:ascii="Wingdings" w:hAnsi="Wingdings"/>
    </w:rPr>
  </w:style>
  <w:style w:type="character" w:customStyle="1" w:styleId="WW8Num208z0">
    <w:name w:val="WW8Num208z0"/>
    <w:uiPriority w:val="99"/>
    <w:rPr>
      <w:rFonts w:ascii="Wingdings" w:hAnsi="Wingdings"/>
    </w:rPr>
  </w:style>
  <w:style w:type="character" w:customStyle="1" w:styleId="WW8Num209z0">
    <w:name w:val="WW8Num209z0"/>
    <w:uiPriority w:val="99"/>
    <w:rPr>
      <w:rFonts w:ascii="Times New Roman" w:hAnsi="Times New Roman"/>
    </w:rPr>
  </w:style>
  <w:style w:type="character" w:customStyle="1" w:styleId="WW8Num210z0">
    <w:name w:val="WW8Num210z0"/>
    <w:uiPriority w:val="99"/>
    <w:rPr>
      <w:rFonts w:ascii="Times New Roman" w:hAnsi="Times New Roman"/>
    </w:rPr>
  </w:style>
  <w:style w:type="character" w:customStyle="1" w:styleId="WW8Num211z0">
    <w:name w:val="WW8Num211z0"/>
    <w:uiPriority w:val="99"/>
    <w:rPr>
      <w:rFonts w:ascii="Wingdings" w:hAnsi="Wingdings"/>
    </w:rPr>
  </w:style>
  <w:style w:type="character" w:customStyle="1" w:styleId="WW8Num212z0">
    <w:name w:val="WW8Num212z0"/>
    <w:uiPriority w:val="99"/>
    <w:rPr>
      <w:rFonts w:ascii="Wingdings" w:hAnsi="Wingdings"/>
    </w:rPr>
  </w:style>
  <w:style w:type="character" w:customStyle="1" w:styleId="WW8Num213z0">
    <w:name w:val="WW8Num213z0"/>
    <w:uiPriority w:val="99"/>
    <w:rPr>
      <w:rFonts w:ascii="Wingdings" w:hAnsi="Wingdings"/>
    </w:rPr>
  </w:style>
  <w:style w:type="character" w:customStyle="1" w:styleId="WW8Num214z0">
    <w:name w:val="WW8Num214z0"/>
    <w:uiPriority w:val="99"/>
    <w:rPr>
      <w:rFonts w:ascii="Wingdings" w:hAnsi="Wingdings"/>
    </w:rPr>
  </w:style>
  <w:style w:type="character" w:customStyle="1" w:styleId="WW8Num215z0">
    <w:name w:val="WW8Num215z0"/>
    <w:uiPriority w:val="99"/>
    <w:rPr>
      <w:rFonts w:ascii="Wingdings" w:hAnsi="Wingdings"/>
    </w:rPr>
  </w:style>
  <w:style w:type="character" w:customStyle="1" w:styleId="WW8Num216z0">
    <w:name w:val="WW8Num216z0"/>
    <w:uiPriority w:val="99"/>
    <w:rPr>
      <w:rFonts w:ascii="Wingdings" w:hAnsi="Wingdings"/>
    </w:rPr>
  </w:style>
  <w:style w:type="character" w:customStyle="1" w:styleId="WW8Num218z0">
    <w:name w:val="WW8Num218z0"/>
    <w:uiPriority w:val="99"/>
    <w:rPr>
      <w:rFonts w:ascii="Wingdings" w:hAnsi="Wingdings"/>
    </w:rPr>
  </w:style>
  <w:style w:type="character" w:customStyle="1" w:styleId="WW8Num219z0">
    <w:name w:val="WW8Num219z0"/>
    <w:uiPriority w:val="99"/>
    <w:rPr>
      <w:rFonts w:ascii="Wingdings" w:hAnsi="Wingdings"/>
    </w:rPr>
  </w:style>
  <w:style w:type="character" w:customStyle="1" w:styleId="WW8Num220z0">
    <w:name w:val="WW8Num220z0"/>
    <w:uiPriority w:val="99"/>
    <w:rPr>
      <w:rFonts w:ascii="Wingdings" w:hAnsi="Wingdings"/>
    </w:rPr>
  </w:style>
  <w:style w:type="character" w:customStyle="1" w:styleId="WW8Num222z0">
    <w:name w:val="WW8Num222z0"/>
    <w:uiPriority w:val="99"/>
    <w:rPr>
      <w:rFonts w:ascii="Symbol" w:hAnsi="Symbol"/>
      <w:color w:val="auto"/>
    </w:rPr>
  </w:style>
  <w:style w:type="character" w:customStyle="1" w:styleId="WW8Num223z0">
    <w:name w:val="WW8Num223z0"/>
    <w:uiPriority w:val="99"/>
    <w:rPr>
      <w:rFonts w:ascii="Symbol" w:hAnsi="Symbol"/>
    </w:rPr>
  </w:style>
  <w:style w:type="character" w:customStyle="1" w:styleId="WW8Num223z1">
    <w:name w:val="WW8Num223z1"/>
    <w:uiPriority w:val="99"/>
    <w:rPr>
      <w:rFonts w:ascii="Symbol" w:hAnsi="Symbol"/>
    </w:rPr>
  </w:style>
  <w:style w:type="character" w:customStyle="1" w:styleId="WW8Num224z0">
    <w:name w:val="WW8Num224z0"/>
    <w:uiPriority w:val="99"/>
    <w:rPr>
      <w:rFonts w:ascii="Symbol" w:hAnsi="Symbol"/>
    </w:rPr>
  </w:style>
  <w:style w:type="character" w:customStyle="1" w:styleId="WW8Num225z0">
    <w:name w:val="WW8Num225z0"/>
    <w:uiPriority w:val="99"/>
  </w:style>
  <w:style w:type="character" w:customStyle="1" w:styleId="WW8Num226z0">
    <w:name w:val="WW8Num226z0"/>
    <w:uiPriority w:val="99"/>
    <w:rPr>
      <w:rFonts w:ascii="Symbol" w:hAnsi="Symbol"/>
    </w:rPr>
  </w:style>
  <w:style w:type="character" w:customStyle="1" w:styleId="WW8Num228z0">
    <w:name w:val="WW8Num228z0"/>
    <w:uiPriority w:val="99"/>
    <w:rPr>
      <w:rFonts w:ascii="Wingdings" w:hAnsi="Wingdings"/>
    </w:rPr>
  </w:style>
  <w:style w:type="character" w:customStyle="1" w:styleId="WW8Num228z1">
    <w:name w:val="WW8Num228z1"/>
    <w:uiPriority w:val="99"/>
    <w:rPr>
      <w:rFonts w:ascii="Courier New" w:hAnsi="Courier New"/>
    </w:rPr>
  </w:style>
  <w:style w:type="character" w:customStyle="1" w:styleId="WW8Num228z2">
    <w:name w:val="WW8Num228z2"/>
    <w:uiPriority w:val="99"/>
    <w:rPr>
      <w:rFonts w:ascii="Wingdings" w:hAnsi="Wingdings"/>
    </w:rPr>
  </w:style>
  <w:style w:type="character" w:customStyle="1" w:styleId="WW8Num229z0">
    <w:name w:val="WW8Num229z0"/>
    <w:uiPriority w:val="99"/>
    <w:rPr>
      <w:rFonts w:ascii="Symbol" w:hAnsi="Symbol"/>
    </w:rPr>
  </w:style>
  <w:style w:type="character" w:customStyle="1" w:styleId="WW8Num229z3">
    <w:name w:val="WW8Num229z3"/>
    <w:uiPriority w:val="99"/>
    <w:rPr>
      <w:rFonts w:ascii="Symbol" w:hAnsi="Symbol"/>
    </w:rPr>
  </w:style>
  <w:style w:type="character" w:customStyle="1" w:styleId="WW8Num229z4">
    <w:name w:val="WW8Num229z4"/>
    <w:uiPriority w:val="99"/>
    <w:rPr>
      <w:rFonts w:ascii="Courier New" w:hAnsi="Courier New"/>
    </w:rPr>
  </w:style>
  <w:style w:type="character" w:customStyle="1" w:styleId="WW8Num230z0">
    <w:name w:val="WW8Num230z0"/>
    <w:uiPriority w:val="99"/>
    <w:rPr>
      <w:rFonts w:ascii="Symbol" w:hAnsi="Symbol"/>
    </w:rPr>
  </w:style>
  <w:style w:type="character" w:customStyle="1" w:styleId="WW8Num231z0">
    <w:name w:val="WW8Num231z0"/>
    <w:uiPriority w:val="99"/>
    <w:rPr>
      <w:rFonts w:ascii="Wingdings" w:hAnsi="Wingdings"/>
    </w:rPr>
  </w:style>
  <w:style w:type="character" w:customStyle="1" w:styleId="WW8Num231z1">
    <w:name w:val="WW8Num231z1"/>
    <w:uiPriority w:val="99"/>
    <w:rPr>
      <w:rFonts w:ascii="Symbol" w:hAnsi="Symbol"/>
    </w:rPr>
  </w:style>
  <w:style w:type="character" w:customStyle="1" w:styleId="WW8Num232z0">
    <w:name w:val="WW8Num232z0"/>
    <w:uiPriority w:val="99"/>
    <w:rPr>
      <w:rFonts w:ascii="Wingdings" w:hAnsi="Wingdings"/>
    </w:rPr>
  </w:style>
  <w:style w:type="character" w:customStyle="1" w:styleId="WW8Num234z0">
    <w:name w:val="WW8Num234z0"/>
    <w:uiPriority w:val="99"/>
    <w:rPr>
      <w:rFonts w:ascii="Symbol" w:hAnsi="Symbol"/>
      <w:color w:val="auto"/>
    </w:rPr>
  </w:style>
  <w:style w:type="character" w:customStyle="1" w:styleId="WW8Num235z0">
    <w:name w:val="WW8Num235z0"/>
    <w:uiPriority w:val="99"/>
    <w:rPr>
      <w:rFonts w:ascii="Wingdings" w:hAnsi="Wingdings"/>
    </w:rPr>
  </w:style>
  <w:style w:type="character" w:customStyle="1" w:styleId="WW8Num236z0">
    <w:name w:val="WW8Num236z0"/>
    <w:uiPriority w:val="99"/>
    <w:rPr>
      <w:rFonts w:ascii="Wingdings" w:hAnsi="Wingdings"/>
    </w:rPr>
  </w:style>
  <w:style w:type="character" w:customStyle="1" w:styleId="WW8Num237z0">
    <w:name w:val="WW8Num237z0"/>
    <w:uiPriority w:val="99"/>
    <w:rPr>
      <w:rFonts w:ascii="Wingdings" w:hAnsi="Wingdings"/>
    </w:rPr>
  </w:style>
  <w:style w:type="character" w:customStyle="1" w:styleId="WW8Num238z0">
    <w:name w:val="WW8Num238z0"/>
    <w:uiPriority w:val="99"/>
    <w:rPr>
      <w:rFonts w:ascii="Wingdings" w:hAnsi="Wingdings"/>
    </w:rPr>
  </w:style>
  <w:style w:type="character" w:customStyle="1" w:styleId="WW8Num239z0">
    <w:name w:val="WW8Num239z0"/>
    <w:uiPriority w:val="99"/>
    <w:rPr>
      <w:rFonts w:ascii="Wingdings" w:hAnsi="Wingdings"/>
    </w:rPr>
  </w:style>
  <w:style w:type="character" w:customStyle="1" w:styleId="WW8Num240z0">
    <w:name w:val="WW8Num240z0"/>
    <w:uiPriority w:val="99"/>
    <w:rPr>
      <w:rFonts w:ascii="Wingdings" w:hAnsi="Wingdings"/>
    </w:rPr>
  </w:style>
  <w:style w:type="character" w:customStyle="1" w:styleId="WW8Num243z0">
    <w:name w:val="WW8Num243z0"/>
    <w:uiPriority w:val="99"/>
    <w:rPr>
      <w:rFonts w:ascii="Times New Roman" w:hAnsi="Times New Roman"/>
    </w:rPr>
  </w:style>
  <w:style w:type="character" w:customStyle="1" w:styleId="WW8Num245z0">
    <w:name w:val="WW8Num245z0"/>
    <w:uiPriority w:val="99"/>
    <w:rPr>
      <w:rFonts w:ascii="Times New Roman" w:hAnsi="Times New Roman"/>
    </w:rPr>
  </w:style>
  <w:style w:type="character" w:customStyle="1" w:styleId="WW8Num246z0">
    <w:name w:val="WW8Num246z0"/>
    <w:uiPriority w:val="99"/>
    <w:rPr>
      <w:rFonts w:ascii="Wingdings" w:hAnsi="Wingdings"/>
    </w:rPr>
  </w:style>
  <w:style w:type="character" w:customStyle="1" w:styleId="WW8Num247z0">
    <w:name w:val="WW8Num247z0"/>
    <w:uiPriority w:val="99"/>
    <w:rPr>
      <w:rFonts w:ascii="Wingdings" w:hAnsi="Wingdings"/>
    </w:rPr>
  </w:style>
  <w:style w:type="character" w:customStyle="1" w:styleId="WW8Num248z0">
    <w:name w:val="WW8Num248z0"/>
    <w:uiPriority w:val="99"/>
    <w:rPr>
      <w:rFonts w:ascii="Arial" w:eastAsia="Times New Roman" w:hAnsi="Arial"/>
    </w:rPr>
  </w:style>
  <w:style w:type="character" w:customStyle="1" w:styleId="WW8Num249z0">
    <w:name w:val="WW8Num249z0"/>
    <w:uiPriority w:val="99"/>
    <w:rPr>
      <w:rFonts w:ascii="Wingdings" w:hAnsi="Wingdings"/>
    </w:rPr>
  </w:style>
  <w:style w:type="character" w:customStyle="1" w:styleId="WW8Num250z0">
    <w:name w:val="WW8Num250z0"/>
    <w:uiPriority w:val="99"/>
    <w:rPr>
      <w:rFonts w:ascii="Symbol" w:hAnsi="Symbol"/>
    </w:rPr>
  </w:style>
  <w:style w:type="character" w:customStyle="1" w:styleId="WW8Num251z1">
    <w:name w:val="WW8Num251z1"/>
    <w:uiPriority w:val="99"/>
    <w:rPr>
      <w:rFonts w:ascii="Courier New" w:hAnsi="Courier New"/>
    </w:rPr>
  </w:style>
  <w:style w:type="character" w:customStyle="1" w:styleId="WW8Num251z2">
    <w:name w:val="WW8Num251z2"/>
    <w:uiPriority w:val="99"/>
    <w:rPr>
      <w:rFonts w:ascii="Symbol" w:hAnsi="Symbol"/>
    </w:rPr>
  </w:style>
  <w:style w:type="character" w:customStyle="1" w:styleId="WW8Num252z0">
    <w:name w:val="WW8Num252z0"/>
    <w:uiPriority w:val="99"/>
    <w:rPr>
      <w:rFonts w:ascii="Wingdings" w:hAnsi="Wingdings"/>
    </w:rPr>
  </w:style>
  <w:style w:type="character" w:customStyle="1" w:styleId="WW8Num253z0">
    <w:name w:val="WW8Num253z0"/>
    <w:uiPriority w:val="99"/>
    <w:rPr>
      <w:rFonts w:ascii="Wingdings" w:hAnsi="Wingdings"/>
    </w:rPr>
  </w:style>
  <w:style w:type="character" w:customStyle="1" w:styleId="WW8Num254z0">
    <w:name w:val="WW8Num254z0"/>
    <w:uiPriority w:val="99"/>
    <w:rPr>
      <w:rFonts w:ascii="Wingdings" w:hAnsi="Wingdings"/>
    </w:rPr>
  </w:style>
  <w:style w:type="character" w:customStyle="1" w:styleId="WW8Num255z0">
    <w:name w:val="WW8Num255z0"/>
    <w:uiPriority w:val="99"/>
    <w:rPr>
      <w:rFonts w:ascii="Wingdings" w:hAnsi="Wingdings"/>
    </w:rPr>
  </w:style>
  <w:style w:type="character" w:customStyle="1" w:styleId="WW8Num256z0">
    <w:name w:val="WW8Num256z0"/>
    <w:uiPriority w:val="99"/>
    <w:rPr>
      <w:rFonts w:ascii="Wingdings" w:hAnsi="Wingdings"/>
    </w:rPr>
  </w:style>
  <w:style w:type="character" w:customStyle="1" w:styleId="WW8Num257z0">
    <w:name w:val="WW8Num257z0"/>
    <w:uiPriority w:val="99"/>
    <w:rPr>
      <w:rFonts w:ascii="Wingdings" w:hAnsi="Wingdings"/>
    </w:rPr>
  </w:style>
  <w:style w:type="character" w:customStyle="1" w:styleId="WW8Num258z0">
    <w:name w:val="WW8Num258z0"/>
    <w:uiPriority w:val="99"/>
    <w:rPr>
      <w:rFonts w:ascii="Wingdings" w:hAnsi="Wingdings"/>
    </w:rPr>
  </w:style>
  <w:style w:type="character" w:customStyle="1" w:styleId="WW8Num259z0">
    <w:name w:val="WW8Num259z0"/>
    <w:uiPriority w:val="99"/>
    <w:rPr>
      <w:rFonts w:ascii="Symbol" w:hAnsi="Symbol"/>
    </w:rPr>
  </w:style>
  <w:style w:type="character" w:customStyle="1" w:styleId="WW8Num261z0">
    <w:name w:val="WW8Num261z0"/>
    <w:uiPriority w:val="99"/>
    <w:rPr>
      <w:rFonts w:ascii="Symbol" w:hAnsi="Symbol"/>
      <w:color w:val="auto"/>
    </w:rPr>
  </w:style>
  <w:style w:type="character" w:customStyle="1" w:styleId="WW8Num262z0">
    <w:name w:val="WW8Num262z0"/>
    <w:uiPriority w:val="99"/>
    <w:rPr>
      <w:rFonts w:ascii="Symbol" w:hAnsi="Symbol"/>
    </w:rPr>
  </w:style>
  <w:style w:type="character" w:customStyle="1" w:styleId="WW8Num263z0">
    <w:name w:val="WW8Num263z0"/>
    <w:uiPriority w:val="99"/>
    <w:rPr>
      <w:rFonts w:ascii="Wingdings" w:hAnsi="Wingdings"/>
    </w:rPr>
  </w:style>
  <w:style w:type="character" w:customStyle="1" w:styleId="WW8Num264z0">
    <w:name w:val="WW8Num264z0"/>
    <w:uiPriority w:val="99"/>
    <w:rPr>
      <w:rFonts w:ascii="Wingdings" w:hAnsi="Wingdings"/>
    </w:rPr>
  </w:style>
  <w:style w:type="character" w:customStyle="1" w:styleId="WW8Num265z0">
    <w:name w:val="WW8Num265z0"/>
    <w:uiPriority w:val="99"/>
    <w:rPr>
      <w:rFonts w:ascii="Wingdings" w:hAnsi="Wingdings"/>
    </w:rPr>
  </w:style>
  <w:style w:type="character" w:customStyle="1" w:styleId="WW8Num266z0">
    <w:name w:val="WW8Num266z0"/>
    <w:uiPriority w:val="99"/>
    <w:rPr>
      <w:rFonts w:ascii="Symbol" w:hAnsi="Symbol"/>
    </w:rPr>
  </w:style>
  <w:style w:type="character" w:customStyle="1" w:styleId="WW8Num268z0">
    <w:name w:val="WW8Num268z0"/>
    <w:uiPriority w:val="99"/>
    <w:rPr>
      <w:rFonts w:ascii="Wingdings" w:hAnsi="Wingdings"/>
    </w:rPr>
  </w:style>
  <w:style w:type="character" w:customStyle="1" w:styleId="WW8Num269z0">
    <w:name w:val="WW8Num269z0"/>
    <w:uiPriority w:val="99"/>
    <w:rPr>
      <w:rFonts w:ascii="Wingdings" w:hAnsi="Wingdings"/>
    </w:rPr>
  </w:style>
  <w:style w:type="character" w:customStyle="1" w:styleId="WW8Num270z0">
    <w:name w:val="WW8Num270z0"/>
    <w:uiPriority w:val="99"/>
    <w:rPr>
      <w:rFonts w:ascii="Symbol" w:hAnsi="Symbol"/>
      <w:color w:val="auto"/>
    </w:rPr>
  </w:style>
  <w:style w:type="character" w:customStyle="1" w:styleId="WW8Num271z0">
    <w:name w:val="WW8Num271z0"/>
    <w:uiPriority w:val="99"/>
    <w:rPr>
      <w:rFonts w:ascii="Wingdings" w:hAnsi="Wingdings"/>
    </w:rPr>
  </w:style>
  <w:style w:type="character" w:customStyle="1" w:styleId="Policepardfaut2">
    <w:name w:val="Police par défaut2"/>
    <w:uiPriority w:val="99"/>
  </w:style>
  <w:style w:type="character" w:customStyle="1" w:styleId="Absatz-Standardschriftart">
    <w:name w:val="Absatz-Standardschriftart"/>
    <w:uiPriority w:val="99"/>
  </w:style>
  <w:style w:type="character" w:customStyle="1" w:styleId="WW-Absatz-Standardschriftart">
    <w:name w:val="WW-Absatz-Standardschriftart"/>
    <w:uiPriority w:val="99"/>
  </w:style>
  <w:style w:type="character" w:customStyle="1" w:styleId="WW8Num194z2">
    <w:name w:val="WW8Num194z2"/>
    <w:uiPriority w:val="99"/>
    <w:rPr>
      <w:rFonts w:ascii="Wingdings" w:hAnsi="Wingdings"/>
    </w:rPr>
  </w:style>
  <w:style w:type="character" w:customStyle="1" w:styleId="WW8Num194z4">
    <w:name w:val="WW8Num194z4"/>
    <w:uiPriority w:val="99"/>
    <w:rPr>
      <w:rFonts w:ascii="Courier New" w:hAnsi="Courier New"/>
    </w:rPr>
  </w:style>
  <w:style w:type="character" w:customStyle="1" w:styleId="WW8Num196z1">
    <w:name w:val="WW8Num196z1"/>
    <w:uiPriority w:val="99"/>
    <w:rPr>
      <w:rFonts w:ascii="Courier New" w:hAnsi="Courier New"/>
    </w:rPr>
  </w:style>
  <w:style w:type="character" w:customStyle="1" w:styleId="WW8Num196z3">
    <w:name w:val="WW8Num196z3"/>
    <w:uiPriority w:val="99"/>
    <w:rPr>
      <w:rFonts w:ascii="Symbol" w:hAnsi="Symbol"/>
    </w:rPr>
  </w:style>
  <w:style w:type="character" w:customStyle="1" w:styleId="WW8Num196z4">
    <w:name w:val="WW8Num196z4"/>
    <w:uiPriority w:val="99"/>
    <w:rPr>
      <w:rFonts w:ascii="Courier New" w:hAnsi="Courier New"/>
    </w:rPr>
  </w:style>
  <w:style w:type="character" w:customStyle="1" w:styleId="WW8Num203z0">
    <w:name w:val="WW8Num203z0"/>
    <w:uiPriority w:val="99"/>
    <w:rPr>
      <w:rFonts w:ascii="Wingdings" w:hAnsi="Wingdings"/>
    </w:rPr>
  </w:style>
  <w:style w:type="character" w:customStyle="1" w:styleId="WW8Num207z0">
    <w:name w:val="WW8Num207z0"/>
    <w:uiPriority w:val="99"/>
    <w:rPr>
      <w:rFonts w:ascii="Wingdings" w:hAnsi="Wingdings"/>
    </w:rPr>
  </w:style>
  <w:style w:type="character" w:customStyle="1" w:styleId="WW8Num217z0">
    <w:name w:val="WW8Num217z0"/>
    <w:uiPriority w:val="99"/>
    <w:rPr>
      <w:rFonts w:ascii="Wingdings" w:hAnsi="Wingdings"/>
    </w:rPr>
  </w:style>
  <w:style w:type="character" w:customStyle="1" w:styleId="WW8Num221z0">
    <w:name w:val="WW8Num221z0"/>
    <w:uiPriority w:val="99"/>
    <w:rPr>
      <w:rFonts w:ascii="Wingdings" w:hAnsi="Wingdings"/>
    </w:rPr>
  </w:style>
  <w:style w:type="character" w:customStyle="1" w:styleId="WW8Num224z1">
    <w:name w:val="WW8Num224z1"/>
    <w:uiPriority w:val="99"/>
    <w:rPr>
      <w:rFonts w:ascii="Courier New" w:hAnsi="Courier New"/>
    </w:rPr>
  </w:style>
  <w:style w:type="character" w:customStyle="1" w:styleId="WW8Num227z0">
    <w:name w:val="WW8Num227z0"/>
    <w:uiPriority w:val="99"/>
    <w:rPr>
      <w:rFonts w:ascii="Symbol" w:hAnsi="Symbol"/>
      <w:color w:val="auto"/>
    </w:rPr>
  </w:style>
  <w:style w:type="character" w:customStyle="1" w:styleId="WW8Num229z1">
    <w:name w:val="WW8Num229z1"/>
    <w:uiPriority w:val="99"/>
    <w:rPr>
      <w:rFonts w:ascii="Courier New" w:hAnsi="Courier New"/>
    </w:rPr>
  </w:style>
  <w:style w:type="character" w:customStyle="1" w:styleId="WW8Num229z2">
    <w:name w:val="WW8Num229z2"/>
    <w:uiPriority w:val="99"/>
    <w:rPr>
      <w:rFonts w:ascii="Wingdings" w:hAnsi="Wingdings"/>
    </w:rPr>
  </w:style>
  <w:style w:type="character" w:customStyle="1" w:styleId="WW8Num230z3">
    <w:name w:val="WW8Num230z3"/>
    <w:uiPriority w:val="99"/>
    <w:rPr>
      <w:rFonts w:ascii="Symbol" w:hAnsi="Symbol"/>
    </w:rPr>
  </w:style>
  <w:style w:type="character" w:customStyle="1" w:styleId="WW8Num230z4">
    <w:name w:val="WW8Num230z4"/>
    <w:uiPriority w:val="99"/>
    <w:rPr>
      <w:rFonts w:ascii="Courier New" w:hAnsi="Courier New"/>
    </w:rPr>
  </w:style>
  <w:style w:type="character" w:customStyle="1" w:styleId="WW8Num232z1">
    <w:name w:val="WW8Num232z1"/>
    <w:uiPriority w:val="99"/>
    <w:rPr>
      <w:rFonts w:ascii="Courier New" w:hAnsi="Courier New"/>
    </w:rPr>
  </w:style>
  <w:style w:type="character" w:customStyle="1" w:styleId="WW8Num233z0">
    <w:name w:val="WW8Num233z0"/>
    <w:uiPriority w:val="99"/>
    <w:rPr>
      <w:b/>
      <w:u w:val="single"/>
    </w:rPr>
  </w:style>
  <w:style w:type="character" w:customStyle="1" w:styleId="WW8Num241z0">
    <w:name w:val="WW8Num241z0"/>
    <w:uiPriority w:val="99"/>
    <w:rPr>
      <w:rFonts w:ascii="Wingdings" w:hAnsi="Wingdings"/>
    </w:rPr>
  </w:style>
  <w:style w:type="character" w:customStyle="1" w:styleId="WW8Num244z0">
    <w:name w:val="WW8Num244z0"/>
    <w:uiPriority w:val="99"/>
    <w:rPr>
      <w:rFonts w:ascii="Times New Roman" w:hAnsi="Times New Roman"/>
    </w:rPr>
  </w:style>
  <w:style w:type="character" w:customStyle="1" w:styleId="WW8Num251z0">
    <w:name w:val="WW8Num251z0"/>
    <w:uiPriority w:val="99"/>
    <w:rPr>
      <w:rFonts w:ascii="Wingdings" w:hAnsi="Wingdings"/>
    </w:rPr>
  </w:style>
  <w:style w:type="character" w:customStyle="1" w:styleId="WW8Num252z1">
    <w:name w:val="WW8Num252z1"/>
    <w:uiPriority w:val="99"/>
    <w:rPr>
      <w:rFonts w:ascii="Symbol" w:hAnsi="Symbol"/>
    </w:rPr>
  </w:style>
  <w:style w:type="character" w:customStyle="1" w:styleId="WW8Num252z2">
    <w:name w:val="WW8Num252z2"/>
    <w:uiPriority w:val="99"/>
    <w:rPr>
      <w:rFonts w:ascii="Times New Roman" w:hAnsi="Times New Roman"/>
    </w:rPr>
  </w:style>
  <w:style w:type="character" w:customStyle="1" w:styleId="WW8Num260z0">
    <w:name w:val="WW8Num260z0"/>
    <w:uiPriority w:val="99"/>
    <w:rPr>
      <w:rFonts w:ascii="Wingdings" w:hAnsi="Wingdings"/>
    </w:rPr>
  </w:style>
  <w:style w:type="character" w:customStyle="1" w:styleId="WW8Num267z0">
    <w:name w:val="WW8Num267z0"/>
    <w:uiPriority w:val="99"/>
    <w:rPr>
      <w:rFonts w:ascii="Wingdings" w:hAnsi="Wingdings"/>
    </w:rPr>
  </w:style>
  <w:style w:type="character" w:customStyle="1" w:styleId="WW8Num272z0">
    <w:name w:val="WW8Num272z0"/>
    <w:uiPriority w:val="99"/>
    <w:rPr>
      <w:rFonts w:ascii="Symbol" w:hAnsi="Symbol"/>
      <w:color w:val="auto"/>
    </w:rPr>
  </w:style>
  <w:style w:type="character" w:customStyle="1" w:styleId="WW-Absatz-Standardschriftart1">
    <w:name w:val="WW-Absatz-Standardschriftart1"/>
    <w:uiPriority w:val="99"/>
  </w:style>
  <w:style w:type="character" w:customStyle="1" w:styleId="WW8Num7z1">
    <w:name w:val="WW8Num7z1"/>
    <w:uiPriority w:val="99"/>
    <w:rPr>
      <w:rFonts w:ascii="Courier New" w:hAnsi="Courier New"/>
    </w:rPr>
  </w:style>
  <w:style w:type="character" w:customStyle="1" w:styleId="WW8Num7z2">
    <w:name w:val="WW8Num7z2"/>
    <w:uiPriority w:val="99"/>
    <w:rPr>
      <w:rFonts w:ascii="Wingdings" w:hAnsi="Wingdings"/>
    </w:rPr>
  </w:style>
  <w:style w:type="character" w:customStyle="1" w:styleId="WW8Num8z1">
    <w:name w:val="WW8Num8z1"/>
    <w:uiPriority w:val="99"/>
    <w:rPr>
      <w:rFonts w:ascii="Courier New" w:hAnsi="Courier New"/>
    </w:rPr>
  </w:style>
  <w:style w:type="character" w:customStyle="1" w:styleId="WW8Num8z3">
    <w:name w:val="WW8Num8z3"/>
    <w:uiPriority w:val="99"/>
    <w:rPr>
      <w:rFonts w:ascii="Symbol" w:hAnsi="Symbol"/>
    </w:rPr>
  </w:style>
  <w:style w:type="character" w:customStyle="1" w:styleId="WW8Num10z1">
    <w:name w:val="WW8Num10z1"/>
    <w:uiPriority w:val="99"/>
    <w:rPr>
      <w:rFonts w:ascii="Courier New" w:hAnsi="Courier New"/>
    </w:rPr>
  </w:style>
  <w:style w:type="character" w:customStyle="1" w:styleId="WW8Num10z3">
    <w:name w:val="WW8Num10z3"/>
    <w:uiPriority w:val="99"/>
    <w:rPr>
      <w:rFonts w:ascii="Symbol" w:hAnsi="Symbol"/>
    </w:rPr>
  </w:style>
  <w:style w:type="character" w:customStyle="1" w:styleId="WW8Num11z1">
    <w:name w:val="WW8Num11z1"/>
    <w:uiPriority w:val="99"/>
    <w:rPr>
      <w:rFonts w:ascii="Courier New" w:hAnsi="Courier New"/>
    </w:rPr>
  </w:style>
  <w:style w:type="character" w:customStyle="1" w:styleId="WW8Num11z3">
    <w:name w:val="WW8Num11z3"/>
    <w:uiPriority w:val="99"/>
    <w:rPr>
      <w:rFonts w:ascii="Symbol" w:hAnsi="Symbol"/>
    </w:rPr>
  </w:style>
  <w:style w:type="character" w:customStyle="1" w:styleId="WW8Num12z1">
    <w:name w:val="WW8Num12z1"/>
    <w:uiPriority w:val="99"/>
    <w:rPr>
      <w:rFonts w:ascii="Courier New" w:hAnsi="Courier New"/>
    </w:rPr>
  </w:style>
  <w:style w:type="character" w:customStyle="1" w:styleId="WW8Num12z2">
    <w:name w:val="WW8Num12z2"/>
    <w:uiPriority w:val="99"/>
    <w:rPr>
      <w:rFonts w:ascii="Wingdings" w:hAnsi="Wingdings"/>
    </w:rPr>
  </w:style>
  <w:style w:type="character" w:customStyle="1" w:styleId="WW8Num14z1">
    <w:name w:val="WW8Num14z1"/>
    <w:uiPriority w:val="99"/>
    <w:rPr>
      <w:rFonts w:ascii="Courier New" w:hAnsi="Courier New"/>
    </w:rPr>
  </w:style>
  <w:style w:type="character" w:customStyle="1" w:styleId="WW8Num14z3">
    <w:name w:val="WW8Num14z3"/>
    <w:uiPriority w:val="99"/>
    <w:rPr>
      <w:rFonts w:ascii="Symbol" w:hAnsi="Symbol"/>
    </w:rPr>
  </w:style>
  <w:style w:type="character" w:customStyle="1" w:styleId="WW8Num15z1">
    <w:name w:val="WW8Num15z1"/>
    <w:uiPriority w:val="99"/>
    <w:rPr>
      <w:rFonts w:ascii="Courier New" w:hAnsi="Courier New"/>
    </w:rPr>
  </w:style>
  <w:style w:type="character" w:customStyle="1" w:styleId="WW8Num15z3">
    <w:name w:val="WW8Num15z3"/>
    <w:uiPriority w:val="99"/>
    <w:rPr>
      <w:rFonts w:ascii="Symbol" w:hAnsi="Symbol"/>
    </w:rPr>
  </w:style>
  <w:style w:type="character" w:customStyle="1" w:styleId="WW8Num16z1">
    <w:name w:val="WW8Num16z1"/>
    <w:uiPriority w:val="99"/>
    <w:rPr>
      <w:rFonts w:ascii="Courier New" w:hAnsi="Courier New"/>
    </w:rPr>
  </w:style>
  <w:style w:type="character" w:customStyle="1" w:styleId="WW8Num16z3">
    <w:name w:val="WW8Num16z3"/>
    <w:uiPriority w:val="99"/>
    <w:rPr>
      <w:rFonts w:ascii="Symbol" w:hAnsi="Symbol"/>
    </w:rPr>
  </w:style>
  <w:style w:type="character" w:customStyle="1" w:styleId="WW8Num17z1">
    <w:name w:val="WW8Num17z1"/>
    <w:uiPriority w:val="99"/>
    <w:rPr>
      <w:rFonts w:ascii="Courier New" w:hAnsi="Courier New"/>
    </w:rPr>
  </w:style>
  <w:style w:type="character" w:customStyle="1" w:styleId="WW8Num17z3">
    <w:name w:val="WW8Num17z3"/>
    <w:uiPriority w:val="99"/>
    <w:rPr>
      <w:rFonts w:ascii="Symbol" w:hAnsi="Symbol"/>
    </w:rPr>
  </w:style>
  <w:style w:type="character" w:customStyle="1" w:styleId="WW8Num18z1">
    <w:name w:val="WW8Num18z1"/>
    <w:uiPriority w:val="99"/>
    <w:rPr>
      <w:rFonts w:ascii="Courier New" w:hAnsi="Courier New"/>
    </w:rPr>
  </w:style>
  <w:style w:type="character" w:customStyle="1" w:styleId="WW8Num18z3">
    <w:name w:val="WW8Num18z3"/>
    <w:uiPriority w:val="99"/>
    <w:rPr>
      <w:rFonts w:ascii="Symbol" w:hAnsi="Symbol"/>
    </w:rPr>
  </w:style>
  <w:style w:type="character" w:customStyle="1" w:styleId="WW8Num20z1">
    <w:name w:val="WW8Num20z1"/>
    <w:uiPriority w:val="99"/>
    <w:rPr>
      <w:rFonts w:ascii="Wingdings" w:hAnsi="Wingdings"/>
    </w:rPr>
  </w:style>
  <w:style w:type="character" w:customStyle="1" w:styleId="WW8Num20z4">
    <w:name w:val="WW8Num20z4"/>
    <w:uiPriority w:val="99"/>
    <w:rPr>
      <w:rFonts w:ascii="Courier New" w:hAnsi="Courier New"/>
    </w:rPr>
  </w:style>
  <w:style w:type="character" w:customStyle="1" w:styleId="WW8Num21z2">
    <w:name w:val="WW8Num21z2"/>
    <w:uiPriority w:val="99"/>
    <w:rPr>
      <w:rFonts w:ascii="Arial" w:eastAsia="Times New Roman" w:hAnsi="Arial"/>
    </w:rPr>
  </w:style>
  <w:style w:type="character" w:customStyle="1" w:styleId="WW8Num23z1">
    <w:name w:val="WW8Num23z1"/>
    <w:uiPriority w:val="99"/>
    <w:rPr>
      <w:rFonts w:ascii="Courier New" w:hAnsi="Courier New"/>
    </w:rPr>
  </w:style>
  <w:style w:type="character" w:customStyle="1" w:styleId="WW8Num23z3">
    <w:name w:val="WW8Num23z3"/>
    <w:uiPriority w:val="99"/>
    <w:rPr>
      <w:rFonts w:ascii="Symbol" w:hAnsi="Symbol"/>
    </w:rPr>
  </w:style>
  <w:style w:type="character" w:customStyle="1" w:styleId="WW8Num24z1">
    <w:name w:val="WW8Num24z1"/>
    <w:uiPriority w:val="99"/>
    <w:rPr>
      <w:b/>
    </w:rPr>
  </w:style>
  <w:style w:type="character" w:customStyle="1" w:styleId="WW8Num24z4">
    <w:name w:val="WW8Num24z4"/>
    <w:uiPriority w:val="99"/>
    <w:rPr>
      <w:rFonts w:ascii="Courier New" w:hAnsi="Courier New"/>
    </w:rPr>
  </w:style>
  <w:style w:type="character" w:customStyle="1" w:styleId="WW8Num24z5">
    <w:name w:val="WW8Num24z5"/>
    <w:uiPriority w:val="99"/>
    <w:rPr>
      <w:rFonts w:ascii="Wingdings" w:hAnsi="Wingdings"/>
    </w:rPr>
  </w:style>
  <w:style w:type="character" w:customStyle="1" w:styleId="WW8Num25z1">
    <w:name w:val="WW8Num25z1"/>
    <w:uiPriority w:val="99"/>
    <w:rPr>
      <w:rFonts w:ascii="Courier New" w:hAnsi="Courier New"/>
    </w:rPr>
  </w:style>
  <w:style w:type="character" w:customStyle="1" w:styleId="WW8Num25z3">
    <w:name w:val="WW8Num25z3"/>
    <w:uiPriority w:val="99"/>
    <w:rPr>
      <w:rFonts w:ascii="Symbol" w:hAnsi="Symbol"/>
    </w:rPr>
  </w:style>
  <w:style w:type="character" w:customStyle="1" w:styleId="WW8Num26z1">
    <w:name w:val="WW8Num26z1"/>
    <w:uiPriority w:val="99"/>
    <w:rPr>
      <w:rFonts w:ascii="Courier New" w:hAnsi="Courier New"/>
    </w:rPr>
  </w:style>
  <w:style w:type="character" w:customStyle="1" w:styleId="WW8Num26z3">
    <w:name w:val="WW8Num26z3"/>
    <w:uiPriority w:val="99"/>
    <w:rPr>
      <w:rFonts w:ascii="Symbol" w:hAnsi="Symbol"/>
    </w:rPr>
  </w:style>
  <w:style w:type="character" w:customStyle="1" w:styleId="WW8Num29z1">
    <w:name w:val="WW8Num29z1"/>
    <w:uiPriority w:val="99"/>
    <w:rPr>
      <w:rFonts w:ascii="Courier New" w:hAnsi="Courier New"/>
    </w:rPr>
  </w:style>
  <w:style w:type="character" w:customStyle="1" w:styleId="WW8Num29z3">
    <w:name w:val="WW8Num29z3"/>
    <w:uiPriority w:val="99"/>
    <w:rPr>
      <w:rFonts w:ascii="Symbol" w:hAnsi="Symbol"/>
    </w:rPr>
  </w:style>
  <w:style w:type="character" w:customStyle="1" w:styleId="WW8Num32z1">
    <w:name w:val="WW8Num32z1"/>
    <w:uiPriority w:val="99"/>
    <w:rPr>
      <w:rFonts w:ascii="Courier New" w:hAnsi="Courier New"/>
    </w:rPr>
  </w:style>
  <w:style w:type="character" w:customStyle="1" w:styleId="WW8Num32z3">
    <w:name w:val="WW8Num32z3"/>
    <w:uiPriority w:val="99"/>
    <w:rPr>
      <w:rFonts w:ascii="Symbol" w:hAnsi="Symbol"/>
    </w:rPr>
  </w:style>
  <w:style w:type="character" w:customStyle="1" w:styleId="WW8Num34z1">
    <w:name w:val="WW8Num34z1"/>
    <w:uiPriority w:val="99"/>
    <w:rPr>
      <w:rFonts w:ascii="Courier New" w:hAnsi="Courier New"/>
    </w:rPr>
  </w:style>
  <w:style w:type="character" w:customStyle="1" w:styleId="WW8Num34z2">
    <w:name w:val="WW8Num34z2"/>
    <w:uiPriority w:val="99"/>
    <w:rPr>
      <w:rFonts w:ascii="Wingdings" w:hAnsi="Wingdings"/>
    </w:rPr>
  </w:style>
  <w:style w:type="character" w:customStyle="1" w:styleId="WW8Num35z1">
    <w:name w:val="WW8Num35z1"/>
    <w:uiPriority w:val="99"/>
    <w:rPr>
      <w:rFonts w:ascii="Courier New" w:hAnsi="Courier New"/>
    </w:rPr>
  </w:style>
  <w:style w:type="character" w:customStyle="1" w:styleId="WW8Num35z3">
    <w:name w:val="WW8Num35z3"/>
    <w:uiPriority w:val="99"/>
    <w:rPr>
      <w:rFonts w:ascii="Symbol" w:hAnsi="Symbol"/>
    </w:rPr>
  </w:style>
  <w:style w:type="character" w:customStyle="1" w:styleId="WW8Num36z1">
    <w:name w:val="WW8Num36z1"/>
    <w:uiPriority w:val="99"/>
    <w:rPr>
      <w:rFonts w:ascii="Courier New" w:hAnsi="Courier New"/>
    </w:rPr>
  </w:style>
  <w:style w:type="character" w:customStyle="1" w:styleId="WW8Num36z3">
    <w:name w:val="WW8Num36z3"/>
    <w:uiPriority w:val="99"/>
    <w:rPr>
      <w:rFonts w:ascii="Symbol" w:hAnsi="Symbol"/>
    </w:rPr>
  </w:style>
  <w:style w:type="character" w:customStyle="1" w:styleId="WW8Num37z1">
    <w:name w:val="WW8Num37z1"/>
    <w:uiPriority w:val="99"/>
    <w:rPr>
      <w:rFonts w:ascii="Arial" w:hAnsi="Arial"/>
    </w:rPr>
  </w:style>
  <w:style w:type="character" w:customStyle="1" w:styleId="WW8Num37z3">
    <w:name w:val="WW8Num37z3"/>
    <w:uiPriority w:val="99"/>
    <w:rPr>
      <w:rFonts w:ascii="Symbol" w:hAnsi="Symbol"/>
    </w:rPr>
  </w:style>
  <w:style w:type="character" w:customStyle="1" w:styleId="WW8Num37z4">
    <w:name w:val="WW8Num37z4"/>
    <w:uiPriority w:val="99"/>
    <w:rPr>
      <w:rFonts w:ascii="Courier New" w:hAnsi="Courier New"/>
    </w:rPr>
  </w:style>
  <w:style w:type="character" w:customStyle="1" w:styleId="WW8Num38z1">
    <w:name w:val="WW8Num38z1"/>
    <w:uiPriority w:val="99"/>
    <w:rPr>
      <w:rFonts w:ascii="Courier New" w:hAnsi="Courier New"/>
    </w:rPr>
  </w:style>
  <w:style w:type="character" w:customStyle="1" w:styleId="WW8Num38z3">
    <w:name w:val="WW8Num38z3"/>
    <w:uiPriority w:val="99"/>
    <w:rPr>
      <w:rFonts w:ascii="Symbol" w:hAnsi="Symbol"/>
    </w:rPr>
  </w:style>
  <w:style w:type="character" w:customStyle="1" w:styleId="WW8Num39z1">
    <w:name w:val="WW8Num39z1"/>
    <w:uiPriority w:val="99"/>
    <w:rPr>
      <w:position w:val="0"/>
      <w:sz w:val="24"/>
      <w:vertAlign w:val="baseline"/>
    </w:rPr>
  </w:style>
  <w:style w:type="character" w:customStyle="1" w:styleId="WW8Num39z2">
    <w:name w:val="WW8Num39z2"/>
    <w:uiPriority w:val="99"/>
    <w:rPr>
      <w:rFonts w:ascii="Wingdings" w:hAnsi="Wingdings"/>
    </w:rPr>
  </w:style>
  <w:style w:type="character" w:customStyle="1" w:styleId="WW8Num39z3">
    <w:name w:val="WW8Num39z3"/>
    <w:uiPriority w:val="99"/>
    <w:rPr>
      <w:rFonts w:ascii="Symbol" w:hAnsi="Symbol"/>
    </w:rPr>
  </w:style>
  <w:style w:type="character" w:customStyle="1" w:styleId="WW8Num39z4">
    <w:name w:val="WW8Num39z4"/>
    <w:uiPriority w:val="99"/>
    <w:rPr>
      <w:rFonts w:ascii="Courier New" w:hAnsi="Courier New"/>
    </w:rPr>
  </w:style>
  <w:style w:type="character" w:customStyle="1" w:styleId="WW8Num41z1">
    <w:name w:val="WW8Num41z1"/>
    <w:uiPriority w:val="99"/>
    <w:rPr>
      <w:rFonts w:ascii="Courier New" w:hAnsi="Courier New"/>
    </w:rPr>
  </w:style>
  <w:style w:type="character" w:customStyle="1" w:styleId="WW8Num41z2">
    <w:name w:val="WW8Num41z2"/>
    <w:uiPriority w:val="99"/>
    <w:rPr>
      <w:rFonts w:ascii="Wingdings" w:hAnsi="Wingdings"/>
    </w:rPr>
  </w:style>
  <w:style w:type="character" w:customStyle="1" w:styleId="WW8Num41z3">
    <w:name w:val="WW8Num41z3"/>
    <w:uiPriority w:val="99"/>
    <w:rPr>
      <w:rFonts w:ascii="Symbol" w:hAnsi="Symbol"/>
    </w:rPr>
  </w:style>
  <w:style w:type="character" w:customStyle="1" w:styleId="WW8Num42z1">
    <w:name w:val="WW8Num42z1"/>
    <w:uiPriority w:val="99"/>
    <w:rPr>
      <w:rFonts w:ascii="Symbol" w:hAnsi="Symbol"/>
    </w:rPr>
  </w:style>
  <w:style w:type="character" w:customStyle="1" w:styleId="WW8Num42z4">
    <w:name w:val="WW8Num42z4"/>
    <w:uiPriority w:val="99"/>
    <w:rPr>
      <w:rFonts w:ascii="Courier New" w:hAnsi="Courier New"/>
    </w:rPr>
  </w:style>
  <w:style w:type="character" w:customStyle="1" w:styleId="WW8Num43z1">
    <w:name w:val="WW8Num43z1"/>
    <w:uiPriority w:val="99"/>
    <w:rPr>
      <w:rFonts w:ascii="Courier New" w:hAnsi="Courier New"/>
    </w:rPr>
  </w:style>
  <w:style w:type="character" w:customStyle="1" w:styleId="WW8Num43z2">
    <w:name w:val="WW8Num43z2"/>
    <w:uiPriority w:val="99"/>
    <w:rPr>
      <w:rFonts w:ascii="Wingdings" w:hAnsi="Wingdings"/>
    </w:rPr>
  </w:style>
  <w:style w:type="character" w:customStyle="1" w:styleId="WW8Num43z3">
    <w:name w:val="WW8Num43z3"/>
    <w:uiPriority w:val="99"/>
    <w:rPr>
      <w:rFonts w:ascii="Symbol" w:hAnsi="Symbol"/>
    </w:rPr>
  </w:style>
  <w:style w:type="character" w:customStyle="1" w:styleId="WW8Num44z1">
    <w:name w:val="WW8Num44z1"/>
    <w:uiPriority w:val="99"/>
    <w:rPr>
      <w:rFonts w:ascii="Courier New" w:hAnsi="Courier New"/>
    </w:rPr>
  </w:style>
  <w:style w:type="character" w:customStyle="1" w:styleId="WW8Num44z3">
    <w:name w:val="WW8Num44z3"/>
    <w:uiPriority w:val="99"/>
    <w:rPr>
      <w:rFonts w:ascii="Symbol" w:hAnsi="Symbol"/>
    </w:rPr>
  </w:style>
  <w:style w:type="character" w:customStyle="1" w:styleId="WW8Num45z1">
    <w:name w:val="WW8Num45z1"/>
    <w:uiPriority w:val="99"/>
    <w:rPr>
      <w:rFonts w:ascii="Courier New" w:hAnsi="Courier New"/>
    </w:rPr>
  </w:style>
  <w:style w:type="character" w:customStyle="1" w:styleId="WW8Num45z2">
    <w:name w:val="WW8Num45z2"/>
    <w:uiPriority w:val="99"/>
    <w:rPr>
      <w:rFonts w:ascii="Wingdings" w:hAnsi="Wingdings"/>
    </w:rPr>
  </w:style>
  <w:style w:type="character" w:customStyle="1" w:styleId="WW8Num45z3">
    <w:name w:val="WW8Num45z3"/>
    <w:uiPriority w:val="99"/>
    <w:rPr>
      <w:rFonts w:ascii="Symbol" w:hAnsi="Symbol"/>
    </w:rPr>
  </w:style>
  <w:style w:type="character" w:customStyle="1" w:styleId="WW8Num49z1">
    <w:name w:val="WW8Num49z1"/>
    <w:uiPriority w:val="99"/>
    <w:rPr>
      <w:rFonts w:ascii="Courier New" w:hAnsi="Courier New"/>
    </w:rPr>
  </w:style>
  <w:style w:type="character" w:customStyle="1" w:styleId="WW8Num49z3">
    <w:name w:val="WW8Num49z3"/>
    <w:uiPriority w:val="99"/>
    <w:rPr>
      <w:rFonts w:ascii="Symbol" w:hAnsi="Symbol"/>
    </w:rPr>
  </w:style>
  <w:style w:type="character" w:customStyle="1" w:styleId="WW8Num51z1">
    <w:name w:val="WW8Num51z1"/>
    <w:uiPriority w:val="99"/>
    <w:rPr>
      <w:rFonts w:ascii="Courier New" w:hAnsi="Courier New"/>
    </w:rPr>
  </w:style>
  <w:style w:type="character" w:customStyle="1" w:styleId="WW8Num51z3">
    <w:name w:val="WW8Num51z3"/>
    <w:uiPriority w:val="99"/>
    <w:rPr>
      <w:rFonts w:ascii="Symbol" w:hAnsi="Symbol"/>
    </w:rPr>
  </w:style>
  <w:style w:type="character" w:customStyle="1" w:styleId="WW8Num52z1">
    <w:name w:val="WW8Num52z1"/>
    <w:uiPriority w:val="99"/>
    <w:rPr>
      <w:rFonts w:ascii="Courier New" w:hAnsi="Courier New"/>
    </w:rPr>
  </w:style>
  <w:style w:type="character" w:customStyle="1" w:styleId="WW8Num52z3">
    <w:name w:val="WW8Num52z3"/>
    <w:uiPriority w:val="99"/>
    <w:rPr>
      <w:rFonts w:ascii="Symbol" w:hAnsi="Symbol"/>
    </w:rPr>
  </w:style>
  <w:style w:type="character" w:customStyle="1" w:styleId="WW8Num56z1">
    <w:name w:val="WW8Num56z1"/>
    <w:uiPriority w:val="99"/>
    <w:rPr>
      <w:rFonts w:ascii="Courier New" w:hAnsi="Courier New"/>
    </w:rPr>
  </w:style>
  <w:style w:type="character" w:customStyle="1" w:styleId="WW8Num56z3">
    <w:name w:val="WW8Num56z3"/>
    <w:uiPriority w:val="99"/>
    <w:rPr>
      <w:rFonts w:ascii="Symbol" w:hAnsi="Symbol"/>
    </w:rPr>
  </w:style>
  <w:style w:type="character" w:customStyle="1" w:styleId="WW8Num57z1">
    <w:name w:val="WW8Num57z1"/>
    <w:uiPriority w:val="99"/>
    <w:rPr>
      <w:rFonts w:ascii="Courier New" w:hAnsi="Courier New"/>
    </w:rPr>
  </w:style>
  <w:style w:type="character" w:customStyle="1" w:styleId="WW8Num57z3">
    <w:name w:val="WW8Num57z3"/>
    <w:uiPriority w:val="99"/>
    <w:rPr>
      <w:rFonts w:ascii="Symbol" w:hAnsi="Symbol"/>
    </w:rPr>
  </w:style>
  <w:style w:type="character" w:customStyle="1" w:styleId="WW8Num59z1">
    <w:name w:val="WW8Num59z1"/>
    <w:uiPriority w:val="99"/>
    <w:rPr>
      <w:rFonts w:ascii="Courier New" w:hAnsi="Courier New"/>
    </w:rPr>
  </w:style>
  <w:style w:type="character" w:customStyle="1" w:styleId="WW8Num59z2">
    <w:name w:val="WW8Num59z2"/>
    <w:uiPriority w:val="99"/>
    <w:rPr>
      <w:rFonts w:ascii="Wingdings" w:hAnsi="Wingdings"/>
    </w:rPr>
  </w:style>
  <w:style w:type="character" w:customStyle="1" w:styleId="WW8Num59z3">
    <w:name w:val="WW8Num59z3"/>
    <w:uiPriority w:val="99"/>
    <w:rPr>
      <w:rFonts w:ascii="Symbol" w:hAnsi="Symbol"/>
    </w:rPr>
  </w:style>
  <w:style w:type="character" w:customStyle="1" w:styleId="WW8Num61z1">
    <w:name w:val="WW8Num61z1"/>
    <w:uiPriority w:val="99"/>
    <w:rPr>
      <w:rFonts w:ascii="Courier New" w:hAnsi="Courier New"/>
    </w:rPr>
  </w:style>
  <w:style w:type="character" w:customStyle="1" w:styleId="WW8Num61z2">
    <w:name w:val="WW8Num61z2"/>
    <w:uiPriority w:val="99"/>
    <w:rPr>
      <w:rFonts w:ascii="Wingdings" w:hAnsi="Wingdings"/>
    </w:rPr>
  </w:style>
  <w:style w:type="character" w:customStyle="1" w:styleId="WW8Num62z1">
    <w:name w:val="WW8Num62z1"/>
    <w:uiPriority w:val="99"/>
    <w:rPr>
      <w:rFonts w:ascii="Courier New" w:hAnsi="Courier New"/>
    </w:rPr>
  </w:style>
  <w:style w:type="character" w:customStyle="1" w:styleId="WW8Num62z3">
    <w:name w:val="WW8Num62z3"/>
    <w:uiPriority w:val="99"/>
    <w:rPr>
      <w:rFonts w:ascii="Symbol" w:hAnsi="Symbol"/>
    </w:rPr>
  </w:style>
  <w:style w:type="character" w:customStyle="1" w:styleId="WW8Num64z1">
    <w:name w:val="WW8Num64z1"/>
    <w:uiPriority w:val="99"/>
  </w:style>
  <w:style w:type="character" w:customStyle="1" w:styleId="WW8Num65z1">
    <w:name w:val="WW8Num65z1"/>
    <w:uiPriority w:val="99"/>
    <w:rPr>
      <w:rFonts w:ascii="Courier New" w:hAnsi="Courier New"/>
    </w:rPr>
  </w:style>
  <w:style w:type="character" w:customStyle="1" w:styleId="WW8Num65z2">
    <w:name w:val="WW8Num65z2"/>
    <w:uiPriority w:val="99"/>
    <w:rPr>
      <w:rFonts w:ascii="Wingdings" w:hAnsi="Wingdings"/>
    </w:rPr>
  </w:style>
  <w:style w:type="character" w:customStyle="1" w:styleId="WW8Num66z1">
    <w:name w:val="WW8Num66z1"/>
    <w:uiPriority w:val="99"/>
    <w:rPr>
      <w:rFonts w:ascii="Courier New" w:hAnsi="Courier New"/>
    </w:rPr>
  </w:style>
  <w:style w:type="character" w:customStyle="1" w:styleId="WW8Num66z3">
    <w:name w:val="WW8Num66z3"/>
    <w:uiPriority w:val="99"/>
    <w:rPr>
      <w:rFonts w:ascii="Symbol" w:hAnsi="Symbol"/>
    </w:rPr>
  </w:style>
  <w:style w:type="character" w:customStyle="1" w:styleId="WW8Num67z1">
    <w:name w:val="WW8Num67z1"/>
    <w:uiPriority w:val="99"/>
    <w:rPr>
      <w:rFonts w:ascii="Courier New" w:hAnsi="Courier New"/>
    </w:rPr>
  </w:style>
  <w:style w:type="character" w:customStyle="1" w:styleId="WW8Num67z3">
    <w:name w:val="WW8Num67z3"/>
    <w:uiPriority w:val="99"/>
    <w:rPr>
      <w:rFonts w:ascii="Symbol" w:hAnsi="Symbol"/>
    </w:rPr>
  </w:style>
  <w:style w:type="character" w:customStyle="1" w:styleId="WW8Num68z1">
    <w:name w:val="WW8Num68z1"/>
    <w:uiPriority w:val="99"/>
    <w:rPr>
      <w:rFonts w:ascii="Courier New" w:hAnsi="Courier New"/>
    </w:rPr>
  </w:style>
  <w:style w:type="character" w:customStyle="1" w:styleId="WW8Num68z2">
    <w:name w:val="WW8Num68z2"/>
    <w:uiPriority w:val="99"/>
    <w:rPr>
      <w:rFonts w:ascii="Wingdings" w:hAnsi="Wingdings"/>
    </w:rPr>
  </w:style>
  <w:style w:type="character" w:customStyle="1" w:styleId="WW8Num68z3">
    <w:name w:val="WW8Num68z3"/>
    <w:uiPriority w:val="99"/>
    <w:rPr>
      <w:rFonts w:ascii="Symbol" w:hAnsi="Symbol"/>
    </w:rPr>
  </w:style>
  <w:style w:type="character" w:customStyle="1" w:styleId="WW8Num69z1">
    <w:name w:val="WW8Num69z1"/>
    <w:uiPriority w:val="99"/>
    <w:rPr>
      <w:rFonts w:ascii="Courier New" w:hAnsi="Courier New"/>
    </w:rPr>
  </w:style>
  <w:style w:type="character" w:customStyle="1" w:styleId="WW8Num69z2">
    <w:name w:val="WW8Num69z2"/>
    <w:uiPriority w:val="99"/>
    <w:rPr>
      <w:rFonts w:ascii="Wingdings" w:hAnsi="Wingdings"/>
    </w:rPr>
  </w:style>
  <w:style w:type="character" w:customStyle="1" w:styleId="WW8Num70z1">
    <w:name w:val="WW8Num70z1"/>
    <w:uiPriority w:val="99"/>
    <w:rPr>
      <w:rFonts w:ascii="Courier New" w:hAnsi="Courier New"/>
    </w:rPr>
  </w:style>
  <w:style w:type="character" w:customStyle="1" w:styleId="WW8Num70z3">
    <w:name w:val="WW8Num70z3"/>
    <w:uiPriority w:val="99"/>
    <w:rPr>
      <w:rFonts w:ascii="Symbol" w:hAnsi="Symbol"/>
    </w:rPr>
  </w:style>
  <w:style w:type="character" w:customStyle="1" w:styleId="WW8Num73z1">
    <w:name w:val="WW8Num73z1"/>
    <w:uiPriority w:val="99"/>
    <w:rPr>
      <w:rFonts w:ascii="Courier New" w:hAnsi="Courier New"/>
    </w:rPr>
  </w:style>
  <w:style w:type="character" w:customStyle="1" w:styleId="WW8Num73z2">
    <w:name w:val="WW8Num73z2"/>
    <w:uiPriority w:val="99"/>
    <w:rPr>
      <w:rFonts w:ascii="Wingdings" w:hAnsi="Wingdings"/>
    </w:rPr>
  </w:style>
  <w:style w:type="character" w:customStyle="1" w:styleId="WW8Num74z1">
    <w:name w:val="WW8Num74z1"/>
    <w:uiPriority w:val="99"/>
    <w:rPr>
      <w:rFonts w:ascii="Courier New" w:hAnsi="Courier New"/>
    </w:rPr>
  </w:style>
  <w:style w:type="character" w:customStyle="1" w:styleId="WW8Num74z3">
    <w:name w:val="WW8Num74z3"/>
    <w:uiPriority w:val="99"/>
    <w:rPr>
      <w:rFonts w:ascii="Symbol" w:hAnsi="Symbol"/>
    </w:rPr>
  </w:style>
  <w:style w:type="character" w:customStyle="1" w:styleId="WW8Num76z1">
    <w:name w:val="WW8Num76z1"/>
    <w:uiPriority w:val="99"/>
    <w:rPr>
      <w:rFonts w:ascii="Courier New" w:hAnsi="Courier New"/>
    </w:rPr>
  </w:style>
  <w:style w:type="character" w:customStyle="1" w:styleId="WW8Num76z3">
    <w:name w:val="WW8Num76z3"/>
    <w:uiPriority w:val="99"/>
    <w:rPr>
      <w:rFonts w:ascii="Symbol" w:hAnsi="Symbol"/>
    </w:rPr>
  </w:style>
  <w:style w:type="character" w:customStyle="1" w:styleId="WW8Num77z1">
    <w:name w:val="WW8Num77z1"/>
    <w:uiPriority w:val="99"/>
    <w:rPr>
      <w:rFonts w:ascii="Courier New" w:hAnsi="Courier New"/>
    </w:rPr>
  </w:style>
  <w:style w:type="character" w:customStyle="1" w:styleId="WW8Num77z2">
    <w:name w:val="WW8Num77z2"/>
    <w:uiPriority w:val="99"/>
    <w:rPr>
      <w:rFonts w:ascii="Wingdings" w:hAnsi="Wingdings"/>
    </w:rPr>
  </w:style>
  <w:style w:type="character" w:customStyle="1" w:styleId="WW8Num77z3">
    <w:name w:val="WW8Num77z3"/>
    <w:uiPriority w:val="99"/>
    <w:rPr>
      <w:rFonts w:ascii="Symbol" w:hAnsi="Symbol"/>
    </w:rPr>
  </w:style>
  <w:style w:type="character" w:customStyle="1" w:styleId="WW8Num78z1">
    <w:name w:val="WW8Num78z1"/>
    <w:uiPriority w:val="99"/>
    <w:rPr>
      <w:rFonts w:ascii="Courier New" w:hAnsi="Courier New"/>
    </w:rPr>
  </w:style>
  <w:style w:type="character" w:customStyle="1" w:styleId="WW8Num78z2">
    <w:name w:val="WW8Num78z2"/>
    <w:uiPriority w:val="99"/>
    <w:rPr>
      <w:rFonts w:ascii="Wingdings" w:hAnsi="Wingdings"/>
    </w:rPr>
  </w:style>
  <w:style w:type="character" w:customStyle="1" w:styleId="WW8Num78z3">
    <w:name w:val="WW8Num78z3"/>
    <w:uiPriority w:val="99"/>
    <w:rPr>
      <w:rFonts w:ascii="Symbol" w:hAnsi="Symbol"/>
    </w:rPr>
  </w:style>
  <w:style w:type="character" w:customStyle="1" w:styleId="WW8Num80z1">
    <w:name w:val="WW8Num80z1"/>
    <w:uiPriority w:val="99"/>
    <w:rPr>
      <w:rFonts w:ascii="Symbol" w:hAnsi="Symbol"/>
      <w:color w:val="auto"/>
    </w:rPr>
  </w:style>
  <w:style w:type="character" w:customStyle="1" w:styleId="WW8Num80z3">
    <w:name w:val="WW8Num80z3"/>
    <w:uiPriority w:val="99"/>
    <w:rPr>
      <w:rFonts w:ascii="Symbol" w:hAnsi="Symbol"/>
    </w:rPr>
  </w:style>
  <w:style w:type="character" w:customStyle="1" w:styleId="WW8Num80z4">
    <w:name w:val="WW8Num80z4"/>
    <w:uiPriority w:val="99"/>
    <w:rPr>
      <w:rFonts w:ascii="Courier New" w:hAnsi="Courier New"/>
    </w:rPr>
  </w:style>
  <w:style w:type="character" w:customStyle="1" w:styleId="WW8Num82z1">
    <w:name w:val="WW8Num82z1"/>
    <w:uiPriority w:val="99"/>
    <w:rPr>
      <w:rFonts w:ascii="Symbol" w:hAnsi="Symbol"/>
      <w:color w:val="auto"/>
    </w:rPr>
  </w:style>
  <w:style w:type="character" w:customStyle="1" w:styleId="WW8Num82z3">
    <w:name w:val="WW8Num82z3"/>
    <w:uiPriority w:val="99"/>
    <w:rPr>
      <w:rFonts w:ascii="Symbol" w:hAnsi="Symbol"/>
    </w:rPr>
  </w:style>
  <w:style w:type="character" w:customStyle="1" w:styleId="WW8Num82z4">
    <w:name w:val="WW8Num82z4"/>
    <w:uiPriority w:val="99"/>
    <w:rPr>
      <w:rFonts w:ascii="Courier New" w:hAnsi="Courier New"/>
    </w:rPr>
  </w:style>
  <w:style w:type="character" w:customStyle="1" w:styleId="WW8Num83z1">
    <w:name w:val="WW8Num83z1"/>
    <w:uiPriority w:val="99"/>
    <w:rPr>
      <w:rFonts w:ascii="Courier New" w:hAnsi="Courier New"/>
    </w:rPr>
  </w:style>
  <w:style w:type="character" w:customStyle="1" w:styleId="WW8Num83z2">
    <w:name w:val="WW8Num83z2"/>
    <w:uiPriority w:val="99"/>
    <w:rPr>
      <w:rFonts w:ascii="Wingdings" w:hAnsi="Wingdings"/>
    </w:rPr>
  </w:style>
  <w:style w:type="character" w:customStyle="1" w:styleId="WW8Num84z1">
    <w:name w:val="WW8Num84z1"/>
    <w:uiPriority w:val="99"/>
    <w:rPr>
      <w:rFonts w:ascii="Symbol" w:hAnsi="Symbol"/>
    </w:rPr>
  </w:style>
  <w:style w:type="character" w:customStyle="1" w:styleId="WW8Num84z4">
    <w:name w:val="WW8Num84z4"/>
    <w:uiPriority w:val="99"/>
    <w:rPr>
      <w:rFonts w:ascii="Courier New" w:hAnsi="Courier New"/>
    </w:rPr>
  </w:style>
  <w:style w:type="character" w:customStyle="1" w:styleId="WW8Num85z1">
    <w:name w:val="WW8Num85z1"/>
    <w:uiPriority w:val="99"/>
    <w:rPr>
      <w:rFonts w:ascii="Courier New" w:hAnsi="Courier New"/>
    </w:rPr>
  </w:style>
  <w:style w:type="character" w:customStyle="1" w:styleId="WW8Num85z3">
    <w:name w:val="WW8Num85z3"/>
    <w:uiPriority w:val="99"/>
    <w:rPr>
      <w:rFonts w:ascii="Symbol" w:hAnsi="Symbol"/>
    </w:rPr>
  </w:style>
  <w:style w:type="character" w:customStyle="1" w:styleId="WW8Num86z1">
    <w:name w:val="WW8Num86z1"/>
    <w:uiPriority w:val="99"/>
    <w:rPr>
      <w:rFonts w:ascii="Courier New" w:hAnsi="Courier New"/>
    </w:rPr>
  </w:style>
  <w:style w:type="character" w:customStyle="1" w:styleId="WW8Num86z2">
    <w:name w:val="WW8Num86z2"/>
    <w:uiPriority w:val="99"/>
    <w:rPr>
      <w:rFonts w:ascii="Wingdings" w:hAnsi="Wingdings"/>
    </w:rPr>
  </w:style>
  <w:style w:type="character" w:customStyle="1" w:styleId="WW8Num87z0">
    <w:name w:val="WW8Num87z0"/>
    <w:uiPriority w:val="99"/>
    <w:rPr>
      <w:rFonts w:ascii="Wingdings" w:hAnsi="Wingdings"/>
    </w:rPr>
  </w:style>
  <w:style w:type="character" w:customStyle="1" w:styleId="WW8Num87z3">
    <w:name w:val="WW8Num87z3"/>
    <w:uiPriority w:val="99"/>
    <w:rPr>
      <w:rFonts w:ascii="Symbol" w:hAnsi="Symbol"/>
    </w:rPr>
  </w:style>
  <w:style w:type="character" w:customStyle="1" w:styleId="WW8Num88z1">
    <w:name w:val="WW8Num88z1"/>
    <w:uiPriority w:val="99"/>
    <w:rPr>
      <w:rFonts w:ascii="Symbol" w:hAnsi="Symbol"/>
    </w:rPr>
  </w:style>
  <w:style w:type="character" w:customStyle="1" w:styleId="WW8Num89z0">
    <w:name w:val="WW8Num89z0"/>
    <w:uiPriority w:val="99"/>
    <w:rPr>
      <w:rFonts w:ascii="Wingdings" w:hAnsi="Wingdings"/>
    </w:rPr>
  </w:style>
  <w:style w:type="character" w:customStyle="1" w:styleId="WW8Num89z1">
    <w:name w:val="WW8Num89z1"/>
    <w:uiPriority w:val="99"/>
    <w:rPr>
      <w:rFonts w:ascii="Courier New" w:hAnsi="Courier New"/>
    </w:rPr>
  </w:style>
  <w:style w:type="character" w:customStyle="1" w:styleId="WW8Num89z3">
    <w:name w:val="WW8Num89z3"/>
    <w:uiPriority w:val="99"/>
    <w:rPr>
      <w:rFonts w:ascii="Symbol" w:hAnsi="Symbol"/>
    </w:rPr>
  </w:style>
  <w:style w:type="character" w:customStyle="1" w:styleId="WW8Num90z1">
    <w:name w:val="WW8Num90z1"/>
    <w:uiPriority w:val="99"/>
    <w:rPr>
      <w:rFonts w:ascii="Wingdings" w:hAnsi="Wingdings"/>
    </w:rPr>
  </w:style>
  <w:style w:type="character" w:customStyle="1" w:styleId="WW8Num91z1">
    <w:name w:val="WW8Num91z1"/>
    <w:uiPriority w:val="99"/>
    <w:rPr>
      <w:rFonts w:ascii="Courier New" w:hAnsi="Courier New"/>
    </w:rPr>
  </w:style>
  <w:style w:type="character" w:customStyle="1" w:styleId="WW8Num91z3">
    <w:name w:val="WW8Num91z3"/>
    <w:uiPriority w:val="99"/>
    <w:rPr>
      <w:rFonts w:ascii="Symbol" w:hAnsi="Symbol"/>
    </w:rPr>
  </w:style>
  <w:style w:type="character" w:customStyle="1" w:styleId="WW8Num92z1">
    <w:name w:val="WW8Num92z1"/>
    <w:uiPriority w:val="99"/>
    <w:rPr>
      <w:rFonts w:ascii="Courier New" w:hAnsi="Courier New"/>
    </w:rPr>
  </w:style>
  <w:style w:type="character" w:customStyle="1" w:styleId="WW8Num92z3">
    <w:name w:val="WW8Num92z3"/>
    <w:uiPriority w:val="99"/>
    <w:rPr>
      <w:rFonts w:ascii="Symbol" w:hAnsi="Symbol"/>
    </w:rPr>
  </w:style>
  <w:style w:type="character" w:customStyle="1" w:styleId="WW8Num93z1">
    <w:name w:val="WW8Num93z1"/>
    <w:uiPriority w:val="99"/>
    <w:rPr>
      <w:rFonts w:ascii="Courier New" w:hAnsi="Courier New"/>
    </w:rPr>
  </w:style>
  <w:style w:type="character" w:customStyle="1" w:styleId="WW8Num93z3">
    <w:name w:val="WW8Num93z3"/>
    <w:uiPriority w:val="99"/>
    <w:rPr>
      <w:rFonts w:ascii="Symbol" w:hAnsi="Symbol"/>
    </w:rPr>
  </w:style>
  <w:style w:type="character" w:customStyle="1" w:styleId="WW8Num95z0">
    <w:name w:val="WW8Num95z0"/>
    <w:uiPriority w:val="99"/>
    <w:rPr>
      <w:rFonts w:ascii="Wingdings" w:hAnsi="Wingdings"/>
    </w:rPr>
  </w:style>
  <w:style w:type="character" w:customStyle="1" w:styleId="WW8Num95z1">
    <w:name w:val="WW8Num95z1"/>
    <w:uiPriority w:val="99"/>
    <w:rPr>
      <w:rFonts w:ascii="Courier New" w:hAnsi="Courier New"/>
    </w:rPr>
  </w:style>
  <w:style w:type="character" w:customStyle="1" w:styleId="WW8Num95z3">
    <w:name w:val="WW8Num95z3"/>
    <w:uiPriority w:val="99"/>
    <w:rPr>
      <w:rFonts w:ascii="Symbol" w:hAnsi="Symbol"/>
    </w:rPr>
  </w:style>
  <w:style w:type="character" w:customStyle="1" w:styleId="WW8Num97z1">
    <w:name w:val="WW8Num97z1"/>
    <w:uiPriority w:val="99"/>
    <w:rPr>
      <w:rFonts w:ascii="Courier New" w:hAnsi="Courier New"/>
    </w:rPr>
  </w:style>
  <w:style w:type="character" w:customStyle="1" w:styleId="WW8Num97z2">
    <w:name w:val="WW8Num97z2"/>
    <w:uiPriority w:val="99"/>
    <w:rPr>
      <w:rFonts w:ascii="Wingdings" w:hAnsi="Wingdings"/>
    </w:rPr>
  </w:style>
  <w:style w:type="character" w:customStyle="1" w:styleId="WW8Num97z3">
    <w:name w:val="WW8Num97z3"/>
    <w:uiPriority w:val="99"/>
    <w:rPr>
      <w:rFonts w:ascii="Symbol" w:hAnsi="Symbol"/>
    </w:rPr>
  </w:style>
  <w:style w:type="character" w:customStyle="1" w:styleId="WW8Num98z0">
    <w:name w:val="WW8Num98z0"/>
    <w:uiPriority w:val="99"/>
    <w:rPr>
      <w:rFonts w:ascii="Wingdings" w:hAnsi="Wingdings"/>
    </w:rPr>
  </w:style>
  <w:style w:type="character" w:customStyle="1" w:styleId="WW8Num98z1">
    <w:name w:val="WW8Num98z1"/>
    <w:uiPriority w:val="99"/>
    <w:rPr>
      <w:rFonts w:ascii="Symbol" w:hAnsi="Symbol"/>
    </w:rPr>
  </w:style>
  <w:style w:type="character" w:customStyle="1" w:styleId="WW8Num98z4">
    <w:name w:val="WW8Num98z4"/>
    <w:uiPriority w:val="99"/>
    <w:rPr>
      <w:rFonts w:ascii="Courier New" w:hAnsi="Courier New"/>
    </w:rPr>
  </w:style>
  <w:style w:type="character" w:customStyle="1" w:styleId="WW8Num100z1">
    <w:name w:val="WW8Num100z1"/>
    <w:uiPriority w:val="99"/>
    <w:rPr>
      <w:rFonts w:ascii="Courier New" w:hAnsi="Courier New"/>
    </w:rPr>
  </w:style>
  <w:style w:type="character" w:customStyle="1" w:styleId="WW8Num100z3">
    <w:name w:val="WW8Num100z3"/>
    <w:uiPriority w:val="99"/>
    <w:rPr>
      <w:rFonts w:ascii="Symbol" w:hAnsi="Symbol"/>
    </w:rPr>
  </w:style>
  <w:style w:type="character" w:customStyle="1" w:styleId="WW8Num101z1">
    <w:name w:val="WW8Num101z1"/>
    <w:uiPriority w:val="99"/>
    <w:rPr>
      <w:rFonts w:ascii="Wingdings" w:hAnsi="Wingdings"/>
    </w:rPr>
  </w:style>
  <w:style w:type="character" w:customStyle="1" w:styleId="WW8Num101z4">
    <w:name w:val="WW8Num101z4"/>
    <w:uiPriority w:val="99"/>
    <w:rPr>
      <w:rFonts w:ascii="Courier New" w:hAnsi="Courier New"/>
    </w:rPr>
  </w:style>
  <w:style w:type="character" w:customStyle="1" w:styleId="WW8Num102z1">
    <w:name w:val="WW8Num102z1"/>
    <w:uiPriority w:val="99"/>
    <w:rPr>
      <w:rFonts w:ascii="Courier New" w:hAnsi="Courier New"/>
    </w:rPr>
  </w:style>
  <w:style w:type="character" w:customStyle="1" w:styleId="WW8Num102z3">
    <w:name w:val="WW8Num102z3"/>
    <w:uiPriority w:val="99"/>
    <w:rPr>
      <w:rFonts w:ascii="Symbol" w:hAnsi="Symbol"/>
    </w:rPr>
  </w:style>
  <w:style w:type="character" w:customStyle="1" w:styleId="WW8Num103z1">
    <w:name w:val="WW8Num103z1"/>
    <w:uiPriority w:val="99"/>
    <w:rPr>
      <w:rFonts w:ascii="Courier New" w:hAnsi="Courier New"/>
    </w:rPr>
  </w:style>
  <w:style w:type="character" w:customStyle="1" w:styleId="WW8Num103z3">
    <w:name w:val="WW8Num103z3"/>
    <w:uiPriority w:val="99"/>
    <w:rPr>
      <w:rFonts w:ascii="Symbol" w:hAnsi="Symbol"/>
    </w:rPr>
  </w:style>
  <w:style w:type="character" w:customStyle="1" w:styleId="WW8Num104z1">
    <w:name w:val="WW8Num104z1"/>
    <w:uiPriority w:val="99"/>
    <w:rPr>
      <w:rFonts w:ascii="Courier New" w:hAnsi="Courier New"/>
    </w:rPr>
  </w:style>
  <w:style w:type="character" w:customStyle="1" w:styleId="WW8Num104z3">
    <w:name w:val="WW8Num104z3"/>
    <w:uiPriority w:val="99"/>
    <w:rPr>
      <w:rFonts w:ascii="Symbol" w:hAnsi="Symbol"/>
    </w:rPr>
  </w:style>
  <w:style w:type="character" w:customStyle="1" w:styleId="WW8Num105z1">
    <w:name w:val="WW8Num105z1"/>
    <w:uiPriority w:val="99"/>
    <w:rPr>
      <w:rFonts w:ascii="Courier New" w:hAnsi="Courier New"/>
    </w:rPr>
  </w:style>
  <w:style w:type="character" w:customStyle="1" w:styleId="WW8Num105z2">
    <w:name w:val="WW8Num105z2"/>
    <w:uiPriority w:val="99"/>
    <w:rPr>
      <w:rFonts w:ascii="Wingdings" w:hAnsi="Wingdings"/>
    </w:rPr>
  </w:style>
  <w:style w:type="character" w:customStyle="1" w:styleId="WW8Num106z1">
    <w:name w:val="WW8Num106z1"/>
    <w:uiPriority w:val="99"/>
    <w:rPr>
      <w:rFonts w:ascii="Symbol" w:hAnsi="Symbol"/>
      <w:color w:val="auto"/>
    </w:rPr>
  </w:style>
  <w:style w:type="character" w:customStyle="1" w:styleId="WW8Num106z3">
    <w:name w:val="WW8Num106z3"/>
    <w:uiPriority w:val="99"/>
    <w:rPr>
      <w:rFonts w:ascii="Symbol" w:hAnsi="Symbol"/>
    </w:rPr>
  </w:style>
  <w:style w:type="character" w:customStyle="1" w:styleId="WW8Num106z4">
    <w:name w:val="WW8Num106z4"/>
    <w:uiPriority w:val="99"/>
    <w:rPr>
      <w:rFonts w:ascii="Courier New" w:hAnsi="Courier New"/>
    </w:rPr>
  </w:style>
  <w:style w:type="character" w:customStyle="1" w:styleId="WW8Num107z1">
    <w:name w:val="WW8Num107z1"/>
    <w:uiPriority w:val="99"/>
    <w:rPr>
      <w:rFonts w:ascii="Courier New" w:hAnsi="Courier New"/>
    </w:rPr>
  </w:style>
  <w:style w:type="character" w:customStyle="1" w:styleId="WW8Num107z3">
    <w:name w:val="WW8Num107z3"/>
    <w:uiPriority w:val="99"/>
    <w:rPr>
      <w:rFonts w:ascii="Symbol" w:hAnsi="Symbol"/>
    </w:rPr>
  </w:style>
  <w:style w:type="character" w:customStyle="1" w:styleId="WW8Num108z4">
    <w:name w:val="WW8Num108z4"/>
    <w:uiPriority w:val="99"/>
    <w:rPr>
      <w:rFonts w:ascii="Wingdings 3" w:hAnsi="Wingdings 3"/>
    </w:rPr>
  </w:style>
  <w:style w:type="character" w:customStyle="1" w:styleId="WW8Num109z2">
    <w:name w:val="WW8Num109z2"/>
    <w:uiPriority w:val="99"/>
    <w:rPr>
      <w:rFonts w:ascii="Wingdings" w:hAnsi="Wingdings"/>
    </w:rPr>
  </w:style>
  <w:style w:type="character" w:customStyle="1" w:styleId="WW8Num109z4">
    <w:name w:val="WW8Num109z4"/>
    <w:uiPriority w:val="99"/>
    <w:rPr>
      <w:rFonts w:ascii="Courier New" w:hAnsi="Courier New"/>
    </w:rPr>
  </w:style>
  <w:style w:type="character" w:customStyle="1" w:styleId="WW8Num110z1">
    <w:name w:val="WW8Num110z1"/>
    <w:uiPriority w:val="99"/>
    <w:rPr>
      <w:rFonts w:ascii="Courier New" w:hAnsi="Courier New"/>
    </w:rPr>
  </w:style>
  <w:style w:type="character" w:customStyle="1" w:styleId="WW8Num110z3">
    <w:name w:val="WW8Num110z3"/>
    <w:uiPriority w:val="99"/>
    <w:rPr>
      <w:rFonts w:ascii="Symbol" w:hAnsi="Symbol"/>
    </w:rPr>
  </w:style>
  <w:style w:type="character" w:customStyle="1" w:styleId="WW8Num111z1">
    <w:name w:val="WW8Num111z1"/>
    <w:uiPriority w:val="99"/>
    <w:rPr>
      <w:rFonts w:ascii="Courier New" w:hAnsi="Courier New"/>
    </w:rPr>
  </w:style>
  <w:style w:type="character" w:customStyle="1" w:styleId="WW8Num111z3">
    <w:name w:val="WW8Num111z3"/>
    <w:uiPriority w:val="99"/>
    <w:rPr>
      <w:rFonts w:ascii="Symbol" w:hAnsi="Symbol"/>
    </w:rPr>
  </w:style>
  <w:style w:type="character" w:customStyle="1" w:styleId="WW8Num112z1">
    <w:name w:val="WW8Num112z1"/>
    <w:uiPriority w:val="99"/>
    <w:rPr>
      <w:rFonts w:ascii="Courier New" w:hAnsi="Courier New"/>
    </w:rPr>
  </w:style>
  <w:style w:type="character" w:customStyle="1" w:styleId="WW8Num112z3">
    <w:name w:val="WW8Num112z3"/>
    <w:uiPriority w:val="99"/>
    <w:rPr>
      <w:rFonts w:ascii="Symbol" w:hAnsi="Symbol"/>
    </w:rPr>
  </w:style>
  <w:style w:type="character" w:customStyle="1" w:styleId="WW8Num113z1">
    <w:name w:val="WW8Num113z1"/>
    <w:uiPriority w:val="99"/>
    <w:rPr>
      <w:rFonts w:ascii="Courier New" w:hAnsi="Courier New"/>
    </w:rPr>
  </w:style>
  <w:style w:type="character" w:customStyle="1" w:styleId="WW8Num113z3">
    <w:name w:val="WW8Num113z3"/>
    <w:uiPriority w:val="99"/>
    <w:rPr>
      <w:rFonts w:ascii="Symbol" w:hAnsi="Symbol"/>
    </w:rPr>
  </w:style>
  <w:style w:type="character" w:customStyle="1" w:styleId="WW8Num114z0">
    <w:name w:val="WW8Num114z0"/>
    <w:uiPriority w:val="99"/>
    <w:rPr>
      <w:rFonts w:ascii="Wingdings" w:hAnsi="Wingdings"/>
    </w:rPr>
  </w:style>
  <w:style w:type="character" w:customStyle="1" w:styleId="WW8Num114z1">
    <w:name w:val="WW8Num114z1"/>
    <w:uiPriority w:val="99"/>
    <w:rPr>
      <w:rFonts w:ascii="Courier New" w:hAnsi="Courier New"/>
    </w:rPr>
  </w:style>
  <w:style w:type="character" w:customStyle="1" w:styleId="WW8Num114z3">
    <w:name w:val="WW8Num114z3"/>
    <w:uiPriority w:val="99"/>
    <w:rPr>
      <w:rFonts w:ascii="Symbol" w:hAnsi="Symbol"/>
    </w:rPr>
  </w:style>
  <w:style w:type="character" w:customStyle="1" w:styleId="WW8Num117z1">
    <w:name w:val="WW8Num117z1"/>
    <w:uiPriority w:val="99"/>
    <w:rPr>
      <w:rFonts w:ascii="Courier New" w:hAnsi="Courier New"/>
    </w:rPr>
  </w:style>
  <w:style w:type="character" w:customStyle="1" w:styleId="WW8Num117z3">
    <w:name w:val="WW8Num117z3"/>
    <w:uiPriority w:val="99"/>
    <w:rPr>
      <w:rFonts w:ascii="Symbol" w:hAnsi="Symbol"/>
    </w:rPr>
  </w:style>
  <w:style w:type="character" w:customStyle="1" w:styleId="WW8Num118z1">
    <w:name w:val="WW8Num118z1"/>
    <w:uiPriority w:val="99"/>
    <w:rPr>
      <w:rFonts w:ascii="Wingdings" w:hAnsi="Wingdings"/>
    </w:rPr>
  </w:style>
  <w:style w:type="character" w:customStyle="1" w:styleId="WW8Num118z4">
    <w:name w:val="WW8Num118z4"/>
    <w:uiPriority w:val="99"/>
    <w:rPr>
      <w:rFonts w:ascii="Courier New" w:hAnsi="Courier New"/>
    </w:rPr>
  </w:style>
  <w:style w:type="character" w:customStyle="1" w:styleId="WW8Num119z0">
    <w:name w:val="WW8Num119z0"/>
    <w:uiPriority w:val="99"/>
    <w:rPr>
      <w:rFonts w:ascii="Wingdings" w:hAnsi="Wingdings"/>
    </w:rPr>
  </w:style>
  <w:style w:type="character" w:customStyle="1" w:styleId="WW8Num119z1">
    <w:name w:val="WW8Num119z1"/>
    <w:uiPriority w:val="99"/>
    <w:rPr>
      <w:rFonts w:ascii="Courier New" w:hAnsi="Courier New"/>
    </w:rPr>
  </w:style>
  <w:style w:type="character" w:customStyle="1" w:styleId="WW8Num119z3">
    <w:name w:val="WW8Num119z3"/>
    <w:uiPriority w:val="99"/>
    <w:rPr>
      <w:rFonts w:ascii="Symbol" w:hAnsi="Symbol"/>
    </w:rPr>
  </w:style>
  <w:style w:type="character" w:customStyle="1" w:styleId="WW8Num121z2">
    <w:name w:val="WW8Num121z2"/>
    <w:uiPriority w:val="99"/>
    <w:rPr>
      <w:rFonts w:ascii="Wingdings" w:hAnsi="Wingdings"/>
    </w:rPr>
  </w:style>
  <w:style w:type="character" w:customStyle="1" w:styleId="WW8Num121z4">
    <w:name w:val="WW8Num121z4"/>
    <w:uiPriority w:val="99"/>
    <w:rPr>
      <w:rFonts w:ascii="Courier New" w:hAnsi="Courier New"/>
    </w:rPr>
  </w:style>
  <w:style w:type="character" w:customStyle="1" w:styleId="WW8Num122z3">
    <w:name w:val="WW8Num122z3"/>
    <w:uiPriority w:val="99"/>
    <w:rPr>
      <w:rFonts w:ascii="Symbol" w:hAnsi="Symbol"/>
    </w:rPr>
  </w:style>
  <w:style w:type="character" w:customStyle="1" w:styleId="WW8Num122z4">
    <w:name w:val="WW8Num122z4"/>
    <w:uiPriority w:val="99"/>
    <w:rPr>
      <w:rFonts w:ascii="Courier New" w:hAnsi="Courier New"/>
    </w:rPr>
  </w:style>
  <w:style w:type="character" w:customStyle="1" w:styleId="WW8Num123z1">
    <w:name w:val="WW8Num123z1"/>
    <w:uiPriority w:val="99"/>
    <w:rPr>
      <w:rFonts w:ascii="Courier New" w:hAnsi="Courier New"/>
    </w:rPr>
  </w:style>
  <w:style w:type="character" w:customStyle="1" w:styleId="WW8Num123z3">
    <w:name w:val="WW8Num123z3"/>
    <w:uiPriority w:val="99"/>
    <w:rPr>
      <w:rFonts w:ascii="Symbol" w:hAnsi="Symbol"/>
    </w:rPr>
  </w:style>
  <w:style w:type="character" w:customStyle="1" w:styleId="WW8Num124z1">
    <w:name w:val="WW8Num124z1"/>
    <w:uiPriority w:val="99"/>
    <w:rPr>
      <w:rFonts w:ascii="Courier New" w:hAnsi="Courier New"/>
    </w:rPr>
  </w:style>
  <w:style w:type="character" w:customStyle="1" w:styleId="WW8Num124z3">
    <w:name w:val="WW8Num124z3"/>
    <w:uiPriority w:val="99"/>
    <w:rPr>
      <w:rFonts w:ascii="Symbol" w:hAnsi="Symbol"/>
    </w:rPr>
  </w:style>
  <w:style w:type="character" w:customStyle="1" w:styleId="WW8Num125z1">
    <w:name w:val="WW8Num125z1"/>
    <w:uiPriority w:val="99"/>
    <w:rPr>
      <w:rFonts w:ascii="Courier New" w:hAnsi="Courier New"/>
    </w:rPr>
  </w:style>
  <w:style w:type="character" w:customStyle="1" w:styleId="WW8Num125z3">
    <w:name w:val="WW8Num125z3"/>
    <w:uiPriority w:val="99"/>
    <w:rPr>
      <w:rFonts w:ascii="Symbol" w:hAnsi="Symbol"/>
    </w:rPr>
  </w:style>
  <w:style w:type="character" w:customStyle="1" w:styleId="WW8Num126z1">
    <w:name w:val="WW8Num126z1"/>
    <w:uiPriority w:val="99"/>
    <w:rPr>
      <w:rFonts w:ascii="Courier New" w:hAnsi="Courier New"/>
    </w:rPr>
  </w:style>
  <w:style w:type="character" w:customStyle="1" w:styleId="WW8Num126z2">
    <w:name w:val="WW8Num126z2"/>
    <w:uiPriority w:val="99"/>
    <w:rPr>
      <w:rFonts w:ascii="Wingdings" w:hAnsi="Wingdings"/>
    </w:rPr>
  </w:style>
  <w:style w:type="character" w:customStyle="1" w:styleId="WW8Num126z3">
    <w:name w:val="WW8Num126z3"/>
    <w:uiPriority w:val="99"/>
    <w:rPr>
      <w:rFonts w:ascii="Symbol" w:hAnsi="Symbol"/>
    </w:rPr>
  </w:style>
  <w:style w:type="character" w:customStyle="1" w:styleId="WW8Num127z1">
    <w:name w:val="WW8Num127z1"/>
    <w:uiPriority w:val="99"/>
    <w:rPr>
      <w:rFonts w:ascii="Courier New" w:hAnsi="Courier New"/>
    </w:rPr>
  </w:style>
  <w:style w:type="character" w:customStyle="1" w:styleId="WW8Num127z3">
    <w:name w:val="WW8Num127z3"/>
    <w:uiPriority w:val="99"/>
    <w:rPr>
      <w:rFonts w:ascii="Symbol" w:hAnsi="Symbol"/>
    </w:rPr>
  </w:style>
  <w:style w:type="character" w:customStyle="1" w:styleId="WW8Num128z0">
    <w:name w:val="WW8Num128z0"/>
    <w:uiPriority w:val="99"/>
    <w:rPr>
      <w:rFonts w:ascii="Symbol" w:hAnsi="Symbol"/>
    </w:rPr>
  </w:style>
  <w:style w:type="character" w:customStyle="1" w:styleId="WW8Num128z1">
    <w:name w:val="WW8Num128z1"/>
    <w:uiPriority w:val="99"/>
    <w:rPr>
      <w:rFonts w:ascii="Courier New" w:hAnsi="Courier New"/>
    </w:rPr>
  </w:style>
  <w:style w:type="character" w:customStyle="1" w:styleId="WW8Num128z2">
    <w:name w:val="WW8Num128z2"/>
    <w:uiPriority w:val="99"/>
    <w:rPr>
      <w:rFonts w:ascii="Wingdings" w:hAnsi="Wingdings"/>
    </w:rPr>
  </w:style>
  <w:style w:type="character" w:customStyle="1" w:styleId="WW8Num130z1">
    <w:name w:val="WW8Num130z1"/>
    <w:uiPriority w:val="99"/>
    <w:rPr>
      <w:rFonts w:ascii="Courier New" w:hAnsi="Courier New"/>
    </w:rPr>
  </w:style>
  <w:style w:type="character" w:customStyle="1" w:styleId="WW8Num130z3">
    <w:name w:val="WW8Num130z3"/>
    <w:uiPriority w:val="99"/>
    <w:rPr>
      <w:rFonts w:ascii="Symbol" w:hAnsi="Symbol"/>
    </w:rPr>
  </w:style>
  <w:style w:type="character" w:customStyle="1" w:styleId="WW8Num131z1">
    <w:name w:val="WW8Num131z1"/>
    <w:uiPriority w:val="99"/>
    <w:rPr>
      <w:rFonts w:ascii="Courier New" w:hAnsi="Courier New"/>
    </w:rPr>
  </w:style>
  <w:style w:type="character" w:customStyle="1" w:styleId="WW8Num131z3">
    <w:name w:val="WW8Num131z3"/>
    <w:uiPriority w:val="99"/>
    <w:rPr>
      <w:rFonts w:ascii="Symbol" w:hAnsi="Symbol"/>
    </w:rPr>
  </w:style>
  <w:style w:type="character" w:customStyle="1" w:styleId="WW8Num132z1">
    <w:name w:val="WW8Num132z1"/>
    <w:uiPriority w:val="99"/>
    <w:rPr>
      <w:rFonts w:ascii="Courier New" w:hAnsi="Courier New"/>
    </w:rPr>
  </w:style>
  <w:style w:type="character" w:customStyle="1" w:styleId="WW8Num132z3">
    <w:name w:val="WW8Num132z3"/>
    <w:uiPriority w:val="99"/>
    <w:rPr>
      <w:rFonts w:ascii="Symbol" w:hAnsi="Symbol"/>
    </w:rPr>
  </w:style>
  <w:style w:type="character" w:customStyle="1" w:styleId="WW8Num133z0">
    <w:name w:val="WW8Num133z0"/>
    <w:uiPriority w:val="99"/>
    <w:rPr>
      <w:rFonts w:ascii="Symbol" w:hAnsi="Symbol"/>
    </w:rPr>
  </w:style>
  <w:style w:type="character" w:customStyle="1" w:styleId="WW8Num133z2">
    <w:name w:val="WW8Num133z2"/>
    <w:uiPriority w:val="99"/>
    <w:rPr>
      <w:rFonts w:ascii="Wingdings" w:hAnsi="Wingdings"/>
    </w:rPr>
  </w:style>
  <w:style w:type="character" w:customStyle="1" w:styleId="WW8Num134z1">
    <w:name w:val="WW8Num134z1"/>
    <w:uiPriority w:val="99"/>
    <w:rPr>
      <w:rFonts w:ascii="Symbol" w:hAnsi="Symbol"/>
    </w:rPr>
  </w:style>
  <w:style w:type="character" w:customStyle="1" w:styleId="WW8Num135z1">
    <w:name w:val="WW8Num135z1"/>
    <w:uiPriority w:val="99"/>
    <w:rPr>
      <w:rFonts w:ascii="Courier New" w:hAnsi="Courier New"/>
    </w:rPr>
  </w:style>
  <w:style w:type="character" w:customStyle="1" w:styleId="WW8Num135z3">
    <w:name w:val="WW8Num135z3"/>
    <w:uiPriority w:val="99"/>
    <w:rPr>
      <w:rFonts w:ascii="Symbol" w:hAnsi="Symbol"/>
    </w:rPr>
  </w:style>
  <w:style w:type="character" w:customStyle="1" w:styleId="WW8Num136z1">
    <w:name w:val="WW8Num136z1"/>
    <w:uiPriority w:val="99"/>
    <w:rPr>
      <w:rFonts w:ascii="Courier New" w:hAnsi="Courier New"/>
    </w:rPr>
  </w:style>
  <w:style w:type="character" w:customStyle="1" w:styleId="WW8Num136z3">
    <w:name w:val="WW8Num136z3"/>
    <w:uiPriority w:val="99"/>
    <w:rPr>
      <w:rFonts w:ascii="Symbol" w:hAnsi="Symbol"/>
    </w:rPr>
  </w:style>
  <w:style w:type="character" w:customStyle="1" w:styleId="WW8Num137z1">
    <w:name w:val="WW8Num137z1"/>
    <w:uiPriority w:val="99"/>
    <w:rPr>
      <w:rFonts w:ascii="Courier New" w:hAnsi="Courier New"/>
    </w:rPr>
  </w:style>
  <w:style w:type="character" w:customStyle="1" w:styleId="WW8Num137z3">
    <w:name w:val="WW8Num137z3"/>
    <w:uiPriority w:val="99"/>
    <w:rPr>
      <w:rFonts w:ascii="Symbol" w:hAnsi="Symbol"/>
    </w:rPr>
  </w:style>
  <w:style w:type="character" w:customStyle="1" w:styleId="WW8Num138z1">
    <w:name w:val="WW8Num138z1"/>
    <w:uiPriority w:val="99"/>
    <w:rPr>
      <w:rFonts w:ascii="Courier New" w:hAnsi="Courier New"/>
    </w:rPr>
  </w:style>
  <w:style w:type="character" w:customStyle="1" w:styleId="WW8Num138z3">
    <w:name w:val="WW8Num138z3"/>
    <w:uiPriority w:val="99"/>
    <w:rPr>
      <w:rFonts w:ascii="Symbol" w:hAnsi="Symbol"/>
    </w:rPr>
  </w:style>
  <w:style w:type="character" w:customStyle="1" w:styleId="WW8Num139z1">
    <w:name w:val="WW8Num139z1"/>
    <w:uiPriority w:val="99"/>
    <w:rPr>
      <w:rFonts w:ascii="Courier New" w:hAnsi="Courier New"/>
    </w:rPr>
  </w:style>
  <w:style w:type="character" w:customStyle="1" w:styleId="WW8Num139z3">
    <w:name w:val="WW8Num139z3"/>
    <w:uiPriority w:val="99"/>
    <w:rPr>
      <w:rFonts w:ascii="Symbol" w:hAnsi="Symbol"/>
    </w:rPr>
  </w:style>
  <w:style w:type="character" w:customStyle="1" w:styleId="WW8Num140z0">
    <w:name w:val="WW8Num140z0"/>
    <w:uiPriority w:val="99"/>
    <w:rPr>
      <w:rFonts w:ascii="Wingdings" w:hAnsi="Wingdings"/>
    </w:rPr>
  </w:style>
  <w:style w:type="character" w:customStyle="1" w:styleId="WW8Num140z1">
    <w:name w:val="WW8Num140z1"/>
    <w:uiPriority w:val="99"/>
    <w:rPr>
      <w:rFonts w:ascii="Courier New" w:hAnsi="Courier New"/>
    </w:rPr>
  </w:style>
  <w:style w:type="character" w:customStyle="1" w:styleId="WW8Num140z3">
    <w:name w:val="WW8Num140z3"/>
    <w:uiPriority w:val="99"/>
    <w:rPr>
      <w:rFonts w:ascii="Symbol" w:hAnsi="Symbol"/>
    </w:rPr>
  </w:style>
  <w:style w:type="character" w:customStyle="1" w:styleId="WW8Num143z0">
    <w:name w:val="WW8Num143z0"/>
    <w:uiPriority w:val="99"/>
    <w:rPr>
      <w:rFonts w:ascii="Symbol" w:hAnsi="Symbol"/>
      <w:color w:val="auto"/>
    </w:rPr>
  </w:style>
  <w:style w:type="character" w:customStyle="1" w:styleId="WW8Num143z1">
    <w:name w:val="WW8Num143z1"/>
    <w:uiPriority w:val="99"/>
    <w:rPr>
      <w:rFonts w:ascii="Courier New" w:hAnsi="Courier New"/>
    </w:rPr>
  </w:style>
  <w:style w:type="character" w:customStyle="1" w:styleId="WW8Num143z2">
    <w:name w:val="WW8Num143z2"/>
    <w:uiPriority w:val="99"/>
    <w:rPr>
      <w:rFonts w:ascii="Wingdings" w:hAnsi="Wingdings"/>
    </w:rPr>
  </w:style>
  <w:style w:type="character" w:customStyle="1" w:styleId="WW8Num143z3">
    <w:name w:val="WW8Num143z3"/>
    <w:uiPriority w:val="99"/>
    <w:rPr>
      <w:rFonts w:ascii="Symbol" w:hAnsi="Symbol"/>
    </w:rPr>
  </w:style>
  <w:style w:type="character" w:customStyle="1" w:styleId="WW8Num145z1">
    <w:name w:val="WW8Num145z1"/>
    <w:uiPriority w:val="99"/>
    <w:rPr>
      <w:rFonts w:ascii="Symbol" w:hAnsi="Symbol"/>
      <w:color w:val="auto"/>
    </w:rPr>
  </w:style>
  <w:style w:type="character" w:customStyle="1" w:styleId="WW8Num145z2">
    <w:name w:val="WW8Num145z2"/>
    <w:uiPriority w:val="99"/>
    <w:rPr>
      <w:rFonts w:ascii="Wingdings" w:hAnsi="Wingdings"/>
    </w:rPr>
  </w:style>
  <w:style w:type="character" w:customStyle="1" w:styleId="WW8Num145z3">
    <w:name w:val="WW8Num145z3"/>
    <w:uiPriority w:val="99"/>
    <w:rPr>
      <w:rFonts w:ascii="Symbol" w:hAnsi="Symbol"/>
    </w:rPr>
  </w:style>
  <w:style w:type="character" w:customStyle="1" w:styleId="WW8Num145z4">
    <w:name w:val="WW8Num145z4"/>
    <w:uiPriority w:val="99"/>
    <w:rPr>
      <w:rFonts w:ascii="Courier New" w:hAnsi="Courier New"/>
    </w:rPr>
  </w:style>
  <w:style w:type="character" w:customStyle="1" w:styleId="WW8Num146z1">
    <w:name w:val="WW8Num146z1"/>
    <w:uiPriority w:val="99"/>
    <w:rPr>
      <w:rFonts w:ascii="Courier New" w:hAnsi="Courier New"/>
    </w:rPr>
  </w:style>
  <w:style w:type="character" w:customStyle="1" w:styleId="WW8Num146z2">
    <w:name w:val="WW8Num146z2"/>
    <w:uiPriority w:val="99"/>
    <w:rPr>
      <w:rFonts w:ascii="Wingdings" w:hAnsi="Wingdings"/>
    </w:rPr>
  </w:style>
  <w:style w:type="character" w:customStyle="1" w:styleId="WW8Num146z3">
    <w:name w:val="WW8Num146z3"/>
    <w:uiPriority w:val="99"/>
    <w:rPr>
      <w:rFonts w:ascii="Symbol" w:hAnsi="Symbol"/>
    </w:rPr>
  </w:style>
  <w:style w:type="character" w:customStyle="1" w:styleId="WW8Num147z1">
    <w:name w:val="WW8Num147z1"/>
    <w:uiPriority w:val="99"/>
    <w:rPr>
      <w:rFonts w:ascii="Courier New" w:hAnsi="Courier New"/>
    </w:rPr>
  </w:style>
  <w:style w:type="character" w:customStyle="1" w:styleId="WW8Num147z3">
    <w:name w:val="WW8Num147z3"/>
    <w:uiPriority w:val="99"/>
    <w:rPr>
      <w:rFonts w:ascii="Symbol" w:hAnsi="Symbol"/>
    </w:rPr>
  </w:style>
  <w:style w:type="character" w:customStyle="1" w:styleId="WW8Num148z1">
    <w:name w:val="WW8Num148z1"/>
    <w:uiPriority w:val="99"/>
    <w:rPr>
      <w:rFonts w:ascii="Courier New" w:hAnsi="Courier New"/>
    </w:rPr>
  </w:style>
  <w:style w:type="character" w:customStyle="1" w:styleId="WW8Num148z3">
    <w:name w:val="WW8Num148z3"/>
    <w:uiPriority w:val="99"/>
    <w:rPr>
      <w:rFonts w:ascii="Symbol" w:hAnsi="Symbol"/>
    </w:rPr>
  </w:style>
  <w:style w:type="character" w:customStyle="1" w:styleId="WW8Num149z1">
    <w:name w:val="WW8Num149z1"/>
    <w:uiPriority w:val="99"/>
    <w:rPr>
      <w:rFonts w:ascii="Courier New" w:hAnsi="Courier New"/>
    </w:rPr>
  </w:style>
  <w:style w:type="character" w:customStyle="1" w:styleId="WW8Num149z3">
    <w:name w:val="WW8Num149z3"/>
    <w:uiPriority w:val="99"/>
    <w:rPr>
      <w:rFonts w:ascii="Symbol" w:hAnsi="Symbol"/>
    </w:rPr>
  </w:style>
  <w:style w:type="character" w:customStyle="1" w:styleId="WW8Num150z1">
    <w:name w:val="WW8Num150z1"/>
    <w:uiPriority w:val="99"/>
    <w:rPr>
      <w:rFonts w:ascii="Courier New" w:hAnsi="Courier New"/>
    </w:rPr>
  </w:style>
  <w:style w:type="character" w:customStyle="1" w:styleId="WW8Num150z2">
    <w:name w:val="WW8Num150z2"/>
    <w:uiPriority w:val="99"/>
    <w:rPr>
      <w:rFonts w:ascii="Wingdings" w:hAnsi="Wingdings"/>
    </w:rPr>
  </w:style>
  <w:style w:type="character" w:customStyle="1" w:styleId="WW8Num150z3">
    <w:name w:val="WW8Num150z3"/>
    <w:uiPriority w:val="99"/>
    <w:rPr>
      <w:rFonts w:ascii="Symbol" w:hAnsi="Symbol"/>
    </w:rPr>
  </w:style>
  <w:style w:type="character" w:customStyle="1" w:styleId="WW8Num151z3">
    <w:name w:val="WW8Num151z3"/>
    <w:uiPriority w:val="99"/>
    <w:rPr>
      <w:rFonts w:ascii="Symbol" w:hAnsi="Symbol"/>
    </w:rPr>
  </w:style>
  <w:style w:type="character" w:customStyle="1" w:styleId="WW8Num151z4">
    <w:name w:val="WW8Num151z4"/>
    <w:uiPriority w:val="99"/>
    <w:rPr>
      <w:rFonts w:ascii="Courier New" w:hAnsi="Courier New"/>
    </w:rPr>
  </w:style>
  <w:style w:type="character" w:customStyle="1" w:styleId="WW8Num152z1">
    <w:name w:val="WW8Num152z1"/>
    <w:uiPriority w:val="99"/>
    <w:rPr>
      <w:rFonts w:ascii="Courier New" w:hAnsi="Courier New"/>
    </w:rPr>
  </w:style>
  <w:style w:type="character" w:customStyle="1" w:styleId="WW8Num152z2">
    <w:name w:val="WW8Num152z2"/>
    <w:uiPriority w:val="99"/>
    <w:rPr>
      <w:rFonts w:ascii="Wingdings" w:hAnsi="Wingdings"/>
    </w:rPr>
  </w:style>
  <w:style w:type="character" w:customStyle="1" w:styleId="WW8Num153z1">
    <w:name w:val="WW8Num153z1"/>
    <w:uiPriority w:val="99"/>
    <w:rPr>
      <w:rFonts w:ascii="Courier New" w:hAnsi="Courier New"/>
    </w:rPr>
  </w:style>
  <w:style w:type="character" w:customStyle="1" w:styleId="WW8Num153z3">
    <w:name w:val="WW8Num153z3"/>
    <w:uiPriority w:val="99"/>
    <w:rPr>
      <w:rFonts w:ascii="Symbol" w:hAnsi="Symbol"/>
    </w:rPr>
  </w:style>
  <w:style w:type="character" w:customStyle="1" w:styleId="WW8Num154z1">
    <w:name w:val="WW8Num154z1"/>
    <w:uiPriority w:val="99"/>
    <w:rPr>
      <w:rFonts w:ascii="Courier New" w:hAnsi="Courier New"/>
    </w:rPr>
  </w:style>
  <w:style w:type="character" w:customStyle="1" w:styleId="WW8Num154z3">
    <w:name w:val="WW8Num154z3"/>
    <w:uiPriority w:val="99"/>
    <w:rPr>
      <w:rFonts w:ascii="Symbol" w:hAnsi="Symbol"/>
    </w:rPr>
  </w:style>
  <w:style w:type="character" w:customStyle="1" w:styleId="WW8Num155z1">
    <w:name w:val="WW8Num155z1"/>
    <w:uiPriority w:val="99"/>
    <w:rPr>
      <w:rFonts w:ascii="Courier New" w:hAnsi="Courier New"/>
    </w:rPr>
  </w:style>
  <w:style w:type="character" w:customStyle="1" w:styleId="WW8Num155z3">
    <w:name w:val="WW8Num155z3"/>
    <w:uiPriority w:val="99"/>
    <w:rPr>
      <w:rFonts w:ascii="Symbol" w:hAnsi="Symbol"/>
    </w:rPr>
  </w:style>
  <w:style w:type="character" w:customStyle="1" w:styleId="WW8Num156z1">
    <w:name w:val="WW8Num156z1"/>
    <w:uiPriority w:val="99"/>
    <w:rPr>
      <w:rFonts w:ascii="Courier New" w:hAnsi="Courier New"/>
    </w:rPr>
  </w:style>
  <w:style w:type="character" w:customStyle="1" w:styleId="WW8Num156z3">
    <w:name w:val="WW8Num156z3"/>
    <w:uiPriority w:val="99"/>
    <w:rPr>
      <w:rFonts w:ascii="Symbol" w:hAnsi="Symbol"/>
    </w:rPr>
  </w:style>
  <w:style w:type="character" w:customStyle="1" w:styleId="WW8Num157z1">
    <w:name w:val="WW8Num157z1"/>
    <w:uiPriority w:val="99"/>
    <w:rPr>
      <w:rFonts w:ascii="Courier New" w:hAnsi="Courier New"/>
    </w:rPr>
  </w:style>
  <w:style w:type="character" w:customStyle="1" w:styleId="WW8Num157z2">
    <w:name w:val="WW8Num157z2"/>
    <w:uiPriority w:val="99"/>
    <w:rPr>
      <w:rFonts w:ascii="Wingdings" w:hAnsi="Wingdings"/>
    </w:rPr>
  </w:style>
  <w:style w:type="character" w:customStyle="1" w:styleId="WW8Num157z3">
    <w:name w:val="WW8Num157z3"/>
    <w:uiPriority w:val="99"/>
    <w:rPr>
      <w:rFonts w:ascii="Symbol" w:hAnsi="Symbol"/>
    </w:rPr>
  </w:style>
  <w:style w:type="character" w:customStyle="1" w:styleId="WW8Num158z1">
    <w:name w:val="WW8Num158z1"/>
    <w:uiPriority w:val="99"/>
    <w:rPr>
      <w:rFonts w:ascii="Courier New" w:hAnsi="Courier New"/>
    </w:rPr>
  </w:style>
  <w:style w:type="character" w:customStyle="1" w:styleId="WW8Num158z2">
    <w:name w:val="WW8Num158z2"/>
    <w:uiPriority w:val="99"/>
    <w:rPr>
      <w:rFonts w:ascii="Wingdings" w:hAnsi="Wingdings"/>
    </w:rPr>
  </w:style>
  <w:style w:type="character" w:customStyle="1" w:styleId="WW8Num159z1">
    <w:name w:val="WW8Num159z1"/>
    <w:uiPriority w:val="99"/>
    <w:rPr>
      <w:rFonts w:ascii="Courier New" w:hAnsi="Courier New"/>
    </w:rPr>
  </w:style>
  <w:style w:type="character" w:customStyle="1" w:styleId="WW8Num159z2">
    <w:name w:val="WW8Num159z2"/>
    <w:uiPriority w:val="99"/>
    <w:rPr>
      <w:rFonts w:ascii="Wingdings" w:hAnsi="Wingdings"/>
    </w:rPr>
  </w:style>
  <w:style w:type="character" w:customStyle="1" w:styleId="WW8Num160z0">
    <w:name w:val="WW8Num160z0"/>
    <w:uiPriority w:val="99"/>
    <w:rPr>
      <w:rFonts w:ascii="Wingdings" w:hAnsi="Wingdings"/>
    </w:rPr>
  </w:style>
  <w:style w:type="character" w:customStyle="1" w:styleId="WW8Num160z1">
    <w:name w:val="WW8Num160z1"/>
    <w:uiPriority w:val="99"/>
    <w:rPr>
      <w:rFonts w:ascii="Courier New" w:hAnsi="Courier New"/>
    </w:rPr>
  </w:style>
  <w:style w:type="character" w:customStyle="1" w:styleId="WW8Num160z3">
    <w:name w:val="WW8Num160z3"/>
    <w:uiPriority w:val="99"/>
    <w:rPr>
      <w:rFonts w:ascii="Symbol" w:hAnsi="Symbol"/>
    </w:rPr>
  </w:style>
  <w:style w:type="character" w:customStyle="1" w:styleId="WW8Num162z1">
    <w:name w:val="WW8Num162z1"/>
    <w:uiPriority w:val="99"/>
    <w:rPr>
      <w:rFonts w:ascii="Courier New" w:hAnsi="Courier New"/>
    </w:rPr>
  </w:style>
  <w:style w:type="character" w:customStyle="1" w:styleId="WW8Num162z3">
    <w:name w:val="WW8Num162z3"/>
    <w:uiPriority w:val="99"/>
    <w:rPr>
      <w:rFonts w:ascii="Symbol" w:hAnsi="Symbol"/>
    </w:rPr>
  </w:style>
  <w:style w:type="character" w:customStyle="1" w:styleId="WW8Num163z1">
    <w:name w:val="WW8Num163z1"/>
    <w:uiPriority w:val="99"/>
    <w:rPr>
      <w:rFonts w:ascii="Courier New" w:hAnsi="Courier New"/>
    </w:rPr>
  </w:style>
  <w:style w:type="character" w:customStyle="1" w:styleId="WW8Num163z3">
    <w:name w:val="WW8Num163z3"/>
    <w:uiPriority w:val="99"/>
    <w:rPr>
      <w:rFonts w:ascii="Symbol" w:hAnsi="Symbol"/>
    </w:rPr>
  </w:style>
  <w:style w:type="character" w:customStyle="1" w:styleId="WW8Num164z1">
    <w:name w:val="WW8Num164z1"/>
    <w:uiPriority w:val="99"/>
    <w:rPr>
      <w:rFonts w:ascii="Courier New" w:hAnsi="Courier New"/>
    </w:rPr>
  </w:style>
  <w:style w:type="character" w:customStyle="1" w:styleId="WW8Num164z3">
    <w:name w:val="WW8Num164z3"/>
    <w:uiPriority w:val="99"/>
    <w:rPr>
      <w:rFonts w:ascii="Symbol" w:hAnsi="Symbol"/>
    </w:rPr>
  </w:style>
  <w:style w:type="character" w:customStyle="1" w:styleId="WW8Num165z1">
    <w:name w:val="WW8Num165z1"/>
    <w:uiPriority w:val="99"/>
    <w:rPr>
      <w:rFonts w:ascii="Courier New" w:hAnsi="Courier New"/>
    </w:rPr>
  </w:style>
  <w:style w:type="character" w:customStyle="1" w:styleId="WW8Num165z3">
    <w:name w:val="WW8Num165z3"/>
    <w:uiPriority w:val="99"/>
    <w:rPr>
      <w:rFonts w:ascii="Symbol" w:hAnsi="Symbol"/>
    </w:rPr>
  </w:style>
  <w:style w:type="character" w:customStyle="1" w:styleId="WW8Num166z1">
    <w:name w:val="WW8Num166z1"/>
    <w:uiPriority w:val="99"/>
    <w:rPr>
      <w:rFonts w:ascii="Courier New" w:hAnsi="Courier New"/>
    </w:rPr>
  </w:style>
  <w:style w:type="character" w:customStyle="1" w:styleId="WW8Num166z3">
    <w:name w:val="WW8Num166z3"/>
    <w:uiPriority w:val="99"/>
    <w:rPr>
      <w:rFonts w:ascii="Symbol" w:hAnsi="Symbol"/>
    </w:rPr>
  </w:style>
  <w:style w:type="character" w:customStyle="1" w:styleId="WW8Num167z1">
    <w:name w:val="WW8Num167z1"/>
    <w:uiPriority w:val="99"/>
    <w:rPr>
      <w:rFonts w:ascii="Courier New" w:hAnsi="Courier New"/>
    </w:rPr>
  </w:style>
  <w:style w:type="character" w:customStyle="1" w:styleId="WW8Num167z3">
    <w:name w:val="WW8Num167z3"/>
    <w:uiPriority w:val="99"/>
    <w:rPr>
      <w:rFonts w:ascii="Symbol" w:hAnsi="Symbol"/>
    </w:rPr>
  </w:style>
  <w:style w:type="character" w:customStyle="1" w:styleId="WW8Num168z1">
    <w:name w:val="WW8Num168z1"/>
    <w:uiPriority w:val="99"/>
    <w:rPr>
      <w:rFonts w:ascii="Courier New" w:hAnsi="Courier New"/>
    </w:rPr>
  </w:style>
  <w:style w:type="character" w:customStyle="1" w:styleId="WW8Num168z2">
    <w:name w:val="WW8Num168z2"/>
    <w:uiPriority w:val="99"/>
    <w:rPr>
      <w:rFonts w:ascii="Wingdings" w:hAnsi="Wingdings"/>
    </w:rPr>
  </w:style>
  <w:style w:type="character" w:customStyle="1" w:styleId="WW8Num168z3">
    <w:name w:val="WW8Num168z3"/>
    <w:uiPriority w:val="99"/>
    <w:rPr>
      <w:rFonts w:ascii="Symbol" w:hAnsi="Symbol"/>
    </w:rPr>
  </w:style>
  <w:style w:type="character" w:customStyle="1" w:styleId="WW8Num169z2">
    <w:name w:val="WW8Num169z2"/>
    <w:uiPriority w:val="99"/>
    <w:rPr>
      <w:rFonts w:ascii="Wingdings" w:hAnsi="Wingdings"/>
    </w:rPr>
  </w:style>
  <w:style w:type="character" w:customStyle="1" w:styleId="WW8Num169z4">
    <w:name w:val="WW8Num169z4"/>
    <w:uiPriority w:val="99"/>
    <w:rPr>
      <w:rFonts w:ascii="Courier New" w:hAnsi="Courier New"/>
    </w:rPr>
  </w:style>
  <w:style w:type="character" w:customStyle="1" w:styleId="WW8Num170z1">
    <w:name w:val="WW8Num170z1"/>
    <w:uiPriority w:val="99"/>
    <w:rPr>
      <w:rFonts w:ascii="Courier New" w:hAnsi="Courier New"/>
    </w:rPr>
  </w:style>
  <w:style w:type="character" w:customStyle="1" w:styleId="WW8Num170z2">
    <w:name w:val="WW8Num170z2"/>
    <w:uiPriority w:val="99"/>
    <w:rPr>
      <w:rFonts w:ascii="Wingdings" w:hAnsi="Wingdings"/>
    </w:rPr>
  </w:style>
  <w:style w:type="character" w:customStyle="1" w:styleId="WW8Num170z3">
    <w:name w:val="WW8Num170z3"/>
    <w:uiPriority w:val="99"/>
    <w:rPr>
      <w:rFonts w:ascii="Symbol" w:hAnsi="Symbol"/>
    </w:rPr>
  </w:style>
  <w:style w:type="character" w:customStyle="1" w:styleId="WW8Num171z1">
    <w:name w:val="WW8Num171z1"/>
    <w:uiPriority w:val="99"/>
    <w:rPr>
      <w:rFonts w:ascii="Courier New" w:hAnsi="Courier New"/>
    </w:rPr>
  </w:style>
  <w:style w:type="character" w:customStyle="1" w:styleId="WW8Num171z3">
    <w:name w:val="WW8Num171z3"/>
    <w:uiPriority w:val="99"/>
    <w:rPr>
      <w:rFonts w:ascii="Symbol" w:hAnsi="Symbol"/>
    </w:rPr>
  </w:style>
  <w:style w:type="character" w:customStyle="1" w:styleId="WW8Num172z1">
    <w:name w:val="WW8Num172z1"/>
    <w:uiPriority w:val="99"/>
    <w:rPr>
      <w:rFonts w:ascii="Courier New" w:hAnsi="Courier New"/>
    </w:rPr>
  </w:style>
  <w:style w:type="character" w:customStyle="1" w:styleId="WW8Num172z2">
    <w:name w:val="WW8Num172z2"/>
    <w:uiPriority w:val="99"/>
    <w:rPr>
      <w:rFonts w:ascii="Wingdings" w:hAnsi="Wingdings"/>
    </w:rPr>
  </w:style>
  <w:style w:type="character" w:customStyle="1" w:styleId="WW8Num173z0">
    <w:name w:val="WW8Num173z0"/>
    <w:uiPriority w:val="99"/>
    <w:rPr>
      <w:rFonts w:ascii="Wingdings" w:hAnsi="Wingdings"/>
    </w:rPr>
  </w:style>
  <w:style w:type="character" w:customStyle="1" w:styleId="WW8Num173z1">
    <w:name w:val="WW8Num173z1"/>
    <w:uiPriority w:val="99"/>
    <w:rPr>
      <w:rFonts w:ascii="Courier New" w:hAnsi="Courier New"/>
    </w:rPr>
  </w:style>
  <w:style w:type="character" w:customStyle="1" w:styleId="WW8Num173z3">
    <w:name w:val="WW8Num173z3"/>
    <w:uiPriority w:val="99"/>
    <w:rPr>
      <w:rFonts w:ascii="Symbol" w:hAnsi="Symbol"/>
    </w:rPr>
  </w:style>
  <w:style w:type="character" w:customStyle="1" w:styleId="WW8Num176z1">
    <w:name w:val="WW8Num176z1"/>
    <w:uiPriority w:val="99"/>
    <w:rPr>
      <w:rFonts w:ascii="Courier New" w:hAnsi="Courier New"/>
    </w:rPr>
  </w:style>
  <w:style w:type="character" w:customStyle="1" w:styleId="WW8Num176z2">
    <w:name w:val="WW8Num176z2"/>
    <w:uiPriority w:val="99"/>
    <w:rPr>
      <w:rFonts w:ascii="Wingdings" w:hAnsi="Wingdings"/>
    </w:rPr>
  </w:style>
  <w:style w:type="character" w:customStyle="1" w:styleId="WW8Num176z3">
    <w:name w:val="WW8Num176z3"/>
    <w:uiPriority w:val="99"/>
    <w:rPr>
      <w:rFonts w:ascii="Symbol" w:hAnsi="Symbol"/>
    </w:rPr>
  </w:style>
  <w:style w:type="character" w:customStyle="1" w:styleId="WW8Num177z2">
    <w:name w:val="WW8Num177z2"/>
    <w:uiPriority w:val="99"/>
    <w:rPr>
      <w:rFonts w:ascii="Wingdings" w:hAnsi="Wingdings"/>
    </w:rPr>
  </w:style>
  <w:style w:type="character" w:customStyle="1" w:styleId="WW8Num178z1">
    <w:name w:val="WW8Num178z1"/>
    <w:uiPriority w:val="99"/>
    <w:rPr>
      <w:rFonts w:ascii="Symbol" w:hAnsi="Symbol"/>
      <w:color w:val="auto"/>
    </w:rPr>
  </w:style>
  <w:style w:type="character" w:customStyle="1" w:styleId="WW8Num178z3">
    <w:name w:val="WW8Num178z3"/>
    <w:uiPriority w:val="99"/>
    <w:rPr>
      <w:rFonts w:ascii="Symbol" w:hAnsi="Symbol"/>
    </w:rPr>
  </w:style>
  <w:style w:type="character" w:customStyle="1" w:styleId="WW8Num178z4">
    <w:name w:val="WW8Num178z4"/>
    <w:uiPriority w:val="99"/>
    <w:rPr>
      <w:rFonts w:ascii="Courier New" w:hAnsi="Courier New"/>
    </w:rPr>
  </w:style>
  <w:style w:type="character" w:customStyle="1" w:styleId="WW8Num180z0">
    <w:name w:val="WW8Num180z0"/>
    <w:uiPriority w:val="99"/>
    <w:rPr>
      <w:rFonts w:ascii="Wingdings" w:hAnsi="Wingdings"/>
    </w:rPr>
  </w:style>
  <w:style w:type="character" w:customStyle="1" w:styleId="WW8Num180z1">
    <w:name w:val="WW8Num180z1"/>
    <w:uiPriority w:val="99"/>
    <w:rPr>
      <w:rFonts w:ascii="Courier New" w:hAnsi="Courier New"/>
    </w:rPr>
  </w:style>
  <w:style w:type="character" w:customStyle="1" w:styleId="WW8Num180z3">
    <w:name w:val="WW8Num180z3"/>
    <w:uiPriority w:val="99"/>
    <w:rPr>
      <w:rFonts w:ascii="Symbol" w:hAnsi="Symbol"/>
    </w:rPr>
  </w:style>
  <w:style w:type="character" w:customStyle="1" w:styleId="WW8Num182z0">
    <w:name w:val="WW8Num182z0"/>
    <w:uiPriority w:val="99"/>
    <w:rPr>
      <w:rFonts w:ascii="Wingdings" w:hAnsi="Wingdings"/>
    </w:rPr>
  </w:style>
  <w:style w:type="character" w:customStyle="1" w:styleId="WW8Num185z1">
    <w:name w:val="WW8Num185z1"/>
    <w:uiPriority w:val="99"/>
    <w:rPr>
      <w:rFonts w:ascii="Courier New" w:hAnsi="Courier New"/>
    </w:rPr>
  </w:style>
  <w:style w:type="character" w:customStyle="1" w:styleId="WW8Num185z3">
    <w:name w:val="WW8Num185z3"/>
    <w:uiPriority w:val="99"/>
    <w:rPr>
      <w:rFonts w:ascii="Symbol" w:hAnsi="Symbol"/>
    </w:rPr>
  </w:style>
  <w:style w:type="character" w:customStyle="1" w:styleId="WW8Num187z1">
    <w:name w:val="WW8Num187z1"/>
    <w:uiPriority w:val="99"/>
    <w:rPr>
      <w:rFonts w:ascii="Courier New" w:hAnsi="Courier New"/>
    </w:rPr>
  </w:style>
  <w:style w:type="character" w:customStyle="1" w:styleId="WW8Num187z3">
    <w:name w:val="WW8Num187z3"/>
    <w:uiPriority w:val="99"/>
    <w:rPr>
      <w:rFonts w:ascii="Symbol" w:hAnsi="Symbol"/>
    </w:rPr>
  </w:style>
  <w:style w:type="character" w:customStyle="1" w:styleId="WW8Num190z1">
    <w:name w:val="WW8Num190z1"/>
    <w:uiPriority w:val="99"/>
    <w:rPr>
      <w:rFonts w:ascii="Courier New" w:hAnsi="Courier New"/>
    </w:rPr>
  </w:style>
  <w:style w:type="character" w:customStyle="1" w:styleId="WW8Num190z3">
    <w:name w:val="WW8Num190z3"/>
    <w:uiPriority w:val="99"/>
    <w:rPr>
      <w:rFonts w:ascii="Symbol" w:hAnsi="Symbol"/>
    </w:rPr>
  </w:style>
  <w:style w:type="character" w:customStyle="1" w:styleId="WW8Num191z0">
    <w:name w:val="WW8Num191z0"/>
    <w:uiPriority w:val="99"/>
    <w:rPr>
      <w:rFonts w:ascii="Wingdings" w:hAnsi="Wingdings"/>
    </w:rPr>
  </w:style>
  <w:style w:type="character" w:customStyle="1" w:styleId="WW8Num191z1">
    <w:name w:val="WW8Num191z1"/>
    <w:uiPriority w:val="99"/>
    <w:rPr>
      <w:rFonts w:ascii="Courier New" w:hAnsi="Courier New"/>
    </w:rPr>
  </w:style>
  <w:style w:type="character" w:customStyle="1" w:styleId="WW8Num191z3">
    <w:name w:val="WW8Num191z3"/>
    <w:uiPriority w:val="99"/>
    <w:rPr>
      <w:rFonts w:ascii="Symbol" w:hAnsi="Symbol"/>
    </w:rPr>
  </w:style>
  <w:style w:type="character" w:customStyle="1" w:styleId="WW8Num193z1">
    <w:name w:val="WW8Num193z1"/>
    <w:uiPriority w:val="99"/>
    <w:rPr>
      <w:rFonts w:ascii="Courier New" w:hAnsi="Courier New"/>
    </w:rPr>
  </w:style>
  <w:style w:type="character" w:customStyle="1" w:styleId="WW8Num193z3">
    <w:name w:val="WW8Num193z3"/>
    <w:uiPriority w:val="99"/>
    <w:rPr>
      <w:rFonts w:ascii="Symbol" w:hAnsi="Symbol"/>
    </w:rPr>
  </w:style>
  <w:style w:type="character" w:customStyle="1" w:styleId="WW8Num195z2">
    <w:name w:val="WW8Num195z2"/>
    <w:uiPriority w:val="99"/>
    <w:rPr>
      <w:rFonts w:ascii="Wingdings" w:hAnsi="Wingdings"/>
    </w:rPr>
  </w:style>
  <w:style w:type="character" w:customStyle="1" w:styleId="WW8Num197z1">
    <w:name w:val="WW8Num197z1"/>
    <w:uiPriority w:val="99"/>
    <w:rPr>
      <w:rFonts w:ascii="Symbol" w:hAnsi="Symbol"/>
      <w:color w:val="auto"/>
    </w:rPr>
  </w:style>
  <w:style w:type="character" w:customStyle="1" w:styleId="WW8Num197z3">
    <w:name w:val="WW8Num197z3"/>
    <w:uiPriority w:val="99"/>
    <w:rPr>
      <w:rFonts w:ascii="Symbol" w:hAnsi="Symbol"/>
    </w:rPr>
  </w:style>
  <w:style w:type="character" w:customStyle="1" w:styleId="WW8Num197z4">
    <w:name w:val="WW8Num197z4"/>
    <w:uiPriority w:val="99"/>
    <w:rPr>
      <w:rFonts w:ascii="Courier New" w:hAnsi="Courier New"/>
    </w:rPr>
  </w:style>
  <w:style w:type="character" w:customStyle="1" w:styleId="WW8Num198z1">
    <w:name w:val="WW8Num198z1"/>
    <w:uiPriority w:val="99"/>
    <w:rPr>
      <w:rFonts w:ascii="Courier New" w:hAnsi="Courier New"/>
    </w:rPr>
  </w:style>
  <w:style w:type="character" w:customStyle="1" w:styleId="WW8Num198z2">
    <w:name w:val="WW8Num198z2"/>
    <w:uiPriority w:val="99"/>
    <w:rPr>
      <w:rFonts w:ascii="Wingdings" w:hAnsi="Wingdings"/>
    </w:rPr>
  </w:style>
  <w:style w:type="character" w:customStyle="1" w:styleId="WW8Num199z1">
    <w:name w:val="WW8Num199z1"/>
    <w:uiPriority w:val="99"/>
    <w:rPr>
      <w:rFonts w:ascii="Courier New" w:hAnsi="Courier New"/>
    </w:rPr>
  </w:style>
  <w:style w:type="character" w:customStyle="1" w:styleId="WW8Num199z3">
    <w:name w:val="WW8Num199z3"/>
    <w:uiPriority w:val="99"/>
    <w:rPr>
      <w:rFonts w:ascii="Symbol" w:hAnsi="Symbol"/>
    </w:rPr>
  </w:style>
  <w:style w:type="character" w:customStyle="1" w:styleId="WW8Num200z2">
    <w:name w:val="WW8Num200z2"/>
    <w:uiPriority w:val="99"/>
    <w:rPr>
      <w:rFonts w:ascii="Wingdings" w:hAnsi="Wingdings"/>
    </w:rPr>
  </w:style>
  <w:style w:type="character" w:customStyle="1" w:styleId="WW8Num200z4">
    <w:name w:val="WW8Num200z4"/>
    <w:uiPriority w:val="99"/>
    <w:rPr>
      <w:rFonts w:ascii="Courier New" w:hAnsi="Courier New"/>
    </w:rPr>
  </w:style>
  <w:style w:type="character" w:customStyle="1" w:styleId="WW8Num201z1">
    <w:name w:val="WW8Num201z1"/>
    <w:uiPriority w:val="99"/>
    <w:rPr>
      <w:rFonts w:ascii="Courier New" w:hAnsi="Courier New"/>
    </w:rPr>
  </w:style>
  <w:style w:type="character" w:customStyle="1" w:styleId="WW8Num201z3">
    <w:name w:val="WW8Num201z3"/>
    <w:uiPriority w:val="99"/>
    <w:rPr>
      <w:rFonts w:ascii="Symbol" w:hAnsi="Symbol"/>
    </w:rPr>
  </w:style>
  <w:style w:type="character" w:customStyle="1" w:styleId="WW8Num203z1">
    <w:name w:val="WW8Num203z1"/>
    <w:uiPriority w:val="99"/>
    <w:rPr>
      <w:rFonts w:ascii="Courier New" w:hAnsi="Courier New"/>
    </w:rPr>
  </w:style>
  <w:style w:type="character" w:customStyle="1" w:styleId="WW8Num203z3">
    <w:name w:val="WW8Num203z3"/>
    <w:uiPriority w:val="99"/>
    <w:rPr>
      <w:rFonts w:ascii="Symbol" w:hAnsi="Symbol"/>
    </w:rPr>
  </w:style>
  <w:style w:type="character" w:customStyle="1" w:styleId="WW8Num204z1">
    <w:name w:val="WW8Num204z1"/>
    <w:uiPriority w:val="99"/>
    <w:rPr>
      <w:rFonts w:ascii="Courier New" w:hAnsi="Courier New"/>
    </w:rPr>
  </w:style>
  <w:style w:type="character" w:customStyle="1" w:styleId="WW8Num204z3">
    <w:name w:val="WW8Num204z3"/>
    <w:uiPriority w:val="99"/>
    <w:rPr>
      <w:rFonts w:ascii="Symbol" w:hAnsi="Symbol"/>
    </w:rPr>
  </w:style>
  <w:style w:type="character" w:customStyle="1" w:styleId="WW8Num206z1">
    <w:name w:val="WW8Num206z1"/>
    <w:uiPriority w:val="99"/>
    <w:rPr>
      <w:rFonts w:ascii="Courier New" w:hAnsi="Courier New"/>
    </w:rPr>
  </w:style>
  <w:style w:type="character" w:customStyle="1" w:styleId="WW8Num206z3">
    <w:name w:val="WW8Num206z3"/>
    <w:uiPriority w:val="99"/>
    <w:rPr>
      <w:rFonts w:ascii="Symbol" w:hAnsi="Symbol"/>
    </w:rPr>
  </w:style>
  <w:style w:type="character" w:customStyle="1" w:styleId="WW8Num207z1">
    <w:name w:val="WW8Num207z1"/>
    <w:uiPriority w:val="99"/>
    <w:rPr>
      <w:rFonts w:ascii="Courier New" w:hAnsi="Courier New"/>
    </w:rPr>
  </w:style>
  <w:style w:type="character" w:customStyle="1" w:styleId="WW8Num207z3">
    <w:name w:val="WW8Num207z3"/>
    <w:uiPriority w:val="99"/>
    <w:rPr>
      <w:rFonts w:ascii="Symbol" w:hAnsi="Symbol"/>
    </w:rPr>
  </w:style>
  <w:style w:type="character" w:customStyle="1" w:styleId="WW8Num208z1">
    <w:name w:val="WW8Num208z1"/>
    <w:uiPriority w:val="99"/>
    <w:rPr>
      <w:rFonts w:ascii="Courier New" w:hAnsi="Courier New"/>
    </w:rPr>
  </w:style>
  <w:style w:type="character" w:customStyle="1" w:styleId="WW8Num208z3">
    <w:name w:val="WW8Num208z3"/>
    <w:uiPriority w:val="99"/>
    <w:rPr>
      <w:rFonts w:ascii="Symbol" w:hAnsi="Symbol"/>
    </w:rPr>
  </w:style>
  <w:style w:type="character" w:customStyle="1" w:styleId="WW8Num210z1">
    <w:name w:val="WW8Num210z1"/>
    <w:uiPriority w:val="99"/>
    <w:rPr>
      <w:rFonts w:ascii="Courier New" w:hAnsi="Courier New"/>
    </w:rPr>
  </w:style>
  <w:style w:type="character" w:customStyle="1" w:styleId="WW8Num210z2">
    <w:name w:val="WW8Num210z2"/>
    <w:uiPriority w:val="99"/>
    <w:rPr>
      <w:rFonts w:ascii="Wingdings" w:hAnsi="Wingdings"/>
    </w:rPr>
  </w:style>
  <w:style w:type="character" w:customStyle="1" w:styleId="WW8Num210z3">
    <w:name w:val="WW8Num210z3"/>
    <w:uiPriority w:val="99"/>
    <w:rPr>
      <w:rFonts w:ascii="Symbol" w:hAnsi="Symbol"/>
    </w:rPr>
  </w:style>
  <w:style w:type="character" w:customStyle="1" w:styleId="WW8Num211z1">
    <w:name w:val="WW8Num211z1"/>
    <w:uiPriority w:val="99"/>
    <w:rPr>
      <w:rFonts w:ascii="Courier New" w:hAnsi="Courier New"/>
    </w:rPr>
  </w:style>
  <w:style w:type="character" w:customStyle="1" w:styleId="WW8Num211z3">
    <w:name w:val="WW8Num211z3"/>
    <w:uiPriority w:val="99"/>
    <w:rPr>
      <w:rFonts w:ascii="Symbol" w:hAnsi="Symbol"/>
    </w:rPr>
  </w:style>
  <w:style w:type="character" w:customStyle="1" w:styleId="WW8Num212z1">
    <w:name w:val="WW8Num212z1"/>
    <w:uiPriority w:val="99"/>
    <w:rPr>
      <w:rFonts w:ascii="Courier New" w:hAnsi="Courier New"/>
    </w:rPr>
  </w:style>
  <w:style w:type="character" w:customStyle="1" w:styleId="WW8Num212z3">
    <w:name w:val="WW8Num212z3"/>
    <w:uiPriority w:val="99"/>
    <w:rPr>
      <w:rFonts w:ascii="Symbol" w:hAnsi="Symbol"/>
    </w:rPr>
  </w:style>
  <w:style w:type="character" w:customStyle="1" w:styleId="WW8Num213z1">
    <w:name w:val="WW8Num213z1"/>
    <w:uiPriority w:val="99"/>
    <w:rPr>
      <w:rFonts w:ascii="Courier New" w:hAnsi="Courier New"/>
    </w:rPr>
  </w:style>
  <w:style w:type="character" w:customStyle="1" w:styleId="WW8Num213z3">
    <w:name w:val="WW8Num213z3"/>
    <w:uiPriority w:val="99"/>
    <w:rPr>
      <w:rFonts w:ascii="Symbol" w:hAnsi="Symbol"/>
    </w:rPr>
  </w:style>
  <w:style w:type="character" w:customStyle="1" w:styleId="WW8Num214z1">
    <w:name w:val="WW8Num214z1"/>
    <w:uiPriority w:val="99"/>
    <w:rPr>
      <w:rFonts w:ascii="Courier New" w:hAnsi="Courier New"/>
    </w:rPr>
  </w:style>
  <w:style w:type="character" w:customStyle="1" w:styleId="WW8Num214z3">
    <w:name w:val="WW8Num214z3"/>
    <w:uiPriority w:val="99"/>
    <w:rPr>
      <w:rFonts w:ascii="Symbol" w:hAnsi="Symbol"/>
    </w:rPr>
  </w:style>
  <w:style w:type="character" w:customStyle="1" w:styleId="WW8Num215z1">
    <w:name w:val="WW8Num215z1"/>
    <w:uiPriority w:val="99"/>
    <w:rPr>
      <w:rFonts w:ascii="Courier New" w:hAnsi="Courier New"/>
    </w:rPr>
  </w:style>
  <w:style w:type="character" w:customStyle="1" w:styleId="WW8Num215z3">
    <w:name w:val="WW8Num215z3"/>
    <w:uiPriority w:val="99"/>
    <w:rPr>
      <w:rFonts w:ascii="Symbol" w:hAnsi="Symbol"/>
    </w:rPr>
  </w:style>
  <w:style w:type="character" w:customStyle="1" w:styleId="WW8Num216z1">
    <w:name w:val="WW8Num216z1"/>
    <w:uiPriority w:val="99"/>
    <w:rPr>
      <w:rFonts w:ascii="Courier New" w:hAnsi="Courier New"/>
    </w:rPr>
  </w:style>
  <w:style w:type="character" w:customStyle="1" w:styleId="WW8Num216z3">
    <w:name w:val="WW8Num216z3"/>
    <w:uiPriority w:val="99"/>
    <w:rPr>
      <w:rFonts w:ascii="Symbol" w:hAnsi="Symbol"/>
    </w:rPr>
  </w:style>
  <w:style w:type="character" w:customStyle="1" w:styleId="WW8Num217z1">
    <w:name w:val="WW8Num217z1"/>
    <w:uiPriority w:val="99"/>
    <w:rPr>
      <w:rFonts w:ascii="Courier New" w:hAnsi="Courier New"/>
    </w:rPr>
  </w:style>
  <w:style w:type="character" w:customStyle="1" w:styleId="WW8Num217z3">
    <w:name w:val="WW8Num217z3"/>
    <w:uiPriority w:val="99"/>
    <w:rPr>
      <w:rFonts w:ascii="Symbol" w:hAnsi="Symbol"/>
    </w:rPr>
  </w:style>
  <w:style w:type="character" w:customStyle="1" w:styleId="WW8Num218z1">
    <w:name w:val="WW8Num218z1"/>
    <w:uiPriority w:val="99"/>
    <w:rPr>
      <w:rFonts w:ascii="Courier New" w:hAnsi="Courier New"/>
    </w:rPr>
  </w:style>
  <w:style w:type="character" w:customStyle="1" w:styleId="WW8Num218z3">
    <w:name w:val="WW8Num218z3"/>
    <w:uiPriority w:val="99"/>
    <w:rPr>
      <w:rFonts w:ascii="Symbol" w:hAnsi="Symbol"/>
    </w:rPr>
  </w:style>
  <w:style w:type="character" w:customStyle="1" w:styleId="WW8Num220z1">
    <w:name w:val="WW8Num220z1"/>
    <w:uiPriority w:val="99"/>
    <w:rPr>
      <w:rFonts w:ascii="Courier New" w:hAnsi="Courier New"/>
    </w:rPr>
  </w:style>
  <w:style w:type="character" w:customStyle="1" w:styleId="WW8Num220z3">
    <w:name w:val="WW8Num220z3"/>
    <w:uiPriority w:val="99"/>
    <w:rPr>
      <w:rFonts w:ascii="Symbol" w:hAnsi="Symbol"/>
    </w:rPr>
  </w:style>
  <w:style w:type="character" w:customStyle="1" w:styleId="WW8Num221z1">
    <w:name w:val="WW8Num221z1"/>
    <w:uiPriority w:val="99"/>
    <w:rPr>
      <w:rFonts w:ascii="Courier New" w:hAnsi="Courier New"/>
    </w:rPr>
  </w:style>
  <w:style w:type="character" w:customStyle="1" w:styleId="WW8Num221z3">
    <w:name w:val="WW8Num221z3"/>
    <w:uiPriority w:val="99"/>
    <w:rPr>
      <w:rFonts w:ascii="Symbol" w:hAnsi="Symbol"/>
    </w:rPr>
  </w:style>
  <w:style w:type="character" w:customStyle="1" w:styleId="WW8Num222z1">
    <w:name w:val="WW8Num222z1"/>
    <w:uiPriority w:val="99"/>
    <w:rPr>
      <w:rFonts w:ascii="Courier New" w:hAnsi="Courier New"/>
    </w:rPr>
  </w:style>
  <w:style w:type="character" w:customStyle="1" w:styleId="WW8Num222z2">
    <w:name w:val="WW8Num222z2"/>
    <w:uiPriority w:val="99"/>
    <w:rPr>
      <w:rFonts w:ascii="Wingdings" w:hAnsi="Wingdings"/>
    </w:rPr>
  </w:style>
  <w:style w:type="character" w:customStyle="1" w:styleId="WW8Num222z3">
    <w:name w:val="WW8Num222z3"/>
    <w:uiPriority w:val="99"/>
    <w:rPr>
      <w:rFonts w:ascii="Symbol" w:hAnsi="Symbol"/>
    </w:rPr>
  </w:style>
  <w:style w:type="character" w:customStyle="1" w:styleId="WW8Num224z2">
    <w:name w:val="WW8Num224z2"/>
    <w:uiPriority w:val="99"/>
    <w:rPr>
      <w:rFonts w:ascii="Wingdings" w:hAnsi="Wingdings"/>
    </w:rPr>
  </w:style>
  <w:style w:type="character" w:customStyle="1" w:styleId="WW8Num225z1">
    <w:name w:val="WW8Num225z1"/>
    <w:uiPriority w:val="99"/>
    <w:rPr>
      <w:rFonts w:ascii="Symbol" w:hAnsi="Symbol"/>
    </w:rPr>
  </w:style>
  <w:style w:type="character" w:customStyle="1" w:styleId="WW8Num226z1">
    <w:name w:val="WW8Num226z1"/>
    <w:uiPriority w:val="99"/>
    <w:rPr>
      <w:rFonts w:ascii="Courier New" w:hAnsi="Courier New"/>
    </w:rPr>
  </w:style>
  <w:style w:type="character" w:customStyle="1" w:styleId="WW8Num226z2">
    <w:name w:val="WW8Num226z2"/>
    <w:uiPriority w:val="99"/>
    <w:rPr>
      <w:rFonts w:ascii="Wingdings" w:hAnsi="Wingdings"/>
    </w:rPr>
  </w:style>
  <w:style w:type="character" w:customStyle="1" w:styleId="WW8Num227z1">
    <w:name w:val="WW8Num227z1"/>
    <w:uiPriority w:val="99"/>
    <w:rPr>
      <w:rFonts w:ascii="Courier New" w:hAnsi="Courier New"/>
    </w:rPr>
  </w:style>
  <w:style w:type="character" w:customStyle="1" w:styleId="WW8Num227z2">
    <w:name w:val="WW8Num227z2"/>
    <w:uiPriority w:val="99"/>
    <w:rPr>
      <w:rFonts w:ascii="Wingdings" w:hAnsi="Wingdings"/>
    </w:rPr>
  </w:style>
  <w:style w:type="character" w:customStyle="1" w:styleId="WW8Num227z3">
    <w:name w:val="WW8Num227z3"/>
    <w:uiPriority w:val="99"/>
    <w:rPr>
      <w:rFonts w:ascii="Symbol" w:hAnsi="Symbol"/>
    </w:rPr>
  </w:style>
  <w:style w:type="character" w:customStyle="1" w:styleId="WW8Num228z3">
    <w:name w:val="WW8Num228z3"/>
    <w:uiPriority w:val="99"/>
    <w:rPr>
      <w:rFonts w:ascii="Symbol" w:hAnsi="Symbol"/>
    </w:rPr>
  </w:style>
  <w:style w:type="character" w:customStyle="1" w:styleId="WW8Num230z1">
    <w:name w:val="WW8Num230z1"/>
    <w:uiPriority w:val="99"/>
    <w:rPr>
      <w:rFonts w:ascii="Courier New" w:hAnsi="Courier New"/>
    </w:rPr>
  </w:style>
  <w:style w:type="character" w:customStyle="1" w:styleId="WW8Num230z2">
    <w:name w:val="WW8Num230z2"/>
    <w:uiPriority w:val="99"/>
    <w:rPr>
      <w:rFonts w:ascii="Wingdings" w:hAnsi="Wingdings"/>
    </w:rPr>
  </w:style>
  <w:style w:type="character" w:customStyle="1" w:styleId="WW8Num231z3">
    <w:name w:val="WW8Num231z3"/>
    <w:uiPriority w:val="99"/>
    <w:rPr>
      <w:rFonts w:ascii="Symbol" w:hAnsi="Symbol"/>
    </w:rPr>
  </w:style>
  <w:style w:type="character" w:customStyle="1" w:styleId="WW8Num231z4">
    <w:name w:val="WW8Num231z4"/>
    <w:uiPriority w:val="99"/>
    <w:rPr>
      <w:rFonts w:ascii="Courier New" w:hAnsi="Courier New"/>
    </w:rPr>
  </w:style>
  <w:style w:type="character" w:customStyle="1" w:styleId="WW8Num232z3">
    <w:name w:val="WW8Num232z3"/>
    <w:uiPriority w:val="99"/>
    <w:rPr>
      <w:rFonts w:ascii="Symbol" w:hAnsi="Symbol"/>
    </w:rPr>
  </w:style>
  <w:style w:type="character" w:customStyle="1" w:styleId="WW8Num233z1">
    <w:name w:val="WW8Num233z1"/>
    <w:uiPriority w:val="99"/>
    <w:rPr>
      <w:rFonts w:ascii="Symbol" w:hAnsi="Symbol"/>
      <w:b/>
      <w:i/>
      <w:color w:val="auto"/>
      <w:u w:val="single"/>
    </w:rPr>
  </w:style>
  <w:style w:type="character" w:customStyle="1" w:styleId="WW8Num234z1">
    <w:name w:val="WW8Num234z1"/>
    <w:uiPriority w:val="99"/>
    <w:rPr>
      <w:rFonts w:ascii="Courier New" w:hAnsi="Courier New"/>
    </w:rPr>
  </w:style>
  <w:style w:type="character" w:customStyle="1" w:styleId="WW8Num234z2">
    <w:name w:val="WW8Num234z2"/>
    <w:uiPriority w:val="99"/>
    <w:rPr>
      <w:rFonts w:ascii="Wingdings" w:hAnsi="Wingdings"/>
    </w:rPr>
  </w:style>
  <w:style w:type="character" w:customStyle="1" w:styleId="WW8Num234z3">
    <w:name w:val="WW8Num234z3"/>
    <w:uiPriority w:val="99"/>
    <w:rPr>
      <w:rFonts w:ascii="Symbol" w:hAnsi="Symbol"/>
    </w:rPr>
  </w:style>
  <w:style w:type="character" w:customStyle="1" w:styleId="WW8Num236z1">
    <w:name w:val="WW8Num236z1"/>
    <w:uiPriority w:val="99"/>
    <w:rPr>
      <w:rFonts w:ascii="Courier New" w:hAnsi="Courier New"/>
    </w:rPr>
  </w:style>
  <w:style w:type="character" w:customStyle="1" w:styleId="WW8Num236z3">
    <w:name w:val="WW8Num236z3"/>
    <w:uiPriority w:val="99"/>
    <w:rPr>
      <w:rFonts w:ascii="Symbol" w:hAnsi="Symbol"/>
    </w:rPr>
  </w:style>
  <w:style w:type="character" w:customStyle="1" w:styleId="WW8Num237z1">
    <w:name w:val="WW8Num237z1"/>
    <w:uiPriority w:val="99"/>
    <w:rPr>
      <w:rFonts w:ascii="Courier New" w:hAnsi="Courier New"/>
    </w:rPr>
  </w:style>
  <w:style w:type="character" w:customStyle="1" w:styleId="WW8Num237z3">
    <w:name w:val="WW8Num237z3"/>
    <w:uiPriority w:val="99"/>
    <w:rPr>
      <w:rFonts w:ascii="Symbol" w:hAnsi="Symbol"/>
    </w:rPr>
  </w:style>
  <w:style w:type="character" w:customStyle="1" w:styleId="WW8Num238z1">
    <w:name w:val="WW8Num238z1"/>
    <w:uiPriority w:val="99"/>
    <w:rPr>
      <w:rFonts w:ascii="Courier New" w:hAnsi="Courier New"/>
    </w:rPr>
  </w:style>
  <w:style w:type="character" w:customStyle="1" w:styleId="WW8Num238z3">
    <w:name w:val="WW8Num238z3"/>
    <w:uiPriority w:val="99"/>
    <w:rPr>
      <w:rFonts w:ascii="Symbol" w:hAnsi="Symbol"/>
    </w:rPr>
  </w:style>
  <w:style w:type="character" w:customStyle="1" w:styleId="WW8Num239z1">
    <w:name w:val="WW8Num239z1"/>
    <w:uiPriority w:val="99"/>
    <w:rPr>
      <w:rFonts w:ascii="Courier New" w:hAnsi="Courier New"/>
    </w:rPr>
  </w:style>
  <w:style w:type="character" w:customStyle="1" w:styleId="WW8Num239z3">
    <w:name w:val="WW8Num239z3"/>
    <w:uiPriority w:val="99"/>
    <w:rPr>
      <w:rFonts w:ascii="Symbol" w:hAnsi="Symbol"/>
    </w:rPr>
  </w:style>
  <w:style w:type="character" w:customStyle="1" w:styleId="WW8Num240z1">
    <w:name w:val="WW8Num240z1"/>
    <w:uiPriority w:val="99"/>
    <w:rPr>
      <w:rFonts w:ascii="Symbol" w:hAnsi="Symbol"/>
    </w:rPr>
  </w:style>
  <w:style w:type="character" w:customStyle="1" w:styleId="WW8Num240z4">
    <w:name w:val="WW8Num240z4"/>
    <w:uiPriority w:val="99"/>
    <w:rPr>
      <w:rFonts w:ascii="Courier New" w:hAnsi="Courier New"/>
    </w:rPr>
  </w:style>
  <w:style w:type="character" w:customStyle="1" w:styleId="WW8Num241z1">
    <w:name w:val="WW8Num241z1"/>
    <w:uiPriority w:val="99"/>
    <w:rPr>
      <w:rFonts w:ascii="Courier New" w:hAnsi="Courier New"/>
    </w:rPr>
  </w:style>
  <w:style w:type="character" w:customStyle="1" w:styleId="WW8Num241z3">
    <w:name w:val="WW8Num241z3"/>
    <w:uiPriority w:val="99"/>
    <w:rPr>
      <w:rFonts w:ascii="Symbol" w:hAnsi="Symbol"/>
    </w:rPr>
  </w:style>
  <w:style w:type="character" w:customStyle="1" w:styleId="WW8Num242z0">
    <w:name w:val="WW8Num242z0"/>
    <w:uiPriority w:val="99"/>
    <w:rPr>
      <w:rFonts w:ascii="Wingdings" w:hAnsi="Wingdings"/>
    </w:rPr>
  </w:style>
  <w:style w:type="character" w:customStyle="1" w:styleId="WW8Num242z1">
    <w:name w:val="WW8Num242z1"/>
    <w:uiPriority w:val="99"/>
    <w:rPr>
      <w:rFonts w:ascii="Courier New" w:hAnsi="Courier New"/>
    </w:rPr>
  </w:style>
  <w:style w:type="character" w:customStyle="1" w:styleId="WW8Num242z3">
    <w:name w:val="WW8Num242z3"/>
    <w:uiPriority w:val="99"/>
    <w:rPr>
      <w:rFonts w:ascii="Symbol" w:hAnsi="Symbol"/>
    </w:rPr>
  </w:style>
  <w:style w:type="character" w:customStyle="1" w:styleId="WW8Num245z1">
    <w:name w:val="WW8Num245z1"/>
    <w:uiPriority w:val="99"/>
    <w:rPr>
      <w:rFonts w:ascii="Symbol" w:hAnsi="Symbol"/>
    </w:rPr>
  </w:style>
  <w:style w:type="character" w:customStyle="1" w:styleId="WW8Num245z2">
    <w:name w:val="WW8Num245z2"/>
    <w:uiPriority w:val="99"/>
    <w:rPr>
      <w:rFonts w:ascii="Wingdings" w:hAnsi="Wingdings"/>
    </w:rPr>
  </w:style>
  <w:style w:type="character" w:customStyle="1" w:styleId="WW8Num245z4">
    <w:name w:val="WW8Num245z4"/>
    <w:uiPriority w:val="99"/>
    <w:rPr>
      <w:rFonts w:ascii="Courier New" w:hAnsi="Courier New"/>
    </w:rPr>
  </w:style>
  <w:style w:type="character" w:customStyle="1" w:styleId="WW8Num247z1">
    <w:name w:val="WW8Num247z1"/>
    <w:uiPriority w:val="99"/>
    <w:rPr>
      <w:rFonts w:ascii="Courier New" w:hAnsi="Courier New"/>
    </w:rPr>
  </w:style>
  <w:style w:type="character" w:customStyle="1" w:styleId="WW8Num247z3">
    <w:name w:val="WW8Num247z3"/>
    <w:uiPriority w:val="99"/>
    <w:rPr>
      <w:rFonts w:ascii="Symbol" w:hAnsi="Symbol"/>
    </w:rPr>
  </w:style>
  <w:style w:type="character" w:customStyle="1" w:styleId="WW8Num248z1">
    <w:name w:val="WW8Num248z1"/>
    <w:uiPriority w:val="99"/>
    <w:rPr>
      <w:rFonts w:ascii="Courier New" w:hAnsi="Courier New"/>
    </w:rPr>
  </w:style>
  <w:style w:type="character" w:customStyle="1" w:styleId="WW8Num248z2">
    <w:name w:val="WW8Num248z2"/>
    <w:uiPriority w:val="99"/>
    <w:rPr>
      <w:rFonts w:ascii="Wingdings" w:hAnsi="Wingdings"/>
    </w:rPr>
  </w:style>
  <w:style w:type="character" w:customStyle="1" w:styleId="WW8Num248z3">
    <w:name w:val="WW8Num248z3"/>
    <w:uiPriority w:val="99"/>
    <w:rPr>
      <w:rFonts w:ascii="Symbol" w:hAnsi="Symbol"/>
    </w:rPr>
  </w:style>
  <w:style w:type="character" w:customStyle="1" w:styleId="WW8Num249z1">
    <w:name w:val="WW8Num249z1"/>
    <w:uiPriority w:val="99"/>
    <w:rPr>
      <w:rFonts w:ascii="Courier New" w:hAnsi="Courier New"/>
    </w:rPr>
  </w:style>
  <w:style w:type="character" w:customStyle="1" w:styleId="WW8Num249z3">
    <w:name w:val="WW8Num249z3"/>
    <w:uiPriority w:val="99"/>
    <w:rPr>
      <w:rFonts w:ascii="Symbol" w:hAnsi="Symbol"/>
    </w:rPr>
  </w:style>
  <w:style w:type="character" w:customStyle="1" w:styleId="WW8Num250z1">
    <w:name w:val="WW8Num250z1"/>
    <w:uiPriority w:val="99"/>
    <w:rPr>
      <w:rFonts w:ascii="Goudy Old Style" w:hAnsi="Goudy Old Style"/>
    </w:rPr>
  </w:style>
  <w:style w:type="character" w:customStyle="1" w:styleId="WW8Num250z2">
    <w:name w:val="WW8Num250z2"/>
    <w:uiPriority w:val="99"/>
    <w:rPr>
      <w:rFonts w:ascii="Wingdings" w:hAnsi="Wingdings"/>
    </w:rPr>
  </w:style>
  <w:style w:type="character" w:customStyle="1" w:styleId="WW8Num250z4">
    <w:name w:val="WW8Num250z4"/>
    <w:uiPriority w:val="99"/>
    <w:rPr>
      <w:rFonts w:ascii="Courier New" w:hAnsi="Courier New"/>
    </w:rPr>
  </w:style>
  <w:style w:type="character" w:customStyle="1" w:styleId="WW8Num251z3">
    <w:name w:val="WW8Num251z3"/>
    <w:uiPriority w:val="99"/>
    <w:rPr>
      <w:rFonts w:ascii="Symbol" w:hAnsi="Symbol"/>
    </w:rPr>
  </w:style>
  <w:style w:type="character" w:customStyle="1" w:styleId="WW8Num252z4">
    <w:name w:val="WW8Num252z4"/>
    <w:uiPriority w:val="99"/>
    <w:rPr>
      <w:rFonts w:ascii="Courier New" w:hAnsi="Courier New"/>
    </w:rPr>
  </w:style>
  <w:style w:type="character" w:customStyle="1" w:styleId="WW8Num252z6">
    <w:name w:val="WW8Num252z6"/>
    <w:uiPriority w:val="99"/>
    <w:rPr>
      <w:rFonts w:ascii="Symbol" w:hAnsi="Symbol"/>
    </w:rPr>
  </w:style>
  <w:style w:type="character" w:customStyle="1" w:styleId="WW8Num253z1">
    <w:name w:val="WW8Num253z1"/>
    <w:uiPriority w:val="99"/>
    <w:rPr>
      <w:rFonts w:ascii="Symbol" w:hAnsi="Symbol"/>
    </w:rPr>
  </w:style>
  <w:style w:type="character" w:customStyle="1" w:styleId="WW8Num253z2">
    <w:name w:val="WW8Num253z2"/>
    <w:uiPriority w:val="99"/>
    <w:rPr>
      <w:rFonts w:ascii="Symbol" w:hAnsi="Symbol"/>
      <w:color w:val="auto"/>
    </w:rPr>
  </w:style>
  <w:style w:type="character" w:customStyle="1" w:styleId="WW8Num254z1">
    <w:name w:val="WW8Num254z1"/>
    <w:uiPriority w:val="99"/>
    <w:rPr>
      <w:rFonts w:ascii="Courier New" w:hAnsi="Courier New"/>
    </w:rPr>
  </w:style>
  <w:style w:type="character" w:customStyle="1" w:styleId="WW8Num254z3">
    <w:name w:val="WW8Num254z3"/>
    <w:uiPriority w:val="99"/>
    <w:rPr>
      <w:rFonts w:ascii="Symbol" w:hAnsi="Symbol"/>
    </w:rPr>
  </w:style>
  <w:style w:type="character" w:customStyle="1" w:styleId="WW8Num256z1">
    <w:name w:val="WW8Num256z1"/>
    <w:uiPriority w:val="99"/>
    <w:rPr>
      <w:rFonts w:ascii="Courier New" w:hAnsi="Courier New"/>
    </w:rPr>
  </w:style>
  <w:style w:type="character" w:customStyle="1" w:styleId="WW8Num256z3">
    <w:name w:val="WW8Num256z3"/>
    <w:uiPriority w:val="99"/>
    <w:rPr>
      <w:rFonts w:ascii="Symbol" w:hAnsi="Symbol"/>
    </w:rPr>
  </w:style>
  <w:style w:type="character" w:customStyle="1" w:styleId="WW8Num257z1">
    <w:name w:val="WW8Num257z1"/>
    <w:uiPriority w:val="99"/>
    <w:rPr>
      <w:rFonts w:ascii="Courier New" w:hAnsi="Courier New"/>
    </w:rPr>
  </w:style>
  <w:style w:type="character" w:customStyle="1" w:styleId="WW8Num257z3">
    <w:name w:val="WW8Num257z3"/>
    <w:uiPriority w:val="99"/>
    <w:rPr>
      <w:rFonts w:ascii="Symbol" w:hAnsi="Symbol"/>
    </w:rPr>
  </w:style>
  <w:style w:type="character" w:customStyle="1" w:styleId="WW8Num258z1">
    <w:name w:val="WW8Num258z1"/>
    <w:uiPriority w:val="99"/>
    <w:rPr>
      <w:rFonts w:ascii="Courier New" w:hAnsi="Courier New"/>
    </w:rPr>
  </w:style>
  <w:style w:type="character" w:customStyle="1" w:styleId="WW8Num258z3">
    <w:name w:val="WW8Num258z3"/>
    <w:uiPriority w:val="99"/>
    <w:rPr>
      <w:rFonts w:ascii="Symbol" w:hAnsi="Symbol"/>
    </w:rPr>
  </w:style>
  <w:style w:type="character" w:customStyle="1" w:styleId="WW8Num259z2">
    <w:name w:val="WW8Num259z2"/>
    <w:uiPriority w:val="99"/>
    <w:rPr>
      <w:rFonts w:ascii="Wingdings" w:hAnsi="Wingdings"/>
    </w:rPr>
  </w:style>
  <w:style w:type="character" w:customStyle="1" w:styleId="WW8Num259z4">
    <w:name w:val="WW8Num259z4"/>
    <w:uiPriority w:val="99"/>
    <w:rPr>
      <w:rFonts w:ascii="Courier New" w:hAnsi="Courier New"/>
    </w:rPr>
  </w:style>
  <w:style w:type="character" w:customStyle="1" w:styleId="WW8Num260z1">
    <w:name w:val="WW8Num260z1"/>
    <w:uiPriority w:val="99"/>
    <w:rPr>
      <w:rFonts w:ascii="Courier New" w:hAnsi="Courier New"/>
    </w:rPr>
  </w:style>
  <w:style w:type="character" w:customStyle="1" w:styleId="WW8Num260z3">
    <w:name w:val="WW8Num260z3"/>
    <w:uiPriority w:val="99"/>
    <w:rPr>
      <w:rFonts w:ascii="Symbol" w:hAnsi="Symbol"/>
    </w:rPr>
  </w:style>
  <w:style w:type="character" w:customStyle="1" w:styleId="WW8Num261z1">
    <w:name w:val="WW8Num261z1"/>
    <w:uiPriority w:val="99"/>
    <w:rPr>
      <w:rFonts w:ascii="Courier New" w:hAnsi="Courier New"/>
    </w:rPr>
  </w:style>
  <w:style w:type="character" w:customStyle="1" w:styleId="WW8Num261z2">
    <w:name w:val="WW8Num261z2"/>
    <w:uiPriority w:val="99"/>
    <w:rPr>
      <w:rFonts w:ascii="Wingdings" w:hAnsi="Wingdings"/>
    </w:rPr>
  </w:style>
  <w:style w:type="character" w:customStyle="1" w:styleId="WW8Num261z3">
    <w:name w:val="WW8Num261z3"/>
    <w:uiPriority w:val="99"/>
    <w:rPr>
      <w:rFonts w:ascii="Symbol" w:hAnsi="Symbol"/>
    </w:rPr>
  </w:style>
  <w:style w:type="character" w:customStyle="1" w:styleId="WW8Num262z1">
    <w:name w:val="WW8Num262z1"/>
    <w:uiPriority w:val="99"/>
    <w:rPr>
      <w:rFonts w:ascii="Wingdings" w:hAnsi="Wingdings"/>
    </w:rPr>
  </w:style>
  <w:style w:type="character" w:customStyle="1" w:styleId="WW8Num262z4">
    <w:name w:val="WW8Num262z4"/>
    <w:uiPriority w:val="99"/>
    <w:rPr>
      <w:rFonts w:ascii="Courier New" w:hAnsi="Courier New"/>
    </w:rPr>
  </w:style>
  <w:style w:type="character" w:customStyle="1" w:styleId="WW8Num264z1">
    <w:name w:val="WW8Num264z1"/>
    <w:uiPriority w:val="99"/>
    <w:rPr>
      <w:rFonts w:ascii="Courier New" w:hAnsi="Courier New"/>
    </w:rPr>
  </w:style>
  <w:style w:type="character" w:customStyle="1" w:styleId="WW8Num264z3">
    <w:name w:val="WW8Num264z3"/>
    <w:uiPriority w:val="99"/>
    <w:rPr>
      <w:rFonts w:ascii="Symbol" w:hAnsi="Symbol"/>
    </w:rPr>
  </w:style>
  <w:style w:type="character" w:customStyle="1" w:styleId="WW8Num265z1">
    <w:name w:val="WW8Num265z1"/>
    <w:uiPriority w:val="99"/>
    <w:rPr>
      <w:rFonts w:ascii="Courier New" w:hAnsi="Courier New"/>
    </w:rPr>
  </w:style>
  <w:style w:type="character" w:customStyle="1" w:styleId="WW8Num265z3">
    <w:name w:val="WW8Num265z3"/>
    <w:uiPriority w:val="99"/>
    <w:rPr>
      <w:rFonts w:ascii="Symbol" w:hAnsi="Symbol"/>
    </w:rPr>
  </w:style>
  <w:style w:type="character" w:customStyle="1" w:styleId="WW8Num266z1">
    <w:name w:val="WW8Num266z1"/>
    <w:uiPriority w:val="99"/>
    <w:rPr>
      <w:rFonts w:ascii="Courier New" w:hAnsi="Courier New"/>
    </w:rPr>
  </w:style>
  <w:style w:type="character" w:customStyle="1" w:styleId="WW8Num266z2">
    <w:name w:val="WW8Num266z2"/>
    <w:uiPriority w:val="99"/>
    <w:rPr>
      <w:rFonts w:ascii="Wingdings" w:hAnsi="Wingdings"/>
    </w:rPr>
  </w:style>
  <w:style w:type="character" w:customStyle="1" w:styleId="WW8Num267z1">
    <w:name w:val="WW8Num267z1"/>
    <w:uiPriority w:val="99"/>
    <w:rPr>
      <w:rFonts w:ascii="Courier New" w:hAnsi="Courier New"/>
    </w:rPr>
  </w:style>
  <w:style w:type="character" w:customStyle="1" w:styleId="WW8Num267z3">
    <w:name w:val="WW8Num267z3"/>
    <w:uiPriority w:val="99"/>
    <w:rPr>
      <w:rFonts w:ascii="Symbol" w:hAnsi="Symbol"/>
    </w:rPr>
  </w:style>
  <w:style w:type="character" w:customStyle="1" w:styleId="WW8Num268z1">
    <w:name w:val="WW8Num268z1"/>
    <w:uiPriority w:val="99"/>
    <w:rPr>
      <w:rFonts w:ascii="Courier New" w:hAnsi="Courier New"/>
    </w:rPr>
  </w:style>
  <w:style w:type="character" w:customStyle="1" w:styleId="WW8Num268z3">
    <w:name w:val="WW8Num268z3"/>
    <w:uiPriority w:val="99"/>
    <w:rPr>
      <w:rFonts w:ascii="Symbol" w:hAnsi="Symbol"/>
    </w:rPr>
  </w:style>
  <w:style w:type="character" w:customStyle="1" w:styleId="WW8Num269z1">
    <w:name w:val="WW8Num269z1"/>
    <w:uiPriority w:val="99"/>
    <w:rPr>
      <w:rFonts w:ascii="Courier New" w:hAnsi="Courier New"/>
    </w:rPr>
  </w:style>
  <w:style w:type="character" w:customStyle="1" w:styleId="WW8Num269z3">
    <w:name w:val="WW8Num269z3"/>
    <w:uiPriority w:val="99"/>
    <w:rPr>
      <w:rFonts w:ascii="Symbol" w:hAnsi="Symbol"/>
    </w:rPr>
  </w:style>
  <w:style w:type="character" w:customStyle="1" w:styleId="WW8Num271z3">
    <w:name w:val="WW8Num271z3"/>
    <w:uiPriority w:val="99"/>
    <w:rPr>
      <w:rFonts w:ascii="Symbol" w:hAnsi="Symbol"/>
    </w:rPr>
  </w:style>
  <w:style w:type="character" w:customStyle="1" w:styleId="WW8Num271z4">
    <w:name w:val="WW8Num271z4"/>
    <w:uiPriority w:val="99"/>
    <w:rPr>
      <w:rFonts w:ascii="Courier New" w:hAnsi="Courier New"/>
    </w:rPr>
  </w:style>
  <w:style w:type="character" w:customStyle="1" w:styleId="WW8Num272z1">
    <w:name w:val="WW8Num272z1"/>
    <w:uiPriority w:val="99"/>
    <w:rPr>
      <w:rFonts w:ascii="Courier New" w:hAnsi="Courier New"/>
    </w:rPr>
  </w:style>
  <w:style w:type="character" w:customStyle="1" w:styleId="WW8Num272z2">
    <w:name w:val="WW8Num272z2"/>
    <w:uiPriority w:val="99"/>
    <w:rPr>
      <w:rFonts w:ascii="Wingdings" w:hAnsi="Wingdings"/>
    </w:rPr>
  </w:style>
  <w:style w:type="character" w:customStyle="1" w:styleId="WW8Num272z3">
    <w:name w:val="WW8Num272z3"/>
    <w:uiPriority w:val="99"/>
    <w:rPr>
      <w:rFonts w:ascii="Symbol" w:hAnsi="Symbol"/>
    </w:rPr>
  </w:style>
  <w:style w:type="character" w:customStyle="1" w:styleId="WW8Num273z0">
    <w:name w:val="WW8Num273z0"/>
    <w:uiPriority w:val="99"/>
    <w:rPr>
      <w:rFonts w:ascii="Wingdings" w:hAnsi="Wingdings"/>
    </w:rPr>
  </w:style>
  <w:style w:type="character" w:customStyle="1" w:styleId="WW8Num273z1">
    <w:name w:val="WW8Num273z1"/>
    <w:uiPriority w:val="99"/>
    <w:rPr>
      <w:rFonts w:ascii="Courier New" w:hAnsi="Courier New"/>
    </w:rPr>
  </w:style>
  <w:style w:type="character" w:customStyle="1" w:styleId="WW8Num273z3">
    <w:name w:val="WW8Num273z3"/>
    <w:uiPriority w:val="99"/>
    <w:rPr>
      <w:rFonts w:ascii="Symbol" w:hAnsi="Symbol"/>
    </w:rPr>
  </w:style>
  <w:style w:type="character" w:customStyle="1" w:styleId="WW8NumSt1z0">
    <w:name w:val="WW8NumSt1z0"/>
    <w:uiPriority w:val="99"/>
    <w:rPr>
      <w:rFonts w:ascii="Symbol" w:hAnsi="Symbol"/>
    </w:rPr>
  </w:style>
  <w:style w:type="character" w:customStyle="1" w:styleId="CarCar7">
    <w:name w:val="Car Car7"/>
    <w:basedOn w:val="Policepardfaut1"/>
    <w:uiPriority w:val="99"/>
    <w:rPr>
      <w:rFonts w:ascii="Arial" w:hAnsi="Arial" w:cs="Times New Roman"/>
      <w:b/>
      <w:sz w:val="44"/>
      <w:lang w:val="fr-BE" w:eastAsia="ar-SA" w:bidi="ar-SA"/>
    </w:rPr>
  </w:style>
  <w:style w:type="character" w:customStyle="1" w:styleId="CarCar6">
    <w:name w:val="Car Car6"/>
    <w:basedOn w:val="Policepardfaut1"/>
    <w:uiPriority w:val="99"/>
    <w:rPr>
      <w:rFonts w:ascii="Arial" w:hAnsi="Arial" w:cs="Times New Roman"/>
      <w:b/>
      <w:sz w:val="22"/>
      <w:u w:val="single"/>
      <w:lang w:val="fr-BE" w:eastAsia="ar-SA" w:bidi="ar-SA"/>
    </w:rPr>
  </w:style>
  <w:style w:type="character" w:customStyle="1" w:styleId="CarCar5">
    <w:name w:val="Car Car5"/>
    <w:basedOn w:val="Policepardfaut1"/>
    <w:uiPriority w:val="99"/>
    <w:rPr>
      <w:rFonts w:ascii="Arial" w:hAnsi="Arial" w:cs="Times New Roman"/>
      <w:b/>
      <w:sz w:val="22"/>
      <w:u w:val="single"/>
      <w:lang w:val="fr-BE" w:eastAsia="ar-SA" w:bidi="ar-SA"/>
    </w:rPr>
  </w:style>
  <w:style w:type="character" w:customStyle="1" w:styleId="CarCar4">
    <w:name w:val="Car Car4"/>
    <w:basedOn w:val="Policepardfaut1"/>
    <w:uiPriority w:val="99"/>
    <w:rPr>
      <w:rFonts w:ascii="Arial" w:hAnsi="Arial" w:cs="Times New Roman"/>
      <w:b/>
      <w:sz w:val="22"/>
      <w:u w:val="single"/>
      <w:lang w:val="fr-BE" w:eastAsia="ar-SA" w:bidi="ar-SA"/>
    </w:rPr>
  </w:style>
  <w:style w:type="character" w:customStyle="1" w:styleId="CarCar3">
    <w:name w:val="Car Car3"/>
    <w:basedOn w:val="Policepardfaut1"/>
    <w:uiPriority w:val="99"/>
    <w:rPr>
      <w:rFonts w:ascii="Arial" w:hAnsi="Arial" w:cs="Times New Roman"/>
      <w:b/>
      <w:sz w:val="22"/>
      <w:u w:val="single"/>
      <w:lang w:val="fr-BE" w:eastAsia="ar-SA" w:bidi="ar-SA"/>
    </w:rPr>
  </w:style>
  <w:style w:type="character" w:styleId="Numrodepage">
    <w:name w:val="page number"/>
    <w:basedOn w:val="Policepardfaut1"/>
    <w:uiPriority w:val="99"/>
    <w:rPr>
      <w:rFonts w:cs="Times New Roman"/>
    </w:rPr>
  </w:style>
  <w:style w:type="character" w:customStyle="1" w:styleId="CarCar2">
    <w:name w:val="Car Car2"/>
    <w:basedOn w:val="Policepardfaut1"/>
    <w:uiPriority w:val="99"/>
    <w:rPr>
      <w:rFonts w:cs="Times New Roman"/>
      <w:b/>
      <w:sz w:val="24"/>
      <w:lang w:val="fr-BE" w:eastAsia="ar-SA" w:bidi="ar-SA"/>
    </w:rPr>
  </w:style>
  <w:style w:type="character" w:customStyle="1" w:styleId="CarCar1">
    <w:name w:val="Car Car1"/>
    <w:basedOn w:val="Policepardfaut1"/>
    <w:uiPriority w:val="99"/>
    <w:rPr>
      <w:rFonts w:cs="Times New Roman"/>
      <w:b/>
      <w:sz w:val="28"/>
      <w:u w:val="single"/>
      <w:lang w:val="fr-FR" w:eastAsia="ar-SA" w:bidi="ar-SA"/>
    </w:rPr>
  </w:style>
  <w:style w:type="character" w:styleId="Lienhypertextesuivivisit">
    <w:name w:val="FollowedHyperlink"/>
    <w:basedOn w:val="Policepardfaut1"/>
    <w:uiPriority w:val="99"/>
    <w:rPr>
      <w:rFonts w:cs="Times New Roman"/>
      <w:color w:val="800080"/>
      <w:u w:val="single"/>
    </w:rPr>
  </w:style>
  <w:style w:type="character" w:customStyle="1" w:styleId="Caractresdenotedebasdepage">
    <w:name w:val="Caractères de note de bas de page"/>
    <w:basedOn w:val="NotedebasdepageCar"/>
    <w:rPr>
      <w:rFonts w:asciiTheme="majorHAnsi" w:hAnsiTheme="majorHAnsi" w:cs="Times New Roman"/>
      <w:sz w:val="16"/>
      <w:bdr w:val="none" w:sz="0" w:space="0" w:color="auto"/>
      <w:vertAlign w:val="superscript"/>
      <w:lang w:val="fr-FR" w:eastAsia="ar-SA" w:bidi="ar-SA"/>
    </w:rPr>
  </w:style>
  <w:style w:type="character" w:customStyle="1" w:styleId="DCar">
    <w:name w:val="D Car"/>
    <w:basedOn w:val="Policepardfaut1"/>
    <w:uiPriority w:val="99"/>
    <w:rPr>
      <w:rFonts w:ascii="Arial" w:hAnsi="Arial" w:cs="Times New Roman"/>
      <w:b/>
      <w:i/>
      <w:sz w:val="24"/>
      <w:szCs w:val="24"/>
      <w:u w:val="single"/>
      <w:lang w:val="fr-FR" w:eastAsia="ar-SA" w:bidi="ar-SA"/>
    </w:rPr>
  </w:style>
  <w:style w:type="character" w:customStyle="1" w:styleId="NotedebasdepageCar">
    <w:name w:val="Note de bas de page Car"/>
    <w:basedOn w:val="Policepardfaut1"/>
    <w:uiPriority w:val="99"/>
    <w:rPr>
      <w:rFonts w:ascii="Arial" w:hAnsi="Arial" w:cs="Times New Roman"/>
      <w:lang w:val="fr-FR" w:eastAsia="ar-SA" w:bidi="ar-SA"/>
    </w:rPr>
  </w:style>
  <w:style w:type="character" w:customStyle="1" w:styleId="StyleTitre510ptNonGrasCar">
    <w:name w:val="Style Titre 5 + 10 pt Non Gras Car"/>
    <w:basedOn w:val="CarCar3"/>
    <w:uiPriority w:val="99"/>
    <w:rPr>
      <w:rFonts w:ascii="Arial" w:hAnsi="Arial" w:cs="Times New Roman"/>
      <w:b/>
      <w:sz w:val="22"/>
      <w:u w:val="single"/>
      <w:lang w:val="fr-BE" w:eastAsia="ar-SA" w:bidi="ar-SA"/>
    </w:rPr>
  </w:style>
  <w:style w:type="character" w:customStyle="1" w:styleId="CarCar">
    <w:name w:val="Car Car"/>
    <w:basedOn w:val="Policepardfaut1"/>
    <w:uiPriority w:val="99"/>
    <w:rPr>
      <w:rFonts w:ascii="Arial" w:hAnsi="Arial" w:cs="Times New Roman"/>
      <w:smallCaps/>
      <w:spacing w:val="-2"/>
      <w:sz w:val="24"/>
      <w:u w:val="single"/>
      <w:lang w:val="fr-BE" w:eastAsia="ar-SA" w:bidi="ar-SA"/>
    </w:rPr>
  </w:style>
  <w:style w:type="character" w:customStyle="1" w:styleId="Caractresdenotedefin">
    <w:name w:val="Caractères de note de fin"/>
    <w:basedOn w:val="Policepardfaut1"/>
    <w:uiPriority w:val="99"/>
    <w:rPr>
      <w:rFonts w:cs="Times New Roman"/>
      <w:vertAlign w:val="superscript"/>
    </w:rPr>
  </w:style>
  <w:style w:type="paragraph" w:customStyle="1" w:styleId="StyleTitre4Justifi">
    <w:name w:val="Style Titre 4 + Justifié"/>
    <w:basedOn w:val="Titre4"/>
    <w:uiPriority w:val="99"/>
    <w:rPr>
      <w:b w:val="0"/>
      <w:bCs/>
    </w:rPr>
  </w:style>
  <w:style w:type="character" w:customStyle="1" w:styleId="StyleTitre2NonGrasNonItaliqueCar">
    <w:name w:val="Style Titre 2 + Non Gras Non Italique Car"/>
    <w:basedOn w:val="Policepardfaut"/>
    <w:uiPriority w:val="99"/>
    <w:rPr>
      <w:rFonts w:ascii="Arial" w:hAnsi="Arial" w:cs="Arial"/>
      <w:b/>
      <w:sz w:val="28"/>
      <w:szCs w:val="28"/>
      <w:u w:val="single"/>
      <w:lang w:val="fr-BE" w:eastAsia="ar-SA" w:bidi="ar-SA"/>
    </w:rPr>
  </w:style>
  <w:style w:type="character" w:customStyle="1" w:styleId="StyleStyleTitre2NonGrasNonItaliqueCar">
    <w:name w:val="Style Style Titre 2 + Non Gras Non Italique + Car"/>
    <w:basedOn w:val="StyleTitre2NonGrasNonItaliqueCar"/>
    <w:uiPriority w:val="99"/>
    <w:rPr>
      <w:rFonts w:ascii="Arial" w:hAnsi="Arial" w:cs="Arial"/>
      <w:b/>
      <w:bCs/>
      <w:sz w:val="28"/>
      <w:szCs w:val="28"/>
      <w:u w:val="single"/>
      <w:lang w:val="fr-BE" w:eastAsia="ar-SA" w:bidi="ar-SA"/>
    </w:rPr>
  </w:style>
  <w:style w:type="character" w:customStyle="1" w:styleId="NormalWebCar">
    <w:name w:val="Normal (Web) Car"/>
    <w:basedOn w:val="Policepardfaut1"/>
    <w:uiPriority w:val="99"/>
    <w:rPr>
      <w:rFonts w:ascii="Century" w:hAnsi="Century" w:cs="Times New Roman"/>
      <w:color w:val="000000"/>
      <w:sz w:val="27"/>
      <w:szCs w:val="27"/>
      <w:lang w:val="fr-BE" w:eastAsia="ar-SA" w:bidi="ar-SA"/>
    </w:rPr>
  </w:style>
  <w:style w:type="character" w:customStyle="1" w:styleId="FooterChar">
    <w:name w:val="Footer Char"/>
    <w:basedOn w:val="Policepardfaut1"/>
    <w:uiPriority w:val="99"/>
    <w:rPr>
      <w:rFonts w:ascii="Tms Rmn" w:hAnsi="Tms Rmn" w:cs="Times New Roman"/>
      <w:lang w:val="fr-BE" w:eastAsia="ar-SA" w:bidi="ar-SA"/>
    </w:rPr>
  </w:style>
  <w:style w:type="character" w:customStyle="1" w:styleId="BodyTextChar">
    <w:name w:val="Body Text Char"/>
    <w:basedOn w:val="Policepardfaut1"/>
    <w:uiPriority w:val="99"/>
    <w:rPr>
      <w:rFonts w:cs="Times New Roman"/>
      <w:b/>
      <w:sz w:val="24"/>
      <w:lang w:val="fr-BE" w:eastAsia="ar-SA" w:bidi="ar-SA"/>
    </w:rPr>
  </w:style>
  <w:style w:type="character" w:customStyle="1" w:styleId="FootnoteTextChar">
    <w:name w:val="Footnote Text Char"/>
    <w:basedOn w:val="Policepardfaut1"/>
    <w:uiPriority w:val="99"/>
    <w:rPr>
      <w:rFonts w:ascii="Comic Sans MS" w:hAnsi="Comic Sans MS" w:cs="Times New Roman"/>
      <w:lang w:val="fr-BE" w:eastAsia="ar-SA" w:bidi="ar-SA"/>
    </w:rPr>
  </w:style>
  <w:style w:type="character" w:customStyle="1" w:styleId="affectelement1">
    <w:name w:val="affectelement1"/>
    <w:basedOn w:val="Policepardfaut1"/>
    <w:uiPriority w:val="99"/>
    <w:rPr>
      <w:rFonts w:cs="Times New Roman"/>
    </w:rPr>
  </w:style>
  <w:style w:type="character" w:customStyle="1" w:styleId="paraCar">
    <w:name w:val="para Car"/>
    <w:basedOn w:val="Policepardfaut1"/>
    <w:uiPriority w:val="99"/>
    <w:rPr>
      <w:rFonts w:ascii="Arial" w:hAnsi="Arial" w:cs="Arial"/>
      <w:sz w:val="24"/>
      <w:lang w:val="fr-BE" w:eastAsia="ar-SA" w:bidi="ar-SA"/>
    </w:rPr>
  </w:style>
  <w:style w:type="character" w:styleId="Numrodeligne">
    <w:name w:val="line number"/>
    <w:basedOn w:val="Policepardfaut1"/>
    <w:uiPriority w:val="99"/>
    <w:rPr>
      <w:rFonts w:cs="Times New Roman"/>
    </w:rPr>
  </w:style>
  <w:style w:type="character" w:customStyle="1" w:styleId="Titre3Car1">
    <w:name w:val="Titre 3 Car1"/>
    <w:basedOn w:val="Policepardfaut1"/>
    <w:uiPriority w:val="99"/>
    <w:rPr>
      <w:rFonts w:ascii="Arial" w:hAnsi="Arial" w:cs="Times New Roman"/>
      <w:b/>
      <w:sz w:val="22"/>
      <w:u w:val="single"/>
      <w:lang w:val="fr-BE" w:eastAsia="ar-SA" w:bidi="ar-SA"/>
    </w:rPr>
  </w:style>
  <w:style w:type="character" w:customStyle="1" w:styleId="StyleTitre3NonGrasNonsoulignCar">
    <w:name w:val="Style Titre 3 + Non Gras Non souligné Car"/>
    <w:basedOn w:val="Titre3Car1"/>
    <w:uiPriority w:val="99"/>
    <w:rPr>
      <w:rFonts w:ascii="Arial" w:hAnsi="Arial" w:cs="Times New Roman"/>
      <w:b/>
      <w:sz w:val="22"/>
      <w:u w:val="single"/>
      <w:lang w:val="fr-BE" w:eastAsia="ar-SA" w:bidi="ar-SA"/>
    </w:rPr>
  </w:style>
  <w:style w:type="character" w:customStyle="1" w:styleId="Corpsdetexte2Car">
    <w:name w:val="Corps de texte 2 Car"/>
    <w:basedOn w:val="Policepardfaut1"/>
    <w:uiPriority w:val="99"/>
    <w:rPr>
      <w:rFonts w:ascii="Goudy Old Style" w:hAnsi="Goudy Old Style" w:cs="Times New Roman"/>
      <w:sz w:val="28"/>
      <w:lang w:val="fr-BE" w:eastAsia="ar-SA" w:bidi="ar-SA"/>
    </w:rPr>
  </w:style>
  <w:style w:type="character" w:customStyle="1" w:styleId="Appelnotedebasdep1">
    <w:name w:val="Appel note de bas de p.1"/>
    <w:uiPriority w:val="99"/>
    <w:rPr>
      <w:vertAlign w:val="superscript"/>
    </w:rPr>
  </w:style>
  <w:style w:type="character" w:customStyle="1" w:styleId="Caractresdenumrotation">
    <w:name w:val="Caractères de numérotation"/>
    <w:uiPriority w:val="99"/>
  </w:style>
  <w:style w:type="character" w:styleId="Appeldenotedefin">
    <w:name w:val="endnote reference"/>
    <w:basedOn w:val="Policepardfaut"/>
    <w:uiPriority w:val="99"/>
    <w:rPr>
      <w:rFonts w:cs="Times New Roman"/>
      <w:vertAlign w:val="superscript"/>
    </w:rPr>
  </w:style>
  <w:style w:type="character" w:styleId="Appelnotedebasdep">
    <w:name w:val="footnote reference"/>
    <w:basedOn w:val="Policepardfaut"/>
    <w:uiPriority w:val="99"/>
    <w:rPr>
      <w:rFonts w:cs="Times New Roman"/>
      <w:vertAlign w:val="superscript"/>
    </w:rPr>
  </w:style>
  <w:style w:type="paragraph" w:customStyle="1" w:styleId="Titre20">
    <w:name w:val="Titre2"/>
    <w:basedOn w:val="Normal"/>
    <w:next w:val="Corpsdetexte"/>
    <w:uiPriority w:val="99"/>
    <w:pPr>
      <w:keepNext/>
      <w:suppressAutoHyphens/>
      <w:spacing w:before="240" w:after="120"/>
    </w:pPr>
    <w:rPr>
      <w:rFonts w:ascii="Arial" w:eastAsia="Arial Unicode MS" w:hAnsi="Arial" w:cs="Mangal"/>
      <w:sz w:val="28"/>
      <w:szCs w:val="28"/>
      <w:lang w:eastAsia="ar-SA"/>
    </w:rPr>
  </w:style>
  <w:style w:type="paragraph" w:styleId="Liste">
    <w:name w:val="List"/>
    <w:basedOn w:val="Normal"/>
    <w:uiPriority w:val="99"/>
    <w:pPr>
      <w:suppressAutoHyphens/>
      <w:ind w:left="283" w:hanging="283"/>
    </w:pPr>
    <w:rPr>
      <w:rFonts w:ascii="Times New Roman" w:eastAsia="Times New Roman" w:hAnsi="Times New Roman" w:cs="Arial"/>
      <w:sz w:val="20"/>
      <w:szCs w:val="20"/>
      <w:lang w:eastAsia="ar-SA"/>
    </w:rPr>
  </w:style>
  <w:style w:type="paragraph" w:customStyle="1" w:styleId="Lgende2">
    <w:name w:val="Légende2"/>
    <w:basedOn w:val="Normal"/>
    <w:uiPriority w:val="99"/>
    <w:pPr>
      <w:suppressLineNumbers/>
      <w:suppressAutoHyphens/>
      <w:spacing w:before="120" w:after="120"/>
    </w:pPr>
    <w:rPr>
      <w:rFonts w:ascii="Georgia" w:eastAsia="Times New Roman" w:hAnsi="Georgia" w:cs="Mangal"/>
      <w:i/>
      <w:iCs/>
      <w:szCs w:val="24"/>
      <w:lang w:eastAsia="ar-SA"/>
    </w:rPr>
  </w:style>
  <w:style w:type="paragraph" w:customStyle="1" w:styleId="Index">
    <w:name w:val="Index"/>
    <w:basedOn w:val="Normal"/>
    <w:uiPriority w:val="99"/>
    <w:pPr>
      <w:suppressLineNumbers/>
      <w:suppressAutoHyphens/>
    </w:pPr>
    <w:rPr>
      <w:rFonts w:ascii="Georgia" w:eastAsia="Times New Roman" w:hAnsi="Georgia" w:cs="Mangal"/>
      <w:szCs w:val="20"/>
      <w:lang w:eastAsia="ar-SA"/>
    </w:rPr>
  </w:style>
  <w:style w:type="paragraph" w:customStyle="1" w:styleId="Titre10">
    <w:name w:val="Titre1"/>
    <w:basedOn w:val="Normal"/>
    <w:next w:val="Corpsdetexte"/>
    <w:uiPriority w:val="99"/>
    <w:pPr>
      <w:keepNext/>
      <w:suppressAutoHyphens/>
      <w:spacing w:before="240" w:after="120"/>
    </w:pPr>
    <w:rPr>
      <w:rFonts w:ascii="Arial" w:eastAsia="SimSun" w:hAnsi="Arial" w:cs="Mangal"/>
      <w:sz w:val="28"/>
      <w:szCs w:val="28"/>
      <w:lang w:eastAsia="ar-SA"/>
    </w:rPr>
  </w:style>
  <w:style w:type="paragraph" w:customStyle="1" w:styleId="Lgende1">
    <w:name w:val="Légende1"/>
    <w:basedOn w:val="Normal"/>
    <w:next w:val="Normal"/>
    <w:uiPriority w:val="99"/>
    <w:pPr>
      <w:suppressAutoHyphens/>
    </w:pPr>
    <w:rPr>
      <w:rFonts w:ascii="Times New Roman" w:eastAsia="Times New Roman" w:hAnsi="Times New Roman" w:cs="Arial"/>
      <w:b/>
      <w:bCs/>
      <w:szCs w:val="24"/>
      <w:u w:val="single"/>
      <w:lang w:eastAsia="ar-SA"/>
    </w:rPr>
  </w:style>
  <w:style w:type="paragraph" w:customStyle="1" w:styleId="1">
    <w:name w:val="1"/>
    <w:uiPriority w:val="99"/>
    <w:pPr>
      <w:suppressAutoHyphens/>
    </w:pPr>
    <w:rPr>
      <w:rFonts w:ascii="Goudy Old Style" w:eastAsia="Calibri" w:hAnsi="Goudy Old Style" w:cs="Arial"/>
      <w:sz w:val="24"/>
      <w:szCs w:val="20"/>
      <w:lang w:val="fr-FR" w:eastAsia="ar-SA"/>
    </w:rPr>
  </w:style>
  <w:style w:type="paragraph" w:styleId="Pieddepage">
    <w:name w:val="footer"/>
    <w:basedOn w:val="Normal"/>
    <w:link w:val="PieddepageCar"/>
    <w:uiPriority w:val="99"/>
    <w:pPr>
      <w:tabs>
        <w:tab w:val="center" w:pos="4819"/>
        <w:tab w:val="right" w:pos="9071"/>
      </w:tabs>
      <w:suppressAutoHyphens/>
    </w:pPr>
    <w:rPr>
      <w:rFonts w:ascii="Tms Rmn" w:eastAsia="Times New Roman" w:hAnsi="Tms Rmn" w:cs="Arial"/>
      <w:sz w:val="20"/>
      <w:szCs w:val="20"/>
      <w:lang w:eastAsia="ar-SA"/>
    </w:rPr>
  </w:style>
  <w:style w:type="character" w:customStyle="1" w:styleId="PieddepageCar">
    <w:name w:val="Pied de page Car"/>
    <w:basedOn w:val="Policepardfaut"/>
    <w:link w:val="Pieddepage"/>
    <w:uiPriority w:val="99"/>
    <w:rPr>
      <w:rFonts w:ascii="Tms Rmn" w:eastAsia="Times New Roman" w:hAnsi="Tms Rmn" w:cs="Arial"/>
      <w:sz w:val="20"/>
      <w:szCs w:val="20"/>
      <w:lang w:eastAsia="ar-SA"/>
    </w:rPr>
  </w:style>
  <w:style w:type="paragraph" w:styleId="En-tte">
    <w:name w:val="header"/>
    <w:basedOn w:val="Normal"/>
    <w:link w:val="En-tteCar"/>
    <w:uiPriority w:val="99"/>
    <w:pPr>
      <w:tabs>
        <w:tab w:val="center" w:pos="4536"/>
        <w:tab w:val="right" w:pos="9072"/>
      </w:tabs>
      <w:suppressAutoHyphens/>
    </w:pPr>
    <w:rPr>
      <w:rFonts w:ascii="Georgia" w:eastAsia="Times New Roman" w:hAnsi="Georgia" w:cs="Arial"/>
      <w:szCs w:val="20"/>
      <w:lang w:eastAsia="ar-SA"/>
    </w:rPr>
  </w:style>
  <w:style w:type="character" w:customStyle="1" w:styleId="En-tteCar">
    <w:name w:val="En-tête Car"/>
    <w:basedOn w:val="Policepardfaut"/>
    <w:link w:val="En-tte"/>
    <w:uiPriority w:val="99"/>
    <w:rPr>
      <w:rFonts w:ascii="Georgia" w:eastAsia="Times New Roman" w:hAnsi="Georgia" w:cs="Arial"/>
      <w:szCs w:val="20"/>
      <w:lang w:eastAsia="ar-SA"/>
    </w:rPr>
  </w:style>
  <w:style w:type="paragraph" w:styleId="Retraitcorpsdetexte">
    <w:name w:val="Body Text Indent"/>
    <w:basedOn w:val="Normal"/>
    <w:link w:val="RetraitcorpsdetexteCar"/>
    <w:pPr>
      <w:tabs>
        <w:tab w:val="left" w:pos="1276"/>
        <w:tab w:val="left" w:pos="3174"/>
        <w:tab w:val="left" w:pos="3968"/>
        <w:tab w:val="left" w:pos="4591"/>
        <w:tab w:val="left" w:pos="4818"/>
      </w:tabs>
      <w:suppressAutoHyphens/>
      <w:ind w:left="1276" w:hanging="283"/>
    </w:pPr>
    <w:rPr>
      <w:rFonts w:ascii="Times New Roman" w:eastAsia="Times New Roman" w:hAnsi="Times New Roman" w:cs="Arial"/>
      <w:szCs w:val="20"/>
      <w:lang w:eastAsia="ar-SA"/>
    </w:rPr>
  </w:style>
  <w:style w:type="character" w:customStyle="1" w:styleId="RetraitcorpsdetexteCar">
    <w:name w:val="Retrait corps de texte Car"/>
    <w:basedOn w:val="Policepardfaut"/>
    <w:link w:val="Retraitcorpsdetexte"/>
    <w:uiPriority w:val="99"/>
    <w:rPr>
      <w:rFonts w:ascii="Times New Roman" w:eastAsia="Times New Roman" w:hAnsi="Times New Roman" w:cs="Arial"/>
      <w:szCs w:val="20"/>
      <w:lang w:eastAsia="ar-SA"/>
    </w:rPr>
  </w:style>
  <w:style w:type="paragraph" w:customStyle="1" w:styleId="Retraitcorpsdetexte21">
    <w:name w:val="Retrait corps de texte 21"/>
    <w:basedOn w:val="Normal"/>
    <w:uiPriority w:val="99"/>
    <w:pPr>
      <w:tabs>
        <w:tab w:val="left" w:pos="-1440"/>
        <w:tab w:val="left" w:pos="-720"/>
        <w:tab w:val="left" w:pos="1"/>
        <w:tab w:val="left" w:pos="28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09" w:hanging="709"/>
    </w:pPr>
    <w:rPr>
      <w:rFonts w:ascii="Times New Roman" w:eastAsia="Times New Roman" w:hAnsi="Times New Roman" w:cs="Arial"/>
      <w:szCs w:val="20"/>
      <w:lang w:eastAsia="ar-SA"/>
    </w:rPr>
  </w:style>
  <w:style w:type="paragraph" w:customStyle="1" w:styleId="Retraitcorpsdetexte31">
    <w:name w:val="Retrait corps de texte 31"/>
    <w:basedOn w:val="Normal"/>
    <w:uiPriority w:val="99"/>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20"/>
    </w:pPr>
    <w:rPr>
      <w:rFonts w:ascii="Times New Roman" w:eastAsia="Times New Roman" w:hAnsi="Times New Roman" w:cs="Arial"/>
      <w:szCs w:val="20"/>
      <w:lang w:eastAsia="ar-SA"/>
    </w:rPr>
  </w:style>
  <w:style w:type="paragraph" w:customStyle="1" w:styleId="OmniPage258">
    <w:name w:val="OmniPage #258"/>
    <w:basedOn w:val="Normal"/>
    <w:uiPriority w:val="99"/>
    <w:pPr>
      <w:suppressAutoHyphens/>
      <w:ind w:left="1725" w:right="45" w:hanging="405"/>
    </w:pPr>
    <w:rPr>
      <w:rFonts w:ascii="Times New Roman" w:eastAsia="Times New Roman" w:hAnsi="Times New Roman" w:cs="Arial"/>
      <w:sz w:val="20"/>
      <w:szCs w:val="20"/>
      <w:lang w:eastAsia="ar-SA"/>
    </w:rPr>
  </w:style>
  <w:style w:type="paragraph" w:customStyle="1" w:styleId="OmniPage260">
    <w:name w:val="OmniPage #260"/>
    <w:basedOn w:val="Normal"/>
    <w:uiPriority w:val="99"/>
    <w:pPr>
      <w:suppressAutoHyphens/>
      <w:ind w:left="1305"/>
    </w:pPr>
    <w:rPr>
      <w:rFonts w:ascii="Times New Roman" w:eastAsia="Times New Roman" w:hAnsi="Times New Roman" w:cs="Arial"/>
      <w:sz w:val="20"/>
      <w:szCs w:val="20"/>
      <w:lang w:eastAsia="ar-SA"/>
    </w:rPr>
  </w:style>
  <w:style w:type="paragraph" w:customStyle="1" w:styleId="OmniPage264">
    <w:name w:val="OmniPage #264"/>
    <w:basedOn w:val="Normal"/>
    <w:uiPriority w:val="99"/>
    <w:pPr>
      <w:suppressAutoHyphens/>
      <w:ind w:left="2010" w:right="60" w:hanging="285"/>
    </w:pPr>
    <w:rPr>
      <w:rFonts w:ascii="Times New Roman" w:eastAsia="Times New Roman" w:hAnsi="Times New Roman" w:cs="Arial"/>
      <w:sz w:val="20"/>
      <w:szCs w:val="20"/>
      <w:lang w:eastAsia="ar-SA"/>
    </w:rPr>
  </w:style>
  <w:style w:type="paragraph" w:customStyle="1" w:styleId="OmniPage266">
    <w:name w:val="OmniPage #266"/>
    <w:basedOn w:val="Normal"/>
    <w:uiPriority w:val="99"/>
    <w:pPr>
      <w:tabs>
        <w:tab w:val="left" w:pos="800"/>
      </w:tabs>
      <w:suppressAutoHyphens/>
      <w:ind w:left="1995" w:right="45" w:hanging="270"/>
    </w:pPr>
    <w:rPr>
      <w:rFonts w:ascii="Times New Roman" w:eastAsia="Times New Roman" w:hAnsi="Times New Roman" w:cs="Arial"/>
      <w:sz w:val="20"/>
      <w:szCs w:val="20"/>
      <w:lang w:eastAsia="ar-SA"/>
    </w:rPr>
  </w:style>
  <w:style w:type="paragraph" w:customStyle="1" w:styleId="OmniPage267">
    <w:name w:val="OmniPage #267"/>
    <w:basedOn w:val="Normal"/>
    <w:uiPriority w:val="99"/>
    <w:pPr>
      <w:suppressAutoHyphens/>
      <w:ind w:left="1710" w:right="270"/>
    </w:pPr>
    <w:rPr>
      <w:rFonts w:ascii="Times New Roman" w:eastAsia="Times New Roman" w:hAnsi="Times New Roman" w:cs="Arial"/>
      <w:sz w:val="20"/>
      <w:szCs w:val="20"/>
      <w:lang w:eastAsia="ar-SA"/>
    </w:rPr>
  </w:style>
  <w:style w:type="paragraph" w:customStyle="1" w:styleId="OmniPage513">
    <w:name w:val="OmniPage #513"/>
    <w:basedOn w:val="Normal"/>
    <w:uiPriority w:val="99"/>
    <w:pPr>
      <w:suppressAutoHyphens/>
      <w:ind w:left="3030"/>
    </w:pPr>
    <w:rPr>
      <w:rFonts w:ascii="Times New Roman" w:eastAsia="Times New Roman" w:hAnsi="Times New Roman" w:cs="Arial"/>
      <w:sz w:val="20"/>
      <w:szCs w:val="20"/>
      <w:lang w:eastAsia="ar-SA"/>
    </w:rPr>
  </w:style>
  <w:style w:type="paragraph" w:customStyle="1" w:styleId="OmniPage514">
    <w:name w:val="OmniPage #514"/>
    <w:basedOn w:val="Normal"/>
    <w:uiPriority w:val="99"/>
    <w:pPr>
      <w:suppressAutoHyphens/>
      <w:ind w:left="1335"/>
    </w:pPr>
    <w:rPr>
      <w:rFonts w:ascii="Times New Roman" w:eastAsia="Times New Roman" w:hAnsi="Times New Roman" w:cs="Arial"/>
      <w:sz w:val="20"/>
      <w:szCs w:val="20"/>
      <w:lang w:eastAsia="ar-SA"/>
    </w:rPr>
  </w:style>
  <w:style w:type="paragraph" w:customStyle="1" w:styleId="OmniPage515">
    <w:name w:val="OmniPage #515"/>
    <w:basedOn w:val="Normal"/>
    <w:uiPriority w:val="99"/>
    <w:pPr>
      <w:suppressAutoHyphens/>
      <w:ind w:left="1335" w:right="5925"/>
    </w:pPr>
    <w:rPr>
      <w:rFonts w:ascii="Times New Roman" w:eastAsia="Times New Roman" w:hAnsi="Times New Roman" w:cs="Arial"/>
      <w:sz w:val="20"/>
      <w:szCs w:val="20"/>
      <w:lang w:eastAsia="ar-SA"/>
    </w:rPr>
  </w:style>
  <w:style w:type="paragraph" w:customStyle="1" w:styleId="OmniPage516">
    <w:name w:val="OmniPage #516"/>
    <w:basedOn w:val="Normal"/>
    <w:uiPriority w:val="99"/>
    <w:pPr>
      <w:suppressAutoHyphens/>
      <w:ind w:left="1860" w:right="45"/>
    </w:pPr>
    <w:rPr>
      <w:rFonts w:ascii="Times New Roman" w:eastAsia="Times New Roman" w:hAnsi="Times New Roman" w:cs="Arial"/>
      <w:sz w:val="20"/>
      <w:szCs w:val="20"/>
      <w:lang w:eastAsia="ar-SA"/>
    </w:rPr>
  </w:style>
  <w:style w:type="paragraph" w:customStyle="1" w:styleId="OmniPage526">
    <w:name w:val="OmniPage #526"/>
    <w:basedOn w:val="Normal"/>
    <w:uiPriority w:val="99"/>
    <w:pPr>
      <w:suppressAutoHyphens/>
      <w:ind w:left="1260"/>
    </w:pPr>
    <w:rPr>
      <w:rFonts w:ascii="Times New Roman" w:eastAsia="Times New Roman" w:hAnsi="Times New Roman" w:cs="Arial"/>
      <w:sz w:val="20"/>
      <w:szCs w:val="20"/>
      <w:lang w:eastAsia="ar-SA"/>
    </w:rPr>
  </w:style>
  <w:style w:type="paragraph" w:customStyle="1" w:styleId="OmniPage530">
    <w:name w:val="OmniPage #530"/>
    <w:basedOn w:val="Normal"/>
    <w:uiPriority w:val="99"/>
    <w:pPr>
      <w:tabs>
        <w:tab w:val="left" w:pos="905"/>
      </w:tabs>
      <w:suppressAutoHyphens/>
      <w:ind w:left="2115" w:right="45" w:hanging="270"/>
    </w:pPr>
    <w:rPr>
      <w:rFonts w:ascii="Times New Roman" w:eastAsia="Times New Roman" w:hAnsi="Times New Roman" w:cs="Arial"/>
      <w:sz w:val="20"/>
      <w:szCs w:val="20"/>
      <w:lang w:eastAsia="ar-SA"/>
    </w:rPr>
  </w:style>
  <w:style w:type="paragraph" w:customStyle="1" w:styleId="OmniPage769">
    <w:name w:val="OmniPage #769"/>
    <w:basedOn w:val="Normal"/>
    <w:uiPriority w:val="99"/>
    <w:pPr>
      <w:suppressAutoHyphens/>
      <w:ind w:left="1935"/>
    </w:pPr>
    <w:rPr>
      <w:rFonts w:ascii="Times New Roman" w:eastAsia="Times New Roman" w:hAnsi="Times New Roman" w:cs="Arial"/>
      <w:sz w:val="20"/>
      <w:szCs w:val="20"/>
      <w:lang w:eastAsia="ar-SA"/>
    </w:rPr>
  </w:style>
  <w:style w:type="paragraph" w:customStyle="1" w:styleId="OmniPage770">
    <w:name w:val="OmniPage #770"/>
    <w:basedOn w:val="Normal"/>
    <w:uiPriority w:val="99"/>
    <w:pPr>
      <w:tabs>
        <w:tab w:val="left" w:pos="965"/>
      </w:tabs>
      <w:suppressAutoHyphens/>
      <w:ind w:left="2205" w:right="45" w:hanging="270"/>
    </w:pPr>
    <w:rPr>
      <w:rFonts w:ascii="Times New Roman" w:eastAsia="Times New Roman" w:hAnsi="Times New Roman" w:cs="Arial"/>
      <w:sz w:val="20"/>
      <w:szCs w:val="20"/>
      <w:lang w:eastAsia="ar-SA"/>
    </w:rPr>
  </w:style>
  <w:style w:type="paragraph" w:customStyle="1" w:styleId="OmniPage772">
    <w:name w:val="OmniPage #772"/>
    <w:basedOn w:val="Normal"/>
    <w:uiPriority w:val="99"/>
    <w:pPr>
      <w:suppressAutoHyphens/>
      <w:ind w:left="1365"/>
    </w:pPr>
    <w:rPr>
      <w:rFonts w:ascii="Times New Roman" w:eastAsia="Times New Roman" w:hAnsi="Times New Roman" w:cs="Arial"/>
      <w:sz w:val="20"/>
      <w:szCs w:val="20"/>
      <w:lang w:eastAsia="ar-SA"/>
    </w:rPr>
  </w:style>
  <w:style w:type="paragraph" w:customStyle="1" w:styleId="OmniPage773">
    <w:name w:val="OmniPage #773"/>
    <w:basedOn w:val="Normal"/>
    <w:uiPriority w:val="99"/>
    <w:pPr>
      <w:suppressAutoHyphens/>
      <w:ind w:left="1935"/>
    </w:pPr>
    <w:rPr>
      <w:rFonts w:ascii="Times New Roman" w:eastAsia="Times New Roman" w:hAnsi="Times New Roman" w:cs="Arial"/>
      <w:sz w:val="20"/>
      <w:szCs w:val="20"/>
      <w:lang w:eastAsia="ar-SA"/>
    </w:rPr>
  </w:style>
  <w:style w:type="paragraph" w:customStyle="1" w:styleId="OmniPage774">
    <w:name w:val="OmniPage #774"/>
    <w:basedOn w:val="Normal"/>
    <w:uiPriority w:val="99"/>
    <w:pPr>
      <w:suppressAutoHyphens/>
      <w:ind w:left="1905" w:right="45"/>
    </w:pPr>
    <w:rPr>
      <w:rFonts w:ascii="Times New Roman" w:eastAsia="Times New Roman" w:hAnsi="Times New Roman" w:cs="Arial"/>
      <w:sz w:val="20"/>
      <w:szCs w:val="20"/>
      <w:lang w:eastAsia="ar-SA"/>
    </w:rPr>
  </w:style>
  <w:style w:type="paragraph" w:customStyle="1" w:styleId="OmniPage781">
    <w:name w:val="OmniPage #781"/>
    <w:basedOn w:val="Normal"/>
    <w:uiPriority w:val="99"/>
    <w:pPr>
      <w:suppressAutoHyphens/>
      <w:ind w:left="1905" w:right="90" w:hanging="570"/>
    </w:pPr>
    <w:rPr>
      <w:rFonts w:ascii="Times New Roman" w:eastAsia="Times New Roman" w:hAnsi="Times New Roman" w:cs="Arial"/>
      <w:sz w:val="20"/>
      <w:szCs w:val="20"/>
      <w:lang w:eastAsia="ar-SA"/>
    </w:rPr>
  </w:style>
  <w:style w:type="paragraph" w:customStyle="1" w:styleId="OmniPage1025">
    <w:name w:val="OmniPage #1025"/>
    <w:basedOn w:val="Normal"/>
    <w:uiPriority w:val="99"/>
    <w:pPr>
      <w:suppressAutoHyphens/>
      <w:ind w:left="1305"/>
    </w:pPr>
    <w:rPr>
      <w:rFonts w:ascii="Times New Roman" w:eastAsia="Times New Roman" w:hAnsi="Times New Roman" w:cs="Arial"/>
      <w:sz w:val="20"/>
      <w:szCs w:val="20"/>
      <w:lang w:eastAsia="ar-SA"/>
    </w:rPr>
  </w:style>
  <w:style w:type="paragraph" w:customStyle="1" w:styleId="OmniPage1027">
    <w:name w:val="OmniPage #1027"/>
    <w:basedOn w:val="Normal"/>
    <w:uiPriority w:val="99"/>
    <w:pPr>
      <w:suppressAutoHyphens/>
      <w:ind w:left="1905" w:right="45" w:hanging="555"/>
    </w:pPr>
    <w:rPr>
      <w:rFonts w:ascii="Times New Roman" w:eastAsia="Times New Roman" w:hAnsi="Times New Roman" w:cs="Arial"/>
      <w:sz w:val="20"/>
      <w:szCs w:val="20"/>
      <w:lang w:eastAsia="ar-SA"/>
    </w:rPr>
  </w:style>
  <w:style w:type="paragraph" w:customStyle="1" w:styleId="OmniPage1028">
    <w:name w:val="OmniPage #1028"/>
    <w:basedOn w:val="Normal"/>
    <w:uiPriority w:val="99"/>
    <w:pPr>
      <w:tabs>
        <w:tab w:val="right" w:pos="9746"/>
      </w:tabs>
      <w:suppressAutoHyphens/>
      <w:ind w:left="1920"/>
    </w:pPr>
    <w:rPr>
      <w:rFonts w:ascii="Times New Roman" w:eastAsia="Times New Roman" w:hAnsi="Times New Roman" w:cs="Arial"/>
      <w:sz w:val="20"/>
      <w:szCs w:val="20"/>
      <w:lang w:eastAsia="ar-SA"/>
    </w:rPr>
  </w:style>
  <w:style w:type="paragraph" w:customStyle="1" w:styleId="OmniPage1029">
    <w:name w:val="OmniPage #1029"/>
    <w:basedOn w:val="Normal"/>
    <w:uiPriority w:val="99"/>
    <w:pPr>
      <w:suppressAutoHyphens/>
      <w:ind w:left="1860" w:right="45"/>
    </w:pPr>
    <w:rPr>
      <w:rFonts w:ascii="Times New Roman" w:eastAsia="Times New Roman" w:hAnsi="Times New Roman" w:cs="Arial"/>
      <w:sz w:val="20"/>
      <w:szCs w:val="20"/>
      <w:lang w:eastAsia="ar-SA"/>
    </w:rPr>
  </w:style>
  <w:style w:type="paragraph" w:customStyle="1" w:styleId="OmniPage1030">
    <w:name w:val="OmniPage #1030"/>
    <w:basedOn w:val="Normal"/>
    <w:uiPriority w:val="99"/>
    <w:pPr>
      <w:tabs>
        <w:tab w:val="left" w:pos="885"/>
        <w:tab w:val="right" w:pos="9746"/>
      </w:tabs>
      <w:suppressAutoHyphens/>
      <w:ind w:left="1905"/>
    </w:pPr>
    <w:rPr>
      <w:rFonts w:ascii="Times New Roman" w:eastAsia="Times New Roman" w:hAnsi="Times New Roman" w:cs="Arial"/>
      <w:sz w:val="20"/>
      <w:szCs w:val="20"/>
      <w:lang w:eastAsia="ar-SA"/>
    </w:rPr>
  </w:style>
  <w:style w:type="paragraph" w:customStyle="1" w:styleId="OmniPage1031">
    <w:name w:val="OmniPage #1031"/>
    <w:basedOn w:val="Normal"/>
    <w:uiPriority w:val="99"/>
    <w:pPr>
      <w:tabs>
        <w:tab w:val="left" w:pos="920"/>
      </w:tabs>
      <w:suppressAutoHyphens/>
      <w:ind w:left="2175" w:right="45" w:hanging="270"/>
    </w:pPr>
    <w:rPr>
      <w:rFonts w:ascii="Times New Roman" w:eastAsia="Times New Roman" w:hAnsi="Times New Roman" w:cs="Arial"/>
      <w:sz w:val="20"/>
      <w:szCs w:val="20"/>
      <w:lang w:eastAsia="ar-SA"/>
    </w:rPr>
  </w:style>
  <w:style w:type="paragraph" w:customStyle="1" w:styleId="OmniPage1032">
    <w:name w:val="OmniPage #1032"/>
    <w:basedOn w:val="Normal"/>
    <w:uiPriority w:val="99"/>
    <w:pPr>
      <w:tabs>
        <w:tab w:val="left" w:pos="885"/>
        <w:tab w:val="right" w:pos="9746"/>
      </w:tabs>
      <w:suppressAutoHyphens/>
      <w:ind w:left="1905"/>
    </w:pPr>
    <w:rPr>
      <w:rFonts w:ascii="Times New Roman" w:eastAsia="Times New Roman" w:hAnsi="Times New Roman" w:cs="Arial"/>
      <w:sz w:val="20"/>
      <w:szCs w:val="20"/>
      <w:lang w:eastAsia="ar-SA"/>
    </w:rPr>
  </w:style>
  <w:style w:type="paragraph" w:customStyle="1" w:styleId="OmniPage1033">
    <w:name w:val="OmniPage #1033"/>
    <w:basedOn w:val="Normal"/>
    <w:uiPriority w:val="99"/>
    <w:pPr>
      <w:suppressAutoHyphens/>
      <w:ind w:left="1860"/>
    </w:pPr>
    <w:rPr>
      <w:rFonts w:ascii="Times New Roman" w:eastAsia="Times New Roman" w:hAnsi="Times New Roman" w:cs="Arial"/>
      <w:sz w:val="20"/>
      <w:szCs w:val="20"/>
      <w:lang w:eastAsia="ar-SA"/>
    </w:rPr>
  </w:style>
  <w:style w:type="paragraph" w:styleId="TM1">
    <w:name w:val="toc 1"/>
    <w:aliases w:val="Titre 10"/>
    <w:basedOn w:val="Normal"/>
    <w:next w:val="Titre2"/>
    <w:uiPriority w:val="39"/>
    <w:pPr>
      <w:suppressAutoHyphens/>
      <w:spacing w:before="120"/>
    </w:pPr>
    <w:rPr>
      <w:rFonts w:eastAsia="Times New Roman" w:cs="Arial"/>
      <w:b/>
      <w:bCs/>
      <w:smallCaps/>
      <w:sz w:val="28"/>
      <w:szCs w:val="20"/>
      <w:lang w:eastAsia="ar-SA"/>
    </w:rPr>
  </w:style>
  <w:style w:type="paragraph" w:styleId="TM2">
    <w:name w:val="toc 2"/>
    <w:basedOn w:val="Normal"/>
    <w:next w:val="Normal"/>
    <w:uiPriority w:val="39"/>
    <w:pPr>
      <w:suppressAutoHyphens/>
    </w:pPr>
    <w:rPr>
      <w:rFonts w:eastAsia="Times New Roman" w:cs="Arial"/>
      <w:b/>
      <w:iCs/>
      <w:szCs w:val="20"/>
      <w:lang w:eastAsia="ar-SA"/>
    </w:rPr>
  </w:style>
  <w:style w:type="paragraph" w:styleId="TM3">
    <w:name w:val="toc 3"/>
    <w:basedOn w:val="Normal"/>
    <w:next w:val="Normal"/>
    <w:uiPriority w:val="39"/>
    <w:pPr>
      <w:suppressAutoHyphens/>
    </w:pPr>
    <w:rPr>
      <w:rFonts w:eastAsia="Times New Roman" w:cs="Arial"/>
      <w:szCs w:val="20"/>
      <w:lang w:eastAsia="ar-SA"/>
    </w:rPr>
  </w:style>
  <w:style w:type="paragraph" w:styleId="TM4">
    <w:name w:val="toc 4"/>
    <w:basedOn w:val="Normal"/>
    <w:next w:val="Normal"/>
    <w:uiPriority w:val="39"/>
    <w:pPr>
      <w:suppressAutoHyphens/>
      <w:ind w:left="709"/>
    </w:pPr>
    <w:rPr>
      <w:rFonts w:eastAsia="Times New Roman" w:cs="Arial"/>
      <w:szCs w:val="20"/>
      <w:lang w:eastAsia="ar-SA"/>
    </w:rPr>
  </w:style>
  <w:style w:type="paragraph" w:styleId="TM5">
    <w:name w:val="toc 5"/>
    <w:basedOn w:val="Normal"/>
    <w:next w:val="Normal"/>
    <w:uiPriority w:val="39"/>
    <w:pPr>
      <w:suppressAutoHyphens/>
      <w:ind w:left="960"/>
    </w:pPr>
    <w:rPr>
      <w:rFonts w:ascii="Times New Roman" w:eastAsia="Times New Roman" w:hAnsi="Times New Roman" w:cs="Arial"/>
      <w:sz w:val="20"/>
      <w:szCs w:val="20"/>
      <w:lang w:eastAsia="ar-SA"/>
    </w:rPr>
  </w:style>
  <w:style w:type="paragraph" w:styleId="TM6">
    <w:name w:val="toc 6"/>
    <w:basedOn w:val="Normal"/>
    <w:next w:val="Normal"/>
    <w:uiPriority w:val="39"/>
    <w:pPr>
      <w:suppressAutoHyphens/>
      <w:ind w:left="1200"/>
    </w:pPr>
    <w:rPr>
      <w:rFonts w:ascii="Times New Roman" w:eastAsia="Times New Roman" w:hAnsi="Times New Roman" w:cs="Arial"/>
      <w:sz w:val="20"/>
      <w:szCs w:val="20"/>
      <w:lang w:eastAsia="ar-SA"/>
    </w:rPr>
  </w:style>
  <w:style w:type="paragraph" w:styleId="TM7">
    <w:name w:val="toc 7"/>
    <w:basedOn w:val="Normal"/>
    <w:next w:val="Normal"/>
    <w:uiPriority w:val="39"/>
    <w:pPr>
      <w:suppressAutoHyphens/>
      <w:ind w:left="1440"/>
    </w:pPr>
    <w:rPr>
      <w:rFonts w:ascii="Times New Roman" w:eastAsia="Times New Roman" w:hAnsi="Times New Roman" w:cs="Arial"/>
      <w:sz w:val="20"/>
      <w:szCs w:val="20"/>
      <w:lang w:eastAsia="ar-SA"/>
    </w:rPr>
  </w:style>
  <w:style w:type="paragraph" w:styleId="TM8">
    <w:name w:val="toc 8"/>
    <w:basedOn w:val="Normal"/>
    <w:next w:val="Normal"/>
    <w:uiPriority w:val="39"/>
    <w:pPr>
      <w:suppressAutoHyphens/>
      <w:ind w:left="1680"/>
    </w:pPr>
    <w:rPr>
      <w:rFonts w:ascii="Times New Roman" w:eastAsia="Times New Roman" w:hAnsi="Times New Roman" w:cs="Arial"/>
      <w:sz w:val="20"/>
      <w:szCs w:val="20"/>
      <w:lang w:eastAsia="ar-SA"/>
    </w:rPr>
  </w:style>
  <w:style w:type="paragraph" w:styleId="TM9">
    <w:name w:val="toc 9"/>
    <w:basedOn w:val="Normal"/>
    <w:next w:val="Normal"/>
    <w:uiPriority w:val="39"/>
    <w:pPr>
      <w:suppressAutoHyphens/>
      <w:ind w:left="1920"/>
    </w:pPr>
    <w:rPr>
      <w:rFonts w:ascii="Times New Roman" w:eastAsia="Times New Roman" w:hAnsi="Times New Roman" w:cs="Arial"/>
      <w:sz w:val="20"/>
      <w:szCs w:val="20"/>
      <w:lang w:eastAsia="ar-SA"/>
    </w:rPr>
  </w:style>
  <w:style w:type="paragraph" w:customStyle="1" w:styleId="Listepuces1">
    <w:name w:val="Liste à puce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Corpsdetexte31">
    <w:name w:val="Corps de texte 31"/>
    <w:basedOn w:val="Normal"/>
    <w:uiPriority w:val="99"/>
    <w:pPr>
      <w:suppressAutoHyphens/>
      <w:spacing w:line="480" w:lineRule="auto"/>
      <w:jc w:val="center"/>
    </w:pPr>
    <w:rPr>
      <w:rFonts w:ascii="Times New Roman" w:eastAsia="Times New Roman" w:hAnsi="Times New Roman" w:cs="Arial"/>
      <w:b/>
      <w:szCs w:val="20"/>
      <w:u w:val="single"/>
      <w:lang w:eastAsia="ar-SA"/>
    </w:rPr>
  </w:style>
  <w:style w:type="character" w:customStyle="1" w:styleId="TitreCar1">
    <w:name w:val="Titre Car1"/>
    <w:basedOn w:val="Policepardfaut"/>
    <w:rPr>
      <w:rFonts w:ascii="Times New Roman" w:eastAsia="Times New Roman" w:hAnsi="Times New Roman" w:cs="Arial"/>
      <w:b/>
      <w:sz w:val="28"/>
      <w:szCs w:val="20"/>
      <w:u w:val="single"/>
      <w:lang w:eastAsia="ar-SA"/>
    </w:rPr>
  </w:style>
  <w:style w:type="paragraph" w:customStyle="1" w:styleId="Explorateurdedocument1">
    <w:name w:val="Explorateur de document1"/>
    <w:basedOn w:val="Normal"/>
    <w:uiPriority w:val="99"/>
    <w:pPr>
      <w:shd w:val="clear" w:color="auto" w:fill="000080"/>
      <w:suppressAutoHyphens/>
    </w:pPr>
    <w:rPr>
      <w:rFonts w:ascii="Tahoma" w:eastAsia="Times New Roman" w:hAnsi="Tahoma" w:cs="Arial"/>
      <w:szCs w:val="20"/>
      <w:lang w:eastAsia="ar-SA"/>
    </w:rPr>
  </w:style>
  <w:style w:type="paragraph" w:styleId="NormalWeb">
    <w:name w:val="Normal (Web)"/>
    <w:basedOn w:val="Normal"/>
    <w:uiPriority w:val="99"/>
    <w:pPr>
      <w:suppressAutoHyphens/>
      <w:spacing w:before="60"/>
    </w:pPr>
    <w:rPr>
      <w:rFonts w:ascii="Century" w:eastAsia="Times New Roman" w:hAnsi="Century" w:cs="Arial"/>
      <w:color w:val="000000"/>
      <w:szCs w:val="27"/>
      <w:lang w:eastAsia="ar-SA"/>
    </w:rPr>
  </w:style>
  <w:style w:type="paragraph" w:customStyle="1" w:styleId="ARTICLE">
    <w:name w:val="ARTICLE"/>
    <w:basedOn w:val="Corpsdetexte21"/>
    <w:uiPriority w:val="99"/>
    <w:pPr>
      <w:tabs>
        <w:tab w:val="left" w:pos="1134"/>
      </w:tabs>
    </w:pPr>
    <w:rPr>
      <w:rFonts w:ascii="Arial" w:hAnsi="Arial"/>
      <w:color w:val="000000"/>
      <w:sz w:val="16"/>
      <w:szCs w:val="16"/>
      <w:u w:val="single"/>
    </w:rPr>
  </w:style>
  <w:style w:type="paragraph" w:styleId="Notedebasdepage">
    <w:name w:val="footnote text"/>
    <w:basedOn w:val="Corpsdetexte"/>
    <w:link w:val="NotedebasdepageCar1"/>
    <w:autoRedefine/>
    <w:uiPriority w:val="99"/>
    <w:qFormat/>
    <w:pPr>
      <w:keepNext/>
      <w:keepLines/>
      <w:framePr w:wrap="around" w:hAnchor="text"/>
      <w:widowControl/>
      <w:jc w:val="left"/>
    </w:pPr>
    <w:rPr>
      <w:rFonts w:eastAsiaTheme="minorHAnsi"/>
      <w:sz w:val="16"/>
    </w:rPr>
  </w:style>
  <w:style w:type="character" w:customStyle="1" w:styleId="NotedebasdepageCar1">
    <w:name w:val="Note de bas de page Car1"/>
    <w:basedOn w:val="Policepardfaut"/>
    <w:link w:val="Notedebasdepage"/>
    <w:uiPriority w:val="99"/>
    <w:rPr>
      <w:rFonts w:asciiTheme="majorHAnsi" w:hAnsiTheme="majorHAnsi" w:cs="Arial"/>
      <w:color w:val="000000" w:themeColor="text1"/>
      <w:sz w:val="16"/>
      <w:szCs w:val="16"/>
      <w:lang w:eastAsia="ar-SA"/>
    </w:rPr>
  </w:style>
  <w:style w:type="paragraph" w:customStyle="1" w:styleId="Normalcentr1">
    <w:name w:val="Normal centré1"/>
    <w:basedOn w:val="Normal"/>
    <w:uiPriority w:val="99"/>
    <w:pPr>
      <w:tabs>
        <w:tab w:val="left" w:pos="-589"/>
        <w:tab w:val="left" w:pos="2003"/>
        <w:tab w:val="left" w:pos="6323"/>
      </w:tabs>
      <w:suppressAutoHyphens/>
      <w:ind w:left="106" w:right="426"/>
    </w:pPr>
    <w:rPr>
      <w:rFonts w:ascii="Arial" w:eastAsia="Times New Roman" w:hAnsi="Arial" w:cs="Arial"/>
      <w:szCs w:val="20"/>
      <w:lang w:eastAsia="ar-SA"/>
    </w:rPr>
  </w:style>
  <w:style w:type="paragraph" w:customStyle="1" w:styleId="Cadre1">
    <w:name w:val="Cadre1"/>
    <w:basedOn w:val="Normal"/>
    <w:uiPriority w:val="99"/>
    <w:pPr>
      <w:pBdr>
        <w:top w:val="single" w:sz="4" w:space="6" w:color="000000" w:shadow="1"/>
        <w:left w:val="single" w:sz="4" w:space="4" w:color="000000" w:shadow="1"/>
        <w:bottom w:val="single" w:sz="4" w:space="6" w:color="000000" w:shadow="1"/>
        <w:right w:val="single" w:sz="4" w:space="4" w:color="000000" w:shadow="1"/>
      </w:pBdr>
      <w:suppressAutoHyphens/>
      <w:ind w:left="709" w:right="565"/>
      <w:jc w:val="center"/>
    </w:pPr>
    <w:rPr>
      <w:rFonts w:ascii="Times New Roman" w:eastAsia="Times New Roman" w:hAnsi="Times New Roman" w:cs="Arial"/>
      <w:b/>
      <w:bCs/>
      <w:szCs w:val="24"/>
      <w:lang w:eastAsia="ar-SA"/>
    </w:rPr>
  </w:style>
  <w:style w:type="paragraph" w:customStyle="1" w:styleId="Normal14pt">
    <w:name w:val="Normal + 14 pt"/>
    <w:basedOn w:val="Normal"/>
    <w:uiPriority w:val="99"/>
    <w:pPr>
      <w:suppressAutoHyphens/>
    </w:pPr>
    <w:rPr>
      <w:rFonts w:ascii="Arial" w:eastAsia="Times New Roman" w:hAnsi="Arial" w:cs="Arial"/>
      <w:b/>
      <w:sz w:val="20"/>
      <w:szCs w:val="28"/>
      <w:lang w:eastAsia="ar-SA"/>
    </w:rPr>
  </w:style>
  <w:style w:type="paragraph" w:styleId="Notedefin">
    <w:name w:val="endnote text"/>
    <w:basedOn w:val="Normal"/>
    <w:link w:val="NotedefinCar"/>
    <w:uiPriority w:val="99"/>
    <w:pPr>
      <w:suppressAutoHyphens/>
    </w:pPr>
    <w:rPr>
      <w:rFonts w:ascii="Georgia" w:eastAsia="Times New Roman" w:hAnsi="Georgia" w:cs="Arial"/>
      <w:sz w:val="20"/>
      <w:szCs w:val="20"/>
      <w:lang w:eastAsia="ar-SA"/>
    </w:rPr>
  </w:style>
  <w:style w:type="character" w:customStyle="1" w:styleId="NotedefinCar">
    <w:name w:val="Note de fin Car"/>
    <w:basedOn w:val="Policepardfaut"/>
    <w:link w:val="Notedefin"/>
    <w:uiPriority w:val="99"/>
    <w:rPr>
      <w:rFonts w:ascii="Georgia" w:eastAsia="Times New Roman" w:hAnsi="Georgia" w:cs="Arial"/>
      <w:sz w:val="20"/>
      <w:szCs w:val="20"/>
      <w:lang w:eastAsia="ar-SA"/>
    </w:rPr>
  </w:style>
  <w:style w:type="paragraph" w:customStyle="1" w:styleId="Default">
    <w:name w:val="Default"/>
    <w:pPr>
      <w:suppressAutoHyphens/>
      <w:autoSpaceDE w:val="0"/>
    </w:pPr>
    <w:rPr>
      <w:rFonts w:ascii="Times New Roman" w:eastAsia="Calibri" w:hAnsi="Times New Roman" w:cs="Arial"/>
      <w:color w:val="000000"/>
      <w:sz w:val="24"/>
      <w:szCs w:val="24"/>
      <w:lang w:val="fr-FR" w:eastAsia="ar-SA"/>
    </w:rPr>
  </w:style>
  <w:style w:type="paragraph" w:customStyle="1" w:styleId="ddxbook">
    <w:name w:val="ddxbook"/>
    <w:basedOn w:val="Normal"/>
    <w:uiPriority w:val="99"/>
    <w:pPr>
      <w:suppressAutoHyphens/>
    </w:pPr>
    <w:rPr>
      <w:rFonts w:ascii="Century Schoolbook" w:eastAsia="Times New Roman" w:hAnsi="Century Schoolbook" w:cs="Arial"/>
      <w:szCs w:val="20"/>
      <w:lang w:eastAsia="ar-SA"/>
    </w:rPr>
  </w:style>
  <w:style w:type="paragraph" w:styleId="Adressedestinataire">
    <w:name w:val="envelope address"/>
    <w:basedOn w:val="Normal"/>
    <w:uiPriority w:val="99"/>
    <w:pPr>
      <w:suppressAutoHyphens/>
      <w:ind w:left="2835"/>
    </w:pPr>
    <w:rPr>
      <w:rFonts w:ascii="Arial" w:eastAsia="Times New Roman" w:hAnsi="Arial" w:cs="Arial"/>
      <w:szCs w:val="24"/>
      <w:lang w:eastAsia="ar-SA"/>
    </w:rPr>
  </w:style>
  <w:style w:type="paragraph" w:styleId="Adresseexpditeur">
    <w:name w:val="envelope return"/>
    <w:basedOn w:val="Normal"/>
    <w:uiPriority w:val="99"/>
    <w:pPr>
      <w:suppressAutoHyphens/>
    </w:pPr>
    <w:rPr>
      <w:rFonts w:ascii="Arial" w:eastAsia="Times New Roman" w:hAnsi="Arial" w:cs="Arial"/>
      <w:sz w:val="20"/>
      <w:szCs w:val="20"/>
      <w:lang w:eastAsia="ar-SA"/>
    </w:rPr>
  </w:style>
  <w:style w:type="paragraph" w:styleId="AdresseHTML">
    <w:name w:val="HTML Address"/>
    <w:basedOn w:val="Normal"/>
    <w:link w:val="AdresseHTMLCar"/>
    <w:uiPriority w:val="99"/>
    <w:pPr>
      <w:suppressAutoHyphens/>
    </w:pPr>
    <w:rPr>
      <w:rFonts w:ascii="Times New Roman" w:eastAsia="Times New Roman" w:hAnsi="Times New Roman" w:cs="Arial"/>
      <w:i/>
      <w:iCs/>
      <w:sz w:val="20"/>
      <w:szCs w:val="20"/>
      <w:lang w:eastAsia="ar-SA"/>
    </w:rPr>
  </w:style>
  <w:style w:type="character" w:customStyle="1" w:styleId="AdresseHTMLCar">
    <w:name w:val="Adresse HTML Car"/>
    <w:basedOn w:val="Policepardfaut"/>
    <w:link w:val="AdresseHTML"/>
    <w:uiPriority w:val="99"/>
    <w:rPr>
      <w:rFonts w:ascii="Times New Roman" w:eastAsia="Times New Roman" w:hAnsi="Times New Roman" w:cs="Arial"/>
      <w:i/>
      <w:iCs/>
      <w:sz w:val="20"/>
      <w:szCs w:val="20"/>
      <w:lang w:eastAsia="ar-SA"/>
    </w:rPr>
  </w:style>
  <w:style w:type="paragraph" w:customStyle="1" w:styleId="Date1">
    <w:name w:val="Date1"/>
    <w:basedOn w:val="Normal"/>
    <w:next w:val="Normal"/>
    <w:uiPriority w:val="99"/>
    <w:pPr>
      <w:suppressAutoHyphens/>
    </w:pPr>
    <w:rPr>
      <w:rFonts w:ascii="Times New Roman" w:eastAsia="Times New Roman" w:hAnsi="Times New Roman" w:cs="Arial"/>
      <w:sz w:val="20"/>
      <w:szCs w:val="20"/>
      <w:lang w:eastAsia="ar-SA"/>
    </w:rPr>
  </w:style>
  <w:style w:type="paragraph" w:customStyle="1" w:styleId="En-ttedemessage1">
    <w:name w:val="En-tête de message1"/>
    <w:basedOn w:val="Normal"/>
    <w:uiPriority w:val="99"/>
    <w:pPr>
      <w:pBdr>
        <w:top w:val="single" w:sz="4" w:space="1" w:color="000000"/>
        <w:left w:val="single" w:sz="4" w:space="1" w:color="000000"/>
        <w:bottom w:val="single" w:sz="4" w:space="1" w:color="000000"/>
        <w:right w:val="single" w:sz="4" w:space="1" w:color="000000"/>
      </w:pBdr>
      <w:shd w:val="clear" w:color="auto" w:fill="CCCCCC"/>
      <w:suppressAutoHyphens/>
      <w:ind w:left="1134" w:hanging="1134"/>
    </w:pPr>
    <w:rPr>
      <w:rFonts w:ascii="Arial" w:eastAsia="Times New Roman" w:hAnsi="Arial" w:cs="Arial"/>
      <w:szCs w:val="24"/>
      <w:lang w:eastAsia="ar-SA"/>
    </w:rPr>
  </w:style>
  <w:style w:type="paragraph" w:customStyle="1" w:styleId="Formuledepolitesse1">
    <w:name w:val="Formule de politesse1"/>
    <w:basedOn w:val="Normal"/>
    <w:uiPriority w:val="99"/>
    <w:pPr>
      <w:suppressAutoHyphens/>
      <w:ind w:left="4252"/>
    </w:pPr>
    <w:rPr>
      <w:rFonts w:ascii="Times New Roman" w:eastAsia="Times New Roman" w:hAnsi="Times New Roman" w:cs="Arial"/>
      <w:sz w:val="20"/>
      <w:szCs w:val="20"/>
      <w:lang w:eastAsia="ar-SA"/>
    </w:rPr>
  </w:style>
  <w:style w:type="paragraph" w:styleId="Index1">
    <w:name w:val="index 1"/>
    <w:basedOn w:val="Normal"/>
    <w:next w:val="Normal"/>
    <w:uiPriority w:val="99"/>
    <w:pPr>
      <w:suppressAutoHyphens/>
      <w:ind w:left="200" w:hanging="200"/>
    </w:pPr>
    <w:rPr>
      <w:rFonts w:ascii="Times New Roman" w:eastAsia="Times New Roman" w:hAnsi="Times New Roman" w:cs="Arial"/>
      <w:sz w:val="20"/>
      <w:szCs w:val="20"/>
      <w:lang w:eastAsia="ar-SA"/>
    </w:rPr>
  </w:style>
  <w:style w:type="paragraph" w:styleId="Index2">
    <w:name w:val="index 2"/>
    <w:basedOn w:val="Normal"/>
    <w:next w:val="Normal"/>
    <w:uiPriority w:val="99"/>
    <w:pPr>
      <w:suppressAutoHyphens/>
      <w:ind w:left="400" w:hanging="200"/>
    </w:pPr>
    <w:rPr>
      <w:rFonts w:ascii="Times New Roman" w:eastAsia="Times New Roman" w:hAnsi="Times New Roman" w:cs="Arial"/>
      <w:sz w:val="20"/>
      <w:szCs w:val="20"/>
      <w:lang w:eastAsia="ar-SA"/>
    </w:rPr>
  </w:style>
  <w:style w:type="paragraph" w:styleId="Index3">
    <w:name w:val="index 3"/>
    <w:basedOn w:val="Normal"/>
    <w:next w:val="Normal"/>
    <w:uiPriority w:val="99"/>
    <w:pPr>
      <w:suppressAutoHyphens/>
      <w:ind w:left="600" w:hanging="200"/>
    </w:pPr>
    <w:rPr>
      <w:rFonts w:ascii="Times New Roman" w:eastAsia="Times New Roman" w:hAnsi="Times New Roman" w:cs="Arial"/>
      <w:sz w:val="20"/>
      <w:szCs w:val="20"/>
      <w:lang w:eastAsia="ar-SA"/>
    </w:rPr>
  </w:style>
  <w:style w:type="paragraph" w:customStyle="1" w:styleId="Index41">
    <w:name w:val="Index 41"/>
    <w:basedOn w:val="Normal"/>
    <w:next w:val="Normal"/>
    <w:uiPriority w:val="99"/>
    <w:pPr>
      <w:suppressAutoHyphens/>
      <w:ind w:left="800" w:hanging="200"/>
    </w:pPr>
    <w:rPr>
      <w:rFonts w:ascii="Times New Roman" w:eastAsia="Times New Roman" w:hAnsi="Times New Roman" w:cs="Arial"/>
      <w:sz w:val="20"/>
      <w:szCs w:val="20"/>
      <w:lang w:eastAsia="ar-SA"/>
    </w:rPr>
  </w:style>
  <w:style w:type="paragraph" w:customStyle="1" w:styleId="Index51">
    <w:name w:val="Index 51"/>
    <w:basedOn w:val="Normal"/>
    <w:next w:val="Normal"/>
    <w:uiPriority w:val="99"/>
    <w:pPr>
      <w:suppressAutoHyphens/>
      <w:ind w:left="1000" w:hanging="200"/>
    </w:pPr>
    <w:rPr>
      <w:rFonts w:ascii="Times New Roman" w:eastAsia="Times New Roman" w:hAnsi="Times New Roman" w:cs="Arial"/>
      <w:sz w:val="20"/>
      <w:szCs w:val="20"/>
      <w:lang w:eastAsia="ar-SA"/>
    </w:rPr>
  </w:style>
  <w:style w:type="paragraph" w:customStyle="1" w:styleId="Index61">
    <w:name w:val="Index 61"/>
    <w:basedOn w:val="Normal"/>
    <w:next w:val="Normal"/>
    <w:uiPriority w:val="99"/>
    <w:pPr>
      <w:suppressAutoHyphens/>
      <w:ind w:left="1200" w:hanging="200"/>
    </w:pPr>
    <w:rPr>
      <w:rFonts w:ascii="Times New Roman" w:eastAsia="Times New Roman" w:hAnsi="Times New Roman" w:cs="Arial"/>
      <w:sz w:val="20"/>
      <w:szCs w:val="20"/>
      <w:lang w:eastAsia="ar-SA"/>
    </w:rPr>
  </w:style>
  <w:style w:type="paragraph" w:customStyle="1" w:styleId="Index71">
    <w:name w:val="Index 71"/>
    <w:basedOn w:val="Normal"/>
    <w:next w:val="Normal"/>
    <w:uiPriority w:val="99"/>
    <w:pPr>
      <w:suppressAutoHyphens/>
      <w:ind w:left="1400" w:hanging="200"/>
    </w:pPr>
    <w:rPr>
      <w:rFonts w:ascii="Times New Roman" w:eastAsia="Times New Roman" w:hAnsi="Times New Roman" w:cs="Arial"/>
      <w:sz w:val="20"/>
      <w:szCs w:val="20"/>
      <w:lang w:eastAsia="ar-SA"/>
    </w:rPr>
  </w:style>
  <w:style w:type="paragraph" w:customStyle="1" w:styleId="Index81">
    <w:name w:val="Index 81"/>
    <w:basedOn w:val="Normal"/>
    <w:next w:val="Normal"/>
    <w:uiPriority w:val="99"/>
    <w:pPr>
      <w:suppressAutoHyphens/>
      <w:ind w:left="1600" w:hanging="200"/>
    </w:pPr>
    <w:rPr>
      <w:rFonts w:ascii="Times New Roman" w:eastAsia="Times New Roman" w:hAnsi="Times New Roman" w:cs="Arial"/>
      <w:sz w:val="20"/>
      <w:szCs w:val="20"/>
      <w:lang w:eastAsia="ar-SA"/>
    </w:rPr>
  </w:style>
  <w:style w:type="paragraph" w:customStyle="1" w:styleId="Index91">
    <w:name w:val="Index 91"/>
    <w:basedOn w:val="Normal"/>
    <w:next w:val="Normal"/>
    <w:uiPriority w:val="99"/>
    <w:pPr>
      <w:suppressAutoHyphens/>
      <w:ind w:left="1800" w:hanging="200"/>
    </w:pPr>
    <w:rPr>
      <w:rFonts w:ascii="Times New Roman" w:eastAsia="Times New Roman" w:hAnsi="Times New Roman" w:cs="Arial"/>
      <w:sz w:val="20"/>
      <w:szCs w:val="20"/>
      <w:lang w:eastAsia="ar-SA"/>
    </w:rPr>
  </w:style>
  <w:style w:type="paragraph" w:customStyle="1" w:styleId="Liste21">
    <w:name w:val="Liste 21"/>
    <w:basedOn w:val="Normal"/>
    <w:uiPriority w:val="99"/>
    <w:pPr>
      <w:suppressAutoHyphens/>
      <w:ind w:left="566" w:hanging="283"/>
    </w:pPr>
    <w:rPr>
      <w:rFonts w:ascii="Times New Roman" w:eastAsia="Times New Roman" w:hAnsi="Times New Roman" w:cs="Arial"/>
      <w:sz w:val="20"/>
      <w:szCs w:val="20"/>
      <w:lang w:eastAsia="ar-SA"/>
    </w:rPr>
  </w:style>
  <w:style w:type="paragraph" w:customStyle="1" w:styleId="Liste31">
    <w:name w:val="Liste 31"/>
    <w:basedOn w:val="Normal"/>
    <w:uiPriority w:val="99"/>
    <w:pPr>
      <w:suppressAutoHyphens/>
      <w:ind w:left="849" w:hanging="283"/>
    </w:pPr>
    <w:rPr>
      <w:rFonts w:ascii="Times New Roman" w:eastAsia="Times New Roman" w:hAnsi="Times New Roman" w:cs="Arial"/>
      <w:sz w:val="20"/>
      <w:szCs w:val="20"/>
      <w:lang w:eastAsia="ar-SA"/>
    </w:rPr>
  </w:style>
  <w:style w:type="paragraph" w:customStyle="1" w:styleId="Liste41">
    <w:name w:val="Liste 41"/>
    <w:basedOn w:val="Normal"/>
    <w:uiPriority w:val="99"/>
    <w:pPr>
      <w:suppressAutoHyphens/>
      <w:ind w:left="1132" w:hanging="283"/>
    </w:pPr>
    <w:rPr>
      <w:rFonts w:ascii="Times New Roman" w:eastAsia="Times New Roman" w:hAnsi="Times New Roman" w:cs="Arial"/>
      <w:sz w:val="20"/>
      <w:szCs w:val="20"/>
      <w:lang w:eastAsia="ar-SA"/>
    </w:rPr>
  </w:style>
  <w:style w:type="paragraph" w:customStyle="1" w:styleId="Liste51">
    <w:name w:val="Liste 51"/>
    <w:basedOn w:val="Normal"/>
    <w:uiPriority w:val="99"/>
    <w:pPr>
      <w:suppressAutoHyphens/>
      <w:ind w:left="1415" w:hanging="283"/>
    </w:pPr>
    <w:rPr>
      <w:rFonts w:ascii="Times New Roman" w:eastAsia="Times New Roman" w:hAnsi="Times New Roman" w:cs="Arial"/>
      <w:sz w:val="20"/>
      <w:szCs w:val="20"/>
      <w:lang w:eastAsia="ar-SA"/>
    </w:rPr>
  </w:style>
  <w:style w:type="paragraph" w:customStyle="1" w:styleId="Listenumros1">
    <w:name w:val="Liste à numéro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Listenumros21">
    <w:name w:val="Liste à numéro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numros31">
    <w:name w:val="Liste à numéro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numros41">
    <w:name w:val="Liste à numéro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numros51">
    <w:name w:val="Liste à numéro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puces21">
    <w:name w:val="Liste à puce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puces31">
    <w:name w:val="Liste à puce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puces41">
    <w:name w:val="Liste à puce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puces51">
    <w:name w:val="Liste à puce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continue1">
    <w:name w:val="Liste continue1"/>
    <w:basedOn w:val="Normal"/>
    <w:uiPriority w:val="99"/>
    <w:pPr>
      <w:suppressAutoHyphens/>
      <w:spacing w:after="120"/>
      <w:ind w:left="283"/>
    </w:pPr>
    <w:rPr>
      <w:rFonts w:ascii="Times New Roman" w:eastAsia="Times New Roman" w:hAnsi="Times New Roman" w:cs="Arial"/>
      <w:sz w:val="20"/>
      <w:szCs w:val="20"/>
      <w:lang w:eastAsia="ar-SA"/>
    </w:rPr>
  </w:style>
  <w:style w:type="paragraph" w:customStyle="1" w:styleId="Listecontinue21">
    <w:name w:val="Liste continue 21"/>
    <w:basedOn w:val="Normal"/>
    <w:uiPriority w:val="99"/>
    <w:pPr>
      <w:suppressAutoHyphens/>
      <w:spacing w:after="120"/>
      <w:ind w:left="566"/>
    </w:pPr>
    <w:rPr>
      <w:rFonts w:ascii="Times New Roman" w:eastAsia="Times New Roman" w:hAnsi="Times New Roman" w:cs="Arial"/>
      <w:sz w:val="20"/>
      <w:szCs w:val="20"/>
      <w:lang w:eastAsia="ar-SA"/>
    </w:rPr>
  </w:style>
  <w:style w:type="paragraph" w:customStyle="1" w:styleId="Listecontinue31">
    <w:name w:val="Liste continue 31"/>
    <w:basedOn w:val="Normal"/>
    <w:uiPriority w:val="99"/>
    <w:pPr>
      <w:suppressAutoHyphens/>
      <w:spacing w:after="120"/>
      <w:ind w:left="849"/>
    </w:pPr>
    <w:rPr>
      <w:rFonts w:ascii="Times New Roman" w:eastAsia="Times New Roman" w:hAnsi="Times New Roman" w:cs="Arial"/>
      <w:sz w:val="20"/>
      <w:szCs w:val="20"/>
      <w:lang w:eastAsia="ar-SA"/>
    </w:rPr>
  </w:style>
  <w:style w:type="paragraph" w:customStyle="1" w:styleId="Listecontinue41">
    <w:name w:val="Liste continue 41"/>
    <w:basedOn w:val="Normal"/>
    <w:uiPriority w:val="99"/>
    <w:pPr>
      <w:suppressAutoHyphens/>
      <w:spacing w:after="120"/>
      <w:ind w:left="1132"/>
    </w:pPr>
    <w:rPr>
      <w:rFonts w:ascii="Times New Roman" w:eastAsia="Times New Roman" w:hAnsi="Times New Roman" w:cs="Arial"/>
      <w:sz w:val="20"/>
      <w:szCs w:val="20"/>
      <w:lang w:eastAsia="ar-SA"/>
    </w:rPr>
  </w:style>
  <w:style w:type="paragraph" w:customStyle="1" w:styleId="Listecontinue51">
    <w:name w:val="Liste continue 51"/>
    <w:basedOn w:val="Normal"/>
    <w:uiPriority w:val="99"/>
    <w:pPr>
      <w:suppressAutoHyphens/>
      <w:spacing w:after="120"/>
      <w:ind w:left="1415"/>
    </w:pPr>
    <w:rPr>
      <w:rFonts w:ascii="Times New Roman" w:eastAsia="Times New Roman" w:hAnsi="Times New Roman" w:cs="Arial"/>
      <w:sz w:val="20"/>
      <w:szCs w:val="20"/>
      <w:lang w:eastAsia="ar-SA"/>
    </w:rPr>
  </w:style>
  <w:style w:type="paragraph" w:styleId="PrformatHTML">
    <w:name w:val="HTML Preformatted"/>
    <w:basedOn w:val="Normal"/>
    <w:link w:val="PrformatHTMLCar"/>
    <w:uiPriority w:val="99"/>
    <w:pPr>
      <w:suppressAutoHyphens/>
    </w:pPr>
    <w:rPr>
      <w:rFonts w:ascii="Courier New" w:eastAsia="Times New Roman" w:hAnsi="Courier New" w:cs="Courier New"/>
      <w:sz w:val="20"/>
      <w:szCs w:val="20"/>
      <w:lang w:eastAsia="ar-SA"/>
    </w:rPr>
  </w:style>
  <w:style w:type="character" w:customStyle="1" w:styleId="PrformatHTMLCar">
    <w:name w:val="Préformaté HTML Car"/>
    <w:basedOn w:val="Policepardfaut"/>
    <w:link w:val="PrformatHTML"/>
    <w:uiPriority w:val="99"/>
    <w:rPr>
      <w:rFonts w:ascii="Courier New" w:eastAsia="Times New Roman" w:hAnsi="Courier New" w:cs="Courier New"/>
      <w:sz w:val="20"/>
      <w:szCs w:val="20"/>
      <w:lang w:eastAsia="ar-SA"/>
    </w:rPr>
  </w:style>
  <w:style w:type="paragraph" w:customStyle="1" w:styleId="Retrait1religne1">
    <w:name w:val="Retrait 1re ligne1"/>
    <w:basedOn w:val="Corpsdetexte"/>
    <w:uiPriority w:val="99"/>
    <w:pPr>
      <w:framePr w:wrap="around" w:hAnchor="text"/>
      <w:widowControl/>
      <w:spacing w:after="120"/>
      <w:ind w:firstLine="210"/>
    </w:pPr>
    <w:rPr>
      <w:b/>
      <w:sz w:val="20"/>
    </w:rPr>
  </w:style>
  <w:style w:type="paragraph" w:customStyle="1" w:styleId="Retraitcorpset1relig1">
    <w:name w:val="Retrait corps et 1re lig.1"/>
    <w:basedOn w:val="Retraitcorpsdetexte"/>
    <w:uiPriority w:val="99"/>
    <w:pPr>
      <w:tabs>
        <w:tab w:val="clear" w:pos="1276"/>
        <w:tab w:val="clear" w:pos="3174"/>
        <w:tab w:val="clear" w:pos="3968"/>
        <w:tab w:val="clear" w:pos="4591"/>
        <w:tab w:val="clear" w:pos="4818"/>
      </w:tabs>
      <w:spacing w:after="120"/>
      <w:ind w:left="283" w:firstLine="210"/>
    </w:pPr>
    <w:rPr>
      <w:sz w:val="20"/>
    </w:rPr>
  </w:style>
  <w:style w:type="paragraph" w:customStyle="1" w:styleId="Retraitnormal1">
    <w:name w:val="Retrait normal1"/>
    <w:basedOn w:val="Normal"/>
    <w:uiPriority w:val="99"/>
    <w:pPr>
      <w:suppressAutoHyphens/>
      <w:ind w:left="708"/>
    </w:pPr>
    <w:rPr>
      <w:rFonts w:ascii="Times New Roman" w:eastAsia="Times New Roman" w:hAnsi="Times New Roman" w:cs="Arial"/>
      <w:sz w:val="20"/>
      <w:szCs w:val="20"/>
      <w:lang w:eastAsia="ar-SA"/>
    </w:rPr>
  </w:style>
  <w:style w:type="paragraph" w:customStyle="1" w:styleId="Salutations1">
    <w:name w:val="Salutations1"/>
    <w:basedOn w:val="Normal"/>
    <w:next w:val="Normal"/>
    <w:uiPriority w:val="99"/>
    <w:pPr>
      <w:suppressAutoHyphens/>
    </w:pPr>
    <w:rPr>
      <w:rFonts w:ascii="Times New Roman" w:eastAsia="Times New Roman" w:hAnsi="Times New Roman" w:cs="Arial"/>
      <w:sz w:val="20"/>
      <w:szCs w:val="20"/>
      <w:lang w:eastAsia="ar-SA"/>
    </w:rPr>
  </w:style>
  <w:style w:type="paragraph" w:styleId="Signature">
    <w:name w:val="Signature"/>
    <w:basedOn w:val="Normal"/>
    <w:link w:val="SignatureCar"/>
    <w:uiPriority w:val="99"/>
    <w:pPr>
      <w:suppressAutoHyphens/>
      <w:ind w:left="4252"/>
    </w:pPr>
    <w:rPr>
      <w:rFonts w:ascii="Times New Roman" w:eastAsia="Times New Roman" w:hAnsi="Times New Roman" w:cs="Arial"/>
      <w:sz w:val="20"/>
      <w:szCs w:val="20"/>
      <w:lang w:eastAsia="ar-SA"/>
    </w:rPr>
  </w:style>
  <w:style w:type="character" w:customStyle="1" w:styleId="SignatureCar">
    <w:name w:val="Signature Car"/>
    <w:basedOn w:val="Policepardfaut"/>
    <w:link w:val="Signature"/>
    <w:uiPriority w:val="99"/>
    <w:rPr>
      <w:rFonts w:ascii="Times New Roman" w:eastAsia="Times New Roman" w:hAnsi="Times New Roman" w:cs="Arial"/>
      <w:sz w:val="20"/>
      <w:szCs w:val="20"/>
      <w:lang w:eastAsia="ar-SA"/>
    </w:rPr>
  </w:style>
  <w:style w:type="paragraph" w:styleId="Signaturelectronique">
    <w:name w:val="E-mail Signature"/>
    <w:basedOn w:val="Normal"/>
    <w:link w:val="SignaturelectroniqueCar"/>
    <w:uiPriority w:val="99"/>
    <w:pPr>
      <w:suppressAutoHyphens/>
    </w:pPr>
    <w:rPr>
      <w:rFonts w:ascii="Times New Roman" w:eastAsia="Times New Roman" w:hAnsi="Times New Roman" w:cs="Arial"/>
      <w:sz w:val="20"/>
      <w:szCs w:val="20"/>
      <w:lang w:eastAsia="ar-SA"/>
    </w:rPr>
  </w:style>
  <w:style w:type="character" w:customStyle="1" w:styleId="SignaturelectroniqueCar">
    <w:name w:val="Signature électronique Car"/>
    <w:basedOn w:val="Policepardfaut"/>
    <w:link w:val="Signaturelectronique"/>
    <w:uiPriority w:val="99"/>
    <w:rPr>
      <w:rFonts w:ascii="Times New Roman" w:eastAsia="Times New Roman" w:hAnsi="Times New Roman" w:cs="Arial"/>
      <w:sz w:val="20"/>
      <w:szCs w:val="20"/>
      <w:lang w:eastAsia="ar-SA"/>
    </w:rPr>
  </w:style>
  <w:style w:type="paragraph" w:customStyle="1" w:styleId="StyleTitre510ptNonGras">
    <w:name w:val="Style Titre 5 + 10 pt Non Gras"/>
    <w:basedOn w:val="Titre5"/>
    <w:uiPriority w:val="99"/>
  </w:style>
  <w:style w:type="paragraph" w:customStyle="1" w:styleId="Titredenote1">
    <w:name w:val="Titre de note1"/>
    <w:basedOn w:val="Normal"/>
    <w:next w:val="Normal"/>
    <w:uiPriority w:val="99"/>
    <w:pPr>
      <w:suppressAutoHyphens/>
    </w:pPr>
    <w:rPr>
      <w:rFonts w:ascii="Times New Roman" w:eastAsia="Times New Roman" w:hAnsi="Times New Roman" w:cs="Arial"/>
      <w:sz w:val="20"/>
      <w:szCs w:val="20"/>
      <w:lang w:eastAsia="ar-SA"/>
    </w:rPr>
  </w:style>
  <w:style w:type="paragraph" w:styleId="Titreindex">
    <w:name w:val="index heading"/>
    <w:basedOn w:val="Normal"/>
    <w:next w:val="Index1"/>
    <w:uiPriority w:val="99"/>
    <w:pPr>
      <w:suppressAutoHyphens/>
    </w:pPr>
    <w:rPr>
      <w:rFonts w:ascii="Arial" w:eastAsia="Times New Roman" w:hAnsi="Arial" w:cs="Arial"/>
      <w:b/>
      <w:bCs/>
      <w:sz w:val="20"/>
      <w:szCs w:val="20"/>
      <w:lang w:eastAsia="ar-SA"/>
    </w:rPr>
  </w:style>
  <w:style w:type="paragraph" w:customStyle="1" w:styleId="Normal1">
    <w:name w:val="Normal+1"/>
    <w:basedOn w:val="Default"/>
    <w:next w:val="Default"/>
    <w:uiPriority w:val="99"/>
    <w:rPr>
      <w:color w:val="auto"/>
    </w:rPr>
  </w:style>
  <w:style w:type="paragraph" w:customStyle="1" w:styleId="Mpe">
    <w:name w:val="Mpe"/>
    <w:basedOn w:val="En-tte"/>
    <w:pPr>
      <w:tabs>
        <w:tab w:val="clear" w:pos="4536"/>
        <w:tab w:val="clear" w:pos="9072"/>
        <w:tab w:val="left" w:leader="dot" w:pos="9923"/>
      </w:tabs>
      <w:spacing w:line="360" w:lineRule="auto"/>
    </w:pPr>
    <w:rPr>
      <w:rFonts w:ascii="Times New Roman" w:hAnsi="Times New Roman"/>
      <w:szCs w:val="22"/>
    </w:rPr>
  </w:style>
  <w:style w:type="paragraph" w:customStyle="1" w:styleId="Cadre2">
    <w:name w:val="Cadre2"/>
    <w:basedOn w:val="Normal"/>
    <w:uiPriority w:val="99"/>
    <w:pPr>
      <w:pBdr>
        <w:top w:val="single" w:sz="4" w:space="6" w:color="000000"/>
        <w:left w:val="single" w:sz="4" w:space="4" w:color="000000"/>
        <w:bottom w:val="single" w:sz="4" w:space="6" w:color="000000"/>
        <w:right w:val="single" w:sz="4" w:space="4" w:color="000000"/>
      </w:pBdr>
      <w:suppressAutoHyphens/>
      <w:ind w:left="3119" w:right="3118"/>
      <w:jc w:val="center"/>
    </w:pPr>
    <w:rPr>
      <w:rFonts w:ascii="Times New Roman" w:eastAsia="Times New Roman" w:hAnsi="Times New Roman" w:cs="Arial"/>
      <w:b/>
      <w:bCs/>
      <w:szCs w:val="24"/>
      <w:lang w:eastAsia="ar-SA"/>
    </w:rPr>
  </w:style>
  <w:style w:type="paragraph" w:customStyle="1" w:styleId="Cadre3">
    <w:name w:val="Cadre3"/>
    <w:basedOn w:val="Normal"/>
    <w:uiPriority w:val="99"/>
    <w:pPr>
      <w:pBdr>
        <w:top w:val="single" w:sz="4" w:space="6" w:color="000000"/>
        <w:left w:val="single" w:sz="4" w:space="4" w:color="000000"/>
        <w:bottom w:val="single" w:sz="4" w:space="6" w:color="000000"/>
        <w:right w:val="single" w:sz="4" w:space="4" w:color="000000"/>
      </w:pBdr>
      <w:suppressAutoHyphens/>
      <w:ind w:left="2268" w:right="2268"/>
      <w:jc w:val="center"/>
    </w:pPr>
    <w:rPr>
      <w:rFonts w:ascii="Times New Roman" w:eastAsia="Times New Roman" w:hAnsi="Times New Roman" w:cs="Arial"/>
      <w:b/>
      <w:bCs/>
      <w:szCs w:val="24"/>
      <w:lang w:eastAsia="ar-SA"/>
    </w:rPr>
  </w:style>
  <w:style w:type="paragraph" w:styleId="Paragraphedeliste">
    <w:name w:val="List Paragraph"/>
    <w:aliases w:val="Bullet 1,Liste Niveau 1"/>
    <w:basedOn w:val="Normal"/>
    <w:link w:val="ParagraphedelisteCar"/>
    <w:uiPriority w:val="34"/>
    <w:qFormat/>
    <w:pPr>
      <w:suppressAutoHyphens/>
      <w:ind w:left="708"/>
    </w:pPr>
    <w:rPr>
      <w:rFonts w:ascii="Tms Rmn" w:eastAsia="Times New Roman" w:hAnsi="Tms Rmn" w:cs="Arial"/>
      <w:sz w:val="20"/>
      <w:szCs w:val="20"/>
      <w:lang w:eastAsia="ar-SA"/>
    </w:rPr>
  </w:style>
  <w:style w:type="paragraph" w:customStyle="1" w:styleId="bodytext">
    <w:name w:val="bodytext"/>
    <w:basedOn w:val="Normal"/>
    <w:uiPriority w:val="99"/>
    <w:pPr>
      <w:suppressAutoHyphens/>
      <w:spacing w:before="280" w:after="280"/>
    </w:pPr>
    <w:rPr>
      <w:rFonts w:ascii="Times New Roman" w:eastAsia="Times New Roman" w:hAnsi="Times New Roman" w:cs="Arial"/>
      <w:szCs w:val="24"/>
      <w:lang w:eastAsia="ar-SA"/>
    </w:rPr>
  </w:style>
  <w:style w:type="paragraph" w:styleId="Textedebulles">
    <w:name w:val="Balloon Text"/>
    <w:basedOn w:val="Normal"/>
    <w:link w:val="TextedebullesCar"/>
    <w:pPr>
      <w:suppressAutoHyphens/>
    </w:pPr>
    <w:rPr>
      <w:rFonts w:ascii="Tahoma" w:eastAsia="Times New Roman" w:hAnsi="Tahoma" w:cs="Tahoma"/>
      <w:sz w:val="16"/>
      <w:szCs w:val="16"/>
      <w:lang w:val="fr-FR" w:eastAsia="ar-SA"/>
    </w:rPr>
  </w:style>
  <w:style w:type="character" w:customStyle="1" w:styleId="TextedebullesCar">
    <w:name w:val="Texte de bulles Car"/>
    <w:basedOn w:val="Policepardfaut"/>
    <w:link w:val="Textedebulles"/>
    <w:uiPriority w:val="99"/>
    <w:rPr>
      <w:rFonts w:ascii="Tahoma" w:eastAsia="Times New Roman" w:hAnsi="Tahoma" w:cs="Tahoma"/>
      <w:sz w:val="16"/>
      <w:szCs w:val="16"/>
      <w:lang w:val="fr-FR" w:eastAsia="ar-SA"/>
    </w:rPr>
  </w:style>
  <w:style w:type="paragraph" w:customStyle="1" w:styleId="Style1">
    <w:name w:val="Style1"/>
    <w:basedOn w:val="Titre1"/>
    <w:link w:val="Style1Car"/>
    <w:uiPriority w:val="99"/>
    <w:pPr>
      <w:pBdr>
        <w:top w:val="single" w:sz="4" w:space="0" w:color="000000" w:shadow="1"/>
        <w:left w:val="single" w:sz="4" w:space="0" w:color="000000" w:shadow="1"/>
        <w:bottom w:val="single" w:sz="4" w:space="0" w:color="000000" w:shadow="1"/>
        <w:right w:val="single" w:sz="4" w:space="0" w:color="000000" w:shadow="1"/>
      </w:pBdr>
    </w:pPr>
    <w:rPr>
      <w:sz w:val="72"/>
      <w:szCs w:val="24"/>
    </w:rPr>
  </w:style>
  <w:style w:type="character" w:customStyle="1" w:styleId="Style1Car">
    <w:name w:val="Style1 Car"/>
    <w:basedOn w:val="Policepardfaut"/>
    <w:link w:val="Style1"/>
    <w:uiPriority w:val="99"/>
    <w:locked/>
    <w:rPr>
      <w:rFonts w:ascii="Arial" w:eastAsia="Times New Roman" w:hAnsi="Arial" w:cs="Arial"/>
      <w:b/>
      <w:sz w:val="72"/>
      <w:szCs w:val="24"/>
      <w:lang w:eastAsia="ar-SA"/>
    </w:rPr>
  </w:style>
  <w:style w:type="paragraph" w:customStyle="1" w:styleId="Style2">
    <w:name w:val="Style2"/>
    <w:basedOn w:val="Titre1"/>
    <w:uiPriority w:val="99"/>
    <w:pPr>
      <w:pBdr>
        <w:top w:val="single" w:sz="4" w:space="0" w:color="000000" w:shadow="1"/>
        <w:left w:val="single" w:sz="4" w:space="0" w:color="000000" w:shadow="1"/>
        <w:bottom w:val="single" w:sz="4" w:space="0" w:color="000000" w:shadow="1"/>
        <w:right w:val="single" w:sz="4" w:space="0" w:color="000000" w:shadow="1"/>
      </w:pBdr>
      <w:spacing w:before="2880" w:after="2880"/>
    </w:pPr>
    <w:rPr>
      <w:sz w:val="72"/>
      <w:szCs w:val="24"/>
    </w:rPr>
  </w:style>
  <w:style w:type="paragraph" w:customStyle="1" w:styleId="Style3">
    <w:name w:val="Style3"/>
    <w:basedOn w:val="Titre1"/>
    <w:uiPriority w:val="99"/>
    <w:pPr>
      <w:spacing w:before="120" w:after="120"/>
    </w:pPr>
  </w:style>
  <w:style w:type="paragraph" w:customStyle="1" w:styleId="StyleTitre2NonGrasNonItalique">
    <w:name w:val="Style Titre 2 + Non Gras Non Italique"/>
    <w:basedOn w:val="Titre2"/>
    <w:uiPriority w:val="99"/>
    <w:pPr>
      <w:spacing w:before="240" w:after="60"/>
    </w:pPr>
    <w:rPr>
      <w:szCs w:val="28"/>
    </w:rPr>
  </w:style>
  <w:style w:type="paragraph" w:customStyle="1" w:styleId="StyleStyleTitre2NonGrasNonItalique">
    <w:name w:val="Style Style Titre 2 + Non Gras Non Italique +"/>
    <w:basedOn w:val="StyleTitre2NonGrasNonItalique"/>
    <w:uiPriority w:val="99"/>
    <w:rPr>
      <w:bCs/>
      <w:sz w:val="24"/>
    </w:rPr>
  </w:style>
  <w:style w:type="paragraph" w:customStyle="1" w:styleId="StyleTitre5ArialNonGrasSoulignement">
    <w:name w:val="Style Titre 5 + Arial Non Gras Soulignement"/>
    <w:basedOn w:val="Titre5"/>
    <w:next w:val="Titre5"/>
  </w:style>
  <w:style w:type="paragraph" w:customStyle="1" w:styleId="StyleStyleTitre2NonGrasNonItaliqueNonGras">
    <w:name w:val="Style Style Titre 2 + Non Gras Non Italique + Non Gras"/>
    <w:basedOn w:val="StyleTitre2NonGrasNonItalique"/>
    <w:uiPriority w:val="99"/>
  </w:style>
  <w:style w:type="paragraph" w:customStyle="1" w:styleId="StyleStyleTitre2NonGrasNonItaliqueNonGras1">
    <w:name w:val="Style Style Titre 2 + Non Gras Non Italique + Non Gras1"/>
    <w:basedOn w:val="StyleTitre2NonGrasNonItalique"/>
    <w:uiPriority w:val="99"/>
  </w:style>
  <w:style w:type="paragraph" w:customStyle="1" w:styleId="Paragraphedeliste1">
    <w:name w:val="Paragraphe de liste1"/>
    <w:basedOn w:val="Normal"/>
    <w:uiPriority w:val="99"/>
    <w:pPr>
      <w:suppressAutoHyphens/>
      <w:ind w:left="720"/>
    </w:pPr>
    <w:rPr>
      <w:rFonts w:ascii="Times New Roman" w:eastAsia="Times New Roman" w:hAnsi="Times New Roman" w:cs="Arial"/>
      <w:lang w:eastAsia="ar-SA"/>
    </w:rPr>
  </w:style>
  <w:style w:type="paragraph" w:customStyle="1" w:styleId="subdiv2">
    <w:name w:val="subdiv.2"/>
    <w:basedOn w:val="Normal"/>
    <w:uiPriority w:val="99"/>
    <w:pPr>
      <w:suppressAutoHyphens/>
      <w:jc w:val="center"/>
    </w:pPr>
    <w:rPr>
      <w:rFonts w:ascii="Georgia" w:eastAsia="Times New Roman" w:hAnsi="Georgia" w:cs="Arial"/>
      <w:b/>
      <w:bCs/>
      <w:i/>
      <w:iCs/>
      <w:color w:val="0000FF"/>
      <w:sz w:val="40"/>
      <w:szCs w:val="20"/>
      <w:lang w:eastAsia="ar-SA"/>
    </w:rPr>
  </w:style>
  <w:style w:type="paragraph" w:customStyle="1" w:styleId="subdiv3">
    <w:name w:val="subdiv.3"/>
    <w:basedOn w:val="Normal"/>
    <w:uiPriority w:val="99"/>
    <w:pPr>
      <w:suppressAutoHyphens/>
      <w:jc w:val="center"/>
    </w:pPr>
    <w:rPr>
      <w:rFonts w:ascii="Georgia" w:eastAsia="Times New Roman" w:hAnsi="Georgia" w:cs="Arial"/>
      <w:b/>
      <w:bCs/>
      <w:i/>
      <w:iCs/>
      <w:color w:val="0000FF"/>
      <w:sz w:val="36"/>
      <w:szCs w:val="20"/>
      <w:lang w:eastAsia="ar-SA"/>
    </w:rPr>
  </w:style>
  <w:style w:type="paragraph" w:customStyle="1" w:styleId="Titre40">
    <w:name w:val="Titre 4_"/>
    <w:basedOn w:val="Corpsdetexte"/>
    <w:uiPriority w:val="99"/>
    <w:pPr>
      <w:framePr w:wrap="around" w:hAnchor="text"/>
      <w:widowControl/>
      <w:spacing w:after="120"/>
    </w:pPr>
    <w:rPr>
      <w:rFonts w:ascii="Arial" w:hAnsi="Arial"/>
      <w:b/>
      <w:i/>
      <w:smallCaps/>
      <w:szCs w:val="24"/>
      <w:lang w:val="fr-FR"/>
    </w:rPr>
  </w:style>
  <w:style w:type="paragraph" w:customStyle="1" w:styleId="Sansinterligne1">
    <w:name w:val="Sans interligne1"/>
    <w:uiPriority w:val="99"/>
    <w:pPr>
      <w:suppressAutoHyphens/>
    </w:pPr>
    <w:rPr>
      <w:rFonts w:ascii="Georgia" w:eastAsia="Calibri" w:hAnsi="Georgia" w:cs="Arial"/>
      <w:lang w:eastAsia="ar-SA"/>
    </w:rPr>
  </w:style>
  <w:style w:type="paragraph" w:customStyle="1" w:styleId="Style">
    <w:name w:val="Style"/>
    <w:uiPriority w:val="99"/>
    <w:pPr>
      <w:widowControl w:val="0"/>
      <w:suppressAutoHyphens/>
      <w:autoSpaceDE w:val="0"/>
    </w:pPr>
    <w:rPr>
      <w:rFonts w:ascii="Arial" w:eastAsia="Calibri" w:hAnsi="Arial" w:cs="Arial"/>
      <w:sz w:val="24"/>
      <w:szCs w:val="24"/>
      <w:lang w:val="fr-FR" w:eastAsia="ar-SA"/>
    </w:rPr>
  </w:style>
  <w:style w:type="paragraph" w:customStyle="1" w:styleId="para">
    <w:name w:val="para"/>
    <w:basedOn w:val="Corpsdetexte31"/>
    <w:uiPriority w:val="99"/>
    <w:pPr>
      <w:tabs>
        <w:tab w:val="left" w:pos="0"/>
        <w:tab w:val="right" w:pos="6389"/>
      </w:tabs>
      <w:spacing w:line="240" w:lineRule="auto"/>
      <w:ind w:left="284" w:firstLine="227"/>
      <w:jc w:val="both"/>
    </w:pPr>
    <w:rPr>
      <w:rFonts w:ascii="Arial" w:hAnsi="Arial"/>
      <w:b w:val="0"/>
      <w:u w:val="none"/>
    </w:rPr>
  </w:style>
  <w:style w:type="paragraph" w:customStyle="1" w:styleId="StyleTitre3NonGrasNonsoulign">
    <w:name w:val="Style Titre 3 + Non Gras Non souligné"/>
    <w:basedOn w:val="Titre3"/>
    <w:uiPriority w:val="99"/>
    <w:rPr>
      <w:b w:val="0"/>
      <w:u w:val="none"/>
    </w:rPr>
  </w:style>
  <w:style w:type="paragraph" w:customStyle="1" w:styleId="StyleTitre3NonGrasJustifi">
    <w:name w:val="Style Titre 3 + Non Gras Justifié"/>
    <w:basedOn w:val="Titre3"/>
    <w:link w:val="StyleTitre3NonGrasJustifiCar"/>
    <w:uiPriority w:val="99"/>
    <w:pPr>
      <w:pBdr>
        <w:top w:val="single" w:sz="4" w:space="1" w:color="auto"/>
        <w:left w:val="single" w:sz="4" w:space="4" w:color="auto"/>
        <w:bottom w:val="single" w:sz="4" w:space="1" w:color="auto"/>
        <w:right w:val="single" w:sz="4" w:space="4" w:color="auto"/>
      </w:pBdr>
      <w:jc w:val="center"/>
    </w:pPr>
    <w:rPr>
      <w:b w:val="0"/>
    </w:rPr>
  </w:style>
  <w:style w:type="character" w:customStyle="1" w:styleId="StyleTitre3NonGrasJustifiCar">
    <w:name w:val="Style Titre 3 + Non Gras Justifié Car"/>
    <w:basedOn w:val="Titre3Car2"/>
    <w:link w:val="StyleTitre3NonGrasJustifi"/>
    <w:uiPriority w:val="99"/>
    <w:locked/>
    <w:rPr>
      <w:rFonts w:ascii="Georgia" w:eastAsia="Times New Roman" w:hAnsi="Georgia" w:cs="Arial"/>
      <w:b w:val="0"/>
      <w:sz w:val="24"/>
      <w:szCs w:val="20"/>
      <w:u w:val="single"/>
      <w:lang w:eastAsia="ar-SA"/>
    </w:rPr>
  </w:style>
  <w:style w:type="paragraph" w:customStyle="1" w:styleId="q-type-help">
    <w:name w:val="q-type-help"/>
    <w:basedOn w:val="Normal"/>
    <w:uiPriority w:val="99"/>
    <w:pPr>
      <w:suppressAutoHyphens/>
      <w:spacing w:before="280" w:after="120"/>
    </w:pPr>
    <w:rPr>
      <w:rFonts w:ascii="Times New Roman" w:eastAsia="Times New Roman" w:hAnsi="Times New Roman" w:cs="Arial"/>
      <w:szCs w:val="24"/>
      <w:lang w:val="fr-FR" w:eastAsia="ar-SA"/>
    </w:rPr>
  </w:style>
  <w:style w:type="paragraph" w:customStyle="1" w:styleId="Contenudetableau">
    <w:name w:val="Contenu de tableau"/>
    <w:basedOn w:val="Normal"/>
    <w:uiPriority w:val="99"/>
    <w:pPr>
      <w:suppressLineNumbers/>
      <w:suppressAutoHyphens/>
    </w:pPr>
    <w:rPr>
      <w:rFonts w:ascii="Georgia" w:eastAsia="Times New Roman" w:hAnsi="Georgia" w:cs="Arial"/>
      <w:szCs w:val="20"/>
      <w:lang w:eastAsia="ar-SA"/>
    </w:rPr>
  </w:style>
  <w:style w:type="paragraph" w:customStyle="1" w:styleId="Titredetableau">
    <w:name w:val="Titre de tableau"/>
    <w:basedOn w:val="Contenudetableau"/>
    <w:uiPriority w:val="99"/>
    <w:pPr>
      <w:jc w:val="center"/>
    </w:pPr>
    <w:rPr>
      <w:b/>
      <w:bCs/>
    </w:rPr>
  </w:style>
  <w:style w:type="paragraph" w:customStyle="1" w:styleId="Tabledesmatiresniveau10">
    <w:name w:val="Table des matières niveau 10"/>
    <w:basedOn w:val="Index"/>
    <w:uiPriority w:val="99"/>
    <w:pPr>
      <w:tabs>
        <w:tab w:val="right" w:leader="dot" w:pos="7091"/>
      </w:tabs>
      <w:ind w:left="2547"/>
    </w:pPr>
  </w:style>
  <w:style w:type="paragraph" w:customStyle="1" w:styleId="Contenuducadre">
    <w:name w:val="Contenu du cadre"/>
    <w:basedOn w:val="Corpsdetexte"/>
    <w:uiPriority w:val="99"/>
    <w:pPr>
      <w:framePr w:wrap="around" w:hAnchor="text"/>
    </w:pPr>
  </w:style>
  <w:style w:type="paragraph" w:customStyle="1" w:styleId="Style4">
    <w:name w:val="Style4"/>
    <w:basedOn w:val="Titre2"/>
    <w:uiPriority w:val="99"/>
    <w:rPr>
      <w:b w:val="0"/>
      <w:sz w:val="24"/>
    </w:rPr>
  </w:style>
  <w:style w:type="paragraph" w:customStyle="1" w:styleId="StyleTitre2NonGrasJustifi">
    <w:name w:val="Style Titre 2 + Non Gras Justifié"/>
    <w:basedOn w:val="Titre2"/>
    <w:link w:val="StyleTitre2NonGrasJustifiCar"/>
    <w:uiPriority w:val="99"/>
    <w:rPr>
      <w:b w:val="0"/>
      <w:sz w:val="24"/>
    </w:rPr>
  </w:style>
  <w:style w:type="character" w:customStyle="1" w:styleId="StyleTitre2NonGrasJustifiCar">
    <w:name w:val="Style Titre 2 + Non Gras Justifié Car"/>
    <w:basedOn w:val="Titre2Car1"/>
    <w:link w:val="StyleTitre2NonGrasJustifi"/>
    <w:uiPriority w:val="99"/>
    <w:locked/>
    <w:rPr>
      <w:rFonts w:ascii="Georgia" w:eastAsia="Times New Roman" w:hAnsi="Georgia" w:cs="Arial"/>
      <w:b w:val="0"/>
      <w:smallCaps/>
      <w:sz w:val="24"/>
      <w:szCs w:val="20"/>
      <w:u w:val="single"/>
      <w:lang w:eastAsia="ar-SA"/>
    </w:rPr>
  </w:style>
  <w:style w:type="paragraph" w:customStyle="1" w:styleId="Retrait1">
    <w:name w:val="Retrait 1"/>
    <w:basedOn w:val="Normal"/>
    <w:uiPriority w:val="99"/>
    <w:pPr>
      <w:ind w:left="360"/>
    </w:pPr>
    <w:rPr>
      <w:rFonts w:ascii="Times New Roman" w:eastAsia="Times New Roman" w:hAnsi="Times New Roman" w:cs="Arial"/>
      <w:szCs w:val="24"/>
      <w:lang w:eastAsia="fr-FR"/>
    </w:rPr>
  </w:style>
  <w:style w:type="paragraph" w:customStyle="1" w:styleId="Corps11">
    <w:name w:val="Corps 1.1"/>
    <w:basedOn w:val="Normal"/>
    <w:uiPriority w:val="99"/>
    <w:pPr>
      <w:tabs>
        <w:tab w:val="num" w:pos="0"/>
      </w:tabs>
    </w:pPr>
    <w:rPr>
      <w:rFonts w:ascii="Times New Roman" w:eastAsia="Times New Roman" w:hAnsi="Times New Roman" w:cs="Arial"/>
      <w:szCs w:val="24"/>
      <w:lang w:val="fr-FR" w:eastAsia="fr-FR"/>
    </w:rPr>
  </w:style>
  <w:style w:type="table" w:styleId="Grilledutableau">
    <w:name w:val="Table Grid"/>
    <w:basedOn w:val="TableauNormal"/>
    <w:uiPriority w:val="59"/>
    <w:rPr>
      <w:rFonts w:ascii="Times New Roman" w:eastAsia="Times New Roman" w:hAnsi="Times New Roman" w:cs="Arial"/>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detexte210">
    <w:name w:val="corpsdetexte21"/>
    <w:basedOn w:val="Normal"/>
    <w:uiPriority w:val="99"/>
    <w:rPr>
      <w:rFonts w:ascii="Georgia" w:eastAsia="Times New Roman" w:hAnsi="Georgia" w:cs="Arial"/>
      <w:sz w:val="28"/>
      <w:szCs w:val="28"/>
      <w:lang w:val="fr-FR" w:eastAsia="fr-FR"/>
    </w:rPr>
  </w:style>
  <w:style w:type="character" w:customStyle="1" w:styleId="appelnotedebasdep10">
    <w:name w:val="appelnotedebasdep1"/>
    <w:basedOn w:val="Policepardfaut"/>
    <w:uiPriority w:val="99"/>
    <w:rPr>
      <w:rFonts w:cs="Times New Roman"/>
      <w:vertAlign w:val="superscript"/>
    </w:rPr>
  </w:style>
  <w:style w:type="paragraph" w:styleId="Corpsdetexte2">
    <w:name w:val="Body Text 2"/>
    <w:basedOn w:val="Normal"/>
    <w:link w:val="Corpsdetexte2Car1"/>
    <w:uiPriority w:val="99"/>
    <w:pPr>
      <w:suppressAutoHyphens/>
      <w:spacing w:after="120" w:line="480" w:lineRule="auto"/>
    </w:pPr>
    <w:rPr>
      <w:rFonts w:ascii="Georgia" w:eastAsia="Times New Roman" w:hAnsi="Georgia" w:cs="Arial"/>
      <w:szCs w:val="20"/>
      <w:lang w:eastAsia="ar-SA"/>
    </w:rPr>
  </w:style>
  <w:style w:type="character" w:customStyle="1" w:styleId="Corpsdetexte2Car1">
    <w:name w:val="Corps de texte 2 Car1"/>
    <w:basedOn w:val="Policepardfaut"/>
    <w:link w:val="Corpsdetexte2"/>
    <w:uiPriority w:val="99"/>
    <w:rPr>
      <w:rFonts w:ascii="Georgia" w:eastAsia="Times New Roman" w:hAnsi="Georgia" w:cs="Arial"/>
      <w:szCs w:val="20"/>
      <w:lang w:eastAsia="ar-SA"/>
    </w:rPr>
  </w:style>
  <w:style w:type="paragraph" w:styleId="Corpsdetexte3">
    <w:name w:val="Body Text 3"/>
    <w:basedOn w:val="Normal"/>
    <w:link w:val="Corpsdetexte3Car"/>
    <w:uiPriority w:val="99"/>
    <w:pPr>
      <w:suppressAutoHyphens/>
      <w:spacing w:after="120"/>
    </w:pPr>
    <w:rPr>
      <w:rFonts w:ascii="Georgia" w:eastAsia="Times New Roman" w:hAnsi="Georgia" w:cs="Arial"/>
      <w:sz w:val="16"/>
      <w:szCs w:val="16"/>
      <w:lang w:eastAsia="ar-SA"/>
    </w:rPr>
  </w:style>
  <w:style w:type="character" w:customStyle="1" w:styleId="Corpsdetexte3Car">
    <w:name w:val="Corps de texte 3 Car"/>
    <w:basedOn w:val="Policepardfaut"/>
    <w:link w:val="Corpsdetexte3"/>
    <w:uiPriority w:val="99"/>
    <w:rPr>
      <w:rFonts w:ascii="Georgia" w:eastAsia="Times New Roman" w:hAnsi="Georgia" w:cs="Arial"/>
      <w:sz w:val="16"/>
      <w:szCs w:val="16"/>
      <w:lang w:eastAsia="ar-SA"/>
    </w:rPr>
  </w:style>
  <w:style w:type="paragraph" w:styleId="Retraitcorpsdetexte3">
    <w:name w:val="Body Text Indent 3"/>
    <w:basedOn w:val="Normal"/>
    <w:link w:val="Retraitcorpsdetexte3Car"/>
    <w:uiPriority w:val="99"/>
    <w:pPr>
      <w:suppressAutoHyphens/>
      <w:spacing w:after="120"/>
      <w:ind w:left="283"/>
    </w:pPr>
    <w:rPr>
      <w:rFonts w:ascii="Georgia" w:eastAsia="Times New Roman" w:hAnsi="Georgia" w:cs="Arial"/>
      <w:sz w:val="16"/>
      <w:szCs w:val="16"/>
      <w:lang w:eastAsia="ar-SA"/>
    </w:rPr>
  </w:style>
  <w:style w:type="character" w:customStyle="1" w:styleId="Retraitcorpsdetexte3Car">
    <w:name w:val="Retrait corps de texte 3 Car"/>
    <w:basedOn w:val="Policepardfaut"/>
    <w:link w:val="Retraitcorpsdetexte3"/>
    <w:uiPriority w:val="99"/>
    <w:rPr>
      <w:rFonts w:ascii="Georgia" w:eastAsia="Times New Roman" w:hAnsi="Georgia" w:cs="Arial"/>
      <w:sz w:val="16"/>
      <w:szCs w:val="16"/>
      <w:lang w:eastAsia="ar-SA"/>
    </w:rPr>
  </w:style>
  <w:style w:type="character" w:customStyle="1" w:styleId="StyleArial11pt">
    <w:name w:val="Style Arial 11 pt"/>
    <w:basedOn w:val="Policepardfaut"/>
    <w:uiPriority w:val="99"/>
    <w:rPr>
      <w:rFonts w:ascii="Georgia" w:hAnsi="Georgia" w:cs="Times New Roman"/>
      <w:sz w:val="22"/>
    </w:rPr>
  </w:style>
  <w:style w:type="paragraph" w:customStyle="1" w:styleId="annexe">
    <w:name w:val="annexe"/>
    <w:basedOn w:val="Normal"/>
    <w:next w:val="Normal"/>
    <w:autoRedefine/>
    <w:pPr>
      <w:pBdr>
        <w:top w:val="single" w:sz="4" w:space="1" w:color="000000"/>
        <w:left w:val="single" w:sz="4" w:space="4" w:color="000000"/>
        <w:bottom w:val="single" w:sz="4" w:space="1" w:color="000000"/>
        <w:right w:val="single" w:sz="4" w:space="4" w:color="000000"/>
      </w:pBdr>
      <w:ind w:right="27"/>
      <w:outlineLvl w:val="4"/>
    </w:pPr>
    <w:rPr>
      <w:rFonts w:ascii="Georgia" w:eastAsia="Times New Roman" w:hAnsi="Georgia" w:cs="Arial"/>
      <w:lang w:val="fr-FR" w:eastAsia="fr-FR"/>
    </w:rPr>
  </w:style>
  <w:style w:type="paragraph" w:customStyle="1" w:styleId="StyleTitre3NonGrasNonsoulignJustifiGauche0cmP">
    <w:name w:val="Style Titre 3 + Non Gras Non souligné Justifié Gauche :  0 cm P..."/>
    <w:basedOn w:val="Titre3"/>
    <w:uiPriority w:val="99"/>
    <w:pPr>
      <w:pBdr>
        <w:top w:val="single" w:sz="4" w:space="1" w:color="auto"/>
        <w:left w:val="single" w:sz="4" w:space="4" w:color="auto"/>
        <w:bottom w:val="single" w:sz="4" w:space="1" w:color="auto"/>
        <w:right w:val="single" w:sz="4" w:space="4" w:color="auto"/>
      </w:pBdr>
      <w:jc w:val="center"/>
    </w:pPr>
    <w:rPr>
      <w:b w:val="0"/>
      <w:u w:val="none"/>
    </w:rPr>
  </w:style>
  <w:style w:type="paragraph" w:customStyle="1" w:styleId="StyleTitre3JustifiEncadrementSimpleAutomatique05">
    <w:name w:val="Style Titre 3 + Justifié Encadrement : (Simple Automatique  05 ..."/>
    <w:basedOn w:val="Titre3"/>
    <w:uiPriority w:val="99"/>
    <w:pPr>
      <w:pBdr>
        <w:top w:val="single" w:sz="4" w:space="1" w:color="auto"/>
        <w:left w:val="single" w:sz="4" w:space="4" w:color="auto"/>
        <w:bottom w:val="single" w:sz="4" w:space="1" w:color="auto"/>
        <w:right w:val="single" w:sz="4" w:space="4" w:color="auto"/>
      </w:pBdr>
      <w:jc w:val="center"/>
    </w:pPr>
    <w:rPr>
      <w:bCs/>
      <w:u w:val="none"/>
    </w:rPr>
  </w:style>
  <w:style w:type="paragraph" w:customStyle="1" w:styleId="StyleTitre3JustifiEncadrementSimpleAutomatique051">
    <w:name w:val="Style Titre 3 + Justifié Encadrement : (Simple Automatique  05 ...1"/>
    <w:basedOn w:val="Titre3"/>
    <w:uiPriority w:val="99"/>
    <w:pPr>
      <w:pBdr>
        <w:top w:val="single" w:sz="4" w:space="1" w:color="auto"/>
        <w:left w:val="single" w:sz="4" w:space="4" w:color="auto"/>
        <w:bottom w:val="single" w:sz="4" w:space="1" w:color="auto"/>
        <w:right w:val="single" w:sz="4" w:space="4" w:color="auto"/>
      </w:pBdr>
      <w:jc w:val="center"/>
    </w:pPr>
    <w:rPr>
      <w:b w:val="0"/>
      <w:bCs/>
      <w:u w:val="none"/>
    </w:rPr>
  </w:style>
  <w:style w:type="character" w:styleId="Marquedecommentaire">
    <w:name w:val="annotation reference"/>
    <w:basedOn w:val="Policepardfaut"/>
    <w:rPr>
      <w:rFonts w:cs="Times New Roman"/>
      <w:sz w:val="16"/>
      <w:szCs w:val="16"/>
    </w:rPr>
  </w:style>
  <w:style w:type="paragraph" w:styleId="Commentaire">
    <w:name w:val="annotation text"/>
    <w:basedOn w:val="Normal"/>
    <w:link w:val="CommentaireCar"/>
    <w:pPr>
      <w:suppressAutoHyphens/>
    </w:pPr>
    <w:rPr>
      <w:rFonts w:ascii="Georgia" w:eastAsia="Times New Roman" w:hAnsi="Georgia" w:cs="Arial"/>
      <w:sz w:val="20"/>
      <w:szCs w:val="20"/>
      <w:lang w:eastAsia="ar-SA"/>
    </w:rPr>
  </w:style>
  <w:style w:type="character" w:customStyle="1" w:styleId="CommentaireCar">
    <w:name w:val="Commentaire Car"/>
    <w:basedOn w:val="Policepardfaut"/>
    <w:link w:val="Commentaire"/>
    <w:rPr>
      <w:rFonts w:ascii="Georgia" w:eastAsia="Times New Roman" w:hAnsi="Georgia" w:cs="Arial"/>
      <w:sz w:val="20"/>
      <w:szCs w:val="20"/>
      <w:lang w:eastAsia="ar-SA"/>
    </w:rPr>
  </w:style>
  <w:style w:type="paragraph" w:styleId="Objetducommentaire">
    <w:name w:val="annotation subject"/>
    <w:basedOn w:val="Commentaire"/>
    <w:next w:val="Commentaire"/>
    <w:link w:val="ObjetducommentaireCar"/>
    <w:uiPriority w:val="99"/>
    <w:semiHidden/>
    <w:rPr>
      <w:b/>
      <w:bCs/>
    </w:rPr>
  </w:style>
  <w:style w:type="character" w:customStyle="1" w:styleId="ObjetducommentaireCar">
    <w:name w:val="Objet du commentaire Car"/>
    <w:basedOn w:val="CommentaireCar"/>
    <w:link w:val="Objetducommentaire"/>
    <w:uiPriority w:val="99"/>
    <w:semiHidden/>
    <w:rPr>
      <w:rFonts w:ascii="Georgia" w:eastAsia="Times New Roman" w:hAnsi="Georgia" w:cs="Arial"/>
      <w:b/>
      <w:bCs/>
      <w:sz w:val="20"/>
      <w:szCs w:val="20"/>
      <w:lang w:eastAsia="ar-SA"/>
    </w:rPr>
  </w:style>
  <w:style w:type="paragraph" w:customStyle="1" w:styleId="msolistparagraph0">
    <w:name w:val="msolistparagraph"/>
    <w:basedOn w:val="Normal"/>
    <w:pPr>
      <w:ind w:left="720"/>
    </w:pPr>
    <w:rPr>
      <w:rFonts w:ascii="Calibri" w:eastAsia="Times New Roman" w:hAnsi="Calibri" w:cs="Arial"/>
      <w:lang w:val="fr-FR" w:eastAsia="fr-FR"/>
    </w:rPr>
  </w:style>
  <w:style w:type="character" w:styleId="lev">
    <w:name w:val="Strong"/>
    <w:basedOn w:val="Policepardfaut"/>
    <w:uiPriority w:val="22"/>
    <w:qFormat/>
    <w:rPr>
      <w:rFonts w:cs="Times New Roman"/>
      <w:b/>
      <w:bCs/>
    </w:rPr>
  </w:style>
  <w:style w:type="paragraph" w:styleId="Retraitcorpsdetexte2">
    <w:name w:val="Body Text Indent 2"/>
    <w:basedOn w:val="Normal"/>
    <w:link w:val="Retraitcorpsdetexte2Car"/>
    <w:uiPriority w:val="99"/>
    <w:pPr>
      <w:suppressAutoHyphens/>
      <w:spacing w:after="120" w:line="480" w:lineRule="auto"/>
      <w:ind w:left="283"/>
    </w:pPr>
    <w:rPr>
      <w:rFonts w:ascii="Georgia" w:eastAsia="Times New Roman" w:hAnsi="Georgia" w:cs="Arial"/>
      <w:szCs w:val="20"/>
      <w:lang w:eastAsia="ar-SA"/>
    </w:rPr>
  </w:style>
  <w:style w:type="character" w:customStyle="1" w:styleId="Retraitcorpsdetexte2Car">
    <w:name w:val="Retrait corps de texte 2 Car"/>
    <w:basedOn w:val="Policepardfaut"/>
    <w:link w:val="Retraitcorpsdetexte2"/>
    <w:uiPriority w:val="99"/>
    <w:rPr>
      <w:rFonts w:ascii="Georgia" w:eastAsia="Times New Roman" w:hAnsi="Georgia" w:cs="Arial"/>
      <w:szCs w:val="20"/>
      <w:lang w:eastAsia="ar-SA"/>
    </w:rPr>
  </w:style>
  <w:style w:type="paragraph" w:customStyle="1" w:styleId="Effacer">
    <w:name w:val="Effacer"/>
    <w:basedOn w:val="Titre4"/>
    <w:uiPriority w:val="99"/>
  </w:style>
  <w:style w:type="paragraph" w:styleId="Textebrut">
    <w:name w:val="Plain Text"/>
    <w:basedOn w:val="Normal"/>
    <w:link w:val="TextebrutCar"/>
    <w:uiPriority w:val="99"/>
    <w:rPr>
      <w:rFonts w:ascii="Georgia" w:eastAsia="Calibri" w:hAnsi="Georgia" w:cs="Arial"/>
      <w:szCs w:val="21"/>
    </w:rPr>
  </w:style>
  <w:style w:type="character" w:customStyle="1" w:styleId="TextebrutCar">
    <w:name w:val="Texte brut Car"/>
    <w:basedOn w:val="Policepardfaut"/>
    <w:link w:val="Textebrut"/>
    <w:uiPriority w:val="99"/>
    <w:rPr>
      <w:rFonts w:ascii="Georgia" w:eastAsia="Calibri" w:hAnsi="Georgia" w:cs="Arial"/>
      <w:szCs w:val="21"/>
    </w:rPr>
  </w:style>
  <w:style w:type="paragraph" w:styleId="Explorateurdedocuments">
    <w:name w:val="Document Map"/>
    <w:basedOn w:val="Normal"/>
    <w:link w:val="ExplorateurdedocumentsCar"/>
    <w:semiHidden/>
    <w:pPr>
      <w:suppressAutoHyphens/>
    </w:pPr>
    <w:rPr>
      <w:rFonts w:ascii="Tahoma" w:eastAsia="Times New Roman" w:hAnsi="Tahoma" w:cs="Tahoma"/>
      <w:sz w:val="16"/>
      <w:szCs w:val="16"/>
      <w:lang w:eastAsia="ar-SA"/>
    </w:rPr>
  </w:style>
  <w:style w:type="character" w:customStyle="1" w:styleId="ExplorateurdedocumentsCar">
    <w:name w:val="Explorateur de documents Car"/>
    <w:basedOn w:val="Policepardfaut"/>
    <w:link w:val="Explorateurdedocuments"/>
    <w:semiHidden/>
    <w:rPr>
      <w:rFonts w:ascii="Tahoma" w:eastAsia="Times New Roman" w:hAnsi="Tahoma" w:cs="Tahoma"/>
      <w:sz w:val="16"/>
      <w:szCs w:val="16"/>
      <w:lang w:eastAsia="ar-SA"/>
    </w:rPr>
  </w:style>
  <w:style w:type="paragraph" w:styleId="Listepuces">
    <w:name w:val="List Bullet"/>
    <w:basedOn w:val="Normal"/>
    <w:uiPriority w:val="99"/>
    <w:unhideWhenUsed/>
    <w:pPr>
      <w:numPr>
        <w:numId w:val="70"/>
      </w:numPr>
      <w:suppressAutoHyphens/>
      <w:contextualSpacing/>
    </w:pPr>
    <w:rPr>
      <w:rFonts w:ascii="Georgia" w:eastAsia="Times New Roman" w:hAnsi="Georgia" w:cs="Arial"/>
      <w:szCs w:val="20"/>
      <w:lang w:eastAsia="ar-SA"/>
    </w:rPr>
  </w:style>
  <w:style w:type="paragraph" w:customStyle="1" w:styleId="Paragraphedeliste2">
    <w:name w:val="Paragraphe de liste2"/>
    <w:basedOn w:val="Normal"/>
    <w:pPr>
      <w:suppressAutoHyphens/>
      <w:ind w:left="720"/>
    </w:pPr>
    <w:rPr>
      <w:rFonts w:ascii="Times New Roman" w:eastAsia="Times New Roman" w:hAnsi="Times New Roman" w:cs="Times New Roman"/>
      <w:lang w:eastAsia="ar-SA"/>
    </w:rPr>
  </w:style>
  <w:style w:type="paragraph" w:styleId="Rvision">
    <w:name w:val="Revision"/>
    <w:hidden/>
    <w:uiPriority w:val="99"/>
    <w:semiHidden/>
  </w:style>
  <w:style w:type="paragraph" w:styleId="Citationintense">
    <w:name w:val="Intense Quote"/>
    <w:basedOn w:val="Normal"/>
    <w:next w:val="Normal"/>
    <w:link w:val="CitationintenseC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Pr>
      <w:i/>
      <w:iCs/>
      <w:color w:val="4F81BD" w:themeColor="accent1"/>
    </w:rPr>
  </w:style>
  <w:style w:type="paragraph" w:styleId="Citation">
    <w:name w:val="Quote"/>
    <w:basedOn w:val="Normal"/>
    <w:next w:val="Normal"/>
    <w:link w:val="CitationCar"/>
    <w:uiPriority w:val="29"/>
    <w:qFormat/>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numbering" w:customStyle="1" w:styleId="Style5">
    <w:name w:val="Style5"/>
    <w:uiPriority w:val="99"/>
    <w:pPr>
      <w:numPr>
        <w:numId w:val="205"/>
      </w:numPr>
    </w:pPr>
  </w:style>
  <w:style w:type="character" w:customStyle="1" w:styleId="apple-converted-space">
    <w:name w:val="apple-converted-space"/>
    <w:basedOn w:val="Policepardfaut"/>
  </w:style>
  <w:style w:type="character" w:customStyle="1" w:styleId="ParagraphedelisteCar">
    <w:name w:val="Paragraphe de liste Car"/>
    <w:aliases w:val="Bullet 1 Car,Liste Niveau 1 Car"/>
    <w:link w:val="Paragraphedeliste"/>
    <w:uiPriority w:val="34"/>
    <w:rPr>
      <w:rFonts w:ascii="Tms Rmn" w:eastAsia="Times New Roman" w:hAnsi="Tms Rmn" w:cs="Arial"/>
      <w:sz w:val="20"/>
      <w:szCs w:val="20"/>
      <w:lang w:eastAsia="ar-SA"/>
    </w:rPr>
  </w:style>
  <w:style w:type="paragraph" w:customStyle="1" w:styleId="Chapitre">
    <w:name w:val="Chapitre"/>
    <w:basedOn w:val="Paragraphedeliste"/>
    <w:autoRedefine/>
    <w:qFormat/>
    <w:pPr>
      <w:numPr>
        <w:numId w:val="217"/>
      </w:numPr>
      <w:tabs>
        <w:tab w:val="num" w:pos="360"/>
      </w:tabs>
      <w:suppressAutoHyphens w:val="0"/>
      <w:spacing w:before="480" w:after="360" w:line="259" w:lineRule="auto"/>
      <w:ind w:left="714" w:hanging="357"/>
    </w:pPr>
    <w:rPr>
      <w:rFonts w:ascii="Calibri" w:eastAsia="Calibri" w:hAnsi="Calibri" w:cs="Times New Roman"/>
      <w:b/>
      <w:sz w:val="28"/>
      <w:szCs w:val="28"/>
      <w:lang w:val="fr-FR" w:eastAsia="en-US"/>
    </w:rPr>
  </w:style>
  <w:style w:type="paragraph" w:customStyle="1" w:styleId="Sous-chapitre">
    <w:name w:val="Sous-chapitre"/>
    <w:basedOn w:val="Titre5"/>
    <w:autoRedefine/>
    <w:qFormat/>
    <w:pPr>
      <w:ind w:left="850" w:hanging="283"/>
    </w:pPr>
  </w:style>
  <w:style w:type="numbering" w:customStyle="1" w:styleId="Aucuneliste1">
    <w:name w:val="Aucune liste1"/>
    <w:next w:val="Aucuneliste"/>
    <w:semiHidden/>
  </w:style>
  <w:style w:type="table" w:customStyle="1" w:styleId="TableGrid">
    <w:name w:val="TableGrid"/>
    <w:rPr>
      <w:rFonts w:eastAsiaTheme="minorEastAsia"/>
      <w:lang w:val="fr-FR" w:eastAsia="fr-FR"/>
    </w:rPr>
    <w:tblPr>
      <w:tblCellMar>
        <w:top w:w="0" w:type="dxa"/>
        <w:left w:w="0" w:type="dxa"/>
        <w:bottom w:w="0" w:type="dxa"/>
        <w:right w:w="0" w:type="dxa"/>
      </w:tblCellMar>
    </w:tblPr>
  </w:style>
  <w:style w:type="table" w:customStyle="1" w:styleId="TableGrid1">
    <w:name w:val="TableGrid1"/>
    <w:rPr>
      <w:rFonts w:eastAsia="Times New Roman"/>
      <w:lang w:eastAsia="fr-BE"/>
    </w:rPr>
    <w:tblPr>
      <w:tblCellMar>
        <w:top w:w="0" w:type="dxa"/>
        <w:left w:w="0" w:type="dxa"/>
        <w:bottom w:w="0" w:type="dxa"/>
        <w:right w:w="0" w:type="dxa"/>
      </w:tblCellMar>
    </w:tblPr>
  </w:style>
  <w:style w:type="table" w:customStyle="1" w:styleId="TableNormal">
    <w:name w:val="Table Normal"/>
    <w:uiPriority w:val="2"/>
    <w:semiHidden/>
    <w:unhideWhenUsed/>
    <w:qFormat/>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autoSpaceDE w:val="0"/>
      <w:autoSpaceDN w:val="0"/>
    </w:pPr>
    <w:rPr>
      <w:rFonts w:ascii="Verdana" w:eastAsia="Verdana" w:hAnsi="Verdana" w:cs="Verdana"/>
      <w:lang w:val="fr-FR" w:eastAsia="fr-FR" w:bidi="fr-FR"/>
    </w:rPr>
  </w:style>
  <w:style w:type="table" w:customStyle="1" w:styleId="Grilledutableau1">
    <w:name w:val="Grille du tableau1"/>
    <w:basedOn w:val="TableauNormal"/>
    <w:next w:val="Grilledutableau"/>
    <w:uiPriority w:val="3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90502">
      <w:bodyDiv w:val="1"/>
      <w:marLeft w:val="0"/>
      <w:marRight w:val="0"/>
      <w:marTop w:val="0"/>
      <w:marBottom w:val="0"/>
      <w:divBdr>
        <w:top w:val="none" w:sz="0" w:space="0" w:color="auto"/>
        <w:left w:val="none" w:sz="0" w:space="0" w:color="auto"/>
        <w:bottom w:val="none" w:sz="0" w:space="0" w:color="auto"/>
        <w:right w:val="none" w:sz="0" w:space="0" w:color="auto"/>
      </w:divBdr>
    </w:div>
    <w:div w:id="51586735">
      <w:bodyDiv w:val="1"/>
      <w:marLeft w:val="0"/>
      <w:marRight w:val="0"/>
      <w:marTop w:val="0"/>
      <w:marBottom w:val="0"/>
      <w:divBdr>
        <w:top w:val="none" w:sz="0" w:space="0" w:color="auto"/>
        <w:left w:val="none" w:sz="0" w:space="0" w:color="auto"/>
        <w:bottom w:val="none" w:sz="0" w:space="0" w:color="auto"/>
        <w:right w:val="none" w:sz="0" w:space="0" w:color="auto"/>
      </w:divBdr>
    </w:div>
    <w:div w:id="72775438">
      <w:bodyDiv w:val="1"/>
      <w:marLeft w:val="0"/>
      <w:marRight w:val="0"/>
      <w:marTop w:val="0"/>
      <w:marBottom w:val="0"/>
      <w:divBdr>
        <w:top w:val="none" w:sz="0" w:space="0" w:color="auto"/>
        <w:left w:val="none" w:sz="0" w:space="0" w:color="auto"/>
        <w:bottom w:val="none" w:sz="0" w:space="0" w:color="auto"/>
        <w:right w:val="none" w:sz="0" w:space="0" w:color="auto"/>
      </w:divBdr>
    </w:div>
    <w:div w:id="98068558">
      <w:bodyDiv w:val="1"/>
      <w:marLeft w:val="0"/>
      <w:marRight w:val="0"/>
      <w:marTop w:val="0"/>
      <w:marBottom w:val="0"/>
      <w:divBdr>
        <w:top w:val="none" w:sz="0" w:space="0" w:color="auto"/>
        <w:left w:val="none" w:sz="0" w:space="0" w:color="auto"/>
        <w:bottom w:val="none" w:sz="0" w:space="0" w:color="auto"/>
        <w:right w:val="none" w:sz="0" w:space="0" w:color="auto"/>
      </w:divBdr>
    </w:div>
    <w:div w:id="141629494">
      <w:bodyDiv w:val="1"/>
      <w:marLeft w:val="0"/>
      <w:marRight w:val="0"/>
      <w:marTop w:val="0"/>
      <w:marBottom w:val="0"/>
      <w:divBdr>
        <w:top w:val="none" w:sz="0" w:space="0" w:color="auto"/>
        <w:left w:val="none" w:sz="0" w:space="0" w:color="auto"/>
        <w:bottom w:val="none" w:sz="0" w:space="0" w:color="auto"/>
        <w:right w:val="none" w:sz="0" w:space="0" w:color="auto"/>
      </w:divBdr>
    </w:div>
    <w:div w:id="180749087">
      <w:bodyDiv w:val="1"/>
      <w:marLeft w:val="0"/>
      <w:marRight w:val="0"/>
      <w:marTop w:val="0"/>
      <w:marBottom w:val="0"/>
      <w:divBdr>
        <w:top w:val="none" w:sz="0" w:space="0" w:color="auto"/>
        <w:left w:val="none" w:sz="0" w:space="0" w:color="auto"/>
        <w:bottom w:val="none" w:sz="0" w:space="0" w:color="auto"/>
        <w:right w:val="none" w:sz="0" w:space="0" w:color="auto"/>
      </w:divBdr>
    </w:div>
    <w:div w:id="218322995">
      <w:bodyDiv w:val="1"/>
      <w:marLeft w:val="0"/>
      <w:marRight w:val="0"/>
      <w:marTop w:val="0"/>
      <w:marBottom w:val="0"/>
      <w:divBdr>
        <w:top w:val="none" w:sz="0" w:space="0" w:color="auto"/>
        <w:left w:val="none" w:sz="0" w:space="0" w:color="auto"/>
        <w:bottom w:val="none" w:sz="0" w:space="0" w:color="auto"/>
        <w:right w:val="none" w:sz="0" w:space="0" w:color="auto"/>
      </w:divBdr>
    </w:div>
    <w:div w:id="278293787">
      <w:bodyDiv w:val="1"/>
      <w:marLeft w:val="150"/>
      <w:marRight w:val="150"/>
      <w:marTop w:val="150"/>
      <w:marBottom w:val="150"/>
      <w:divBdr>
        <w:top w:val="none" w:sz="0" w:space="0" w:color="auto"/>
        <w:left w:val="none" w:sz="0" w:space="0" w:color="auto"/>
        <w:bottom w:val="none" w:sz="0" w:space="0" w:color="auto"/>
        <w:right w:val="none" w:sz="0" w:space="0" w:color="auto"/>
      </w:divBdr>
      <w:divsChild>
        <w:div w:id="1804493664">
          <w:marLeft w:val="0"/>
          <w:marRight w:val="0"/>
          <w:marTop w:val="100"/>
          <w:marBottom w:val="100"/>
          <w:divBdr>
            <w:top w:val="none" w:sz="0" w:space="0" w:color="auto"/>
            <w:left w:val="none" w:sz="0" w:space="0" w:color="auto"/>
            <w:bottom w:val="none" w:sz="0" w:space="0" w:color="auto"/>
            <w:right w:val="none" w:sz="0" w:space="0" w:color="auto"/>
          </w:divBdr>
          <w:divsChild>
            <w:div w:id="488637903">
              <w:marLeft w:val="0"/>
              <w:marRight w:val="150"/>
              <w:marTop w:val="0"/>
              <w:marBottom w:val="150"/>
              <w:divBdr>
                <w:top w:val="none" w:sz="0" w:space="0" w:color="auto"/>
                <w:left w:val="none" w:sz="0" w:space="0" w:color="auto"/>
                <w:bottom w:val="none" w:sz="0" w:space="0" w:color="auto"/>
                <w:right w:val="none" w:sz="0" w:space="0" w:color="auto"/>
              </w:divBdr>
              <w:divsChild>
                <w:div w:id="208309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808594">
      <w:bodyDiv w:val="1"/>
      <w:marLeft w:val="0"/>
      <w:marRight w:val="0"/>
      <w:marTop w:val="0"/>
      <w:marBottom w:val="0"/>
      <w:divBdr>
        <w:top w:val="none" w:sz="0" w:space="0" w:color="auto"/>
        <w:left w:val="none" w:sz="0" w:space="0" w:color="auto"/>
        <w:bottom w:val="none" w:sz="0" w:space="0" w:color="auto"/>
        <w:right w:val="none" w:sz="0" w:space="0" w:color="auto"/>
      </w:divBdr>
    </w:div>
    <w:div w:id="362175780">
      <w:bodyDiv w:val="1"/>
      <w:marLeft w:val="0"/>
      <w:marRight w:val="0"/>
      <w:marTop w:val="0"/>
      <w:marBottom w:val="0"/>
      <w:divBdr>
        <w:top w:val="none" w:sz="0" w:space="0" w:color="auto"/>
        <w:left w:val="none" w:sz="0" w:space="0" w:color="auto"/>
        <w:bottom w:val="none" w:sz="0" w:space="0" w:color="auto"/>
        <w:right w:val="none" w:sz="0" w:space="0" w:color="auto"/>
      </w:divBdr>
    </w:div>
    <w:div w:id="366679165">
      <w:bodyDiv w:val="1"/>
      <w:marLeft w:val="0"/>
      <w:marRight w:val="0"/>
      <w:marTop w:val="0"/>
      <w:marBottom w:val="0"/>
      <w:divBdr>
        <w:top w:val="none" w:sz="0" w:space="0" w:color="auto"/>
        <w:left w:val="none" w:sz="0" w:space="0" w:color="auto"/>
        <w:bottom w:val="none" w:sz="0" w:space="0" w:color="auto"/>
        <w:right w:val="none" w:sz="0" w:space="0" w:color="auto"/>
      </w:divBdr>
    </w:div>
    <w:div w:id="415789843">
      <w:bodyDiv w:val="1"/>
      <w:marLeft w:val="0"/>
      <w:marRight w:val="0"/>
      <w:marTop w:val="0"/>
      <w:marBottom w:val="0"/>
      <w:divBdr>
        <w:top w:val="none" w:sz="0" w:space="0" w:color="auto"/>
        <w:left w:val="none" w:sz="0" w:space="0" w:color="auto"/>
        <w:bottom w:val="none" w:sz="0" w:space="0" w:color="auto"/>
        <w:right w:val="none" w:sz="0" w:space="0" w:color="auto"/>
      </w:divBdr>
    </w:div>
    <w:div w:id="447237415">
      <w:bodyDiv w:val="1"/>
      <w:marLeft w:val="0"/>
      <w:marRight w:val="0"/>
      <w:marTop w:val="0"/>
      <w:marBottom w:val="0"/>
      <w:divBdr>
        <w:top w:val="none" w:sz="0" w:space="0" w:color="auto"/>
        <w:left w:val="none" w:sz="0" w:space="0" w:color="auto"/>
        <w:bottom w:val="none" w:sz="0" w:space="0" w:color="auto"/>
        <w:right w:val="none" w:sz="0" w:space="0" w:color="auto"/>
      </w:divBdr>
    </w:div>
    <w:div w:id="447743739">
      <w:bodyDiv w:val="1"/>
      <w:marLeft w:val="0"/>
      <w:marRight w:val="0"/>
      <w:marTop w:val="0"/>
      <w:marBottom w:val="0"/>
      <w:divBdr>
        <w:top w:val="none" w:sz="0" w:space="0" w:color="auto"/>
        <w:left w:val="none" w:sz="0" w:space="0" w:color="auto"/>
        <w:bottom w:val="none" w:sz="0" w:space="0" w:color="auto"/>
        <w:right w:val="none" w:sz="0" w:space="0" w:color="auto"/>
      </w:divBdr>
    </w:div>
    <w:div w:id="503476415">
      <w:bodyDiv w:val="1"/>
      <w:marLeft w:val="0"/>
      <w:marRight w:val="0"/>
      <w:marTop w:val="0"/>
      <w:marBottom w:val="0"/>
      <w:divBdr>
        <w:top w:val="none" w:sz="0" w:space="0" w:color="auto"/>
        <w:left w:val="none" w:sz="0" w:space="0" w:color="auto"/>
        <w:bottom w:val="none" w:sz="0" w:space="0" w:color="auto"/>
        <w:right w:val="none" w:sz="0" w:space="0" w:color="auto"/>
      </w:divBdr>
    </w:div>
    <w:div w:id="539821673">
      <w:bodyDiv w:val="1"/>
      <w:marLeft w:val="0"/>
      <w:marRight w:val="0"/>
      <w:marTop w:val="0"/>
      <w:marBottom w:val="0"/>
      <w:divBdr>
        <w:top w:val="none" w:sz="0" w:space="0" w:color="auto"/>
        <w:left w:val="none" w:sz="0" w:space="0" w:color="auto"/>
        <w:bottom w:val="none" w:sz="0" w:space="0" w:color="auto"/>
        <w:right w:val="none" w:sz="0" w:space="0" w:color="auto"/>
      </w:divBdr>
    </w:div>
    <w:div w:id="580067060">
      <w:bodyDiv w:val="1"/>
      <w:marLeft w:val="0"/>
      <w:marRight w:val="0"/>
      <w:marTop w:val="0"/>
      <w:marBottom w:val="0"/>
      <w:divBdr>
        <w:top w:val="none" w:sz="0" w:space="0" w:color="auto"/>
        <w:left w:val="none" w:sz="0" w:space="0" w:color="auto"/>
        <w:bottom w:val="none" w:sz="0" w:space="0" w:color="auto"/>
        <w:right w:val="none" w:sz="0" w:space="0" w:color="auto"/>
      </w:divBdr>
    </w:div>
    <w:div w:id="588544833">
      <w:bodyDiv w:val="1"/>
      <w:marLeft w:val="0"/>
      <w:marRight w:val="0"/>
      <w:marTop w:val="0"/>
      <w:marBottom w:val="0"/>
      <w:divBdr>
        <w:top w:val="none" w:sz="0" w:space="0" w:color="auto"/>
        <w:left w:val="none" w:sz="0" w:space="0" w:color="auto"/>
        <w:bottom w:val="none" w:sz="0" w:space="0" w:color="auto"/>
        <w:right w:val="none" w:sz="0" w:space="0" w:color="auto"/>
      </w:divBdr>
    </w:div>
    <w:div w:id="603610893">
      <w:bodyDiv w:val="1"/>
      <w:marLeft w:val="0"/>
      <w:marRight w:val="0"/>
      <w:marTop w:val="0"/>
      <w:marBottom w:val="0"/>
      <w:divBdr>
        <w:top w:val="none" w:sz="0" w:space="0" w:color="auto"/>
        <w:left w:val="none" w:sz="0" w:space="0" w:color="auto"/>
        <w:bottom w:val="none" w:sz="0" w:space="0" w:color="auto"/>
        <w:right w:val="none" w:sz="0" w:space="0" w:color="auto"/>
      </w:divBdr>
    </w:div>
    <w:div w:id="769664477">
      <w:bodyDiv w:val="1"/>
      <w:marLeft w:val="0"/>
      <w:marRight w:val="0"/>
      <w:marTop w:val="0"/>
      <w:marBottom w:val="0"/>
      <w:divBdr>
        <w:top w:val="none" w:sz="0" w:space="0" w:color="auto"/>
        <w:left w:val="none" w:sz="0" w:space="0" w:color="auto"/>
        <w:bottom w:val="none" w:sz="0" w:space="0" w:color="auto"/>
        <w:right w:val="none" w:sz="0" w:space="0" w:color="auto"/>
      </w:divBdr>
    </w:div>
    <w:div w:id="795874035">
      <w:bodyDiv w:val="1"/>
      <w:marLeft w:val="0"/>
      <w:marRight w:val="0"/>
      <w:marTop w:val="0"/>
      <w:marBottom w:val="0"/>
      <w:divBdr>
        <w:top w:val="none" w:sz="0" w:space="0" w:color="auto"/>
        <w:left w:val="none" w:sz="0" w:space="0" w:color="auto"/>
        <w:bottom w:val="none" w:sz="0" w:space="0" w:color="auto"/>
        <w:right w:val="none" w:sz="0" w:space="0" w:color="auto"/>
      </w:divBdr>
    </w:div>
    <w:div w:id="814109230">
      <w:bodyDiv w:val="1"/>
      <w:marLeft w:val="0"/>
      <w:marRight w:val="0"/>
      <w:marTop w:val="0"/>
      <w:marBottom w:val="0"/>
      <w:divBdr>
        <w:top w:val="none" w:sz="0" w:space="0" w:color="auto"/>
        <w:left w:val="none" w:sz="0" w:space="0" w:color="auto"/>
        <w:bottom w:val="none" w:sz="0" w:space="0" w:color="auto"/>
        <w:right w:val="none" w:sz="0" w:space="0" w:color="auto"/>
      </w:divBdr>
    </w:div>
    <w:div w:id="830104607">
      <w:bodyDiv w:val="1"/>
      <w:marLeft w:val="0"/>
      <w:marRight w:val="0"/>
      <w:marTop w:val="0"/>
      <w:marBottom w:val="0"/>
      <w:divBdr>
        <w:top w:val="none" w:sz="0" w:space="0" w:color="auto"/>
        <w:left w:val="none" w:sz="0" w:space="0" w:color="auto"/>
        <w:bottom w:val="none" w:sz="0" w:space="0" w:color="auto"/>
        <w:right w:val="none" w:sz="0" w:space="0" w:color="auto"/>
      </w:divBdr>
    </w:div>
    <w:div w:id="983387003">
      <w:bodyDiv w:val="1"/>
      <w:marLeft w:val="0"/>
      <w:marRight w:val="0"/>
      <w:marTop w:val="0"/>
      <w:marBottom w:val="0"/>
      <w:divBdr>
        <w:top w:val="none" w:sz="0" w:space="0" w:color="auto"/>
        <w:left w:val="none" w:sz="0" w:space="0" w:color="auto"/>
        <w:bottom w:val="none" w:sz="0" w:space="0" w:color="auto"/>
        <w:right w:val="none" w:sz="0" w:space="0" w:color="auto"/>
      </w:divBdr>
    </w:div>
    <w:div w:id="1067075977">
      <w:bodyDiv w:val="1"/>
      <w:marLeft w:val="0"/>
      <w:marRight w:val="0"/>
      <w:marTop w:val="0"/>
      <w:marBottom w:val="0"/>
      <w:divBdr>
        <w:top w:val="none" w:sz="0" w:space="0" w:color="auto"/>
        <w:left w:val="none" w:sz="0" w:space="0" w:color="auto"/>
        <w:bottom w:val="none" w:sz="0" w:space="0" w:color="auto"/>
        <w:right w:val="none" w:sz="0" w:space="0" w:color="auto"/>
      </w:divBdr>
    </w:div>
    <w:div w:id="1080911027">
      <w:bodyDiv w:val="1"/>
      <w:marLeft w:val="0"/>
      <w:marRight w:val="0"/>
      <w:marTop w:val="0"/>
      <w:marBottom w:val="0"/>
      <w:divBdr>
        <w:top w:val="none" w:sz="0" w:space="0" w:color="auto"/>
        <w:left w:val="none" w:sz="0" w:space="0" w:color="auto"/>
        <w:bottom w:val="none" w:sz="0" w:space="0" w:color="auto"/>
        <w:right w:val="none" w:sz="0" w:space="0" w:color="auto"/>
      </w:divBdr>
    </w:div>
    <w:div w:id="1119450571">
      <w:bodyDiv w:val="1"/>
      <w:marLeft w:val="0"/>
      <w:marRight w:val="0"/>
      <w:marTop w:val="0"/>
      <w:marBottom w:val="0"/>
      <w:divBdr>
        <w:top w:val="none" w:sz="0" w:space="0" w:color="auto"/>
        <w:left w:val="none" w:sz="0" w:space="0" w:color="auto"/>
        <w:bottom w:val="none" w:sz="0" w:space="0" w:color="auto"/>
        <w:right w:val="none" w:sz="0" w:space="0" w:color="auto"/>
      </w:divBdr>
    </w:div>
    <w:div w:id="1158307009">
      <w:bodyDiv w:val="1"/>
      <w:marLeft w:val="0"/>
      <w:marRight w:val="0"/>
      <w:marTop w:val="0"/>
      <w:marBottom w:val="0"/>
      <w:divBdr>
        <w:top w:val="none" w:sz="0" w:space="0" w:color="auto"/>
        <w:left w:val="none" w:sz="0" w:space="0" w:color="auto"/>
        <w:bottom w:val="none" w:sz="0" w:space="0" w:color="auto"/>
        <w:right w:val="none" w:sz="0" w:space="0" w:color="auto"/>
      </w:divBdr>
    </w:div>
    <w:div w:id="1166475521">
      <w:bodyDiv w:val="1"/>
      <w:marLeft w:val="0"/>
      <w:marRight w:val="0"/>
      <w:marTop w:val="0"/>
      <w:marBottom w:val="0"/>
      <w:divBdr>
        <w:top w:val="none" w:sz="0" w:space="0" w:color="auto"/>
        <w:left w:val="none" w:sz="0" w:space="0" w:color="auto"/>
        <w:bottom w:val="none" w:sz="0" w:space="0" w:color="auto"/>
        <w:right w:val="none" w:sz="0" w:space="0" w:color="auto"/>
      </w:divBdr>
    </w:div>
    <w:div w:id="1238711871">
      <w:bodyDiv w:val="1"/>
      <w:marLeft w:val="0"/>
      <w:marRight w:val="0"/>
      <w:marTop w:val="0"/>
      <w:marBottom w:val="0"/>
      <w:divBdr>
        <w:top w:val="none" w:sz="0" w:space="0" w:color="auto"/>
        <w:left w:val="none" w:sz="0" w:space="0" w:color="auto"/>
        <w:bottom w:val="none" w:sz="0" w:space="0" w:color="auto"/>
        <w:right w:val="none" w:sz="0" w:space="0" w:color="auto"/>
      </w:divBdr>
    </w:div>
    <w:div w:id="1250429162">
      <w:bodyDiv w:val="1"/>
      <w:marLeft w:val="0"/>
      <w:marRight w:val="0"/>
      <w:marTop w:val="0"/>
      <w:marBottom w:val="0"/>
      <w:divBdr>
        <w:top w:val="none" w:sz="0" w:space="0" w:color="auto"/>
        <w:left w:val="none" w:sz="0" w:space="0" w:color="auto"/>
        <w:bottom w:val="none" w:sz="0" w:space="0" w:color="auto"/>
        <w:right w:val="none" w:sz="0" w:space="0" w:color="auto"/>
      </w:divBdr>
    </w:div>
    <w:div w:id="1270089968">
      <w:bodyDiv w:val="1"/>
      <w:marLeft w:val="0"/>
      <w:marRight w:val="0"/>
      <w:marTop w:val="0"/>
      <w:marBottom w:val="0"/>
      <w:divBdr>
        <w:top w:val="none" w:sz="0" w:space="0" w:color="auto"/>
        <w:left w:val="none" w:sz="0" w:space="0" w:color="auto"/>
        <w:bottom w:val="none" w:sz="0" w:space="0" w:color="auto"/>
        <w:right w:val="none" w:sz="0" w:space="0" w:color="auto"/>
      </w:divBdr>
    </w:div>
    <w:div w:id="1311327189">
      <w:bodyDiv w:val="1"/>
      <w:marLeft w:val="0"/>
      <w:marRight w:val="0"/>
      <w:marTop w:val="0"/>
      <w:marBottom w:val="0"/>
      <w:divBdr>
        <w:top w:val="none" w:sz="0" w:space="0" w:color="auto"/>
        <w:left w:val="none" w:sz="0" w:space="0" w:color="auto"/>
        <w:bottom w:val="none" w:sz="0" w:space="0" w:color="auto"/>
        <w:right w:val="none" w:sz="0" w:space="0" w:color="auto"/>
      </w:divBdr>
    </w:div>
    <w:div w:id="1348412590">
      <w:bodyDiv w:val="1"/>
      <w:marLeft w:val="0"/>
      <w:marRight w:val="0"/>
      <w:marTop w:val="0"/>
      <w:marBottom w:val="0"/>
      <w:divBdr>
        <w:top w:val="none" w:sz="0" w:space="0" w:color="auto"/>
        <w:left w:val="none" w:sz="0" w:space="0" w:color="auto"/>
        <w:bottom w:val="none" w:sz="0" w:space="0" w:color="auto"/>
        <w:right w:val="none" w:sz="0" w:space="0" w:color="auto"/>
      </w:divBdr>
    </w:div>
    <w:div w:id="1356544278">
      <w:bodyDiv w:val="1"/>
      <w:marLeft w:val="0"/>
      <w:marRight w:val="0"/>
      <w:marTop w:val="0"/>
      <w:marBottom w:val="0"/>
      <w:divBdr>
        <w:top w:val="none" w:sz="0" w:space="0" w:color="auto"/>
        <w:left w:val="none" w:sz="0" w:space="0" w:color="auto"/>
        <w:bottom w:val="none" w:sz="0" w:space="0" w:color="auto"/>
        <w:right w:val="none" w:sz="0" w:space="0" w:color="auto"/>
      </w:divBdr>
    </w:div>
    <w:div w:id="1363558422">
      <w:bodyDiv w:val="1"/>
      <w:marLeft w:val="0"/>
      <w:marRight w:val="0"/>
      <w:marTop w:val="0"/>
      <w:marBottom w:val="0"/>
      <w:divBdr>
        <w:top w:val="none" w:sz="0" w:space="0" w:color="auto"/>
        <w:left w:val="none" w:sz="0" w:space="0" w:color="auto"/>
        <w:bottom w:val="none" w:sz="0" w:space="0" w:color="auto"/>
        <w:right w:val="none" w:sz="0" w:space="0" w:color="auto"/>
      </w:divBdr>
    </w:div>
    <w:div w:id="1418212606">
      <w:bodyDiv w:val="1"/>
      <w:marLeft w:val="0"/>
      <w:marRight w:val="0"/>
      <w:marTop w:val="0"/>
      <w:marBottom w:val="0"/>
      <w:divBdr>
        <w:top w:val="none" w:sz="0" w:space="0" w:color="auto"/>
        <w:left w:val="none" w:sz="0" w:space="0" w:color="auto"/>
        <w:bottom w:val="none" w:sz="0" w:space="0" w:color="auto"/>
        <w:right w:val="none" w:sz="0" w:space="0" w:color="auto"/>
      </w:divBdr>
    </w:div>
    <w:div w:id="1439565125">
      <w:bodyDiv w:val="1"/>
      <w:marLeft w:val="0"/>
      <w:marRight w:val="0"/>
      <w:marTop w:val="0"/>
      <w:marBottom w:val="0"/>
      <w:divBdr>
        <w:top w:val="none" w:sz="0" w:space="0" w:color="auto"/>
        <w:left w:val="none" w:sz="0" w:space="0" w:color="auto"/>
        <w:bottom w:val="none" w:sz="0" w:space="0" w:color="auto"/>
        <w:right w:val="none" w:sz="0" w:space="0" w:color="auto"/>
      </w:divBdr>
    </w:div>
    <w:div w:id="1549144337">
      <w:bodyDiv w:val="1"/>
      <w:marLeft w:val="0"/>
      <w:marRight w:val="0"/>
      <w:marTop w:val="0"/>
      <w:marBottom w:val="0"/>
      <w:divBdr>
        <w:top w:val="none" w:sz="0" w:space="0" w:color="auto"/>
        <w:left w:val="none" w:sz="0" w:space="0" w:color="auto"/>
        <w:bottom w:val="none" w:sz="0" w:space="0" w:color="auto"/>
        <w:right w:val="none" w:sz="0" w:space="0" w:color="auto"/>
      </w:divBdr>
    </w:div>
    <w:div w:id="1569655444">
      <w:bodyDiv w:val="1"/>
      <w:marLeft w:val="0"/>
      <w:marRight w:val="0"/>
      <w:marTop w:val="0"/>
      <w:marBottom w:val="0"/>
      <w:divBdr>
        <w:top w:val="none" w:sz="0" w:space="0" w:color="auto"/>
        <w:left w:val="none" w:sz="0" w:space="0" w:color="auto"/>
        <w:bottom w:val="none" w:sz="0" w:space="0" w:color="auto"/>
        <w:right w:val="none" w:sz="0" w:space="0" w:color="auto"/>
      </w:divBdr>
    </w:div>
    <w:div w:id="1621641584">
      <w:bodyDiv w:val="1"/>
      <w:marLeft w:val="0"/>
      <w:marRight w:val="0"/>
      <w:marTop w:val="0"/>
      <w:marBottom w:val="0"/>
      <w:divBdr>
        <w:top w:val="none" w:sz="0" w:space="0" w:color="auto"/>
        <w:left w:val="none" w:sz="0" w:space="0" w:color="auto"/>
        <w:bottom w:val="none" w:sz="0" w:space="0" w:color="auto"/>
        <w:right w:val="none" w:sz="0" w:space="0" w:color="auto"/>
      </w:divBdr>
    </w:div>
    <w:div w:id="1652825350">
      <w:bodyDiv w:val="1"/>
      <w:marLeft w:val="0"/>
      <w:marRight w:val="0"/>
      <w:marTop w:val="0"/>
      <w:marBottom w:val="0"/>
      <w:divBdr>
        <w:top w:val="none" w:sz="0" w:space="0" w:color="auto"/>
        <w:left w:val="none" w:sz="0" w:space="0" w:color="auto"/>
        <w:bottom w:val="none" w:sz="0" w:space="0" w:color="auto"/>
        <w:right w:val="none" w:sz="0" w:space="0" w:color="auto"/>
      </w:divBdr>
    </w:div>
    <w:div w:id="1658027812">
      <w:bodyDiv w:val="1"/>
      <w:marLeft w:val="0"/>
      <w:marRight w:val="0"/>
      <w:marTop w:val="0"/>
      <w:marBottom w:val="0"/>
      <w:divBdr>
        <w:top w:val="none" w:sz="0" w:space="0" w:color="auto"/>
        <w:left w:val="none" w:sz="0" w:space="0" w:color="auto"/>
        <w:bottom w:val="none" w:sz="0" w:space="0" w:color="auto"/>
        <w:right w:val="none" w:sz="0" w:space="0" w:color="auto"/>
      </w:divBdr>
    </w:div>
    <w:div w:id="1707294526">
      <w:bodyDiv w:val="1"/>
      <w:marLeft w:val="0"/>
      <w:marRight w:val="0"/>
      <w:marTop w:val="0"/>
      <w:marBottom w:val="0"/>
      <w:divBdr>
        <w:top w:val="none" w:sz="0" w:space="0" w:color="auto"/>
        <w:left w:val="none" w:sz="0" w:space="0" w:color="auto"/>
        <w:bottom w:val="none" w:sz="0" w:space="0" w:color="auto"/>
        <w:right w:val="none" w:sz="0" w:space="0" w:color="auto"/>
      </w:divBdr>
    </w:div>
    <w:div w:id="1716005487">
      <w:bodyDiv w:val="1"/>
      <w:marLeft w:val="0"/>
      <w:marRight w:val="0"/>
      <w:marTop w:val="0"/>
      <w:marBottom w:val="0"/>
      <w:divBdr>
        <w:top w:val="none" w:sz="0" w:space="0" w:color="auto"/>
        <w:left w:val="none" w:sz="0" w:space="0" w:color="auto"/>
        <w:bottom w:val="none" w:sz="0" w:space="0" w:color="auto"/>
        <w:right w:val="none" w:sz="0" w:space="0" w:color="auto"/>
      </w:divBdr>
    </w:div>
    <w:div w:id="1766532257">
      <w:bodyDiv w:val="1"/>
      <w:marLeft w:val="0"/>
      <w:marRight w:val="0"/>
      <w:marTop w:val="0"/>
      <w:marBottom w:val="0"/>
      <w:divBdr>
        <w:top w:val="none" w:sz="0" w:space="0" w:color="auto"/>
        <w:left w:val="none" w:sz="0" w:space="0" w:color="auto"/>
        <w:bottom w:val="none" w:sz="0" w:space="0" w:color="auto"/>
        <w:right w:val="none" w:sz="0" w:space="0" w:color="auto"/>
      </w:divBdr>
    </w:div>
    <w:div w:id="1771898879">
      <w:bodyDiv w:val="1"/>
      <w:marLeft w:val="0"/>
      <w:marRight w:val="0"/>
      <w:marTop w:val="0"/>
      <w:marBottom w:val="0"/>
      <w:divBdr>
        <w:top w:val="none" w:sz="0" w:space="0" w:color="auto"/>
        <w:left w:val="none" w:sz="0" w:space="0" w:color="auto"/>
        <w:bottom w:val="none" w:sz="0" w:space="0" w:color="auto"/>
        <w:right w:val="none" w:sz="0" w:space="0" w:color="auto"/>
      </w:divBdr>
    </w:div>
    <w:div w:id="1781100513">
      <w:bodyDiv w:val="1"/>
      <w:marLeft w:val="0"/>
      <w:marRight w:val="0"/>
      <w:marTop w:val="0"/>
      <w:marBottom w:val="0"/>
      <w:divBdr>
        <w:top w:val="none" w:sz="0" w:space="0" w:color="auto"/>
        <w:left w:val="none" w:sz="0" w:space="0" w:color="auto"/>
        <w:bottom w:val="none" w:sz="0" w:space="0" w:color="auto"/>
        <w:right w:val="none" w:sz="0" w:space="0" w:color="auto"/>
      </w:divBdr>
    </w:div>
    <w:div w:id="1907377168">
      <w:bodyDiv w:val="1"/>
      <w:marLeft w:val="0"/>
      <w:marRight w:val="0"/>
      <w:marTop w:val="0"/>
      <w:marBottom w:val="0"/>
      <w:divBdr>
        <w:top w:val="none" w:sz="0" w:space="0" w:color="auto"/>
        <w:left w:val="none" w:sz="0" w:space="0" w:color="auto"/>
        <w:bottom w:val="none" w:sz="0" w:space="0" w:color="auto"/>
        <w:right w:val="none" w:sz="0" w:space="0" w:color="auto"/>
      </w:divBdr>
    </w:div>
    <w:div w:id="1956599579">
      <w:bodyDiv w:val="1"/>
      <w:marLeft w:val="0"/>
      <w:marRight w:val="0"/>
      <w:marTop w:val="0"/>
      <w:marBottom w:val="0"/>
      <w:divBdr>
        <w:top w:val="none" w:sz="0" w:space="0" w:color="auto"/>
        <w:left w:val="none" w:sz="0" w:space="0" w:color="auto"/>
        <w:bottom w:val="none" w:sz="0" w:space="0" w:color="auto"/>
        <w:right w:val="none" w:sz="0" w:space="0" w:color="auto"/>
      </w:divBdr>
    </w:div>
    <w:div w:id="1969047164">
      <w:bodyDiv w:val="1"/>
      <w:marLeft w:val="0"/>
      <w:marRight w:val="0"/>
      <w:marTop w:val="0"/>
      <w:marBottom w:val="0"/>
      <w:divBdr>
        <w:top w:val="none" w:sz="0" w:space="0" w:color="auto"/>
        <w:left w:val="none" w:sz="0" w:space="0" w:color="auto"/>
        <w:bottom w:val="none" w:sz="0" w:space="0" w:color="auto"/>
        <w:right w:val="none" w:sz="0" w:space="0" w:color="auto"/>
      </w:divBdr>
    </w:div>
    <w:div w:id="2041853822">
      <w:bodyDiv w:val="1"/>
      <w:marLeft w:val="0"/>
      <w:marRight w:val="0"/>
      <w:marTop w:val="0"/>
      <w:marBottom w:val="0"/>
      <w:divBdr>
        <w:top w:val="none" w:sz="0" w:space="0" w:color="auto"/>
        <w:left w:val="none" w:sz="0" w:space="0" w:color="auto"/>
        <w:bottom w:val="none" w:sz="0" w:space="0" w:color="auto"/>
        <w:right w:val="none" w:sz="0" w:space="0" w:color="auto"/>
      </w:divBdr>
    </w:div>
    <w:div w:id="2075272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png"/><Relationship Id="rId299" Type="http://schemas.openxmlformats.org/officeDocument/2006/relationships/footer" Target="footer7.xml"/><Relationship Id="rId21" Type="http://schemas.openxmlformats.org/officeDocument/2006/relationships/hyperlink" Target="http://www.am.cfwb.be/" TargetMode="External"/><Relationship Id="rId42" Type="http://schemas.openxmlformats.org/officeDocument/2006/relationships/hyperlink" Target="http://www.ejustice.just.fgov.be/cgi_loi/change_lg.pl?language=fr&amp;la=F&amp;cn=1990011930&amp;table_name=loi" TargetMode="External"/><Relationship Id="rId63" Type="http://schemas.openxmlformats.org/officeDocument/2006/relationships/hyperlink" Target="http://www.etaamb.be/fr/decret-du-05-fevrier-2009_n2009029183.html" TargetMode="External"/><Relationship Id="rId84" Type="http://schemas.openxmlformats.org/officeDocument/2006/relationships/hyperlink" Target="mailto:saj.huy@cfwb.be" TargetMode="External"/><Relationship Id="rId138" Type="http://schemas.openxmlformats.org/officeDocument/2006/relationships/hyperlink" Target="https://www.gallilex.cfwb.be/document/pdf/46287_000.pdf" TargetMode="External"/><Relationship Id="rId159" Type="http://schemas.openxmlformats.org/officeDocument/2006/relationships/hyperlink" Target="http://www.enseignement.be/upload/circulaires/000000000002/4019_20111128_154403.pdf" TargetMode="External"/><Relationship Id="rId170" Type="http://schemas.openxmlformats.org/officeDocument/2006/relationships/hyperlink" Target="http://www.enseignement.be/upload/circulaires/000000000002/FWB%20-%20Circulaire%205088%20(5312_20141212_143547).pdf" TargetMode="External"/><Relationship Id="rId191" Type="http://schemas.openxmlformats.org/officeDocument/2006/relationships/hyperlink" Target="http://www.am.cfwb.be/" TargetMode="External"/><Relationship Id="rId205" Type="http://schemas.openxmlformats.org/officeDocument/2006/relationships/hyperlink" Target="mailto:samantha.mathaey@cfwb.be" TargetMode="External"/><Relationship Id="rId226" Type="http://schemas.openxmlformats.org/officeDocument/2006/relationships/footer" Target="footer6.xml"/><Relationship Id="rId247" Type="http://schemas.openxmlformats.org/officeDocument/2006/relationships/hyperlink" Target="http://www.ikbeslis.be/" TargetMode="External"/><Relationship Id="rId107" Type="http://schemas.openxmlformats.org/officeDocument/2006/relationships/hyperlink" Target="http://www.sasho.be/?page_id=161" TargetMode="External"/><Relationship Id="rId268" Type="http://schemas.openxmlformats.org/officeDocument/2006/relationships/hyperlink" Target="mailto:obsi@cfwb.be" TargetMode="External"/><Relationship Id="rId289" Type="http://schemas.openxmlformats.org/officeDocument/2006/relationships/hyperlink" Target="http://www.gallilex.cfwb.be/document/pdf/40024_000.pdf" TargetMode="External"/><Relationship Id="rId11" Type="http://schemas.openxmlformats.org/officeDocument/2006/relationships/hyperlink" Target="http://www.adm.cfwb.be/" TargetMode="External"/><Relationship Id="rId32" Type="http://schemas.openxmlformats.org/officeDocument/2006/relationships/hyperlink" Target="http://www.gallilex.cfwb.be/document/pdf/05108_013.pdf" TargetMode="External"/><Relationship Id="rId53" Type="http://schemas.openxmlformats.org/officeDocument/2006/relationships/hyperlink" Target="http://www.gallilex.cfwb.be/document/pdf/23710_000.pdf" TargetMode="External"/><Relationship Id="rId74" Type="http://schemas.openxmlformats.org/officeDocument/2006/relationships/footer" Target="footer1.xml"/><Relationship Id="rId128" Type="http://schemas.openxmlformats.org/officeDocument/2006/relationships/hyperlink" Target="mailto:veronique.rombaut@cfwb.be" TargetMode="External"/><Relationship Id="rId149" Type="http://schemas.openxmlformats.org/officeDocument/2006/relationships/hyperlink" Target="http://www.gallilex.cfwb.be/document/pdf/34254_000.pdf" TargetMode="External"/><Relationship Id="rId5" Type="http://schemas.openxmlformats.org/officeDocument/2006/relationships/settings" Target="settings.xml"/><Relationship Id="rId95" Type="http://schemas.openxmlformats.org/officeDocument/2006/relationships/hyperlink" Target="http://www.compas-format.eu" TargetMode="External"/><Relationship Id="rId160" Type="http://schemas.openxmlformats.org/officeDocument/2006/relationships/hyperlink" Target="http://www.gallilex.cfwb.be/document/pdf/28737_022.pdf" TargetMode="External"/><Relationship Id="rId181" Type="http://schemas.openxmlformats.org/officeDocument/2006/relationships/hyperlink" Target="http://www.adm.cfwb.be/" TargetMode="External"/><Relationship Id="rId216" Type="http://schemas.openxmlformats.org/officeDocument/2006/relationships/hyperlink" Target="http://data-ondewijs.vlaanderen.be/onderwijsaanbod/lijst.aspx?hz=1&amp;hs=clb" TargetMode="External"/><Relationship Id="rId237" Type="http://schemas.openxmlformats.org/officeDocument/2006/relationships/hyperlink" Target="mailto:ec00xxxx@adm.cfwb.be" TargetMode="External"/><Relationship Id="rId258" Type="http://schemas.openxmlformats.org/officeDocument/2006/relationships/hyperlink" Target="mailto:derogation.spn@cfwb.be" TargetMode="External"/><Relationship Id="rId279" Type="http://schemas.openxmlformats.org/officeDocument/2006/relationships/hyperlink" Target="http://www.gallilex.cfwb.be/document/pdf/37134_000.pdf" TargetMode="External"/><Relationship Id="rId22" Type="http://schemas.openxmlformats.org/officeDocument/2006/relationships/hyperlink" Target="http://www.enseignement.be/index.php?page=26823&amp;do_id=5185" TargetMode="External"/><Relationship Id="rId43" Type="http://schemas.openxmlformats.org/officeDocument/2006/relationships/hyperlink" Target="http://www.gallilex.cfwb.be/document/pdf/16421_004.pdf" TargetMode="External"/><Relationship Id="rId64" Type="http://schemas.openxmlformats.org/officeDocument/2006/relationships/hyperlink" Target="http://www.gallilex.cfwb.be/document/pdf/39909_003.pdf" TargetMode="External"/><Relationship Id="rId118" Type="http://schemas.openxmlformats.org/officeDocument/2006/relationships/hyperlink" Target="http://www.gallilex.cfwb.be/document/pdf/28737_022.pdf" TargetMode="External"/><Relationship Id="rId139" Type="http://schemas.openxmlformats.org/officeDocument/2006/relationships/hyperlink" Target="http://www.enseignement.be/index.php?page=26823&amp;do_id=7411" TargetMode="External"/><Relationship Id="rId290" Type="http://schemas.openxmlformats.org/officeDocument/2006/relationships/hyperlink" Target="http://www.gallilex.cfwb.be/document/pdf/40358_000.pdf" TargetMode="External"/><Relationship Id="rId85" Type="http://schemas.openxmlformats.org/officeDocument/2006/relationships/hyperlink" Target="mailto:saj.nivelles@cfwb.be" TargetMode="External"/><Relationship Id="rId150" Type="http://schemas.openxmlformats.org/officeDocument/2006/relationships/hyperlink" Target="http://www.enseignement.be/index.php?page=26823&amp;do_id=7411" TargetMode="External"/><Relationship Id="rId171" Type="http://schemas.openxmlformats.org/officeDocument/2006/relationships/hyperlink" Target="https://www.gallilex.cfwb.be/document/pdf/05108_052.pdf" TargetMode="External"/><Relationship Id="rId192" Type="http://schemas.openxmlformats.org/officeDocument/2006/relationships/hyperlink" Target="mailto:integration_specialise@cfwb.be" TargetMode="External"/><Relationship Id="rId206" Type="http://schemas.openxmlformats.org/officeDocument/2006/relationships/hyperlink" Target="http://www.enseignement.be/upload/circulaires/000000000002/FWB%20-%20Circulaire%204375%20(4592_20130404_161835).pdf" TargetMode="External"/><Relationship Id="rId227" Type="http://schemas.openxmlformats.org/officeDocument/2006/relationships/hyperlink" Target="mailto:nathalie.dujardin@cfwb.be" TargetMode="External"/><Relationship Id="rId248" Type="http://schemas.openxmlformats.org/officeDocument/2006/relationships/hyperlink" Target="http://enseignement.be/index.php?page=26545&amp;se_id=2245" TargetMode="External"/><Relationship Id="rId269" Type="http://schemas.openxmlformats.org/officeDocument/2006/relationships/hyperlink" Target="mailto:courrier@le-mediateur.be" TargetMode="External"/><Relationship Id="rId12" Type="http://schemas.openxmlformats.org/officeDocument/2006/relationships/hyperlink" Target="http://www.gallilex.cfwb.be" TargetMode="External"/><Relationship Id="rId33" Type="http://schemas.openxmlformats.org/officeDocument/2006/relationships/hyperlink" Target="http://www.gallilex.cfwb.be/document/pdf/21557_000.pdf" TargetMode="External"/><Relationship Id="rId108" Type="http://schemas.openxmlformats.org/officeDocument/2006/relationships/hyperlink" Target="mailto:carrefour.accueil@wol.be" TargetMode="External"/><Relationship Id="rId129" Type="http://schemas.openxmlformats.org/officeDocument/2006/relationships/hyperlink" Target="mailto:veronique.rombaut@cfwb.be" TargetMode="External"/><Relationship Id="rId280" Type="http://schemas.openxmlformats.org/officeDocument/2006/relationships/hyperlink" Target="http://www.gallilex.cfwb.be/document/pdf/38121_000.pdf" TargetMode="External"/><Relationship Id="rId54" Type="http://schemas.openxmlformats.org/officeDocument/2006/relationships/hyperlink" Target="http://www.gallilex.cfwb.be/document/pdf/28737_022.pdf" TargetMode="External"/><Relationship Id="rId75" Type="http://schemas.openxmlformats.org/officeDocument/2006/relationships/header" Target="header2.xml"/><Relationship Id="rId96" Type="http://schemas.openxmlformats.org/officeDocument/2006/relationships/hyperlink" Target="mailto:lesasbruxellesmidi@hotmail.com" TargetMode="External"/><Relationship Id="rId140" Type="http://schemas.openxmlformats.org/officeDocument/2006/relationships/hyperlink" Target="http://www.enseignement.be/index.php?page=26823&amp;do_id=1585" TargetMode="External"/><Relationship Id="rId161" Type="http://schemas.openxmlformats.org/officeDocument/2006/relationships/hyperlink" Target="http://www.gallilex.cfwb.be/document/pdf/09136_000.pdf" TargetMode="External"/><Relationship Id="rId182"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217" Type="http://schemas.openxmlformats.org/officeDocument/2006/relationships/footer" Target="footer5.xml"/><Relationship Id="rId6" Type="http://schemas.openxmlformats.org/officeDocument/2006/relationships/webSettings" Target="webSettings.xml"/><Relationship Id="rId238" Type="http://schemas.openxmlformats.org/officeDocument/2006/relationships/hyperlink" Target="mailto:po00xxxx@adm.cfwb.be" TargetMode="External"/><Relationship Id="rId259" Type="http://schemas.openxmlformats.org/officeDocument/2006/relationships/hyperlink" Target="mailto:prenom.nom@cfwb.be" TargetMode="External"/><Relationship Id="rId23" Type="http://schemas.openxmlformats.org/officeDocument/2006/relationships/hyperlink" Target="mailto:sas@cfwb.be" TargetMode="External"/><Relationship Id="rId119" Type="http://schemas.openxmlformats.org/officeDocument/2006/relationships/hyperlink" Target="http://www.ejustice.just.fgov.be/cgi_loi/change_lg.pl?language=fr&amp;la=F&amp;table_name=loi&amp;cn=1975120131" TargetMode="External"/><Relationship Id="rId270" Type="http://schemas.openxmlformats.org/officeDocument/2006/relationships/hyperlink" Target="http://www.gallilex.cfwb.be/document/pdf/31190_000.pdf" TargetMode="External"/><Relationship Id="rId291" Type="http://schemas.openxmlformats.org/officeDocument/2006/relationships/hyperlink" Target="http://www.gallilex.cfwb.be/document/pdf/40375_000.pdf" TargetMode="External"/><Relationship Id="rId44" Type="http://schemas.openxmlformats.org/officeDocument/2006/relationships/hyperlink" Target="http://www.gallilex.cfwb.be/document/pdf/19052_000.pdf" TargetMode="External"/><Relationship Id="rId65" Type="http://schemas.openxmlformats.org/officeDocument/2006/relationships/hyperlink" Target="http://www.gallilex.cfwb.be/document/pdf/40870_000.pdf" TargetMode="External"/><Relationship Id="rId86" Type="http://schemas.openxmlformats.org/officeDocument/2006/relationships/hyperlink" Target="mailto:saj.verviers@cfwb.be" TargetMode="External"/><Relationship Id="rId130" Type="http://schemas.openxmlformats.org/officeDocument/2006/relationships/hyperlink" Target="mailto:veronique.rombaut@cfwb.be" TargetMode="External"/><Relationship Id="rId151" Type="http://schemas.openxmlformats.org/officeDocument/2006/relationships/hyperlink" Target="http://www.gallilex.cfwb.be/document/pdf/28737_022.pdf" TargetMode="External"/><Relationship Id="rId172" Type="http://schemas.openxmlformats.org/officeDocument/2006/relationships/hyperlink" Target="http://www.gallilex.cfwb.be/document/pdf/28737_022.pdf" TargetMode="External"/><Relationship Id="rId193"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207" Type="http://schemas.openxmlformats.org/officeDocument/2006/relationships/hyperlink" Target="http://www.gallilex.cfwb.be/document/pdf/28737_031.pdf" TargetMode="External"/><Relationship Id="rId228" Type="http://schemas.openxmlformats.org/officeDocument/2006/relationships/hyperlink" Target="mailto:nathalie.dujardin@cfwb.be" TargetMode="External"/><Relationship Id="rId249" Type="http://schemas.openxmlformats.org/officeDocument/2006/relationships/hyperlink" Target="https://dofi.ibz.be/sites/dvzoe/FR/Guidedesprocedures/Pages/Voyagesscolaires.aspx" TargetMode="External"/><Relationship Id="rId13" Type="http://schemas.openxmlformats.org/officeDocument/2006/relationships/hyperlink" Target="http://www.enseignement.be/" TargetMode="External"/><Relationship Id="rId109" Type="http://schemas.openxmlformats.org/officeDocument/2006/relationships/hyperlink" Target="mailto:sasbw@gmail.com" TargetMode="External"/><Relationship Id="rId260" Type="http://schemas.openxmlformats.org/officeDocument/2006/relationships/hyperlink" Target="mailto:CQspecialise@cfwb.be" TargetMode="External"/><Relationship Id="rId281" Type="http://schemas.openxmlformats.org/officeDocument/2006/relationships/hyperlink" Target="http://www.gallilex.cfwb.be/document/pdf/38213_000.pdf" TargetMode="External"/><Relationship Id="rId34" Type="http://schemas.openxmlformats.org/officeDocument/2006/relationships/hyperlink" Target="http://www.gallilex.cfwb.be/document/pdf/11328_000.pdf" TargetMode="External"/><Relationship Id="rId55" Type="http://schemas.openxmlformats.org/officeDocument/2006/relationships/hyperlink" Target="http://www.gallilex.cfwb.be/document/pdf/09676_000.pdf" TargetMode="External"/><Relationship Id="rId76" Type="http://schemas.openxmlformats.org/officeDocument/2006/relationships/header" Target="header3.xml"/><Relationship Id="rId97" Type="http://schemas.openxmlformats.org/officeDocument/2006/relationships/hyperlink" Target="mailto:samuel.palladino@compas-format.eu" TargetMode="External"/><Relationship Id="rId120" Type="http://schemas.openxmlformats.org/officeDocument/2006/relationships/hyperlink" Target="http://www.gallilex.cfwb.be/document/pdf/42892_000.pdf" TargetMode="External"/><Relationship Id="rId141" Type="http://schemas.openxmlformats.org/officeDocument/2006/relationships/hyperlink" Target="mailto:arlette.rusura@cfwb.be" TargetMode="External"/><Relationship Id="rId7" Type="http://schemas.openxmlformats.org/officeDocument/2006/relationships/footnotes" Target="footnotes.xml"/><Relationship Id="rId162" Type="http://schemas.openxmlformats.org/officeDocument/2006/relationships/hyperlink" Target="http://www.enseignement.be/upload/circulaires/000000000002/3545_20101011140601.pdf" TargetMode="External"/><Relationship Id="rId183" Type="http://schemas.openxmlformats.org/officeDocument/2006/relationships/image" Target="media/image10.png"/><Relationship Id="rId218" Type="http://schemas.openxmlformats.org/officeDocument/2006/relationships/image" Target="media/image16.jpg"/><Relationship Id="rId239" Type="http://schemas.openxmlformats.org/officeDocument/2006/relationships/hyperlink" Target="http://www.enseignement.be/index.php?page=26823&amp;do_id=5912" TargetMode="External"/><Relationship Id="rId2" Type="http://schemas.openxmlformats.org/officeDocument/2006/relationships/customXml" Target="../customXml/item2.xml"/><Relationship Id="rId29" Type="http://schemas.openxmlformats.org/officeDocument/2006/relationships/hyperlink" Target="https://www.gallilex.cfwb.be/document/pdf/21557_042.pdf" TargetMode="External"/><Relationship Id="rId250" Type="http://schemas.openxmlformats.org/officeDocument/2006/relationships/hyperlink" Target="mailto:asile.administration@ibz.fgov.be" TargetMode="External"/><Relationship Id="rId255" Type="http://schemas.openxmlformats.org/officeDocument/2006/relationships/hyperlink" Target="mailto:accidents.travail.enseignement@cfwb.be" TargetMode="External"/><Relationship Id="rId271" Type="http://schemas.openxmlformats.org/officeDocument/2006/relationships/hyperlink" Target="http://www.gallilex.cfwb.be/document/pdf/29261_000.pdf" TargetMode="External"/><Relationship Id="rId276" Type="http://schemas.openxmlformats.org/officeDocument/2006/relationships/hyperlink" Target="http://www.gallilex.cfwb.be/document/pdf/39337_000.pdf" TargetMode="External"/><Relationship Id="rId292" Type="http://schemas.openxmlformats.org/officeDocument/2006/relationships/hyperlink" Target="http://www.gallilex.cfwb.be/document/pdf/41623_000.pdf" TargetMode="External"/><Relationship Id="rId297" Type="http://schemas.openxmlformats.org/officeDocument/2006/relationships/header" Target="header6.xml"/><Relationship Id="rId24" Type="http://schemas.openxmlformats.org/officeDocument/2006/relationships/hyperlink" Target="http://www.gallilex.cfwb.be/document/pdf/21557_010.pdf" TargetMode="External"/><Relationship Id="rId40" Type="http://schemas.openxmlformats.org/officeDocument/2006/relationships/hyperlink" Target="http://www.gallilex.cfwb.be/document/pdf/09547_001.pdf" TargetMode="External"/><Relationship Id="rId45" Type="http://schemas.openxmlformats.org/officeDocument/2006/relationships/hyperlink" Target="http://www.gallilex.cfwb.be/document/pdf/28737_022.pdf" TargetMode="External"/><Relationship Id="rId66" Type="http://schemas.openxmlformats.org/officeDocument/2006/relationships/hyperlink" Target="http://www.gallilex.cfwb.be/document/pdf/21557_000.pdf" TargetMode="External"/><Relationship Id="rId87" Type="http://schemas.openxmlformats.org/officeDocument/2006/relationships/hyperlink" Target="mailto:saj.liege@cfwb.be" TargetMode="External"/><Relationship Id="rId110" Type="http://schemas.openxmlformats.org/officeDocument/2006/relationships/image" Target="media/image2.png"/><Relationship Id="rId115" Type="http://schemas.openxmlformats.org/officeDocument/2006/relationships/image" Target="media/image7.png"/><Relationship Id="rId131" Type="http://schemas.openxmlformats.org/officeDocument/2006/relationships/hyperlink" Target="http://www.gallilex.cfwb.be/document/pdf/28737_022.pdf" TargetMode="External"/><Relationship Id="rId136" Type="http://schemas.openxmlformats.org/officeDocument/2006/relationships/hyperlink" Target="mailto:veronique.rombaut@cfwb.be" TargetMode="External"/><Relationship Id="rId157" Type="http://schemas.openxmlformats.org/officeDocument/2006/relationships/hyperlink" Target="http://www.gallilex.cfwb.be/document/pdf/21557_000.pdf" TargetMode="External"/><Relationship Id="rId178" Type="http://schemas.openxmlformats.org/officeDocument/2006/relationships/hyperlink" Target="mailto:poxxxxxx@adm.cfwb.be" TargetMode="External"/><Relationship Id="rId301" Type="http://schemas.openxmlformats.org/officeDocument/2006/relationships/fontTable" Target="fontTable.xml"/><Relationship Id="rId61" Type="http://schemas.openxmlformats.org/officeDocument/2006/relationships/hyperlink" Target="http://www.gallilex.cfwb.be/document/pdf/28737_022.pdf" TargetMode="External"/><Relationship Id="rId82" Type="http://schemas.openxmlformats.org/officeDocument/2006/relationships/hyperlink" Target="mailto:saj.charleroi@cfwb.be" TargetMode="External"/><Relationship Id="rId152" Type="http://schemas.openxmlformats.org/officeDocument/2006/relationships/hyperlink" Target="mailto:veronique.rombaut@cfwb.be" TargetMode="External"/><Relationship Id="rId173" Type="http://schemas.openxmlformats.org/officeDocument/2006/relationships/hyperlink" Target="http://www.gallilex.cfwb.be/fr/leg_res_01.php?ncda=21557&amp;" TargetMode="External"/><Relationship Id="rId194"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199" Type="http://schemas.openxmlformats.org/officeDocument/2006/relationships/footer" Target="footer4.xml"/><Relationship Id="rId203" Type="http://schemas.openxmlformats.org/officeDocument/2006/relationships/hyperlink" Target="mailto:carine.cosaro@cfwb.be" TargetMode="External"/><Relationship Id="rId208" Type="http://schemas.openxmlformats.org/officeDocument/2006/relationships/hyperlink" Target="http://www.gallilex.cfwb.be/document/pdf/28737_031.pdf" TargetMode="External"/><Relationship Id="rId229" Type="http://schemas.openxmlformats.org/officeDocument/2006/relationships/hyperlink" Target="mailto:nathalie.dujardin@cfwb.be" TargetMode="External"/><Relationship Id="rId19" Type="http://schemas.openxmlformats.org/officeDocument/2006/relationships/hyperlink" Target="http://www.gallilex.cfwb.be/document/pdf/28737_022.pdf" TargetMode="External"/><Relationship Id="rId224" Type="http://schemas.openxmlformats.org/officeDocument/2006/relationships/hyperlink" Target="mailto:nathalie.dujardin@cfwb.be" TargetMode="External"/><Relationship Id="rId240" Type="http://schemas.openxmlformats.org/officeDocument/2006/relationships/hyperlink" Target="http://www.enseignement.be/hosting/circulaires/upload/docs/FWB%20-%20Circulaire%205527%20(5758_20151214_141414).pdf" TargetMode="External"/><Relationship Id="rId245" Type="http://schemas.openxmlformats.org/officeDocument/2006/relationships/hyperlink" Target="https://www.privacycommission.be/nl" TargetMode="External"/><Relationship Id="rId261" Type="http://schemas.openxmlformats.org/officeDocument/2006/relationships/hyperlink" Target="mailto:gratuite.ensobligatoire@cfwb.be" TargetMode="External"/><Relationship Id="rId266" Type="http://schemas.openxmlformats.org/officeDocument/2006/relationships/hyperlink" Target="mailto:obsi@cfwb.be" TargetMode="External"/><Relationship Id="rId287" Type="http://schemas.openxmlformats.org/officeDocument/2006/relationships/hyperlink" Target="http://www.gallilex.cfwb.be/document/pdf/39948_000.pdf" TargetMode="External"/><Relationship Id="rId14" Type="http://schemas.openxmlformats.org/officeDocument/2006/relationships/hyperlink" Target="http://www.gallilex.cfwb.be/document/pdf/28737_022.pdf" TargetMode="External"/><Relationship Id="rId30" Type="http://schemas.openxmlformats.org/officeDocument/2006/relationships/hyperlink" Target="http://www.enseignement.be" TargetMode="External"/><Relationship Id="rId35" Type="http://schemas.openxmlformats.org/officeDocument/2006/relationships/hyperlink" Target="http://www.gallilex.cfwb.be/document/pdf/16630_000.pdf" TargetMode="External"/><Relationship Id="rId56" Type="http://schemas.openxmlformats.org/officeDocument/2006/relationships/hyperlink" Target="http://www.gallilex.cfwb.be/document/pdf/08527_000.pdf" TargetMode="External"/><Relationship Id="rId77" Type="http://schemas.openxmlformats.org/officeDocument/2006/relationships/footer" Target="footer2.xml"/><Relationship Id="rId100" Type="http://schemas.openxmlformats.org/officeDocument/2006/relationships/hyperlink" Target="mailto:frederic.angelucci@compas-format.eu" TargetMode="External"/><Relationship Id="rId105" Type="http://schemas.openxmlformats.org/officeDocument/2006/relationships/hyperlink" Target="mailto:emergenceaccueil@gmail.be" TargetMode="External"/><Relationship Id="rId126" Type="http://schemas.openxmlformats.org/officeDocument/2006/relationships/hyperlink" Target="https://www.gallilex.cfwb.be/document/pdf/44572_000.pdf" TargetMode="External"/><Relationship Id="rId147" Type="http://schemas.openxmlformats.org/officeDocument/2006/relationships/hyperlink" Target="https://www.gallilex.cfwb.be/document/pdf/46287_000.pdf" TargetMode="External"/><Relationship Id="rId168" Type="http://schemas.openxmlformats.org/officeDocument/2006/relationships/hyperlink" Target="mailto:veronique.rombaut@cfwb.be" TargetMode="External"/><Relationship Id="rId282" Type="http://schemas.openxmlformats.org/officeDocument/2006/relationships/hyperlink" Target="http://www.gallilex.cfwb.be/document/pdf/38213_000.pdf" TargetMode="External"/><Relationship Id="rId8" Type="http://schemas.openxmlformats.org/officeDocument/2006/relationships/endnotes" Target="endnotes.xml"/><Relationship Id="rId51" Type="http://schemas.openxmlformats.org/officeDocument/2006/relationships/hyperlink" Target="http://www.gallilex.cfwb.be/document/pdf/21557_000.pdf" TargetMode="External"/><Relationship Id="rId72" Type="http://schemas.openxmlformats.org/officeDocument/2006/relationships/hyperlink" Target="http://www.gallilex.cfwb.be/document/pdf/16630_000.pdf" TargetMode="External"/><Relationship Id="rId93" Type="http://schemas.openxmlformats.org/officeDocument/2006/relationships/hyperlink" Target="mailto:info@sas-parenthese.be" TargetMode="External"/><Relationship Id="rId98" Type="http://schemas.openxmlformats.org/officeDocument/2006/relationships/hyperlink" Target="mailto:seuil.asbl@gmail.com" TargetMode="External"/><Relationship Id="rId121" Type="http://schemas.openxmlformats.org/officeDocument/2006/relationships/hyperlink" Target="http://www.enseignement.be/index.php?page=26823&amp;do_id=6229" TargetMode="External"/><Relationship Id="rId142" Type="http://schemas.openxmlformats.org/officeDocument/2006/relationships/hyperlink" Target="mailto:sabrina.montante@cfwb.be" TargetMode="External"/><Relationship Id="rId163" Type="http://schemas.openxmlformats.org/officeDocument/2006/relationships/hyperlink" Target="mailto:veronique.rombaut@cfwb.be" TargetMode="External"/><Relationship Id="rId184" Type="http://schemas.openxmlformats.org/officeDocument/2006/relationships/image" Target="media/image11.png"/><Relationship Id="rId189" Type="http://schemas.openxmlformats.org/officeDocument/2006/relationships/hyperlink" Target="mailto:integration_specialise@cfwb.be" TargetMode="External"/><Relationship Id="rId219" Type="http://schemas.openxmlformats.org/officeDocument/2006/relationships/image" Target="media/image17.png"/><Relationship Id="rId3" Type="http://schemas.openxmlformats.org/officeDocument/2006/relationships/numbering" Target="numbering.xml"/><Relationship Id="rId214" Type="http://schemas.openxmlformats.org/officeDocument/2006/relationships/hyperlink" Target="http://www.gallilex.cfwb.be/document/pdf/38242_000.pdf" TargetMode="External"/><Relationship Id="rId230" Type="http://schemas.openxmlformats.org/officeDocument/2006/relationships/hyperlink" Target="mailto:nathalie.dujardin@cfwb.be" TargetMode="External"/><Relationship Id="rId235" Type="http://schemas.openxmlformats.org/officeDocument/2006/relationships/hyperlink" Target="http://www.am.cfwb.be" TargetMode="External"/><Relationship Id="rId251" Type="http://schemas.openxmlformats.org/officeDocument/2006/relationships/hyperlink" Target="http://www.formulaire.cfwb.be/?declarationspn" TargetMode="External"/><Relationship Id="rId256" Type="http://schemas.openxmlformats.org/officeDocument/2006/relationships/hyperlink" Target="mailto:cej_juridique@cfwb.be" TargetMode="External"/><Relationship Id="rId277" Type="http://schemas.openxmlformats.org/officeDocument/2006/relationships/hyperlink" Target="http://www.gallilex.cfwb.be/document/pdf/33176_000.pdf" TargetMode="External"/><Relationship Id="rId298" Type="http://schemas.openxmlformats.org/officeDocument/2006/relationships/header" Target="header7.xml"/><Relationship Id="rId25" Type="http://schemas.openxmlformats.org/officeDocument/2006/relationships/hyperlink" Target="https://www.gallilex.cfwb.be/fr/leg_res_02.php?ncda=39909&amp;referant=l02" TargetMode="External"/><Relationship Id="rId46" Type="http://schemas.openxmlformats.org/officeDocument/2006/relationships/hyperlink" Target="http://www.gallilex.cfwb.be/document/pdf/33036_000.pdf" TargetMode="External"/><Relationship Id="rId67" Type="http://schemas.openxmlformats.org/officeDocument/2006/relationships/hyperlink" Target="http://www.gallilex.cfwb.be/document/pdf/22835_000.pdf" TargetMode="External"/><Relationship Id="rId116" Type="http://schemas.openxmlformats.org/officeDocument/2006/relationships/image" Target="media/image8.png"/><Relationship Id="rId137" Type="http://schemas.openxmlformats.org/officeDocument/2006/relationships/hyperlink" Target="http://www.gallilex.cfwb.be/document/pdf/28737_022.pdf" TargetMode="External"/><Relationship Id="rId158" Type="http://schemas.openxmlformats.org/officeDocument/2006/relationships/hyperlink" Target="http://www.enseignement.be/upload/circulaires/000000000002/4019_20111128_154403.pdf" TargetMode="External"/><Relationship Id="rId272" Type="http://schemas.openxmlformats.org/officeDocument/2006/relationships/hyperlink" Target="http://www.gallilex.cfwb.be/document/pdf/31351_000.pdf" TargetMode="External"/><Relationship Id="rId293" Type="http://schemas.openxmlformats.org/officeDocument/2006/relationships/hyperlink" Target="http://www.gallilex.cfwb.be/document/pdf/43407_000.pdf" TargetMode="External"/><Relationship Id="rId302" Type="http://schemas.openxmlformats.org/officeDocument/2006/relationships/theme" Target="theme/theme1.xml"/><Relationship Id="rId20" Type="http://schemas.openxmlformats.org/officeDocument/2006/relationships/hyperlink" Target="https://www.gallilex.cfwb.be/document/pdf/40870_000.pdf" TargetMode="External"/><Relationship Id="rId41" Type="http://schemas.openxmlformats.org/officeDocument/2006/relationships/hyperlink" Target="http://www.gallilex.cfwb.be/document/pdf/10886_000.pdf" TargetMode="External"/><Relationship Id="rId62" Type="http://schemas.openxmlformats.org/officeDocument/2006/relationships/hyperlink" Target="http://www.gallilex.cfwb.be/document/pdf/31007_000.pdf" TargetMode="External"/><Relationship Id="rId83" Type="http://schemas.openxmlformats.org/officeDocument/2006/relationships/hyperlink" Target="mailto:saj.dinant@cfwb.be" TargetMode="External"/><Relationship Id="rId88" Type="http://schemas.openxmlformats.org/officeDocument/2006/relationships/hyperlink" Target="mailto:saj.marche@cfwb.be" TargetMode="External"/><Relationship Id="rId111" Type="http://schemas.openxmlformats.org/officeDocument/2006/relationships/image" Target="media/image3.png"/><Relationship Id="rId132" Type="http://schemas.openxmlformats.org/officeDocument/2006/relationships/hyperlink" Target="http://www.gallilex.cfwb.be/document/pdf/10330_000.pdf" TargetMode="External"/><Relationship Id="rId153" Type="http://schemas.openxmlformats.org/officeDocument/2006/relationships/hyperlink" Target="http://www.gallilex.cfwb.be/document/pdf/28737_022.pdf" TargetMode="External"/><Relationship Id="rId174" Type="http://schemas.openxmlformats.org/officeDocument/2006/relationships/hyperlink" Target="http://www.enseignement.be/index.php?page=26823&amp;do_id=6180" TargetMode="External"/><Relationship Id="rId179"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195" Type="http://schemas.openxmlformats.org/officeDocument/2006/relationships/hyperlink" Target="https://www.gallilex.cfwb.be/document/pdf/28737_035.pdf" TargetMode="External"/><Relationship Id="rId209" Type="http://schemas.openxmlformats.org/officeDocument/2006/relationships/hyperlink" Target="mailto:pierre.fenaille@cfwb.be" TargetMode="External"/><Relationship Id="rId190" Type="http://schemas.openxmlformats.org/officeDocument/2006/relationships/image" Target="media/image15.png"/><Relationship Id="rId204" Type="http://schemas.openxmlformats.org/officeDocument/2006/relationships/hyperlink" Target="mailto:marie-francoise.boulonne@cfwb.be" TargetMode="External"/><Relationship Id="rId220" Type="http://schemas.openxmlformats.org/officeDocument/2006/relationships/hyperlink" Target="http://www.gallilex.cfwb.be/document/pdf/28737_031.pdf" TargetMode="External"/><Relationship Id="rId225" Type="http://schemas.openxmlformats.org/officeDocument/2006/relationships/hyperlink" Target="mailto:nathalie.dujardin@cfwb.be" TargetMode="External"/><Relationship Id="rId241" Type="http://schemas.openxmlformats.org/officeDocument/2006/relationships/hyperlink" Target="mailto:veronique.rombaut@cfwb.be" TargetMode="External"/><Relationship Id="rId246" Type="http://schemas.openxmlformats.org/officeDocument/2006/relationships/hyperlink" Target="http://www.ikbeslis.be/" TargetMode="External"/><Relationship Id="rId267" Type="http://schemas.openxmlformats.org/officeDocument/2006/relationships/hyperlink" Target="mailto:obsi_inscription@cfwb.be" TargetMode="External"/><Relationship Id="rId288" Type="http://schemas.openxmlformats.org/officeDocument/2006/relationships/hyperlink" Target="http://www.gallilex.cfwb.be/document/pdf/40021_000.pdf" TargetMode="External"/><Relationship Id="rId15" Type="http://schemas.openxmlformats.org/officeDocument/2006/relationships/hyperlink" Target="http://www.enseignement.be/index.php?page=26823&amp;do_id=5204" TargetMode="External"/><Relationship Id="rId36" Type="http://schemas.openxmlformats.org/officeDocument/2006/relationships/hyperlink" Target="http://www.enseignement.be/upload/circulaires/000000000003/FWB%20-%20Circulaire%207134%20(7378_20190517_104126).pdf" TargetMode="External"/><Relationship Id="rId57" Type="http://schemas.openxmlformats.org/officeDocument/2006/relationships/hyperlink" Target="http://www.gallilex.cfwb.be/document/pdf/10450_004.pdf" TargetMode="External"/><Relationship Id="rId106" Type="http://schemas.openxmlformats.org/officeDocument/2006/relationships/hyperlink" Target="mailto:sas-ho@live.be" TargetMode="External"/><Relationship Id="rId127" Type="http://schemas.openxmlformats.org/officeDocument/2006/relationships/hyperlink" Target="http://www.enseignement.be/index.php?page=26823&amp;do_id=6229" TargetMode="External"/><Relationship Id="rId262" Type="http://schemas.openxmlformats.org/officeDocument/2006/relationships/hyperlink" Target="mailto:exclusion-inscription@cfwb.be" TargetMode="External"/><Relationship Id="rId283" Type="http://schemas.openxmlformats.org/officeDocument/2006/relationships/hyperlink" Target="http://www.gallilex.cfwb.be/document/pdf/38242_000.pdf" TargetMode="External"/><Relationship Id="rId10" Type="http://schemas.openxmlformats.org/officeDocument/2006/relationships/image" Target="media/image1.jpg"/><Relationship Id="rId31" Type="http://schemas.openxmlformats.org/officeDocument/2006/relationships/hyperlink" Target="http://www.enseignement.be/index.php?page=26823&amp;do_id=430" TargetMode="External"/><Relationship Id="rId52" Type="http://schemas.openxmlformats.org/officeDocument/2006/relationships/hyperlink" Target="http://www.gallilex.cfwb.be/document/pdf/22229_008.pdf" TargetMode="External"/><Relationship Id="rId73" Type="http://schemas.openxmlformats.org/officeDocument/2006/relationships/header" Target="header1.xml"/><Relationship Id="rId78" Type="http://schemas.openxmlformats.org/officeDocument/2006/relationships/header" Target="header4.xml"/><Relationship Id="rId94" Type="http://schemas.openxmlformats.org/officeDocument/2006/relationships/hyperlink" Target="mailto:frederic.duprez@compas-format.eu" TargetMode="External"/><Relationship Id="rId99" Type="http://schemas.openxmlformats.org/officeDocument/2006/relationships/hyperlink" Target="http://www.seuil.be" TargetMode="External"/><Relationship Id="rId101" Type="http://schemas.openxmlformats.org/officeDocument/2006/relationships/hyperlink" Target="mailto:asbl.rebonds@gmail.com" TargetMode="External"/><Relationship Id="rId122" Type="http://schemas.openxmlformats.org/officeDocument/2006/relationships/hyperlink" Target="http://www.gallilex.cfwb.be/document/pdf/42497_000.pdf" TargetMode="External"/><Relationship Id="rId143" Type="http://schemas.openxmlformats.org/officeDocument/2006/relationships/hyperlink" Target="http://www.enseignement.be/upload/circulaires/000000000003/FWB%20-%20Circulaire%206279%20(6514_20170712_091732).pdf" TargetMode="External"/><Relationship Id="rId148" Type="http://schemas.openxmlformats.org/officeDocument/2006/relationships/hyperlink" Target="http://www.enseignement.be/index.php?page=26823&amp;do_id=7411" TargetMode="External"/><Relationship Id="rId164" Type="http://schemas.openxmlformats.org/officeDocument/2006/relationships/hyperlink" Target="http://www.gallilex.cfwb.be/document/pdf/09136_002.pdf" TargetMode="External"/><Relationship Id="rId169" Type="http://schemas.openxmlformats.org/officeDocument/2006/relationships/hyperlink" Target="http://www.gallilex.cfwb.be/document/pdf/28737_022.pdf" TargetMode="External"/><Relationship Id="rId185" Type="http://schemas.openxmlformats.org/officeDocument/2006/relationships/image" Target="media/image12.png"/><Relationship Id="rId4" Type="http://schemas.openxmlformats.org/officeDocument/2006/relationships/styles" Target="styles.xml"/><Relationship Id="rId9" Type="http://schemas.openxmlformats.org/officeDocument/2006/relationships/image" Target="media/image1.gif"/><Relationship Id="rId180" Type="http://schemas.openxmlformats.org/officeDocument/2006/relationships/hyperlink" Target="mailto:integration_specialise@cfwb.be" TargetMode="External"/><Relationship Id="rId210" Type="http://schemas.openxmlformats.org/officeDocument/2006/relationships/hyperlink" Target="http://www.gallilex.cfwb.be/document/pdf/28737_031.pdf" TargetMode="External"/><Relationship Id="rId215" Type="http://schemas.openxmlformats.org/officeDocument/2006/relationships/hyperlink" Target="http://www.dglive.be/desktopdefault.aspx/tabid345/711_read-11518/" TargetMode="External"/><Relationship Id="rId236" Type="http://schemas.openxmlformats.org/officeDocument/2006/relationships/image" Target="media/image19.png"/><Relationship Id="rId257" Type="http://schemas.openxmlformats.org/officeDocument/2006/relationships/hyperlink" Target="http://www.formulaire.cfwb.be/?declarationspn" TargetMode="External"/><Relationship Id="rId278" Type="http://schemas.openxmlformats.org/officeDocument/2006/relationships/hyperlink" Target="http://www.gallilex.cfwb.be/document/pdf/36833_000.pdf" TargetMode="External"/><Relationship Id="rId26" Type="http://schemas.openxmlformats.org/officeDocument/2006/relationships/hyperlink" Target="http://www.gallilex.cfwb.be/document/pdf/32742_000.pdf" TargetMode="External"/><Relationship Id="rId231" Type="http://schemas.openxmlformats.org/officeDocument/2006/relationships/hyperlink" Target="mailto:nathalie.dujardin@cfwb.be" TargetMode="External"/><Relationship Id="rId252" Type="http://schemas.openxmlformats.org/officeDocument/2006/relationships/hyperlink" Target="mailto:derogation.spn@cfwb.be" TargetMode="External"/><Relationship Id="rId273" Type="http://schemas.openxmlformats.org/officeDocument/2006/relationships/hyperlink" Target="http://www.gallilex.cfwb.be/document/pdf/31572_000.pdf" TargetMode="External"/><Relationship Id="rId294" Type="http://schemas.openxmlformats.org/officeDocument/2006/relationships/hyperlink" Target="http://www.gallilex.cfwb.be/document/pdf/44242_000.pdf" TargetMode="External"/><Relationship Id="rId47" Type="http://schemas.openxmlformats.org/officeDocument/2006/relationships/hyperlink" Target="http://www.gallilex.cfwb.be/document/pdf/43608_000.pdf" TargetMode="External"/><Relationship Id="rId68" Type="http://schemas.openxmlformats.org/officeDocument/2006/relationships/hyperlink" Target="http://www.gallilex.cfwb.be/document/pdf/32771_000.pdf" TargetMode="External"/><Relationship Id="rId89" Type="http://schemas.openxmlformats.org/officeDocument/2006/relationships/hyperlink" Target="mailto:saj.mons@cfwb.be" TargetMode="External"/><Relationship Id="rId112" Type="http://schemas.openxmlformats.org/officeDocument/2006/relationships/image" Target="media/image4.png"/><Relationship Id="rId133" Type="http://schemas.openxmlformats.org/officeDocument/2006/relationships/hyperlink" Target="http://www.enseignement.be/upload/circulaires/000000000003/FWB%20-%20Circulaire%207142%20(7386_20190522_143426).pdf" TargetMode="External"/><Relationship Id="rId154" Type="http://schemas.openxmlformats.org/officeDocument/2006/relationships/hyperlink" Target="mailto:veronique.rombaut@cfwb.be" TargetMode="External"/><Relationship Id="rId175" Type="http://schemas.openxmlformats.org/officeDocument/2006/relationships/hyperlink" Target="mailto:integration_specialise@cfwb.be" TargetMode="External"/><Relationship Id="rId196" Type="http://schemas.openxmlformats.org/officeDocument/2006/relationships/hyperlink" Target="http://www.gallilex.cfwb.be/document/pdf/28737_031.pdf" TargetMode="External"/><Relationship Id="rId200" Type="http://schemas.openxmlformats.org/officeDocument/2006/relationships/hyperlink" Target="http://www.gallilex.cfwb.be/document/pdf/31929_008.pdf" TargetMode="External"/><Relationship Id="rId16" Type="http://schemas.openxmlformats.org/officeDocument/2006/relationships/hyperlink" Target="http://www.gallilex.cfwb.be/document/pdf/28737_022.pdf" TargetMode="External"/><Relationship Id="rId221" Type="http://schemas.openxmlformats.org/officeDocument/2006/relationships/hyperlink" Target="http://www.gallilex.cfwb.be/document/pdf/29067_000.pdf" TargetMode="External"/><Relationship Id="rId242" Type="http://schemas.openxmlformats.org/officeDocument/2006/relationships/hyperlink" Target="mailto:christine.willems@cfwb.be" TargetMode="External"/><Relationship Id="rId263" Type="http://schemas.openxmlformats.org/officeDocument/2006/relationships/hyperlink" Target="mailto:inscription@cfwb.be" TargetMode="External"/><Relationship Id="rId284" Type="http://schemas.openxmlformats.org/officeDocument/2006/relationships/hyperlink" Target="http://www.gallilex.cfwb.be/document/pdf/38756_000.pdf" TargetMode="External"/><Relationship Id="rId37" Type="http://schemas.openxmlformats.org/officeDocument/2006/relationships/hyperlink" Target="http://www.enseignement.be/upload/circulaires/000000000003/FWB%20-%20Circulaire%207135%20(7379_20190517_104330).pdf" TargetMode="External"/><Relationship Id="rId58" Type="http://schemas.openxmlformats.org/officeDocument/2006/relationships/hyperlink" Target="http://www.accueil-transition.be/doc/decret.pdf" TargetMode="External"/><Relationship Id="rId79" Type="http://schemas.openxmlformats.org/officeDocument/2006/relationships/footer" Target="footer3.xml"/><Relationship Id="rId102" Type="http://schemas.openxmlformats.org/officeDocument/2006/relationships/hyperlink" Target="mailto:sens-sas@hotmail.com" TargetMode="External"/><Relationship Id="rId123" Type="http://schemas.openxmlformats.org/officeDocument/2006/relationships/hyperlink" Target="mailto:veronique.rombaut@cfwb.be" TargetMode="External"/><Relationship Id="rId144" Type="http://schemas.openxmlformats.org/officeDocument/2006/relationships/hyperlink" Target="mailto:william.fuchs@cfwb.be" TargetMode="External"/><Relationship Id="rId90" Type="http://schemas.openxmlformats.org/officeDocument/2006/relationships/hyperlink" Target="mailto:saj.namur@cfwb.be" TargetMode="External"/><Relationship Id="rId165" Type="http://schemas.openxmlformats.org/officeDocument/2006/relationships/hyperlink" Target="http://www.ejustice.just.fgov.be/cgi/api2.pl?lg=fr&amp;pd=2012-11-30&amp;numac=2012029474" TargetMode="External"/><Relationship Id="rId186" Type="http://schemas.openxmlformats.org/officeDocument/2006/relationships/image" Target="media/image13.png"/><Relationship Id="rId211" Type="http://schemas.openxmlformats.org/officeDocument/2006/relationships/hyperlink" Target="http://www.enseignement.be/upload/circulaires/000000000003/FWB%20-%20Circulaire%206495%20(6739_20180116_113942).pdf" TargetMode="External"/><Relationship Id="rId232" Type="http://schemas.openxmlformats.org/officeDocument/2006/relationships/hyperlink" Target="mailto:francis.vanremoortere@cfwb.be" TargetMode="External"/><Relationship Id="rId253" Type="http://schemas.openxmlformats.org/officeDocument/2006/relationships/hyperlink" Target="http://www.diplomatie.belgium.be" TargetMode="External"/><Relationship Id="rId274" Type="http://schemas.openxmlformats.org/officeDocument/2006/relationships/hyperlink" Target="http://www.gallilex.cfwb.be/document/pdf/32742_000.pdf" TargetMode="External"/><Relationship Id="rId295" Type="http://schemas.openxmlformats.org/officeDocument/2006/relationships/hyperlink" Target="http://www.gallilex.cfwb.be/document/pdf/44257_000.pdf" TargetMode="External"/><Relationship Id="rId27" Type="http://schemas.openxmlformats.org/officeDocument/2006/relationships/hyperlink" Target="http://www.gallilex.cfwb.be/document/pdf/21557_010.pdf" TargetMode="External"/><Relationship Id="rId48" Type="http://schemas.openxmlformats.org/officeDocument/2006/relationships/hyperlink" Target="http://www.gallilex.cfwb.be/document/pdf/09547_001.pdf" TargetMode="External"/><Relationship Id="rId69" Type="http://schemas.openxmlformats.org/officeDocument/2006/relationships/hyperlink" Target="http://www.gallilex.cfwb.be/document/pdf/05108_013.pdf" TargetMode="External"/><Relationship Id="rId113" Type="http://schemas.openxmlformats.org/officeDocument/2006/relationships/image" Target="media/image5.png"/><Relationship Id="rId134" Type="http://schemas.openxmlformats.org/officeDocument/2006/relationships/hyperlink" Target="mailto:veronique.rombaut@cfwb.be" TargetMode="External"/><Relationship Id="rId80" Type="http://schemas.openxmlformats.org/officeDocument/2006/relationships/hyperlink" Target="mailto:saj.arlon@cfwb.be" TargetMode="External"/><Relationship Id="rId155" Type="http://schemas.openxmlformats.org/officeDocument/2006/relationships/hyperlink" Target="http://www.gallilex.cfwb.be/document/pdf/28737_022.pdf" TargetMode="External"/><Relationship Id="rId176" Type="http://schemas.openxmlformats.org/officeDocument/2006/relationships/hyperlink" Target="mailto:integration_specialise@cfwb.be" TargetMode="External"/><Relationship Id="rId197" Type="http://schemas.openxmlformats.org/officeDocument/2006/relationships/hyperlink" Target="http://www.gallilex.cfwb.be/document/pdf/28737_022.pdf" TargetMode="External"/><Relationship Id="rId201" Type="http://schemas.openxmlformats.org/officeDocument/2006/relationships/hyperlink" Target="http://www.enseignement.be/upload/circulaires/000000000003/FWB%20-%20Circulaire%206495%20(6739_20180116_113942).pdf" TargetMode="External"/><Relationship Id="rId222" Type="http://schemas.openxmlformats.org/officeDocument/2006/relationships/hyperlink" Target="http://www.gallilex.cfwb.be/document/pdf/34876_006.pdf" TargetMode="External"/><Relationship Id="rId243" Type="http://schemas.openxmlformats.org/officeDocument/2006/relationships/hyperlink" Target="https://www.privacycommission.be/nl" TargetMode="External"/><Relationship Id="rId264" Type="http://schemas.openxmlformats.org/officeDocument/2006/relationships/hyperlink" Target="mailto:mediationscolaire@cfwb.be" TargetMode="External"/><Relationship Id="rId285" Type="http://schemas.openxmlformats.org/officeDocument/2006/relationships/hyperlink" Target="http://www.gallilex.cfwb.be/document/pdf/38846_000.pdf" TargetMode="External"/><Relationship Id="rId17" Type="http://schemas.openxmlformats.org/officeDocument/2006/relationships/hyperlink" Target="mailto:obsi@cfwb.be" TargetMode="External"/><Relationship Id="rId38" Type="http://schemas.openxmlformats.org/officeDocument/2006/relationships/hyperlink" Target="http://www.const-court.be/fr/textes_base/constitution_de_la_belgique.pdf" TargetMode="External"/><Relationship Id="rId59" Type="http://schemas.openxmlformats.org/officeDocument/2006/relationships/hyperlink" Target="http://www.gallilex.cfwb.be/document/pdf/21557_000.pdf" TargetMode="External"/><Relationship Id="rId103" Type="http://schemas.openxmlformats.org/officeDocument/2006/relationships/hyperlink" Target="mailto:sasauxsources@live.be" TargetMode="External"/><Relationship Id="rId124" Type="http://schemas.openxmlformats.org/officeDocument/2006/relationships/hyperlink" Target="http://www.gallilex.cfwb.be/document/pdf/31929_003.pdf" TargetMode="External"/><Relationship Id="rId70" Type="http://schemas.openxmlformats.org/officeDocument/2006/relationships/hyperlink" Target="http://www.gallilex.cfwb.be/document/pdf/21557_000.pdf" TargetMode="External"/><Relationship Id="rId91" Type="http://schemas.openxmlformats.org/officeDocument/2006/relationships/hyperlink" Target="mailto:saj.neufchateau@cfwb.be" TargetMode="External"/><Relationship Id="rId145" Type="http://schemas.openxmlformats.org/officeDocument/2006/relationships/hyperlink" Target="mailto:veronique.rombaut@cfwb.be" TargetMode="External"/><Relationship Id="rId166" Type="http://schemas.openxmlformats.org/officeDocument/2006/relationships/hyperlink" Target="http://www.gallilex.cfwb.be/document/pdf/12376_005.pdf" TargetMode="External"/><Relationship Id="rId187" Type="http://schemas.openxmlformats.org/officeDocument/2006/relationships/image" Target="media/image14.png"/><Relationship Id="rId1" Type="http://schemas.openxmlformats.org/officeDocument/2006/relationships/customXml" Target="../customXml/item1.xml"/><Relationship Id="rId212" Type="http://schemas.openxmlformats.org/officeDocument/2006/relationships/hyperlink" Target="mailto:marie.bormann@cfwb.be" TargetMode="External"/><Relationship Id="rId233" Type="http://schemas.openxmlformats.org/officeDocument/2006/relationships/hyperlink" Target="mailto:nathalie.dujardin@cfwb.be" TargetMode="External"/><Relationship Id="rId254" Type="http://schemas.openxmlformats.org/officeDocument/2006/relationships/hyperlink" Target="mailto:c1mail@diplobel.fed.be" TargetMode="External"/><Relationship Id="rId28" Type="http://schemas.openxmlformats.org/officeDocument/2006/relationships/hyperlink" Target="http://www.ejustice.just.fgov.be/cgi_loi/change_lg.pl?language=fr&amp;la=F&amp;table_name=loi&amp;cn=1808111730" TargetMode="External"/><Relationship Id="rId49" Type="http://schemas.openxmlformats.org/officeDocument/2006/relationships/hyperlink" Target="http://www.gallilex.cfwb.be/document/pdf/09676_000.pdf" TargetMode="External"/><Relationship Id="rId114" Type="http://schemas.openxmlformats.org/officeDocument/2006/relationships/image" Target="media/image6.png"/><Relationship Id="rId275" Type="http://schemas.openxmlformats.org/officeDocument/2006/relationships/hyperlink" Target="http://www.gallilex.cfwb.be/document/pdf/32818_000.pdf" TargetMode="External"/><Relationship Id="rId296" Type="http://schemas.openxmlformats.org/officeDocument/2006/relationships/hyperlink" Target="http://www.enseignement.be/index.php?page=26823&amp;do_id=7416" TargetMode="External"/><Relationship Id="rId300" Type="http://schemas.openxmlformats.org/officeDocument/2006/relationships/header" Target="header8.xml"/><Relationship Id="rId60" Type="http://schemas.openxmlformats.org/officeDocument/2006/relationships/hyperlink" Target="http://www.droitbelge.be/fiches_detail.asp?idcat=36&amp;id=318" TargetMode="External"/><Relationship Id="rId81" Type="http://schemas.openxmlformats.org/officeDocument/2006/relationships/hyperlink" Target="mailto:saj.bruxelles@cfwb.be" TargetMode="External"/><Relationship Id="rId135" Type="http://schemas.openxmlformats.org/officeDocument/2006/relationships/hyperlink" Target="mailto:veronique.rombaut@cfwb.be" TargetMode="External"/><Relationship Id="rId156" Type="http://schemas.openxmlformats.org/officeDocument/2006/relationships/hyperlink" Target="http://www.gallilex.cfwb.be/document/pdf/28737_022.pdf" TargetMode="External"/><Relationship Id="rId177" Type="http://schemas.openxmlformats.org/officeDocument/2006/relationships/hyperlink" Target="mailto:ecxxxxxx@adm.cfwb.be" TargetMode="External"/><Relationship Id="rId198" Type="http://schemas.openxmlformats.org/officeDocument/2006/relationships/header" Target="header5.xml"/><Relationship Id="rId202" Type="http://schemas.openxmlformats.org/officeDocument/2006/relationships/hyperlink" Target="mailto:benoit.deneire@cfwb.be" TargetMode="External"/><Relationship Id="rId223" Type="http://schemas.openxmlformats.org/officeDocument/2006/relationships/hyperlink" Target="http://archive.pfwb.be/100000001032083" TargetMode="External"/><Relationship Id="rId244" Type="http://schemas.openxmlformats.org/officeDocument/2006/relationships/hyperlink" Target="https://www.privacycommission.be/nl" TargetMode="External"/><Relationship Id="rId18" Type="http://schemas.openxmlformats.org/officeDocument/2006/relationships/hyperlink" Target="http://www.gallilex.cfwb.be/document/pdf/28737_022.pdf" TargetMode="External"/><Relationship Id="rId39" Type="http://schemas.openxmlformats.org/officeDocument/2006/relationships/hyperlink" Target="http://www.gallilex.cfwb.be/document/pdf/09676_000.pdf" TargetMode="External"/><Relationship Id="rId265" Type="http://schemas.openxmlformats.org/officeDocument/2006/relationships/hyperlink" Target="mailto:equipemobile@cfwb.be" TargetMode="External"/><Relationship Id="rId286" Type="http://schemas.openxmlformats.org/officeDocument/2006/relationships/hyperlink" Target="http://www.gallilex.cfwb.be/document/pdf/39317_000.pdf" TargetMode="External"/><Relationship Id="rId50" Type="http://schemas.openxmlformats.org/officeDocument/2006/relationships/hyperlink" Target="http://www.gallilex.cfwb.be/document/pdf/10450_004.pdf" TargetMode="External"/><Relationship Id="rId104" Type="http://schemas.openxmlformats.org/officeDocument/2006/relationships/hyperlink" Target="http://www.sasauxsources.be/" TargetMode="External"/><Relationship Id="rId125" Type="http://schemas.openxmlformats.org/officeDocument/2006/relationships/hyperlink" Target="https://www.gallilex.cfwb.be/document/pdf/42156_001.pdf" TargetMode="External"/><Relationship Id="rId146" Type="http://schemas.openxmlformats.org/officeDocument/2006/relationships/hyperlink" Target="http://www.gallilex.cfwb.be/document/pdf/28737_022.pdf" TargetMode="External"/><Relationship Id="rId167" Type="http://schemas.openxmlformats.org/officeDocument/2006/relationships/hyperlink" Target="https://www.gallilex.cfwb.be/document/pdf/46287_000.pdf" TargetMode="External"/><Relationship Id="rId188" Type="http://schemas.openxmlformats.org/officeDocument/2006/relationships/hyperlink" Target="mailto:integration_specialise@cfwb.be" TargetMode="External"/><Relationship Id="rId71" Type="http://schemas.openxmlformats.org/officeDocument/2006/relationships/hyperlink" Target="http://www.gallilex.cfwb.be/document/pdf/11328_000.pdf" TargetMode="External"/><Relationship Id="rId92" Type="http://schemas.openxmlformats.org/officeDocument/2006/relationships/hyperlink" Target="mailto:saj.tournai@cfwb.be" TargetMode="External"/><Relationship Id="rId213" Type="http://schemas.openxmlformats.org/officeDocument/2006/relationships/hyperlink" Target="mailto:natalia.molano-vasquez@cfwb.be" TargetMode="External"/><Relationship Id="rId234" Type="http://schemas.openxmlformats.org/officeDocument/2006/relationships/image" Target="media/image18.png"/></Relationships>
</file>

<file path=word/_rels/footnotes.xml.rels><?xml version="1.0" encoding="UTF-8" standalone="yes"?>
<Relationships xmlns="http://schemas.openxmlformats.org/package/2006/relationships"><Relationship Id="rId13" Type="http://schemas.openxmlformats.org/officeDocument/2006/relationships/hyperlink" Target="http://www.gallilex.cfwb.be/fr/leg_res_01.php?ncda=8527&amp;referant=l01" TargetMode="External"/><Relationship Id="rId18" Type="http://schemas.openxmlformats.org/officeDocument/2006/relationships/hyperlink" Target="http://www.gallilex.cfwb.be/document/pdf/39909_001.pdf" TargetMode="External"/><Relationship Id="rId26" Type="http://schemas.openxmlformats.org/officeDocument/2006/relationships/hyperlink" Target="https://www.gallilex.cfwb.be/document/pdf/39909_006.pdf" TargetMode="External"/><Relationship Id="rId39" Type="http://schemas.openxmlformats.org/officeDocument/2006/relationships/hyperlink" Target="https://www.gallilex.cfwb.be/document/pdf/34365_004.pdf" TargetMode="External"/><Relationship Id="rId21" Type="http://schemas.openxmlformats.org/officeDocument/2006/relationships/hyperlink" Target="https://www.gallilex.cfwb.be/document/pdf/39910_004.pdf" TargetMode="External"/><Relationship Id="rId34" Type="http://schemas.openxmlformats.org/officeDocument/2006/relationships/hyperlink" Target="http://www.enseignement.be/upload/circulaires/000000000003/FWB%20-%20Circulaire%207135%20(7379_20190517_104330).pdf" TargetMode="External"/><Relationship Id="rId42" Type="http://schemas.openxmlformats.org/officeDocument/2006/relationships/hyperlink" Target="https://www.gallilex.cfwb.be/document/pdf/18312_006.pdf" TargetMode="External"/><Relationship Id="rId47" Type="http://schemas.openxmlformats.org/officeDocument/2006/relationships/hyperlink" Target="http://www.gallilex.cfwb.be/document/pdf/09676_000.pdf" TargetMode="External"/><Relationship Id="rId50" Type="http://schemas.openxmlformats.org/officeDocument/2006/relationships/hyperlink" Target="http://www.gallilex.cfwb.be/document/pdf/09676_000.pdf" TargetMode="External"/><Relationship Id="rId55" Type="http://schemas.openxmlformats.org/officeDocument/2006/relationships/hyperlink" Target="http://www.gallilex.cfwb.be/document/pdf/10886_000.pdf" TargetMode="External"/><Relationship Id="rId63" Type="http://schemas.openxmlformats.org/officeDocument/2006/relationships/hyperlink" Target="http://www.gallilex.cfwb.be/document/pdf/21557_000.pdf" TargetMode="External"/><Relationship Id="rId68" Type="http://schemas.openxmlformats.org/officeDocument/2006/relationships/hyperlink" Target="http://www.enseignement.be/index.php?page=26823&amp;do_id=7411" TargetMode="External"/><Relationship Id="rId76" Type="http://schemas.openxmlformats.org/officeDocument/2006/relationships/hyperlink" Target="https://www.autoriteprotectiondonnees.be/canevas-de-registre-des-activites-de-traitement" TargetMode="External"/><Relationship Id="rId7" Type="http://schemas.openxmlformats.org/officeDocument/2006/relationships/hyperlink" Target="http://www.gallilex.cfwb.be/document/pdf/18086_000.pdf" TargetMode="External"/><Relationship Id="rId71" Type="http://schemas.openxmlformats.org/officeDocument/2006/relationships/hyperlink" Target="http://www.enseignement.be/index.php?page=26823&amp;do_id=6319" TargetMode="External"/><Relationship Id="rId2" Type="http://schemas.openxmlformats.org/officeDocument/2006/relationships/hyperlink" Target="http://www.gallilex.cfwb.be/document/pdf/21557_024.pdf" TargetMode="External"/><Relationship Id="rId16" Type="http://schemas.openxmlformats.org/officeDocument/2006/relationships/hyperlink" Target="http://www.enseignement.be/index.php?page=26823&amp;do_id=5101" TargetMode="External"/><Relationship Id="rId29" Type="http://schemas.openxmlformats.org/officeDocument/2006/relationships/hyperlink" Target="http://www.etaamb.be/fr/circulaire-du-27-mai-2003_n2003000504.html" TargetMode="External"/><Relationship Id="rId11" Type="http://schemas.openxmlformats.org/officeDocument/2006/relationships/hyperlink" Target="http://www.enseignement.be/index.php?page=26823&amp;do_id=3997" TargetMode="External"/><Relationship Id="rId24" Type="http://schemas.openxmlformats.org/officeDocument/2006/relationships/hyperlink" Target="http://www.enseignement.be/upload/circulaires/000000000001/2519_20080604092758.pdf" TargetMode="External"/><Relationship Id="rId32" Type="http://schemas.openxmlformats.org/officeDocument/2006/relationships/hyperlink" Target="https://www.gallilex.cfwb.be/document/pdf/05108_052.pdf" TargetMode="External"/><Relationship Id="rId37" Type="http://schemas.openxmlformats.org/officeDocument/2006/relationships/hyperlink" Target="http://www.gallilex.cfwb.be/document/pdf/39909_001.pdf" TargetMode="External"/><Relationship Id="rId40" Type="http://schemas.openxmlformats.org/officeDocument/2006/relationships/hyperlink" Target="http://www.enseignement.be/upload/circulaires/000000000002/FWB%20-%20Circulaire%204182%20(4399_20121015_115318).pdf" TargetMode="External"/><Relationship Id="rId45" Type="http://schemas.openxmlformats.org/officeDocument/2006/relationships/hyperlink" Target="http://www.gallilex.cfwb.be/document/pdf/09547_001.pdf" TargetMode="External"/><Relationship Id="rId53" Type="http://schemas.openxmlformats.org/officeDocument/2006/relationships/hyperlink" Target="http://www.gallilex.cfwb.be/document/pdf/28737_011.pdf" TargetMode="External"/><Relationship Id="rId58" Type="http://schemas.openxmlformats.org/officeDocument/2006/relationships/hyperlink" Target="https://www.gallilex.cfwb.be/document/pdf/09676_000.pdf" TargetMode="External"/><Relationship Id="rId66" Type="http://schemas.openxmlformats.org/officeDocument/2006/relationships/hyperlink" Target="https://www.gallilex.cfwb.be/document/pdf/07054_006.pdf" TargetMode="External"/><Relationship Id="rId74" Type="http://schemas.openxmlformats.org/officeDocument/2006/relationships/hyperlink" Target="https://www.gallilex.cfwb.be/document/pdf/28737_035.pdf" TargetMode="External"/><Relationship Id="rId5" Type="http://schemas.openxmlformats.org/officeDocument/2006/relationships/hyperlink" Target="http://www.gallilex.cfwb.be/document/pdf/21557_000.pdf" TargetMode="External"/><Relationship Id="rId15" Type="http://schemas.openxmlformats.org/officeDocument/2006/relationships/hyperlink" Target="https://www.gallilex.cfwb.be/document/pdf/39910_004.pdf" TargetMode="External"/><Relationship Id="rId23" Type="http://schemas.openxmlformats.org/officeDocument/2006/relationships/hyperlink" Target="http://www.gallilex.cfwb.be/document/pdf/32771_000.pdf" TargetMode="External"/><Relationship Id="rId28" Type="http://schemas.openxmlformats.org/officeDocument/2006/relationships/hyperlink" Target="http://www.enseignement.be/upload/circulaires/000000000001/1910_20070109175635.pdf" TargetMode="External"/><Relationship Id="rId36" Type="http://schemas.openxmlformats.org/officeDocument/2006/relationships/hyperlink" Target="https://www.gallilex.cfwb.be/document/pdf/21557_042.pdf" TargetMode="External"/><Relationship Id="rId49" Type="http://schemas.openxmlformats.org/officeDocument/2006/relationships/hyperlink" Target="http://www.ejustice.just.fgov.be/cgi/api2.pl?lg=fr&amp;pd=2003-08-20&amp;numac=2003031400" TargetMode="External"/><Relationship Id="rId57" Type="http://schemas.openxmlformats.org/officeDocument/2006/relationships/hyperlink" Target="https://www.gallilex.cfwb.be/document/pdf/28737_022.pdf" TargetMode="External"/><Relationship Id="rId61" Type="http://schemas.openxmlformats.org/officeDocument/2006/relationships/hyperlink" Target="http://www.cfwb.be/aide-jeunesse/ct_amo.asp" TargetMode="External"/><Relationship Id="rId10" Type="http://schemas.openxmlformats.org/officeDocument/2006/relationships/hyperlink" Target="http://www.gallilex.cfwb.be/document/pdf/09676_000.pdf" TargetMode="External"/><Relationship Id="rId19" Type="http://schemas.openxmlformats.org/officeDocument/2006/relationships/hyperlink" Target="http://www.enseignement.be/index.php?page=26823&amp;do_id=2405" TargetMode="External"/><Relationship Id="rId31" Type="http://schemas.openxmlformats.org/officeDocument/2006/relationships/hyperlink" Target="http://www.enseignement.be/index.php?page=26823&amp;do_id=4739" TargetMode="External"/><Relationship Id="rId44" Type="http://schemas.openxmlformats.org/officeDocument/2006/relationships/hyperlink" Target="http://www.gallilex.cfwb.be/document/pdf/09547_001.pdf" TargetMode="External"/><Relationship Id="rId52" Type="http://schemas.openxmlformats.org/officeDocument/2006/relationships/hyperlink" Target="http://www.gallilex.cfwb.be/document/pdf/43608_000.pdf" TargetMode="External"/><Relationship Id="rId60" Type="http://schemas.openxmlformats.org/officeDocument/2006/relationships/hyperlink" Target="http://www.accueil-transition.be/doc/decret.pdf" TargetMode="External"/><Relationship Id="rId65" Type="http://schemas.openxmlformats.org/officeDocument/2006/relationships/hyperlink" Target="http://www.gallilex.cfwb.be/document/pdf/01496_007.pdf" TargetMode="External"/><Relationship Id="rId73" Type="http://schemas.openxmlformats.org/officeDocument/2006/relationships/hyperlink" Target="https://www.gallilex.cfwb.be/document/pdf/36765_000.pdf" TargetMode="External"/><Relationship Id="rId4" Type="http://schemas.openxmlformats.org/officeDocument/2006/relationships/hyperlink" Target="http://www.gallilex.cfwb.be/document/pdf/31175_000.pdf" TargetMode="External"/><Relationship Id="rId9" Type="http://schemas.openxmlformats.org/officeDocument/2006/relationships/hyperlink" Target="https://www.gallilex.cfwb.be/document/pdf/39909_006.pdf" TargetMode="External"/><Relationship Id="rId14" Type="http://schemas.openxmlformats.org/officeDocument/2006/relationships/hyperlink" Target="https://www.gallilex.cfwb.be/document/pdf/39909_006.pdf" TargetMode="External"/><Relationship Id="rId22" Type="http://schemas.openxmlformats.org/officeDocument/2006/relationships/hyperlink" Target="http://www.enseignement.be/index.php?page=26823&amp;do_id=3997" TargetMode="External"/><Relationship Id="rId27" Type="http://schemas.openxmlformats.org/officeDocument/2006/relationships/hyperlink" Target="http://www.enseignement.be/index.php?page=26823&amp;do_id=3997" TargetMode="External"/><Relationship Id="rId30" Type="http://schemas.openxmlformats.org/officeDocument/2006/relationships/hyperlink" Target="http://www.infozone.be/" TargetMode="External"/><Relationship Id="rId35" Type="http://schemas.openxmlformats.org/officeDocument/2006/relationships/hyperlink" Target="https://www.gallilex.cfwb.be/document/pdf/21557_042.pdf" TargetMode="External"/><Relationship Id="rId43" Type="http://schemas.openxmlformats.org/officeDocument/2006/relationships/hyperlink" Target="https://www.gallilex.cfwb.be/document/pdf/28381_004.pdf" TargetMode="External"/><Relationship Id="rId48" Type="http://schemas.openxmlformats.org/officeDocument/2006/relationships/hyperlink" Target="http://www.ecoles.cfwb.be/arizel/Robin/axe-peda/2006-12.pdf" TargetMode="External"/><Relationship Id="rId56" Type="http://schemas.openxmlformats.org/officeDocument/2006/relationships/hyperlink" Target="http://www.gallilex.cfwb.be/document/pdf/10886_000.pdf" TargetMode="External"/><Relationship Id="rId64" Type="http://schemas.openxmlformats.org/officeDocument/2006/relationships/hyperlink" Target="https://www.gallilex.cfwb.be/document/pdf/39909_006.pdf" TargetMode="External"/><Relationship Id="rId69" Type="http://schemas.openxmlformats.org/officeDocument/2006/relationships/hyperlink" Target="https://www.gallilex.cfwb.be/document/pdf/46817_000.pdf" TargetMode="External"/><Relationship Id="rId77" Type="http://schemas.openxmlformats.org/officeDocument/2006/relationships/hyperlink" Target="https://eur-lex.europa.eu/legal-content/FR/TXT/HTML/?uri=CELEX:32016R0679&amp;from=EN" TargetMode="External"/><Relationship Id="rId8" Type="http://schemas.openxmlformats.org/officeDocument/2006/relationships/hyperlink" Target="http://www.gallilex.cfwb.be/document/pdf/34604_000.pdf" TargetMode="External"/><Relationship Id="rId51" Type="http://schemas.openxmlformats.org/officeDocument/2006/relationships/hyperlink" Target="https://www.gallilex.cfwb.be/document/pdf/09547_005.pdf" TargetMode="External"/><Relationship Id="rId72" Type="http://schemas.openxmlformats.org/officeDocument/2006/relationships/hyperlink" Target="https://www.gallilex.cfwb.be/document/pdf/42686_002.pdf" TargetMode="External"/><Relationship Id="rId3" Type="http://schemas.openxmlformats.org/officeDocument/2006/relationships/hyperlink" Target="http://www.enseignement.be/index.php?page=26823&amp;do_id=179" TargetMode="External"/><Relationship Id="rId12" Type="http://schemas.openxmlformats.org/officeDocument/2006/relationships/hyperlink" Target="https://www.gallilex.cfwb.be/document/pdf/46817_000.pdf" TargetMode="External"/><Relationship Id="rId17" Type="http://schemas.openxmlformats.org/officeDocument/2006/relationships/hyperlink" Target="https://www.gallilex.cfwb.be/document/pdf/39910_004.pdf" TargetMode="External"/><Relationship Id="rId25" Type="http://schemas.openxmlformats.org/officeDocument/2006/relationships/hyperlink" Target="http://www.gallilex.cfwb.be/document/pdf/32771_000.pdf" TargetMode="External"/><Relationship Id="rId33" Type="http://schemas.openxmlformats.org/officeDocument/2006/relationships/hyperlink" Target="http://www.enseignement.be/upload/circulaires/000000000003/FWB%20-%20Circulaire%207134%20(7378_20190517_104126).pdf" TargetMode="External"/><Relationship Id="rId38" Type="http://schemas.openxmlformats.org/officeDocument/2006/relationships/hyperlink" Target="http://www.gallilex.cfwb.be/fr/leg_res_01.php?ncda=40252&amp;referant=l01" TargetMode="External"/><Relationship Id="rId46" Type="http://schemas.openxmlformats.org/officeDocument/2006/relationships/hyperlink" Target="http://www.gallilex.cfwb.be/document/pdf/19052_000.pdf" TargetMode="External"/><Relationship Id="rId59" Type="http://schemas.openxmlformats.org/officeDocument/2006/relationships/hyperlink" Target="https://www.ordomedic.be/fr/conseils-provinciaux/les-conseils-provinciaux/" TargetMode="External"/><Relationship Id="rId67" Type="http://schemas.openxmlformats.org/officeDocument/2006/relationships/hyperlink" Target="http://www.enseignement.be/index.php?page=26823&amp;do_id=7411" TargetMode="External"/><Relationship Id="rId20" Type="http://schemas.openxmlformats.org/officeDocument/2006/relationships/hyperlink" Target="http://www.enseignement.be/upload/circulaires/000000000002/4189_20120425_092922.pdf" TargetMode="External"/><Relationship Id="rId41" Type="http://schemas.openxmlformats.org/officeDocument/2006/relationships/hyperlink" Target="https://www.gallilex.cfwb.be/document/pdf/05108_052.pdf" TargetMode="External"/><Relationship Id="rId54" Type="http://schemas.openxmlformats.org/officeDocument/2006/relationships/hyperlink" Target="https://www.gallilex.cfwb.be/document/pdf/28737_035.pdf" TargetMode="External"/><Relationship Id="rId62" Type="http://schemas.openxmlformats.org/officeDocument/2006/relationships/hyperlink" Target="mailto:fabienne.druant@just.fgov.be" TargetMode="External"/><Relationship Id="rId70" Type="http://schemas.openxmlformats.org/officeDocument/2006/relationships/hyperlink" Target="https://www.gallilex.cfwb.be/document/pdf/36765_000.pdf" TargetMode="External"/><Relationship Id="rId75" Type="http://schemas.openxmlformats.org/officeDocument/2006/relationships/hyperlink" Target="https://eur-lex.europa.eu/legal-content/FR/TXT/HTML/?uri=CELEX:32016R0679&amp;from=EN" TargetMode="External"/><Relationship Id="rId1" Type="http://schemas.openxmlformats.org/officeDocument/2006/relationships/hyperlink" Target="http://www.gallilex.cfwb.be/document/pdf/09676_000.pdf" TargetMode="External"/><Relationship Id="rId6" Type="http://schemas.openxmlformats.org/officeDocument/2006/relationships/hyperlink" Target="http://www.gallilex.cfwb.be/document/pdf/40870_000.pdf"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4E91002-E71D-48AB-8F01-53925EF118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123</Pages>
  <Words>104951</Words>
  <Characters>577236</Characters>
  <Application>Microsoft Office Word</Application>
  <DocSecurity>0</DocSecurity>
  <Lines>4810</Lines>
  <Paragraphs>1361</Paragraphs>
  <ScaleCrop>false</ScaleCrop>
  <HeadingPairs>
    <vt:vector size="2" baseType="variant">
      <vt:variant>
        <vt:lpstr>Titre</vt:lpstr>
      </vt:variant>
      <vt:variant>
        <vt:i4>1</vt:i4>
      </vt:variant>
    </vt:vector>
  </HeadingPairs>
  <TitlesOfParts>
    <vt:vector size="1" baseType="lpstr">
      <vt:lpstr>Cette partie ne concerne que les établissements d’enseignement secondaire spécialisé</vt:lpstr>
    </vt:vector>
  </TitlesOfParts>
  <Company/>
  <LinksUpToDate>false</LinksUpToDate>
  <CharactersWithSpaces>680826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Cette partie ne concerne que les établissements d’enseignement secondaire spécialisé</dc:title>
  <dc:subject>Objets produits ou services rendus par un établissement scolaire d’enseignement spécialisé</dc:subject>
  <dc:creator>Utilisateur Windows</dc:creator>
  <cp:keywords/>
  <dc:description/>
  <cp:lastModifiedBy>RAVEZ Nathalie</cp:lastModifiedBy>
  <cp:revision>2</cp:revision>
  <cp:lastPrinted>2019-06-20T15:34:00Z</cp:lastPrinted>
  <dcterms:created xsi:type="dcterms:W3CDTF">2019-09-09T09:23:00Z</dcterms:created>
  <dcterms:modified xsi:type="dcterms:W3CDTF">2019-09-09T09:23:00Z</dcterms:modified>
  <cp:category>Chapitre</cp:category>
  <cp:contentStatus/>
</cp:coreProperties>
</file>